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drawings/drawing1.xml" ContentType="application/vnd.openxmlformats-officedocument.drawingml.chartshapes+xml"/>
  <Override PartName="/word/drawings/drawing10.xml" ContentType="application/vnd.openxmlformats-officedocument.drawingml.chartshapes+xml"/>
  <Override PartName="/word/drawings/drawing11.xml" ContentType="application/vnd.openxmlformats-officedocument.drawingml.chartshapes+xml"/>
  <Override PartName="/word/drawings/drawing12.xml" ContentType="application/vnd.openxmlformats-officedocument.drawingml.chartshapes+xml"/>
  <Override PartName="/word/drawings/drawing2.xml" ContentType="application/vnd.openxmlformats-officedocument.drawingml.chartshap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drawings/drawing6.xml" ContentType="application/vnd.openxmlformats-officedocument.drawingml.chartshapes+xml"/>
  <Override PartName="/word/drawings/drawing7.xml" ContentType="application/vnd.openxmlformats-officedocument.drawingml.chartshapes+xml"/>
  <Override PartName="/word/drawings/drawing8.xml" ContentType="application/vnd.openxmlformats-officedocument.drawingml.chartshapes+xml"/>
  <Override PartName="/word/drawings/drawing9.xml" ContentType="application/vnd.openxmlformats-officedocument.drawingml.chartshap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3"/>
        <w:wordWrap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目  录</w:t>
      </w:r>
    </w:p>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b/>
          <w:i/>
          <w:color w:val="auto"/>
          <w:kern w:val="2"/>
          <w:sz w:val="24"/>
          <w:szCs w:val="24"/>
          <w:highlight w:val="none"/>
          <w:lang w:val="en-US" w:eastAsia="zh-CN" w:bidi="ar-SA"/>
        </w:rPr>
      </w:pPr>
    </w:p>
    <w:p>
      <w:pPr>
        <w:pStyle w:val="16"/>
        <w:tabs>
          <w:tab w:val="right" w:leader="dot" w:pos="9638"/>
        </w:tabs>
        <w:rPr>
          <w:b/>
          <w:bCs/>
        </w:rPr>
      </w:pPr>
      <w:r>
        <w:rPr>
          <w:rFonts w:hint="default" w:ascii="Times New Roman" w:hAnsi="Times New Roman" w:cs="Times New Roman"/>
          <w:b/>
          <w:color w:val="auto"/>
          <w:sz w:val="24"/>
          <w:szCs w:val="24"/>
          <w:highlight w:val="none"/>
        </w:rPr>
        <w:fldChar w:fldCharType="begin"/>
      </w:r>
      <w:r>
        <w:rPr>
          <w:rFonts w:hint="default" w:ascii="Times New Roman" w:hAnsi="Times New Roman" w:cs="Times New Roman"/>
          <w:b/>
          <w:color w:val="auto"/>
          <w:sz w:val="24"/>
          <w:szCs w:val="24"/>
          <w:highlight w:val="none"/>
        </w:rPr>
        <w:instrText xml:space="preserve">TOC \o "1-2" \h \u </w:instrText>
      </w:r>
      <w:r>
        <w:rPr>
          <w:rFonts w:hint="default" w:ascii="Times New Roman" w:hAnsi="Times New Roman" w:cs="Times New Roman"/>
          <w:b/>
          <w:color w:val="auto"/>
          <w:sz w:val="24"/>
          <w:szCs w:val="24"/>
          <w:highlight w:val="none"/>
        </w:rPr>
        <w:fldChar w:fldCharType="separate"/>
      </w:r>
      <w:r>
        <w:rPr>
          <w:rFonts w:hint="default" w:ascii="Times New Roman" w:hAnsi="Times New Roman" w:cs="Times New Roman"/>
          <w:b/>
          <w:bCs/>
          <w:color w:val="auto"/>
          <w:szCs w:val="24"/>
          <w:highlight w:val="none"/>
        </w:rPr>
        <w:fldChar w:fldCharType="begin"/>
      </w:r>
      <w:r>
        <w:rPr>
          <w:rFonts w:hint="default" w:ascii="Times New Roman" w:hAnsi="Times New Roman" w:cs="Times New Roman"/>
          <w:b/>
          <w:bCs/>
          <w:szCs w:val="24"/>
          <w:highlight w:val="none"/>
        </w:rPr>
        <w:instrText xml:space="preserve"> HYPERLINK \l _Toc27455 </w:instrText>
      </w:r>
      <w:r>
        <w:rPr>
          <w:rFonts w:hint="default" w:ascii="Times New Roman" w:hAnsi="Times New Roman" w:cs="Times New Roman"/>
          <w:b/>
          <w:bCs/>
          <w:szCs w:val="24"/>
          <w:highlight w:val="none"/>
        </w:rPr>
        <w:fldChar w:fldCharType="separate"/>
      </w:r>
      <w:r>
        <w:rPr>
          <w:rFonts w:hint="default" w:ascii="Times New Roman" w:hAnsi="Times New Roman" w:cs="Times New Roman"/>
          <w:b/>
          <w:bCs/>
        </w:rPr>
        <w:t xml:space="preserve">1. </w:t>
      </w:r>
      <w:r>
        <w:rPr>
          <w:rFonts w:hint="default" w:ascii="Times New Roman" w:hAnsi="Times New Roman" w:cs="Times New Roman"/>
          <w:b/>
          <w:bCs/>
          <w:highlight w:val="none"/>
          <w:lang w:eastAsia="zh-CN"/>
        </w:rPr>
        <w:t>概述</w:t>
      </w:r>
      <w:r>
        <w:rPr>
          <w:b/>
          <w:bCs/>
        </w:rPr>
        <w:tab/>
      </w:r>
      <w:r>
        <w:rPr>
          <w:b/>
          <w:bCs/>
        </w:rPr>
        <w:fldChar w:fldCharType="begin"/>
      </w:r>
      <w:r>
        <w:rPr>
          <w:b/>
          <w:bCs/>
        </w:rPr>
        <w:instrText xml:space="preserve"> PAGEREF _Toc27455 </w:instrText>
      </w:r>
      <w:r>
        <w:rPr>
          <w:b/>
          <w:bCs/>
        </w:rPr>
        <w:fldChar w:fldCharType="separate"/>
      </w:r>
      <w:r>
        <w:rPr>
          <w:b/>
          <w:bCs/>
        </w:rPr>
        <w:t>- 1 -</w:t>
      </w:r>
      <w:r>
        <w:rPr>
          <w:b/>
          <w:bCs/>
        </w:rPr>
        <w:fldChar w:fldCharType="end"/>
      </w:r>
      <w:r>
        <w:rPr>
          <w:rFonts w:hint="default" w:ascii="Times New Roman" w:hAnsi="Times New Roman" w:cs="Times New Roman"/>
          <w:b/>
          <w:bCs/>
          <w:color w:val="auto"/>
          <w:szCs w:val="24"/>
          <w:highlight w:val="none"/>
        </w:rPr>
        <w:fldChar w:fldCharType="end"/>
      </w:r>
    </w:p>
    <w:p>
      <w:pPr>
        <w:pStyle w:val="18"/>
        <w:tabs>
          <w:tab w:val="right" w:leader="dot" w:pos="9638"/>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_Toc9767 </w:instrText>
      </w:r>
      <w:r>
        <w:rPr>
          <w:rFonts w:hint="default" w:ascii="Times New Roman" w:hAnsi="Times New Roman" w:cs="Times New Roman"/>
          <w:szCs w:val="24"/>
          <w:highlight w:val="none"/>
        </w:rPr>
        <w:fldChar w:fldCharType="separate"/>
      </w:r>
      <w:r>
        <w:rPr>
          <w:rFonts w:hint="default" w:ascii="Times New Roman" w:hAnsi="Times New Roman" w:cs="Times New Roman"/>
          <w:szCs w:val="24"/>
        </w:rPr>
        <w:t xml:space="preserve">1.1. </w:t>
      </w:r>
      <w:r>
        <w:rPr>
          <w:rFonts w:hint="default" w:ascii="Times New Roman" w:hAnsi="Times New Roman" w:cs="Times New Roman"/>
          <w:highlight w:val="none"/>
        </w:rPr>
        <w:t>项目由来</w:t>
      </w:r>
      <w:r>
        <w:tab/>
      </w:r>
      <w:r>
        <w:fldChar w:fldCharType="begin"/>
      </w:r>
      <w:r>
        <w:instrText xml:space="preserve"> PAGEREF _Toc9767 </w:instrText>
      </w:r>
      <w:r>
        <w:fldChar w:fldCharType="separate"/>
      </w:r>
      <w:r>
        <w:t>- 1 -</w:t>
      </w:r>
      <w:r>
        <w:fldChar w:fldCharType="end"/>
      </w:r>
      <w:r>
        <w:rPr>
          <w:rFonts w:hint="default" w:ascii="Times New Roman" w:hAnsi="Times New Roman" w:cs="Times New Roman"/>
          <w:color w:val="auto"/>
          <w:szCs w:val="24"/>
          <w:highlight w:val="none"/>
        </w:rPr>
        <w:fldChar w:fldCharType="end"/>
      </w:r>
    </w:p>
    <w:p>
      <w:pPr>
        <w:pStyle w:val="18"/>
        <w:tabs>
          <w:tab w:val="right" w:leader="dot" w:pos="9638"/>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_Toc29937 </w:instrText>
      </w:r>
      <w:r>
        <w:rPr>
          <w:rFonts w:hint="default" w:ascii="Times New Roman" w:hAnsi="Times New Roman" w:cs="Times New Roman"/>
          <w:szCs w:val="24"/>
          <w:highlight w:val="none"/>
        </w:rPr>
        <w:fldChar w:fldCharType="separate"/>
      </w:r>
      <w:r>
        <w:rPr>
          <w:rFonts w:hint="default" w:ascii="Times New Roman" w:hAnsi="Times New Roman" w:cs="Times New Roman"/>
          <w:szCs w:val="24"/>
        </w:rPr>
        <w:t xml:space="preserve">1.2. </w:t>
      </w:r>
      <w:r>
        <w:rPr>
          <w:rFonts w:hint="default" w:ascii="Times New Roman" w:hAnsi="Times New Roman" w:cs="Times New Roman"/>
          <w:highlight w:val="none"/>
        </w:rPr>
        <w:t>调查目的和原则</w:t>
      </w:r>
      <w:bookmarkStart w:id="88" w:name="_GoBack"/>
      <w:bookmarkEnd w:id="88"/>
      <w:r>
        <w:tab/>
      </w:r>
      <w:r>
        <w:fldChar w:fldCharType="begin"/>
      </w:r>
      <w:r>
        <w:instrText xml:space="preserve"> PAGEREF _Toc29937 </w:instrText>
      </w:r>
      <w:r>
        <w:fldChar w:fldCharType="separate"/>
      </w:r>
      <w:r>
        <w:t>- 1 -</w:t>
      </w:r>
      <w:r>
        <w:fldChar w:fldCharType="end"/>
      </w:r>
      <w:r>
        <w:rPr>
          <w:rFonts w:hint="default" w:ascii="Times New Roman" w:hAnsi="Times New Roman" w:cs="Times New Roman"/>
          <w:color w:val="auto"/>
          <w:szCs w:val="24"/>
          <w:highlight w:val="none"/>
        </w:rPr>
        <w:fldChar w:fldCharType="end"/>
      </w:r>
    </w:p>
    <w:p>
      <w:pPr>
        <w:pStyle w:val="18"/>
        <w:tabs>
          <w:tab w:val="right" w:leader="dot" w:pos="9638"/>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_Toc13311 </w:instrText>
      </w:r>
      <w:r>
        <w:rPr>
          <w:rFonts w:hint="default" w:ascii="Times New Roman" w:hAnsi="Times New Roman" w:cs="Times New Roman"/>
          <w:szCs w:val="24"/>
          <w:highlight w:val="none"/>
        </w:rPr>
        <w:fldChar w:fldCharType="separate"/>
      </w:r>
      <w:r>
        <w:rPr>
          <w:rFonts w:hint="default" w:ascii="Times New Roman" w:hAnsi="Times New Roman" w:cs="Times New Roman"/>
          <w:szCs w:val="24"/>
        </w:rPr>
        <w:t xml:space="preserve">1.3. </w:t>
      </w:r>
      <w:r>
        <w:rPr>
          <w:rFonts w:hint="default" w:ascii="Times New Roman" w:hAnsi="Times New Roman" w:cs="Times New Roman"/>
          <w:highlight w:val="none"/>
        </w:rPr>
        <w:t>调查</w:t>
      </w:r>
      <w:r>
        <w:rPr>
          <w:rFonts w:hint="default" w:ascii="Times New Roman" w:hAnsi="Times New Roman" w:cs="Times New Roman"/>
          <w:highlight w:val="none"/>
          <w:lang w:eastAsia="zh-CN"/>
        </w:rPr>
        <w:t>对象和</w:t>
      </w:r>
      <w:r>
        <w:rPr>
          <w:rFonts w:hint="default" w:ascii="Times New Roman" w:hAnsi="Times New Roman" w:cs="Times New Roman"/>
          <w:highlight w:val="none"/>
        </w:rPr>
        <w:t>范围</w:t>
      </w:r>
      <w:r>
        <w:tab/>
      </w:r>
      <w:r>
        <w:fldChar w:fldCharType="begin"/>
      </w:r>
      <w:r>
        <w:instrText xml:space="preserve"> PAGEREF _Toc13311 </w:instrText>
      </w:r>
      <w:r>
        <w:fldChar w:fldCharType="separate"/>
      </w:r>
      <w:r>
        <w:t>- 2 -</w:t>
      </w:r>
      <w:r>
        <w:fldChar w:fldCharType="end"/>
      </w:r>
      <w:r>
        <w:rPr>
          <w:rFonts w:hint="default" w:ascii="Times New Roman" w:hAnsi="Times New Roman" w:cs="Times New Roman"/>
          <w:color w:val="auto"/>
          <w:szCs w:val="24"/>
          <w:highlight w:val="none"/>
        </w:rPr>
        <w:fldChar w:fldCharType="end"/>
      </w:r>
    </w:p>
    <w:p>
      <w:pPr>
        <w:pStyle w:val="18"/>
        <w:tabs>
          <w:tab w:val="right" w:leader="dot" w:pos="9638"/>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_Toc14019 </w:instrText>
      </w:r>
      <w:r>
        <w:rPr>
          <w:rFonts w:hint="default" w:ascii="Times New Roman" w:hAnsi="Times New Roman" w:cs="Times New Roman"/>
          <w:szCs w:val="24"/>
          <w:highlight w:val="none"/>
        </w:rPr>
        <w:fldChar w:fldCharType="separate"/>
      </w:r>
      <w:r>
        <w:rPr>
          <w:rFonts w:hint="default" w:ascii="Times New Roman" w:hAnsi="Times New Roman" w:cs="Times New Roman"/>
          <w:szCs w:val="24"/>
        </w:rPr>
        <w:t xml:space="preserve">1.4. </w:t>
      </w:r>
      <w:r>
        <w:rPr>
          <w:rFonts w:hint="default" w:ascii="Times New Roman" w:hAnsi="Times New Roman" w:cs="Times New Roman"/>
          <w:highlight w:val="none"/>
          <w:lang w:eastAsia="zh-CN"/>
        </w:rPr>
        <w:t>调查依据</w:t>
      </w:r>
      <w:r>
        <w:tab/>
      </w:r>
      <w:r>
        <w:fldChar w:fldCharType="begin"/>
      </w:r>
      <w:r>
        <w:instrText xml:space="preserve"> PAGEREF _Toc14019 </w:instrText>
      </w:r>
      <w:r>
        <w:fldChar w:fldCharType="separate"/>
      </w:r>
      <w:r>
        <w:t>- 2 -</w:t>
      </w:r>
      <w:r>
        <w:fldChar w:fldCharType="end"/>
      </w:r>
      <w:r>
        <w:rPr>
          <w:rFonts w:hint="default" w:ascii="Times New Roman" w:hAnsi="Times New Roman" w:cs="Times New Roman"/>
          <w:color w:val="auto"/>
          <w:szCs w:val="24"/>
          <w:highlight w:val="none"/>
        </w:rPr>
        <w:fldChar w:fldCharType="end"/>
      </w:r>
    </w:p>
    <w:p>
      <w:pPr>
        <w:pStyle w:val="18"/>
        <w:tabs>
          <w:tab w:val="right" w:leader="dot" w:pos="9638"/>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_Toc26649 </w:instrText>
      </w:r>
      <w:r>
        <w:rPr>
          <w:rFonts w:hint="default" w:ascii="Times New Roman" w:hAnsi="Times New Roman" w:cs="Times New Roman"/>
          <w:szCs w:val="24"/>
          <w:highlight w:val="none"/>
        </w:rPr>
        <w:fldChar w:fldCharType="separate"/>
      </w:r>
      <w:r>
        <w:rPr>
          <w:rFonts w:hint="default" w:ascii="Times New Roman" w:hAnsi="Times New Roman" w:cs="Times New Roman"/>
          <w:szCs w:val="24"/>
        </w:rPr>
        <w:t xml:space="preserve">1.5. </w:t>
      </w:r>
      <w:r>
        <w:rPr>
          <w:rFonts w:hint="default" w:ascii="Times New Roman" w:hAnsi="Times New Roman" w:cs="Times New Roman"/>
          <w:highlight w:val="none"/>
          <w:lang w:eastAsia="zh-CN"/>
        </w:rPr>
        <w:t>调查方法</w:t>
      </w:r>
      <w:r>
        <w:tab/>
      </w:r>
      <w:r>
        <w:fldChar w:fldCharType="begin"/>
      </w:r>
      <w:r>
        <w:instrText xml:space="preserve"> PAGEREF _Toc26649 </w:instrText>
      </w:r>
      <w:r>
        <w:fldChar w:fldCharType="separate"/>
      </w:r>
      <w:r>
        <w:t>- 4 -</w:t>
      </w:r>
      <w:r>
        <w:fldChar w:fldCharType="end"/>
      </w:r>
      <w:r>
        <w:rPr>
          <w:rFonts w:hint="default" w:ascii="Times New Roman" w:hAnsi="Times New Roman" w:cs="Times New Roman"/>
          <w:color w:val="auto"/>
          <w:szCs w:val="24"/>
          <w:highlight w:val="none"/>
        </w:rPr>
        <w:fldChar w:fldCharType="end"/>
      </w:r>
    </w:p>
    <w:p>
      <w:pPr>
        <w:pStyle w:val="16"/>
        <w:tabs>
          <w:tab w:val="right" w:leader="dot" w:pos="9638"/>
        </w:tabs>
        <w:rPr>
          <w:b/>
          <w:bCs/>
        </w:rPr>
      </w:pPr>
      <w:r>
        <w:rPr>
          <w:rFonts w:hint="default" w:ascii="Times New Roman" w:hAnsi="Times New Roman" w:cs="Times New Roman"/>
          <w:b/>
          <w:bCs/>
          <w:color w:val="auto"/>
          <w:szCs w:val="24"/>
          <w:highlight w:val="none"/>
        </w:rPr>
        <w:fldChar w:fldCharType="begin"/>
      </w:r>
      <w:r>
        <w:rPr>
          <w:rFonts w:hint="default" w:ascii="Times New Roman" w:hAnsi="Times New Roman" w:cs="Times New Roman"/>
          <w:b/>
          <w:bCs/>
          <w:szCs w:val="24"/>
          <w:highlight w:val="none"/>
        </w:rPr>
        <w:instrText xml:space="preserve"> HYPERLINK \l _Toc31460 </w:instrText>
      </w:r>
      <w:r>
        <w:rPr>
          <w:rFonts w:hint="default" w:ascii="Times New Roman" w:hAnsi="Times New Roman" w:cs="Times New Roman"/>
          <w:b/>
          <w:bCs/>
          <w:szCs w:val="24"/>
          <w:highlight w:val="none"/>
        </w:rPr>
        <w:fldChar w:fldCharType="separate"/>
      </w:r>
      <w:r>
        <w:rPr>
          <w:rFonts w:hint="default" w:ascii="Times New Roman" w:hAnsi="Times New Roman" w:cs="Times New Roman"/>
          <w:b/>
          <w:bCs/>
        </w:rPr>
        <w:t xml:space="preserve">2. </w:t>
      </w:r>
      <w:r>
        <w:rPr>
          <w:rFonts w:hint="default" w:ascii="Times New Roman" w:hAnsi="Times New Roman" w:cs="Times New Roman"/>
          <w:b/>
          <w:bCs/>
          <w:highlight w:val="none"/>
          <w:lang w:eastAsia="zh-CN"/>
        </w:rPr>
        <w:t>调查区域概况</w:t>
      </w:r>
      <w:r>
        <w:rPr>
          <w:b/>
          <w:bCs/>
        </w:rPr>
        <w:tab/>
      </w:r>
      <w:r>
        <w:rPr>
          <w:b/>
          <w:bCs/>
        </w:rPr>
        <w:fldChar w:fldCharType="begin"/>
      </w:r>
      <w:r>
        <w:rPr>
          <w:b/>
          <w:bCs/>
        </w:rPr>
        <w:instrText xml:space="preserve"> PAGEREF _Toc31460 </w:instrText>
      </w:r>
      <w:r>
        <w:rPr>
          <w:b/>
          <w:bCs/>
        </w:rPr>
        <w:fldChar w:fldCharType="separate"/>
      </w:r>
      <w:r>
        <w:rPr>
          <w:b/>
          <w:bCs/>
        </w:rPr>
        <w:t>- 6 -</w:t>
      </w:r>
      <w:r>
        <w:rPr>
          <w:b/>
          <w:bCs/>
        </w:rPr>
        <w:fldChar w:fldCharType="end"/>
      </w:r>
      <w:r>
        <w:rPr>
          <w:rFonts w:hint="default" w:ascii="Times New Roman" w:hAnsi="Times New Roman" w:cs="Times New Roman"/>
          <w:b/>
          <w:bCs/>
          <w:color w:val="auto"/>
          <w:szCs w:val="24"/>
          <w:highlight w:val="none"/>
        </w:rPr>
        <w:fldChar w:fldCharType="end"/>
      </w:r>
    </w:p>
    <w:p>
      <w:pPr>
        <w:pStyle w:val="18"/>
        <w:tabs>
          <w:tab w:val="right" w:leader="dot" w:pos="9638"/>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_Toc4878 </w:instrText>
      </w:r>
      <w:r>
        <w:rPr>
          <w:rFonts w:hint="default" w:ascii="Times New Roman" w:hAnsi="Times New Roman" w:cs="Times New Roman"/>
          <w:szCs w:val="24"/>
          <w:highlight w:val="none"/>
        </w:rPr>
        <w:fldChar w:fldCharType="separate"/>
      </w:r>
      <w:r>
        <w:rPr>
          <w:rFonts w:hint="default" w:ascii="Times New Roman" w:hAnsi="Times New Roman" w:cs="Times New Roman"/>
          <w:szCs w:val="24"/>
        </w:rPr>
        <w:t xml:space="preserve">2.1. </w:t>
      </w:r>
      <w:r>
        <w:rPr>
          <w:rFonts w:hint="default" w:ascii="Times New Roman" w:hAnsi="Times New Roman" w:cs="Times New Roman"/>
          <w:highlight w:val="none"/>
          <w:lang w:eastAsia="zh-CN"/>
        </w:rPr>
        <w:t>区域环境概况</w:t>
      </w:r>
      <w:r>
        <w:tab/>
      </w:r>
      <w:r>
        <w:fldChar w:fldCharType="begin"/>
      </w:r>
      <w:r>
        <w:instrText xml:space="preserve"> PAGEREF _Toc4878 </w:instrText>
      </w:r>
      <w:r>
        <w:fldChar w:fldCharType="separate"/>
      </w:r>
      <w:r>
        <w:t>- 6 -</w:t>
      </w:r>
      <w:r>
        <w:fldChar w:fldCharType="end"/>
      </w:r>
      <w:r>
        <w:rPr>
          <w:rFonts w:hint="default" w:ascii="Times New Roman" w:hAnsi="Times New Roman" w:cs="Times New Roman"/>
          <w:color w:val="auto"/>
          <w:szCs w:val="24"/>
          <w:highlight w:val="none"/>
        </w:rPr>
        <w:fldChar w:fldCharType="end"/>
      </w:r>
    </w:p>
    <w:p>
      <w:pPr>
        <w:pStyle w:val="18"/>
        <w:tabs>
          <w:tab w:val="right" w:leader="dot" w:pos="9638"/>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_Toc18975 </w:instrText>
      </w:r>
      <w:r>
        <w:rPr>
          <w:rFonts w:hint="default" w:ascii="Times New Roman" w:hAnsi="Times New Roman" w:cs="Times New Roman"/>
          <w:szCs w:val="24"/>
          <w:highlight w:val="none"/>
        </w:rPr>
        <w:fldChar w:fldCharType="separate"/>
      </w:r>
      <w:r>
        <w:rPr>
          <w:rFonts w:hint="default" w:ascii="Times New Roman" w:hAnsi="Times New Roman" w:cs="Times New Roman"/>
          <w:szCs w:val="24"/>
        </w:rPr>
        <w:t xml:space="preserve">2.2. </w:t>
      </w:r>
      <w:r>
        <w:rPr>
          <w:rFonts w:hint="default" w:ascii="Times New Roman" w:hAnsi="Times New Roman" w:cs="Times New Roman"/>
          <w:highlight w:val="none"/>
          <w:lang w:eastAsia="zh-CN"/>
        </w:rPr>
        <w:t>园区概况</w:t>
      </w:r>
      <w:r>
        <w:tab/>
      </w:r>
      <w:r>
        <w:fldChar w:fldCharType="begin"/>
      </w:r>
      <w:r>
        <w:instrText xml:space="preserve"> PAGEREF _Toc18975 </w:instrText>
      </w:r>
      <w:r>
        <w:fldChar w:fldCharType="separate"/>
      </w:r>
      <w:r>
        <w:t>- 8 -</w:t>
      </w:r>
      <w:r>
        <w:fldChar w:fldCharType="end"/>
      </w:r>
      <w:r>
        <w:rPr>
          <w:rFonts w:hint="default" w:ascii="Times New Roman" w:hAnsi="Times New Roman" w:cs="Times New Roman"/>
          <w:color w:val="auto"/>
          <w:szCs w:val="24"/>
          <w:highlight w:val="none"/>
        </w:rPr>
        <w:fldChar w:fldCharType="end"/>
      </w:r>
    </w:p>
    <w:p>
      <w:pPr>
        <w:pStyle w:val="18"/>
        <w:tabs>
          <w:tab w:val="right" w:leader="dot" w:pos="9638"/>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_Toc4780 </w:instrText>
      </w:r>
      <w:r>
        <w:rPr>
          <w:rFonts w:hint="default" w:ascii="Times New Roman" w:hAnsi="Times New Roman" w:cs="Times New Roman"/>
          <w:szCs w:val="24"/>
          <w:highlight w:val="none"/>
        </w:rPr>
        <w:fldChar w:fldCharType="separate"/>
      </w:r>
      <w:r>
        <w:rPr>
          <w:rFonts w:hint="default" w:ascii="Times New Roman" w:hAnsi="Times New Roman" w:cs="Times New Roman"/>
          <w:szCs w:val="24"/>
        </w:rPr>
        <w:t xml:space="preserve">2.3. </w:t>
      </w:r>
      <w:r>
        <w:rPr>
          <w:rFonts w:hint="default" w:ascii="Times New Roman" w:hAnsi="Times New Roman" w:cs="Times New Roman"/>
          <w:highlight w:val="none"/>
          <w:lang w:eastAsia="zh-CN"/>
        </w:rPr>
        <w:t>园区</w:t>
      </w:r>
      <w:r>
        <w:rPr>
          <w:rFonts w:hint="default" w:ascii="Times New Roman" w:hAnsi="Times New Roman" w:cs="Times New Roman"/>
          <w:highlight w:val="none"/>
        </w:rPr>
        <w:t>污染源分析</w:t>
      </w:r>
      <w:r>
        <w:tab/>
      </w:r>
      <w:r>
        <w:fldChar w:fldCharType="begin"/>
      </w:r>
      <w:r>
        <w:instrText xml:space="preserve"> PAGEREF _Toc4780 </w:instrText>
      </w:r>
      <w:r>
        <w:fldChar w:fldCharType="separate"/>
      </w:r>
      <w:r>
        <w:t>- 14 -</w:t>
      </w:r>
      <w:r>
        <w:fldChar w:fldCharType="end"/>
      </w:r>
      <w:r>
        <w:rPr>
          <w:rFonts w:hint="default" w:ascii="Times New Roman" w:hAnsi="Times New Roman" w:cs="Times New Roman"/>
          <w:color w:val="auto"/>
          <w:szCs w:val="24"/>
          <w:highlight w:val="none"/>
        </w:rPr>
        <w:fldChar w:fldCharType="end"/>
      </w:r>
    </w:p>
    <w:p>
      <w:pPr>
        <w:pStyle w:val="16"/>
        <w:tabs>
          <w:tab w:val="right" w:leader="dot" w:pos="9638"/>
        </w:tabs>
        <w:rPr>
          <w:b/>
          <w:bCs/>
        </w:rPr>
      </w:pPr>
      <w:r>
        <w:rPr>
          <w:rFonts w:hint="default" w:ascii="Times New Roman" w:hAnsi="Times New Roman" w:cs="Times New Roman"/>
          <w:b/>
          <w:bCs/>
          <w:color w:val="auto"/>
          <w:szCs w:val="24"/>
          <w:highlight w:val="none"/>
        </w:rPr>
        <w:fldChar w:fldCharType="begin"/>
      </w:r>
      <w:r>
        <w:rPr>
          <w:rFonts w:hint="default" w:ascii="Times New Roman" w:hAnsi="Times New Roman" w:cs="Times New Roman"/>
          <w:b/>
          <w:bCs/>
          <w:szCs w:val="24"/>
          <w:highlight w:val="none"/>
        </w:rPr>
        <w:instrText xml:space="preserve"> HYPERLINK \l _Toc27256 </w:instrText>
      </w:r>
      <w:r>
        <w:rPr>
          <w:rFonts w:hint="default" w:ascii="Times New Roman" w:hAnsi="Times New Roman" w:cs="Times New Roman"/>
          <w:b/>
          <w:bCs/>
          <w:szCs w:val="24"/>
          <w:highlight w:val="none"/>
        </w:rPr>
        <w:fldChar w:fldCharType="separate"/>
      </w:r>
      <w:r>
        <w:rPr>
          <w:rFonts w:hint="default" w:ascii="Times New Roman" w:hAnsi="Times New Roman" w:cs="Times New Roman"/>
          <w:b/>
          <w:bCs/>
        </w:rPr>
        <w:t xml:space="preserve">3. </w:t>
      </w:r>
      <w:r>
        <w:rPr>
          <w:rFonts w:hint="default" w:ascii="Times New Roman" w:hAnsi="Times New Roman" w:cs="Times New Roman"/>
          <w:b/>
          <w:bCs/>
          <w:highlight w:val="none"/>
          <w:lang w:eastAsia="zh-CN"/>
        </w:rPr>
        <w:t>调查工作方案</w:t>
      </w:r>
      <w:r>
        <w:rPr>
          <w:b/>
          <w:bCs/>
        </w:rPr>
        <w:tab/>
      </w:r>
      <w:r>
        <w:rPr>
          <w:b/>
          <w:bCs/>
        </w:rPr>
        <w:fldChar w:fldCharType="begin"/>
      </w:r>
      <w:r>
        <w:rPr>
          <w:b/>
          <w:bCs/>
        </w:rPr>
        <w:instrText xml:space="preserve"> PAGEREF _Toc27256 </w:instrText>
      </w:r>
      <w:r>
        <w:rPr>
          <w:b/>
          <w:bCs/>
        </w:rPr>
        <w:fldChar w:fldCharType="separate"/>
      </w:r>
      <w:r>
        <w:rPr>
          <w:b/>
          <w:bCs/>
        </w:rPr>
        <w:t>- 16 -</w:t>
      </w:r>
      <w:r>
        <w:rPr>
          <w:b/>
          <w:bCs/>
        </w:rPr>
        <w:fldChar w:fldCharType="end"/>
      </w:r>
      <w:r>
        <w:rPr>
          <w:rFonts w:hint="default" w:ascii="Times New Roman" w:hAnsi="Times New Roman" w:cs="Times New Roman"/>
          <w:b/>
          <w:bCs/>
          <w:color w:val="auto"/>
          <w:szCs w:val="24"/>
          <w:highlight w:val="none"/>
        </w:rPr>
        <w:fldChar w:fldCharType="end"/>
      </w:r>
    </w:p>
    <w:p>
      <w:pPr>
        <w:pStyle w:val="18"/>
        <w:tabs>
          <w:tab w:val="right" w:leader="dot" w:pos="9638"/>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_Toc7849 </w:instrText>
      </w:r>
      <w:r>
        <w:rPr>
          <w:rFonts w:hint="default" w:ascii="Times New Roman" w:hAnsi="Times New Roman" w:cs="Times New Roman"/>
          <w:szCs w:val="24"/>
          <w:highlight w:val="none"/>
        </w:rPr>
        <w:fldChar w:fldCharType="separate"/>
      </w:r>
      <w:r>
        <w:rPr>
          <w:rFonts w:hint="default" w:ascii="Times New Roman" w:hAnsi="Times New Roman" w:cs="Times New Roman"/>
          <w:szCs w:val="24"/>
        </w:rPr>
        <w:t xml:space="preserve">3.1. </w:t>
      </w:r>
      <w:r>
        <w:rPr>
          <w:rFonts w:hint="default" w:ascii="Times New Roman" w:hAnsi="Times New Roman" w:cs="Times New Roman"/>
          <w:highlight w:val="none"/>
          <w:lang w:eastAsia="zh-CN"/>
        </w:rPr>
        <w:t>土壤</w:t>
      </w:r>
      <w:r>
        <w:rPr>
          <w:rFonts w:hint="default" w:ascii="Times New Roman" w:hAnsi="Times New Roman" w:cs="Times New Roman"/>
          <w:highlight w:val="none"/>
        </w:rPr>
        <w:t>布点方案</w:t>
      </w:r>
      <w:r>
        <w:tab/>
      </w:r>
      <w:r>
        <w:fldChar w:fldCharType="begin"/>
      </w:r>
      <w:r>
        <w:instrText xml:space="preserve"> PAGEREF _Toc7849 </w:instrText>
      </w:r>
      <w:r>
        <w:fldChar w:fldCharType="separate"/>
      </w:r>
      <w:r>
        <w:t>- 16 -</w:t>
      </w:r>
      <w:r>
        <w:fldChar w:fldCharType="end"/>
      </w:r>
      <w:r>
        <w:rPr>
          <w:rFonts w:hint="default" w:ascii="Times New Roman" w:hAnsi="Times New Roman" w:cs="Times New Roman"/>
          <w:color w:val="auto"/>
          <w:szCs w:val="24"/>
          <w:highlight w:val="none"/>
        </w:rPr>
        <w:fldChar w:fldCharType="end"/>
      </w:r>
    </w:p>
    <w:p>
      <w:pPr>
        <w:pStyle w:val="18"/>
        <w:tabs>
          <w:tab w:val="right" w:leader="dot" w:pos="9638"/>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_Toc8068 </w:instrText>
      </w:r>
      <w:r>
        <w:rPr>
          <w:rFonts w:hint="default" w:ascii="Times New Roman" w:hAnsi="Times New Roman" w:cs="Times New Roman"/>
          <w:szCs w:val="24"/>
          <w:highlight w:val="none"/>
        </w:rPr>
        <w:fldChar w:fldCharType="separate"/>
      </w:r>
      <w:r>
        <w:rPr>
          <w:rFonts w:hint="default" w:ascii="Times New Roman" w:hAnsi="Times New Roman" w:cs="Times New Roman"/>
          <w:szCs w:val="24"/>
        </w:rPr>
        <w:t xml:space="preserve">3.2. </w:t>
      </w:r>
      <w:r>
        <w:rPr>
          <w:rFonts w:hint="default" w:ascii="Times New Roman" w:hAnsi="Times New Roman" w:cs="Times New Roman"/>
          <w:highlight w:val="none"/>
          <w:lang w:eastAsia="zh-CN"/>
        </w:rPr>
        <w:t>地下水布点方案</w:t>
      </w:r>
      <w:r>
        <w:tab/>
      </w:r>
      <w:r>
        <w:fldChar w:fldCharType="begin"/>
      </w:r>
      <w:r>
        <w:instrText xml:space="preserve"> PAGEREF _Toc8068 </w:instrText>
      </w:r>
      <w:r>
        <w:fldChar w:fldCharType="separate"/>
      </w:r>
      <w:r>
        <w:t>- 19 -</w:t>
      </w:r>
      <w:r>
        <w:fldChar w:fldCharType="end"/>
      </w:r>
      <w:r>
        <w:rPr>
          <w:rFonts w:hint="default" w:ascii="Times New Roman" w:hAnsi="Times New Roman" w:cs="Times New Roman"/>
          <w:color w:val="auto"/>
          <w:szCs w:val="24"/>
          <w:highlight w:val="none"/>
        </w:rPr>
        <w:fldChar w:fldCharType="end"/>
      </w:r>
    </w:p>
    <w:p>
      <w:pPr>
        <w:pStyle w:val="18"/>
        <w:tabs>
          <w:tab w:val="right" w:leader="dot" w:pos="9638"/>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_Toc5149 </w:instrText>
      </w:r>
      <w:r>
        <w:rPr>
          <w:rFonts w:hint="default" w:ascii="Times New Roman" w:hAnsi="Times New Roman" w:cs="Times New Roman"/>
          <w:szCs w:val="24"/>
          <w:highlight w:val="none"/>
        </w:rPr>
        <w:fldChar w:fldCharType="separate"/>
      </w:r>
      <w:r>
        <w:rPr>
          <w:rFonts w:hint="default" w:ascii="Times New Roman" w:hAnsi="Times New Roman" w:cs="Times New Roman"/>
          <w:szCs w:val="24"/>
        </w:rPr>
        <w:t xml:space="preserve">3.3. </w:t>
      </w:r>
      <w:r>
        <w:rPr>
          <w:rFonts w:hint="default" w:ascii="Times New Roman" w:hAnsi="Times New Roman" w:cs="Times New Roman"/>
          <w:highlight w:val="none"/>
          <w:lang w:eastAsia="zh-CN"/>
        </w:rPr>
        <w:t>采样方案</w:t>
      </w:r>
      <w:r>
        <w:tab/>
      </w:r>
      <w:r>
        <w:fldChar w:fldCharType="begin"/>
      </w:r>
      <w:r>
        <w:instrText xml:space="preserve"> PAGEREF _Toc5149 </w:instrText>
      </w:r>
      <w:r>
        <w:fldChar w:fldCharType="separate"/>
      </w:r>
      <w:r>
        <w:t>- 19 -</w:t>
      </w:r>
      <w:r>
        <w:fldChar w:fldCharType="end"/>
      </w:r>
      <w:r>
        <w:rPr>
          <w:rFonts w:hint="default" w:ascii="Times New Roman" w:hAnsi="Times New Roman" w:cs="Times New Roman"/>
          <w:color w:val="auto"/>
          <w:szCs w:val="24"/>
          <w:highlight w:val="none"/>
        </w:rPr>
        <w:fldChar w:fldCharType="end"/>
      </w:r>
    </w:p>
    <w:p>
      <w:pPr>
        <w:pStyle w:val="18"/>
        <w:tabs>
          <w:tab w:val="right" w:leader="dot" w:pos="9638"/>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_Toc8839 </w:instrText>
      </w:r>
      <w:r>
        <w:rPr>
          <w:rFonts w:hint="default" w:ascii="Times New Roman" w:hAnsi="Times New Roman" w:cs="Times New Roman"/>
          <w:szCs w:val="24"/>
          <w:highlight w:val="none"/>
        </w:rPr>
        <w:fldChar w:fldCharType="separate"/>
      </w:r>
      <w:r>
        <w:rPr>
          <w:rFonts w:hint="default" w:ascii="Times New Roman" w:hAnsi="Times New Roman" w:cs="Times New Roman"/>
          <w:szCs w:val="24"/>
        </w:rPr>
        <w:t xml:space="preserve">3.4. </w:t>
      </w:r>
      <w:r>
        <w:rPr>
          <w:rFonts w:hint="default" w:ascii="Times New Roman" w:hAnsi="Times New Roman" w:cs="Times New Roman"/>
          <w:highlight w:val="none"/>
        </w:rPr>
        <w:t>质量保证与质量控制</w:t>
      </w:r>
      <w:r>
        <w:tab/>
      </w:r>
      <w:r>
        <w:fldChar w:fldCharType="begin"/>
      </w:r>
      <w:r>
        <w:instrText xml:space="preserve"> PAGEREF _Toc8839 </w:instrText>
      </w:r>
      <w:r>
        <w:fldChar w:fldCharType="separate"/>
      </w:r>
      <w:r>
        <w:t>- 21 -</w:t>
      </w:r>
      <w:r>
        <w:fldChar w:fldCharType="end"/>
      </w:r>
      <w:r>
        <w:rPr>
          <w:rFonts w:hint="default" w:ascii="Times New Roman" w:hAnsi="Times New Roman" w:cs="Times New Roman"/>
          <w:color w:val="auto"/>
          <w:szCs w:val="24"/>
          <w:highlight w:val="none"/>
        </w:rPr>
        <w:fldChar w:fldCharType="end"/>
      </w:r>
    </w:p>
    <w:p>
      <w:pPr>
        <w:pStyle w:val="16"/>
        <w:tabs>
          <w:tab w:val="right" w:leader="dot" w:pos="9638"/>
        </w:tabs>
      </w:pPr>
      <w:r>
        <w:rPr>
          <w:rFonts w:hint="default" w:ascii="Times New Roman" w:hAnsi="Times New Roman" w:cs="Times New Roman"/>
          <w:b/>
          <w:bCs/>
          <w:color w:val="auto"/>
          <w:szCs w:val="24"/>
          <w:highlight w:val="none"/>
        </w:rPr>
        <w:fldChar w:fldCharType="begin"/>
      </w:r>
      <w:r>
        <w:rPr>
          <w:rFonts w:hint="default" w:ascii="Times New Roman" w:hAnsi="Times New Roman" w:cs="Times New Roman"/>
          <w:b/>
          <w:bCs/>
          <w:szCs w:val="24"/>
          <w:highlight w:val="none"/>
        </w:rPr>
        <w:instrText xml:space="preserve"> HYPERLINK \l _Toc32151 </w:instrText>
      </w:r>
      <w:r>
        <w:rPr>
          <w:rFonts w:hint="default" w:ascii="Times New Roman" w:hAnsi="Times New Roman" w:cs="Times New Roman"/>
          <w:b/>
          <w:bCs/>
          <w:szCs w:val="24"/>
          <w:highlight w:val="none"/>
        </w:rPr>
        <w:fldChar w:fldCharType="separate"/>
      </w:r>
      <w:r>
        <w:rPr>
          <w:rFonts w:hint="default" w:ascii="Times New Roman" w:hAnsi="Times New Roman" w:cs="Times New Roman"/>
          <w:b/>
          <w:bCs/>
          <w:lang w:eastAsia="zh-CN"/>
        </w:rPr>
        <w:t xml:space="preserve">4. </w:t>
      </w:r>
      <w:r>
        <w:rPr>
          <w:rFonts w:hint="default" w:ascii="Times New Roman" w:hAnsi="Times New Roman" w:cs="Times New Roman"/>
          <w:b/>
          <w:bCs/>
          <w:highlight w:val="none"/>
          <w:lang w:eastAsia="zh-CN"/>
        </w:rPr>
        <w:t>现场工作及实验室分析</w:t>
      </w:r>
      <w:r>
        <w:rPr>
          <w:b/>
          <w:bCs/>
        </w:rPr>
        <w:tab/>
      </w:r>
      <w:r>
        <w:rPr>
          <w:b/>
          <w:bCs/>
        </w:rPr>
        <w:fldChar w:fldCharType="begin"/>
      </w:r>
      <w:r>
        <w:rPr>
          <w:b/>
          <w:bCs/>
        </w:rPr>
        <w:instrText xml:space="preserve"> PAGEREF _Toc32151 </w:instrText>
      </w:r>
      <w:r>
        <w:rPr>
          <w:b/>
          <w:bCs/>
        </w:rPr>
        <w:fldChar w:fldCharType="separate"/>
      </w:r>
      <w:r>
        <w:rPr>
          <w:b/>
          <w:bCs/>
        </w:rPr>
        <w:t>- 22 -</w:t>
      </w:r>
      <w:r>
        <w:rPr>
          <w:b/>
          <w:bCs/>
        </w:rPr>
        <w:fldChar w:fldCharType="end"/>
      </w:r>
      <w:r>
        <w:rPr>
          <w:rFonts w:hint="default" w:ascii="Times New Roman" w:hAnsi="Times New Roman" w:cs="Times New Roman"/>
          <w:b/>
          <w:bCs/>
          <w:color w:val="auto"/>
          <w:szCs w:val="24"/>
          <w:highlight w:val="none"/>
        </w:rPr>
        <w:fldChar w:fldCharType="end"/>
      </w:r>
    </w:p>
    <w:p>
      <w:pPr>
        <w:pStyle w:val="18"/>
        <w:tabs>
          <w:tab w:val="right" w:leader="dot" w:pos="9638"/>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_Toc14511 </w:instrText>
      </w:r>
      <w:r>
        <w:rPr>
          <w:rFonts w:hint="default" w:ascii="Times New Roman" w:hAnsi="Times New Roman" w:cs="Times New Roman"/>
          <w:szCs w:val="24"/>
          <w:highlight w:val="none"/>
        </w:rPr>
        <w:fldChar w:fldCharType="separate"/>
      </w:r>
      <w:r>
        <w:rPr>
          <w:rFonts w:hint="default" w:ascii="Times New Roman" w:hAnsi="Times New Roman" w:cs="Times New Roman"/>
          <w:szCs w:val="24"/>
        </w:rPr>
        <w:t xml:space="preserve">4.1. </w:t>
      </w:r>
      <w:r>
        <w:rPr>
          <w:rFonts w:hint="default" w:ascii="Times New Roman" w:hAnsi="Times New Roman" w:cs="Times New Roman"/>
          <w:highlight w:val="none"/>
          <w:lang w:eastAsia="zh-CN"/>
        </w:rPr>
        <w:t>现场定点测绘</w:t>
      </w:r>
      <w:r>
        <w:tab/>
      </w:r>
      <w:r>
        <w:fldChar w:fldCharType="begin"/>
      </w:r>
      <w:r>
        <w:instrText xml:space="preserve"> PAGEREF _Toc14511 </w:instrText>
      </w:r>
      <w:r>
        <w:fldChar w:fldCharType="separate"/>
      </w:r>
      <w:r>
        <w:t>- 22 -</w:t>
      </w:r>
      <w:r>
        <w:fldChar w:fldCharType="end"/>
      </w:r>
      <w:r>
        <w:rPr>
          <w:rFonts w:hint="default" w:ascii="Times New Roman" w:hAnsi="Times New Roman" w:cs="Times New Roman"/>
          <w:color w:val="auto"/>
          <w:szCs w:val="24"/>
          <w:highlight w:val="none"/>
        </w:rPr>
        <w:fldChar w:fldCharType="end"/>
      </w:r>
    </w:p>
    <w:p>
      <w:pPr>
        <w:pStyle w:val="18"/>
        <w:tabs>
          <w:tab w:val="right" w:leader="dot" w:pos="9638"/>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_Toc17669 </w:instrText>
      </w:r>
      <w:r>
        <w:rPr>
          <w:rFonts w:hint="default" w:ascii="Times New Roman" w:hAnsi="Times New Roman" w:cs="Times New Roman"/>
          <w:szCs w:val="24"/>
          <w:highlight w:val="none"/>
        </w:rPr>
        <w:fldChar w:fldCharType="separate"/>
      </w:r>
      <w:r>
        <w:rPr>
          <w:rFonts w:hint="default" w:ascii="Times New Roman" w:hAnsi="Times New Roman" w:cs="Times New Roman"/>
          <w:szCs w:val="24"/>
        </w:rPr>
        <w:t xml:space="preserve">4.2. </w:t>
      </w:r>
      <w:r>
        <w:rPr>
          <w:rFonts w:hint="default" w:ascii="Times New Roman" w:hAnsi="Times New Roman" w:cs="Times New Roman"/>
          <w:highlight w:val="none"/>
          <w:lang w:eastAsia="zh-CN"/>
        </w:rPr>
        <w:t>样品采集</w:t>
      </w:r>
      <w:r>
        <w:tab/>
      </w:r>
      <w:r>
        <w:fldChar w:fldCharType="begin"/>
      </w:r>
      <w:r>
        <w:instrText xml:space="preserve"> PAGEREF _Toc17669 </w:instrText>
      </w:r>
      <w:r>
        <w:fldChar w:fldCharType="separate"/>
      </w:r>
      <w:r>
        <w:t>- 22 -</w:t>
      </w:r>
      <w:r>
        <w:fldChar w:fldCharType="end"/>
      </w:r>
      <w:r>
        <w:rPr>
          <w:rFonts w:hint="default" w:ascii="Times New Roman" w:hAnsi="Times New Roman" w:cs="Times New Roman"/>
          <w:color w:val="auto"/>
          <w:szCs w:val="24"/>
          <w:highlight w:val="none"/>
        </w:rPr>
        <w:fldChar w:fldCharType="end"/>
      </w:r>
    </w:p>
    <w:p>
      <w:pPr>
        <w:pStyle w:val="18"/>
        <w:tabs>
          <w:tab w:val="right" w:leader="dot" w:pos="9638"/>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_Toc16343 </w:instrText>
      </w:r>
      <w:r>
        <w:rPr>
          <w:rFonts w:hint="default" w:ascii="Times New Roman" w:hAnsi="Times New Roman" w:cs="Times New Roman"/>
          <w:szCs w:val="24"/>
          <w:highlight w:val="none"/>
        </w:rPr>
        <w:fldChar w:fldCharType="separate"/>
      </w:r>
      <w:r>
        <w:rPr>
          <w:rFonts w:hint="default" w:ascii="Times New Roman" w:hAnsi="Times New Roman" w:cs="Times New Roman"/>
          <w:szCs w:val="24"/>
        </w:rPr>
        <w:t xml:space="preserve">4.3. </w:t>
      </w:r>
      <w:r>
        <w:rPr>
          <w:rFonts w:hint="default" w:ascii="Times New Roman" w:hAnsi="Times New Roman" w:cs="Times New Roman"/>
          <w:highlight w:val="none"/>
        </w:rPr>
        <w:t>现场记录</w:t>
      </w:r>
      <w:r>
        <w:tab/>
      </w:r>
      <w:r>
        <w:fldChar w:fldCharType="begin"/>
      </w:r>
      <w:r>
        <w:instrText xml:space="preserve"> PAGEREF _Toc16343 </w:instrText>
      </w:r>
      <w:r>
        <w:fldChar w:fldCharType="separate"/>
      </w:r>
      <w:r>
        <w:t>- 25 -</w:t>
      </w:r>
      <w:r>
        <w:fldChar w:fldCharType="end"/>
      </w:r>
      <w:r>
        <w:rPr>
          <w:rFonts w:hint="default" w:ascii="Times New Roman" w:hAnsi="Times New Roman" w:cs="Times New Roman"/>
          <w:color w:val="auto"/>
          <w:szCs w:val="24"/>
          <w:highlight w:val="none"/>
        </w:rPr>
        <w:fldChar w:fldCharType="end"/>
      </w:r>
    </w:p>
    <w:p>
      <w:pPr>
        <w:pStyle w:val="18"/>
        <w:tabs>
          <w:tab w:val="right" w:leader="dot" w:pos="9638"/>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_Toc9682 </w:instrText>
      </w:r>
      <w:r>
        <w:rPr>
          <w:rFonts w:hint="default" w:ascii="Times New Roman" w:hAnsi="Times New Roman" w:cs="Times New Roman"/>
          <w:szCs w:val="24"/>
          <w:highlight w:val="none"/>
        </w:rPr>
        <w:fldChar w:fldCharType="separate"/>
      </w:r>
      <w:r>
        <w:rPr>
          <w:rFonts w:hint="default" w:ascii="Times New Roman" w:hAnsi="Times New Roman" w:cs="Times New Roman"/>
          <w:szCs w:val="24"/>
        </w:rPr>
        <w:t xml:space="preserve">4.4. </w:t>
      </w:r>
      <w:r>
        <w:rPr>
          <w:rFonts w:hint="default" w:ascii="Times New Roman" w:hAnsi="Times New Roman" w:cs="Times New Roman"/>
          <w:highlight w:val="none"/>
        </w:rPr>
        <w:t>实验室分析</w:t>
      </w:r>
      <w:r>
        <w:tab/>
      </w:r>
      <w:r>
        <w:fldChar w:fldCharType="begin"/>
      </w:r>
      <w:r>
        <w:instrText xml:space="preserve"> PAGEREF _Toc9682 </w:instrText>
      </w:r>
      <w:r>
        <w:fldChar w:fldCharType="separate"/>
      </w:r>
      <w:r>
        <w:t>- 28 -</w:t>
      </w:r>
      <w:r>
        <w:fldChar w:fldCharType="end"/>
      </w:r>
      <w:r>
        <w:rPr>
          <w:rFonts w:hint="default" w:ascii="Times New Roman" w:hAnsi="Times New Roman" w:cs="Times New Roman"/>
          <w:color w:val="auto"/>
          <w:szCs w:val="24"/>
          <w:highlight w:val="none"/>
        </w:rPr>
        <w:fldChar w:fldCharType="end"/>
      </w:r>
    </w:p>
    <w:p>
      <w:pPr>
        <w:pStyle w:val="18"/>
        <w:tabs>
          <w:tab w:val="right" w:leader="dot" w:pos="9638"/>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_Toc3773 </w:instrText>
      </w:r>
      <w:r>
        <w:rPr>
          <w:rFonts w:hint="default" w:ascii="Times New Roman" w:hAnsi="Times New Roman" w:cs="Times New Roman"/>
          <w:szCs w:val="24"/>
          <w:highlight w:val="none"/>
        </w:rPr>
        <w:fldChar w:fldCharType="separate"/>
      </w:r>
      <w:r>
        <w:rPr>
          <w:rFonts w:hint="default" w:ascii="Times New Roman" w:hAnsi="Times New Roman" w:cs="Times New Roman"/>
          <w:szCs w:val="24"/>
        </w:rPr>
        <w:t xml:space="preserve">4.5. </w:t>
      </w:r>
      <w:r>
        <w:rPr>
          <w:rFonts w:hint="default" w:ascii="Times New Roman" w:hAnsi="Times New Roman" w:cs="Times New Roman"/>
          <w:highlight w:val="none"/>
          <w:lang w:eastAsia="zh-CN"/>
        </w:rPr>
        <w:t>现场</w:t>
      </w:r>
      <w:r>
        <w:rPr>
          <w:rFonts w:hint="default" w:ascii="Times New Roman" w:hAnsi="Times New Roman" w:cs="Times New Roman"/>
          <w:highlight w:val="none"/>
        </w:rPr>
        <w:t>质量控制</w:t>
      </w:r>
      <w:r>
        <w:tab/>
      </w:r>
      <w:r>
        <w:fldChar w:fldCharType="begin"/>
      </w:r>
      <w:r>
        <w:instrText xml:space="preserve"> PAGEREF _Toc3773 </w:instrText>
      </w:r>
      <w:r>
        <w:fldChar w:fldCharType="separate"/>
      </w:r>
      <w:r>
        <w:t>- 32 -</w:t>
      </w:r>
      <w:r>
        <w:fldChar w:fldCharType="end"/>
      </w:r>
      <w:r>
        <w:rPr>
          <w:rFonts w:hint="default" w:ascii="Times New Roman" w:hAnsi="Times New Roman" w:cs="Times New Roman"/>
          <w:color w:val="auto"/>
          <w:szCs w:val="24"/>
          <w:highlight w:val="none"/>
        </w:rPr>
        <w:fldChar w:fldCharType="end"/>
      </w:r>
    </w:p>
    <w:p>
      <w:pPr>
        <w:pStyle w:val="18"/>
        <w:tabs>
          <w:tab w:val="right" w:leader="dot" w:pos="9638"/>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_Toc26843 </w:instrText>
      </w:r>
      <w:r>
        <w:rPr>
          <w:rFonts w:hint="default" w:ascii="Times New Roman" w:hAnsi="Times New Roman" w:cs="Times New Roman"/>
          <w:szCs w:val="24"/>
          <w:highlight w:val="none"/>
        </w:rPr>
        <w:fldChar w:fldCharType="separate"/>
      </w:r>
      <w:r>
        <w:rPr>
          <w:rFonts w:hint="default" w:ascii="Times New Roman" w:hAnsi="Times New Roman" w:cs="Times New Roman"/>
          <w:szCs w:val="24"/>
        </w:rPr>
        <w:t xml:space="preserve">4.6. </w:t>
      </w:r>
      <w:r>
        <w:rPr>
          <w:rFonts w:hint="default" w:ascii="Times New Roman" w:hAnsi="Times New Roman" w:cs="Times New Roman"/>
          <w:highlight w:val="none"/>
        </w:rPr>
        <w:t>实验室质量控制</w:t>
      </w:r>
      <w:r>
        <w:tab/>
      </w:r>
      <w:r>
        <w:fldChar w:fldCharType="begin"/>
      </w:r>
      <w:r>
        <w:instrText xml:space="preserve"> PAGEREF _Toc26843 </w:instrText>
      </w:r>
      <w:r>
        <w:fldChar w:fldCharType="separate"/>
      </w:r>
      <w:r>
        <w:t>- 34 -</w:t>
      </w:r>
      <w:r>
        <w:fldChar w:fldCharType="end"/>
      </w:r>
      <w:r>
        <w:rPr>
          <w:rFonts w:hint="default" w:ascii="Times New Roman" w:hAnsi="Times New Roman" w:cs="Times New Roman"/>
          <w:color w:val="auto"/>
          <w:szCs w:val="24"/>
          <w:highlight w:val="none"/>
        </w:rPr>
        <w:fldChar w:fldCharType="end"/>
      </w:r>
    </w:p>
    <w:p>
      <w:pPr>
        <w:pStyle w:val="16"/>
        <w:tabs>
          <w:tab w:val="right" w:leader="dot" w:pos="9638"/>
        </w:tabs>
        <w:rPr>
          <w:b/>
          <w:bCs/>
        </w:rPr>
      </w:pPr>
      <w:r>
        <w:rPr>
          <w:rFonts w:hint="default" w:ascii="Times New Roman" w:hAnsi="Times New Roman" w:cs="Times New Roman"/>
          <w:b/>
          <w:bCs/>
          <w:color w:val="auto"/>
          <w:szCs w:val="24"/>
          <w:highlight w:val="none"/>
        </w:rPr>
        <w:fldChar w:fldCharType="begin"/>
      </w:r>
      <w:r>
        <w:rPr>
          <w:rFonts w:hint="default" w:ascii="Times New Roman" w:hAnsi="Times New Roman" w:cs="Times New Roman"/>
          <w:b/>
          <w:bCs/>
          <w:szCs w:val="24"/>
          <w:highlight w:val="none"/>
        </w:rPr>
        <w:instrText xml:space="preserve"> HYPERLINK \l _Toc11153 </w:instrText>
      </w:r>
      <w:r>
        <w:rPr>
          <w:rFonts w:hint="default" w:ascii="Times New Roman" w:hAnsi="Times New Roman" w:cs="Times New Roman"/>
          <w:b/>
          <w:bCs/>
          <w:szCs w:val="24"/>
          <w:highlight w:val="none"/>
        </w:rPr>
        <w:fldChar w:fldCharType="separate"/>
      </w:r>
      <w:r>
        <w:rPr>
          <w:rFonts w:hint="default" w:ascii="Times New Roman" w:hAnsi="Times New Roman" w:cs="Times New Roman"/>
          <w:b/>
          <w:bCs/>
          <w:lang w:eastAsia="zh-CN"/>
        </w:rPr>
        <w:t xml:space="preserve">5. </w:t>
      </w:r>
      <w:r>
        <w:rPr>
          <w:rFonts w:hint="default" w:ascii="Times New Roman" w:hAnsi="Times New Roman" w:cs="Times New Roman"/>
          <w:b/>
          <w:bCs/>
          <w:highlight w:val="none"/>
          <w:lang w:eastAsia="zh-CN"/>
        </w:rPr>
        <w:t>结果与评价</w:t>
      </w:r>
      <w:r>
        <w:rPr>
          <w:b/>
          <w:bCs/>
        </w:rPr>
        <w:tab/>
      </w:r>
      <w:r>
        <w:rPr>
          <w:b/>
          <w:bCs/>
        </w:rPr>
        <w:fldChar w:fldCharType="begin"/>
      </w:r>
      <w:r>
        <w:rPr>
          <w:b/>
          <w:bCs/>
        </w:rPr>
        <w:instrText xml:space="preserve"> PAGEREF _Toc11153 </w:instrText>
      </w:r>
      <w:r>
        <w:rPr>
          <w:b/>
          <w:bCs/>
        </w:rPr>
        <w:fldChar w:fldCharType="separate"/>
      </w:r>
      <w:r>
        <w:rPr>
          <w:b/>
          <w:bCs/>
        </w:rPr>
        <w:t>- 37 -</w:t>
      </w:r>
      <w:r>
        <w:rPr>
          <w:b/>
          <w:bCs/>
        </w:rPr>
        <w:fldChar w:fldCharType="end"/>
      </w:r>
      <w:r>
        <w:rPr>
          <w:rFonts w:hint="default" w:ascii="Times New Roman" w:hAnsi="Times New Roman" w:cs="Times New Roman"/>
          <w:b/>
          <w:bCs/>
          <w:color w:val="auto"/>
          <w:szCs w:val="24"/>
          <w:highlight w:val="none"/>
        </w:rPr>
        <w:fldChar w:fldCharType="end"/>
      </w:r>
    </w:p>
    <w:p>
      <w:pPr>
        <w:pStyle w:val="18"/>
        <w:tabs>
          <w:tab w:val="right" w:leader="dot" w:pos="9638"/>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_Toc303 </w:instrText>
      </w:r>
      <w:r>
        <w:rPr>
          <w:rFonts w:hint="default" w:ascii="Times New Roman" w:hAnsi="Times New Roman" w:cs="Times New Roman"/>
          <w:szCs w:val="24"/>
          <w:highlight w:val="none"/>
        </w:rPr>
        <w:fldChar w:fldCharType="separate"/>
      </w:r>
      <w:r>
        <w:rPr>
          <w:rFonts w:hint="default" w:ascii="Times New Roman" w:hAnsi="Times New Roman" w:cs="Times New Roman"/>
          <w:szCs w:val="24"/>
        </w:rPr>
        <w:t xml:space="preserve">5.1. </w:t>
      </w:r>
      <w:r>
        <w:rPr>
          <w:rFonts w:hint="default" w:ascii="Times New Roman" w:hAnsi="Times New Roman" w:cs="Times New Roman"/>
          <w:highlight w:val="none"/>
          <w:lang w:eastAsia="zh-CN"/>
        </w:rPr>
        <w:t>园区环境质量参考标准</w:t>
      </w:r>
      <w:r>
        <w:tab/>
      </w:r>
      <w:r>
        <w:fldChar w:fldCharType="begin"/>
      </w:r>
      <w:r>
        <w:instrText xml:space="preserve"> PAGEREF _Toc303 </w:instrText>
      </w:r>
      <w:r>
        <w:fldChar w:fldCharType="separate"/>
      </w:r>
      <w:r>
        <w:t>- 37 -</w:t>
      </w:r>
      <w:r>
        <w:fldChar w:fldCharType="end"/>
      </w:r>
      <w:r>
        <w:rPr>
          <w:rFonts w:hint="default" w:ascii="Times New Roman" w:hAnsi="Times New Roman" w:cs="Times New Roman"/>
          <w:color w:val="auto"/>
          <w:szCs w:val="24"/>
          <w:highlight w:val="none"/>
        </w:rPr>
        <w:fldChar w:fldCharType="end"/>
      </w:r>
    </w:p>
    <w:p>
      <w:pPr>
        <w:pStyle w:val="18"/>
        <w:tabs>
          <w:tab w:val="right" w:leader="dot" w:pos="9638"/>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_Toc13377 </w:instrText>
      </w:r>
      <w:r>
        <w:rPr>
          <w:rFonts w:hint="default" w:ascii="Times New Roman" w:hAnsi="Times New Roman" w:cs="Times New Roman"/>
          <w:szCs w:val="24"/>
          <w:highlight w:val="none"/>
        </w:rPr>
        <w:fldChar w:fldCharType="separate"/>
      </w:r>
      <w:r>
        <w:rPr>
          <w:rFonts w:hint="default" w:ascii="Times New Roman" w:hAnsi="Times New Roman" w:cs="Times New Roman"/>
          <w:szCs w:val="24"/>
          <w:lang w:val="en-US" w:eastAsia="zh-CN"/>
        </w:rPr>
        <w:t xml:space="preserve">5.2. </w:t>
      </w:r>
      <w:r>
        <w:rPr>
          <w:rFonts w:hint="default" w:ascii="Times New Roman" w:hAnsi="Times New Roman" w:cs="Times New Roman"/>
          <w:highlight w:val="none"/>
          <w:lang w:val="en-US" w:eastAsia="zh-CN"/>
        </w:rPr>
        <w:t>结果分析方法</w:t>
      </w:r>
      <w:r>
        <w:tab/>
      </w:r>
      <w:r>
        <w:fldChar w:fldCharType="begin"/>
      </w:r>
      <w:r>
        <w:instrText xml:space="preserve"> PAGEREF _Toc13377 </w:instrText>
      </w:r>
      <w:r>
        <w:fldChar w:fldCharType="separate"/>
      </w:r>
      <w:r>
        <w:t>- 42 -</w:t>
      </w:r>
      <w:r>
        <w:fldChar w:fldCharType="end"/>
      </w:r>
      <w:r>
        <w:rPr>
          <w:rFonts w:hint="default" w:ascii="Times New Roman" w:hAnsi="Times New Roman" w:cs="Times New Roman"/>
          <w:color w:val="auto"/>
          <w:szCs w:val="24"/>
          <w:highlight w:val="none"/>
        </w:rPr>
        <w:fldChar w:fldCharType="end"/>
      </w:r>
    </w:p>
    <w:p>
      <w:pPr>
        <w:pStyle w:val="18"/>
        <w:tabs>
          <w:tab w:val="right" w:leader="dot" w:pos="9638"/>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_Toc6074 </w:instrText>
      </w:r>
      <w:r>
        <w:rPr>
          <w:rFonts w:hint="default" w:ascii="Times New Roman" w:hAnsi="Times New Roman" w:cs="Times New Roman"/>
          <w:szCs w:val="24"/>
          <w:highlight w:val="none"/>
        </w:rPr>
        <w:fldChar w:fldCharType="separate"/>
      </w:r>
      <w:r>
        <w:rPr>
          <w:rFonts w:hint="default" w:ascii="Times New Roman" w:hAnsi="Times New Roman" w:cs="Times New Roman"/>
          <w:szCs w:val="24"/>
        </w:rPr>
        <w:t xml:space="preserve">5.3. </w:t>
      </w:r>
      <w:r>
        <w:rPr>
          <w:rFonts w:hint="default" w:ascii="Times New Roman" w:hAnsi="Times New Roman" w:cs="Times New Roman"/>
          <w:highlight w:val="none"/>
          <w:lang w:eastAsia="zh-CN"/>
        </w:rPr>
        <w:t>监测结果对标分析</w:t>
      </w:r>
      <w:r>
        <w:tab/>
      </w:r>
      <w:r>
        <w:fldChar w:fldCharType="begin"/>
      </w:r>
      <w:r>
        <w:instrText xml:space="preserve"> PAGEREF _Toc6074 </w:instrText>
      </w:r>
      <w:r>
        <w:fldChar w:fldCharType="separate"/>
      </w:r>
      <w:r>
        <w:t>- 43 -</w:t>
      </w:r>
      <w:r>
        <w:fldChar w:fldCharType="end"/>
      </w:r>
      <w:r>
        <w:rPr>
          <w:rFonts w:hint="default" w:ascii="Times New Roman" w:hAnsi="Times New Roman" w:cs="Times New Roman"/>
          <w:color w:val="auto"/>
          <w:szCs w:val="24"/>
          <w:highlight w:val="none"/>
        </w:rPr>
        <w:fldChar w:fldCharType="end"/>
      </w:r>
    </w:p>
    <w:p>
      <w:pPr>
        <w:pStyle w:val="18"/>
        <w:tabs>
          <w:tab w:val="right" w:leader="dot" w:pos="9638"/>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_Toc28149 </w:instrText>
      </w:r>
      <w:r>
        <w:rPr>
          <w:rFonts w:hint="default" w:ascii="Times New Roman" w:hAnsi="Times New Roman" w:cs="Times New Roman"/>
          <w:szCs w:val="24"/>
          <w:highlight w:val="none"/>
        </w:rPr>
        <w:fldChar w:fldCharType="separate"/>
      </w:r>
      <w:r>
        <w:rPr>
          <w:rFonts w:hint="default" w:ascii="Times New Roman" w:hAnsi="Times New Roman" w:cs="Times New Roman"/>
          <w:szCs w:val="24"/>
          <w:lang w:val="en-US" w:eastAsia="zh-CN"/>
        </w:rPr>
        <w:t xml:space="preserve">5.4. </w:t>
      </w:r>
      <w:r>
        <w:rPr>
          <w:rFonts w:hint="default" w:ascii="Times New Roman" w:hAnsi="Times New Roman" w:cs="Times New Roman"/>
          <w:highlight w:val="none"/>
          <w:lang w:val="en-US" w:eastAsia="zh-CN"/>
        </w:rPr>
        <w:t>土壤环境质量评价</w:t>
      </w:r>
      <w:r>
        <w:tab/>
      </w:r>
      <w:r>
        <w:fldChar w:fldCharType="begin"/>
      </w:r>
      <w:r>
        <w:instrText xml:space="preserve"> PAGEREF _Toc28149 </w:instrText>
      </w:r>
      <w:r>
        <w:fldChar w:fldCharType="separate"/>
      </w:r>
      <w:r>
        <w:t>- 57 -</w:t>
      </w:r>
      <w:r>
        <w:fldChar w:fldCharType="end"/>
      </w:r>
      <w:r>
        <w:rPr>
          <w:rFonts w:hint="default" w:ascii="Times New Roman" w:hAnsi="Times New Roman" w:cs="Times New Roman"/>
          <w:color w:val="auto"/>
          <w:szCs w:val="24"/>
          <w:highlight w:val="none"/>
        </w:rPr>
        <w:fldChar w:fldCharType="end"/>
      </w:r>
    </w:p>
    <w:p>
      <w:pPr>
        <w:pStyle w:val="18"/>
        <w:tabs>
          <w:tab w:val="right" w:leader="dot" w:pos="9638"/>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_Toc17729 </w:instrText>
      </w:r>
      <w:r>
        <w:rPr>
          <w:rFonts w:hint="default" w:ascii="Times New Roman" w:hAnsi="Times New Roman" w:cs="Times New Roman"/>
          <w:szCs w:val="24"/>
          <w:highlight w:val="none"/>
        </w:rPr>
        <w:fldChar w:fldCharType="separate"/>
      </w:r>
      <w:r>
        <w:rPr>
          <w:rFonts w:hint="default" w:ascii="Times New Roman" w:hAnsi="Times New Roman" w:cs="Times New Roman"/>
          <w:szCs w:val="24"/>
        </w:rPr>
        <w:t xml:space="preserve">5.5. </w:t>
      </w:r>
      <w:r>
        <w:rPr>
          <w:rFonts w:hint="default" w:ascii="Times New Roman" w:hAnsi="Times New Roman" w:cs="Times New Roman"/>
          <w:highlight w:val="none"/>
        </w:rPr>
        <w:t>检测结果小结</w:t>
      </w:r>
      <w:r>
        <w:tab/>
      </w:r>
      <w:r>
        <w:fldChar w:fldCharType="begin"/>
      </w:r>
      <w:r>
        <w:instrText xml:space="preserve"> PAGEREF _Toc17729 </w:instrText>
      </w:r>
      <w:r>
        <w:fldChar w:fldCharType="separate"/>
      </w:r>
      <w:r>
        <w:t>- 60 -</w:t>
      </w:r>
      <w:r>
        <w:fldChar w:fldCharType="end"/>
      </w:r>
      <w:r>
        <w:rPr>
          <w:rFonts w:hint="default" w:ascii="Times New Roman" w:hAnsi="Times New Roman" w:cs="Times New Roman"/>
          <w:color w:val="auto"/>
          <w:szCs w:val="24"/>
          <w:highlight w:val="none"/>
        </w:rPr>
        <w:fldChar w:fldCharType="end"/>
      </w:r>
    </w:p>
    <w:p>
      <w:pPr>
        <w:pStyle w:val="16"/>
        <w:tabs>
          <w:tab w:val="right" w:leader="dot" w:pos="9638"/>
        </w:tabs>
        <w:rPr>
          <w:b/>
          <w:bCs/>
        </w:rPr>
      </w:pPr>
      <w:r>
        <w:rPr>
          <w:rFonts w:hint="default" w:ascii="Times New Roman" w:hAnsi="Times New Roman" w:cs="Times New Roman"/>
          <w:b/>
          <w:bCs/>
          <w:color w:val="auto"/>
          <w:szCs w:val="24"/>
          <w:highlight w:val="none"/>
        </w:rPr>
        <w:fldChar w:fldCharType="begin"/>
      </w:r>
      <w:r>
        <w:rPr>
          <w:rFonts w:hint="default" w:ascii="Times New Roman" w:hAnsi="Times New Roman" w:cs="Times New Roman"/>
          <w:b/>
          <w:bCs/>
          <w:szCs w:val="24"/>
          <w:highlight w:val="none"/>
        </w:rPr>
        <w:instrText xml:space="preserve"> HYPERLINK \l _Toc23956 </w:instrText>
      </w:r>
      <w:r>
        <w:rPr>
          <w:rFonts w:hint="default" w:ascii="Times New Roman" w:hAnsi="Times New Roman" w:cs="Times New Roman"/>
          <w:b/>
          <w:bCs/>
          <w:szCs w:val="24"/>
          <w:highlight w:val="none"/>
        </w:rPr>
        <w:fldChar w:fldCharType="separate"/>
      </w:r>
      <w:r>
        <w:rPr>
          <w:rFonts w:hint="default" w:ascii="Times New Roman" w:hAnsi="Times New Roman" w:cs="Times New Roman"/>
          <w:b/>
          <w:bCs/>
        </w:rPr>
        <w:t xml:space="preserve">6. </w:t>
      </w:r>
      <w:r>
        <w:rPr>
          <w:rFonts w:hint="default" w:ascii="Times New Roman" w:hAnsi="Times New Roman" w:cs="Times New Roman"/>
          <w:b/>
          <w:bCs/>
          <w:highlight w:val="none"/>
        </w:rPr>
        <w:t>结论与建议</w:t>
      </w:r>
      <w:r>
        <w:rPr>
          <w:b/>
          <w:bCs/>
        </w:rPr>
        <w:tab/>
      </w:r>
      <w:r>
        <w:rPr>
          <w:b/>
          <w:bCs/>
        </w:rPr>
        <w:fldChar w:fldCharType="begin"/>
      </w:r>
      <w:r>
        <w:rPr>
          <w:b/>
          <w:bCs/>
        </w:rPr>
        <w:instrText xml:space="preserve"> PAGEREF _Toc23956 </w:instrText>
      </w:r>
      <w:r>
        <w:rPr>
          <w:b/>
          <w:bCs/>
        </w:rPr>
        <w:fldChar w:fldCharType="separate"/>
      </w:r>
      <w:r>
        <w:rPr>
          <w:b/>
          <w:bCs/>
        </w:rPr>
        <w:t>- 62 -</w:t>
      </w:r>
      <w:r>
        <w:rPr>
          <w:b/>
          <w:bCs/>
        </w:rPr>
        <w:fldChar w:fldCharType="end"/>
      </w:r>
      <w:r>
        <w:rPr>
          <w:rFonts w:hint="default" w:ascii="Times New Roman" w:hAnsi="Times New Roman" w:cs="Times New Roman"/>
          <w:b/>
          <w:bCs/>
          <w:color w:val="auto"/>
          <w:szCs w:val="24"/>
          <w:highlight w:val="none"/>
        </w:rPr>
        <w:fldChar w:fldCharType="end"/>
      </w:r>
    </w:p>
    <w:p>
      <w:pPr>
        <w:pStyle w:val="18"/>
        <w:tabs>
          <w:tab w:val="right" w:leader="dot" w:pos="9638"/>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_Toc30052 </w:instrText>
      </w:r>
      <w:r>
        <w:rPr>
          <w:rFonts w:hint="default" w:ascii="Times New Roman" w:hAnsi="Times New Roman" w:cs="Times New Roman"/>
          <w:szCs w:val="24"/>
          <w:highlight w:val="none"/>
        </w:rPr>
        <w:fldChar w:fldCharType="separate"/>
      </w:r>
      <w:r>
        <w:rPr>
          <w:rFonts w:hint="default" w:ascii="Times New Roman" w:hAnsi="Times New Roman" w:cs="Times New Roman"/>
          <w:szCs w:val="24"/>
        </w:rPr>
        <w:t xml:space="preserve">6.1. </w:t>
      </w:r>
      <w:r>
        <w:rPr>
          <w:rFonts w:hint="default" w:ascii="Times New Roman" w:hAnsi="Times New Roman" w:cs="Times New Roman"/>
          <w:highlight w:val="none"/>
        </w:rPr>
        <w:t>调查结论</w:t>
      </w:r>
      <w:r>
        <w:tab/>
      </w:r>
      <w:r>
        <w:fldChar w:fldCharType="begin"/>
      </w:r>
      <w:r>
        <w:instrText xml:space="preserve"> PAGEREF _Toc30052 </w:instrText>
      </w:r>
      <w:r>
        <w:fldChar w:fldCharType="separate"/>
      </w:r>
      <w:r>
        <w:t>- 62 -</w:t>
      </w:r>
      <w:r>
        <w:fldChar w:fldCharType="end"/>
      </w:r>
      <w:r>
        <w:rPr>
          <w:rFonts w:hint="default" w:ascii="Times New Roman" w:hAnsi="Times New Roman" w:cs="Times New Roman"/>
          <w:color w:val="auto"/>
          <w:szCs w:val="24"/>
          <w:highlight w:val="none"/>
        </w:rPr>
        <w:fldChar w:fldCharType="end"/>
      </w:r>
    </w:p>
    <w:p>
      <w:pPr>
        <w:pStyle w:val="18"/>
        <w:tabs>
          <w:tab w:val="right" w:leader="dot" w:pos="9638"/>
        </w:tabs>
      </w:pPr>
      <w:r>
        <w:rPr>
          <w:rFonts w:hint="default" w:ascii="Times New Roman" w:hAnsi="Times New Roman" w:cs="Times New Roman"/>
          <w:color w:val="auto"/>
          <w:szCs w:val="24"/>
          <w:highlight w:val="none"/>
        </w:rPr>
        <w:fldChar w:fldCharType="begin"/>
      </w:r>
      <w:r>
        <w:rPr>
          <w:rFonts w:hint="default" w:ascii="Times New Roman" w:hAnsi="Times New Roman" w:cs="Times New Roman"/>
          <w:szCs w:val="24"/>
          <w:highlight w:val="none"/>
        </w:rPr>
        <w:instrText xml:space="preserve"> HYPERLINK \l _Toc6475 </w:instrText>
      </w:r>
      <w:r>
        <w:rPr>
          <w:rFonts w:hint="default" w:ascii="Times New Roman" w:hAnsi="Times New Roman" w:cs="Times New Roman"/>
          <w:szCs w:val="24"/>
          <w:highlight w:val="none"/>
        </w:rPr>
        <w:fldChar w:fldCharType="separate"/>
      </w:r>
      <w:r>
        <w:rPr>
          <w:rFonts w:hint="default" w:ascii="Times New Roman" w:hAnsi="Times New Roman" w:cs="Times New Roman"/>
          <w:szCs w:val="24"/>
        </w:rPr>
        <w:t xml:space="preserve">6.2. </w:t>
      </w:r>
      <w:r>
        <w:rPr>
          <w:rFonts w:hint="default" w:ascii="Times New Roman" w:hAnsi="Times New Roman" w:cs="Times New Roman"/>
          <w:highlight w:val="none"/>
        </w:rPr>
        <w:t>建议</w:t>
      </w:r>
      <w:r>
        <w:tab/>
      </w:r>
      <w:r>
        <w:fldChar w:fldCharType="begin"/>
      </w:r>
      <w:r>
        <w:instrText xml:space="preserve"> PAGEREF _Toc6475 </w:instrText>
      </w:r>
      <w:r>
        <w:fldChar w:fldCharType="separate"/>
      </w:r>
      <w:r>
        <w:t>- 63 -</w:t>
      </w:r>
      <w:r>
        <w:fldChar w:fldCharType="end"/>
      </w:r>
      <w:r>
        <w:rPr>
          <w:rFonts w:hint="default" w:ascii="Times New Roman" w:hAnsi="Times New Roman" w:cs="Times New Roman"/>
          <w:color w:val="auto"/>
          <w:szCs w:val="24"/>
          <w:highlight w:val="none"/>
        </w:rPr>
        <w:fldChar w:fldCharType="end"/>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b/>
          <w:color w:val="auto"/>
          <w:sz w:val="24"/>
          <w:szCs w:val="24"/>
          <w:highlight w:val="none"/>
        </w:rPr>
        <w:sectPr>
          <w:headerReference r:id="rId3" w:type="default"/>
          <w:pgSz w:w="11906" w:h="16838"/>
          <w:pgMar w:top="1134" w:right="1134" w:bottom="1134" w:left="1134"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pPr>
      <w:r>
        <w:rPr>
          <w:rFonts w:hint="default" w:ascii="Times New Roman" w:hAnsi="Times New Roman" w:cs="Times New Roman"/>
          <w:color w:val="auto"/>
          <w:szCs w:val="24"/>
          <w:highlight w:val="none"/>
        </w:rPr>
        <w:fldChar w:fldCharType="end"/>
      </w:r>
    </w:p>
    <w:p>
      <w:pPr>
        <w:pStyle w:val="31"/>
        <w:adjustRightInd w:val="0"/>
        <w:snapToGrid w:val="0"/>
        <w:spacing w:after="0"/>
        <w:ind w:left="0" w:leftChars="0" w:firstLine="0" w:firstLineChars="0"/>
        <w:rPr>
          <w:rFonts w:hint="default" w:ascii="Times New Roman" w:hAnsi="Times New Roman" w:cs="Times New Roman"/>
          <w:b/>
          <w:bCs/>
          <w:caps/>
          <w:color w:val="auto"/>
          <w:szCs w:val="24"/>
          <w:highlight w:val="none"/>
        </w:rPr>
      </w:pPr>
    </w:p>
    <w:p>
      <w:pPr>
        <w:pStyle w:val="31"/>
        <w:adjustRightInd w:val="0"/>
        <w:snapToGrid w:val="0"/>
        <w:spacing w:after="0"/>
        <w:ind w:left="0" w:leftChars="0" w:firstLine="0" w:firstLineChars="0"/>
        <w:rPr>
          <w:rFonts w:hint="default" w:ascii="Times New Roman" w:hAnsi="Times New Roman" w:cs="Times New Roman"/>
          <w:b/>
          <w:bCs/>
          <w:caps/>
          <w:color w:val="auto"/>
          <w:szCs w:val="24"/>
          <w:highlight w:val="none"/>
        </w:rPr>
      </w:pPr>
    </w:p>
    <w:p>
      <w:pPr>
        <w:pStyle w:val="31"/>
        <w:adjustRightInd w:val="0"/>
        <w:snapToGrid w:val="0"/>
        <w:spacing w:after="0"/>
        <w:ind w:left="0" w:leftChars="0" w:firstLine="0" w:firstLineChars="0"/>
        <w:rPr>
          <w:rFonts w:hint="default" w:ascii="Times New Roman" w:hAnsi="Times New Roman" w:cs="Times New Roman"/>
          <w:b/>
          <w:bCs/>
          <w:caps/>
          <w:color w:val="auto"/>
          <w:szCs w:val="24"/>
          <w:highlight w:val="none"/>
        </w:rPr>
      </w:pPr>
    </w:p>
    <w:p>
      <w:pPr>
        <w:pStyle w:val="31"/>
        <w:adjustRightInd w:val="0"/>
        <w:snapToGrid w:val="0"/>
        <w:spacing w:after="0"/>
        <w:ind w:left="0" w:leftChars="0" w:firstLine="0" w:firstLineChars="0"/>
        <w:rPr>
          <w:rFonts w:hint="default" w:ascii="Times New Roman" w:hAnsi="Times New Roman" w:cs="Times New Roman"/>
          <w:b/>
          <w:bCs/>
          <w:caps/>
          <w:color w:val="auto"/>
          <w:szCs w:val="24"/>
          <w:highlight w:val="none"/>
        </w:rPr>
      </w:pPr>
      <w:r>
        <w:rPr>
          <w:rFonts w:hint="default" w:ascii="Times New Roman" w:hAnsi="Times New Roman" w:cs="Times New Roman"/>
          <w:b/>
          <w:bCs/>
          <w:caps/>
          <w:color w:val="auto"/>
          <w:szCs w:val="24"/>
          <w:highlight w:val="none"/>
        </w:rPr>
        <w:t>附件：</w:t>
      </w:r>
    </w:p>
    <w:p>
      <w:pPr>
        <w:pStyle w:val="31"/>
        <w:adjustRightInd w:val="0"/>
        <w:snapToGrid w:val="0"/>
        <w:spacing w:after="0"/>
        <w:ind w:firstLine="480"/>
        <w:rPr>
          <w:rFonts w:hint="default" w:ascii="Times New Roman" w:hAnsi="Times New Roman" w:cs="Times New Roman"/>
          <w:bCs/>
          <w:caps/>
          <w:color w:val="auto"/>
          <w:szCs w:val="24"/>
          <w:highlight w:val="none"/>
        </w:rPr>
      </w:pPr>
      <w:r>
        <w:rPr>
          <w:rFonts w:hint="default" w:ascii="Times New Roman" w:hAnsi="Times New Roman" w:cs="Times New Roman"/>
          <w:bCs/>
          <w:caps/>
          <w:color w:val="auto"/>
          <w:szCs w:val="24"/>
          <w:highlight w:val="none"/>
        </w:rPr>
        <w:t>附件1 现场记录</w:t>
      </w:r>
    </w:p>
    <w:p>
      <w:pPr>
        <w:pStyle w:val="31"/>
        <w:adjustRightInd w:val="0"/>
        <w:snapToGrid w:val="0"/>
        <w:spacing w:after="0"/>
        <w:ind w:firstLine="480"/>
        <w:rPr>
          <w:rFonts w:hint="default" w:ascii="Times New Roman" w:hAnsi="Times New Roman" w:eastAsia="宋体" w:cs="Times New Roman"/>
          <w:bCs/>
          <w:caps/>
          <w:color w:val="auto"/>
          <w:szCs w:val="24"/>
          <w:highlight w:val="none"/>
          <w:lang w:val="en-US" w:eastAsia="zh-CN"/>
        </w:rPr>
      </w:pPr>
      <w:r>
        <w:rPr>
          <w:rFonts w:hint="default" w:ascii="Times New Roman" w:hAnsi="Times New Roman" w:cs="Times New Roman"/>
          <w:bCs/>
          <w:caps/>
          <w:color w:val="auto"/>
          <w:szCs w:val="24"/>
          <w:highlight w:val="none"/>
          <w:lang w:eastAsia="zh-CN"/>
        </w:rPr>
        <w:t>附件</w:t>
      </w:r>
      <w:r>
        <w:rPr>
          <w:rFonts w:hint="default" w:ascii="Times New Roman" w:hAnsi="Times New Roman" w:cs="Times New Roman"/>
          <w:bCs/>
          <w:caps/>
          <w:color w:val="auto"/>
          <w:szCs w:val="24"/>
          <w:highlight w:val="none"/>
          <w:lang w:val="en-US" w:eastAsia="zh-CN"/>
        </w:rPr>
        <w:t>2 检测单位资质证书</w:t>
      </w:r>
    </w:p>
    <w:p>
      <w:pPr>
        <w:pStyle w:val="31"/>
        <w:adjustRightInd w:val="0"/>
        <w:snapToGrid w:val="0"/>
        <w:spacing w:after="0"/>
        <w:ind w:firstLine="480"/>
        <w:rPr>
          <w:rFonts w:hint="default" w:ascii="Times New Roman" w:hAnsi="Times New Roman" w:cs="Times New Roman"/>
          <w:bCs/>
          <w:caps/>
          <w:color w:val="auto"/>
          <w:szCs w:val="24"/>
          <w:highlight w:val="none"/>
          <w:lang w:eastAsia="zh-CN"/>
        </w:rPr>
      </w:pPr>
      <w:r>
        <w:rPr>
          <w:rFonts w:hint="default" w:ascii="Times New Roman" w:hAnsi="Times New Roman" w:cs="Times New Roman"/>
          <w:bCs/>
          <w:caps/>
          <w:color w:val="auto"/>
          <w:szCs w:val="24"/>
          <w:highlight w:val="none"/>
        </w:rPr>
        <w:t>附件</w:t>
      </w:r>
      <w:r>
        <w:rPr>
          <w:rFonts w:hint="default" w:ascii="Times New Roman" w:hAnsi="Times New Roman" w:cs="Times New Roman"/>
          <w:bCs/>
          <w:caps/>
          <w:color w:val="auto"/>
          <w:szCs w:val="24"/>
          <w:highlight w:val="none"/>
          <w:lang w:val="en-US" w:eastAsia="zh-CN"/>
        </w:rPr>
        <w:t>3</w:t>
      </w:r>
      <w:r>
        <w:rPr>
          <w:rFonts w:hint="default" w:ascii="Times New Roman" w:hAnsi="Times New Roman" w:cs="Times New Roman"/>
          <w:bCs/>
          <w:caps/>
          <w:color w:val="auto"/>
          <w:szCs w:val="24"/>
          <w:highlight w:val="none"/>
        </w:rPr>
        <w:t xml:space="preserve"> </w:t>
      </w:r>
      <w:r>
        <w:rPr>
          <w:rFonts w:hint="default" w:ascii="Times New Roman" w:hAnsi="Times New Roman" w:cs="Times New Roman"/>
          <w:bCs/>
          <w:caps/>
          <w:color w:val="auto"/>
          <w:szCs w:val="24"/>
          <w:highlight w:val="none"/>
          <w:lang w:eastAsia="zh-CN"/>
        </w:rPr>
        <w:t>监测报告</w:t>
      </w:r>
    </w:p>
    <w:p>
      <w:pPr>
        <w:pStyle w:val="31"/>
        <w:adjustRightInd w:val="0"/>
        <w:snapToGrid w:val="0"/>
        <w:spacing w:after="0"/>
        <w:ind w:firstLine="480"/>
        <w:rPr>
          <w:rFonts w:hint="default" w:ascii="Times New Roman" w:hAnsi="Times New Roman" w:cs="Times New Roman"/>
          <w:bCs/>
          <w:caps/>
          <w:color w:val="auto"/>
          <w:szCs w:val="24"/>
          <w:highlight w:val="none"/>
          <w:lang w:val="en-US" w:eastAsia="zh-CN"/>
        </w:rPr>
      </w:pPr>
      <w:r>
        <w:rPr>
          <w:rFonts w:hint="default" w:ascii="Times New Roman" w:hAnsi="Times New Roman" w:cs="Times New Roman"/>
          <w:bCs/>
          <w:caps/>
          <w:color w:val="auto"/>
          <w:szCs w:val="24"/>
          <w:highlight w:val="none"/>
          <w:lang w:eastAsia="zh-CN"/>
        </w:rPr>
        <w:t>附件</w:t>
      </w:r>
      <w:r>
        <w:rPr>
          <w:rFonts w:hint="default" w:ascii="Times New Roman" w:hAnsi="Times New Roman" w:cs="Times New Roman"/>
          <w:bCs/>
          <w:caps/>
          <w:color w:val="auto"/>
          <w:szCs w:val="24"/>
          <w:highlight w:val="none"/>
          <w:lang w:val="en-US" w:eastAsia="zh-CN"/>
        </w:rPr>
        <w:t>4 质控报告</w:t>
      </w:r>
    </w:p>
    <w:p>
      <w:pPr>
        <w:pStyle w:val="31"/>
        <w:adjustRightInd w:val="0"/>
        <w:snapToGrid w:val="0"/>
        <w:spacing w:after="0"/>
        <w:ind w:firstLine="480"/>
        <w:rPr>
          <w:rFonts w:hint="default" w:ascii="Times New Roman" w:hAnsi="Times New Roman" w:cs="Times New Roman"/>
          <w:bCs/>
          <w:caps/>
          <w:color w:val="auto"/>
          <w:szCs w:val="24"/>
          <w:highlight w:val="none"/>
          <w:lang w:val="en-US" w:eastAsia="zh-CN"/>
        </w:rPr>
      </w:pPr>
      <w:r>
        <w:rPr>
          <w:rFonts w:hint="default" w:ascii="Times New Roman" w:hAnsi="Times New Roman" w:cs="Times New Roman"/>
          <w:bCs/>
          <w:caps/>
          <w:color w:val="auto"/>
          <w:szCs w:val="24"/>
          <w:highlight w:val="none"/>
          <w:lang w:val="en-US" w:eastAsia="zh-CN"/>
        </w:rPr>
        <w:t>附件5 现场采样情况说明</w:t>
      </w:r>
    </w:p>
    <w:p>
      <w:pPr>
        <w:pStyle w:val="31"/>
        <w:adjustRightInd w:val="0"/>
        <w:snapToGrid w:val="0"/>
        <w:spacing w:after="0"/>
        <w:ind w:firstLine="480"/>
      </w:pPr>
      <w:r>
        <w:rPr>
          <w:rFonts w:hint="eastAsia" w:cs="Times New Roman"/>
          <w:bCs/>
          <w:caps/>
          <w:color w:val="auto"/>
          <w:szCs w:val="24"/>
          <w:highlight w:val="none"/>
          <w:lang w:val="en-US" w:eastAsia="zh-CN"/>
        </w:rPr>
        <w:t>附件6 地下水监测井洗井记录单</w:t>
      </w:r>
    </w:p>
    <w:p>
      <w:pPr>
        <w:pStyle w:val="31"/>
        <w:adjustRightInd w:val="0"/>
        <w:snapToGrid w:val="0"/>
        <w:spacing w:after="0"/>
        <w:ind w:firstLine="480"/>
        <w:rPr>
          <w:rFonts w:hint="eastAsia"/>
          <w:lang w:val="en-US" w:eastAsia="zh-CN"/>
        </w:rPr>
      </w:pPr>
      <w:r>
        <w:rPr>
          <w:rFonts w:hint="default"/>
        </w:rPr>
        <w:t>附件7</w:t>
      </w:r>
      <w:r>
        <w:rPr>
          <w:rFonts w:hint="eastAsia"/>
          <w:lang w:val="en-US" w:eastAsia="zh-CN"/>
        </w:rPr>
        <w:t xml:space="preserve"> 专家意见及签到表</w:t>
      </w:r>
    </w:p>
    <w:p>
      <w:pPr>
        <w:pStyle w:val="31"/>
        <w:adjustRightInd w:val="0"/>
        <w:snapToGrid w:val="0"/>
        <w:spacing w:after="0"/>
        <w:ind w:left="0" w:leftChars="0" w:firstLine="0" w:firstLineChars="0"/>
        <w:rPr>
          <w:rFonts w:hint="default" w:ascii="Times New Roman" w:hAnsi="Times New Roman" w:cs="Times New Roman"/>
          <w:b/>
          <w:bCs/>
          <w:caps/>
          <w:color w:val="auto"/>
          <w:szCs w:val="24"/>
          <w:highlight w:val="none"/>
        </w:rPr>
      </w:pPr>
    </w:p>
    <w:p>
      <w:pPr>
        <w:pStyle w:val="31"/>
        <w:adjustRightInd w:val="0"/>
        <w:snapToGrid w:val="0"/>
        <w:spacing w:after="0"/>
        <w:ind w:left="0" w:leftChars="0" w:firstLine="0" w:firstLineChars="0"/>
        <w:rPr>
          <w:rFonts w:hint="default" w:ascii="Times New Roman" w:hAnsi="Times New Roman" w:cs="Times New Roman"/>
          <w:b/>
          <w:bCs/>
          <w:caps/>
          <w:color w:val="auto"/>
          <w:szCs w:val="24"/>
          <w:highlight w:val="none"/>
        </w:rPr>
      </w:pPr>
    </w:p>
    <w:p>
      <w:pPr>
        <w:pStyle w:val="31"/>
        <w:adjustRightInd w:val="0"/>
        <w:snapToGrid w:val="0"/>
        <w:spacing w:after="0"/>
        <w:ind w:left="0" w:leftChars="0" w:firstLine="0" w:firstLineChars="0"/>
        <w:rPr>
          <w:rFonts w:hint="default" w:ascii="Times New Roman" w:hAnsi="Times New Roman" w:cs="Times New Roman"/>
          <w:b/>
          <w:bCs/>
          <w:caps/>
          <w:color w:val="auto"/>
          <w:szCs w:val="24"/>
          <w:highlight w:val="none"/>
        </w:rPr>
      </w:pPr>
    </w:p>
    <w:p>
      <w:pPr>
        <w:pStyle w:val="31"/>
        <w:adjustRightInd w:val="0"/>
        <w:snapToGrid w:val="0"/>
        <w:spacing w:after="0"/>
        <w:ind w:left="0" w:leftChars="0" w:firstLine="0" w:firstLineChars="0"/>
        <w:rPr>
          <w:rFonts w:hint="default" w:ascii="Times New Roman" w:hAnsi="Times New Roman" w:cs="Times New Roman"/>
          <w:b/>
          <w:bCs/>
          <w:caps/>
          <w:color w:val="auto"/>
          <w:szCs w:val="24"/>
          <w:highlight w:val="none"/>
        </w:rPr>
      </w:pPr>
    </w:p>
    <w:p>
      <w:pPr>
        <w:pStyle w:val="31"/>
        <w:adjustRightInd w:val="0"/>
        <w:snapToGrid w:val="0"/>
        <w:spacing w:after="0"/>
        <w:ind w:left="0" w:leftChars="0" w:firstLine="0" w:firstLineChars="0"/>
        <w:rPr>
          <w:rFonts w:hint="default" w:ascii="Times New Roman" w:hAnsi="Times New Roman" w:cs="Times New Roman"/>
          <w:b/>
          <w:bCs/>
          <w:caps/>
          <w:color w:val="auto"/>
          <w:szCs w:val="24"/>
          <w:highlight w:val="none"/>
        </w:rPr>
      </w:pPr>
      <w:r>
        <w:rPr>
          <w:rFonts w:hint="default" w:ascii="Times New Roman" w:hAnsi="Times New Roman" w:cs="Times New Roman"/>
          <w:b/>
          <w:bCs/>
          <w:caps/>
          <w:color w:val="auto"/>
          <w:szCs w:val="24"/>
          <w:highlight w:val="none"/>
        </w:rPr>
        <w:t>附</w:t>
      </w:r>
      <w:r>
        <w:rPr>
          <w:rFonts w:hint="default" w:ascii="Times New Roman" w:hAnsi="Times New Roman" w:cs="Times New Roman"/>
          <w:b/>
          <w:bCs/>
          <w:caps/>
          <w:color w:val="auto"/>
          <w:szCs w:val="24"/>
          <w:highlight w:val="none"/>
          <w:lang w:eastAsia="zh-CN"/>
        </w:rPr>
        <w:t>图</w:t>
      </w:r>
      <w:r>
        <w:rPr>
          <w:rFonts w:hint="default" w:ascii="Times New Roman" w:hAnsi="Times New Roman" w:cs="Times New Roman"/>
          <w:b/>
          <w:bCs/>
          <w:caps/>
          <w:color w:val="auto"/>
          <w:szCs w:val="24"/>
          <w:highlight w:val="none"/>
        </w:rPr>
        <w:t>：</w:t>
      </w:r>
    </w:p>
    <w:p>
      <w:pPr>
        <w:pStyle w:val="31"/>
        <w:adjustRightInd w:val="0"/>
        <w:snapToGrid w:val="0"/>
        <w:spacing w:after="0"/>
        <w:ind w:firstLine="480"/>
        <w:rPr>
          <w:rFonts w:hint="default" w:ascii="Times New Roman" w:hAnsi="Times New Roman" w:cs="Times New Roman"/>
          <w:bCs/>
          <w:caps/>
          <w:color w:val="auto"/>
          <w:szCs w:val="24"/>
          <w:highlight w:val="none"/>
        </w:rPr>
      </w:pPr>
      <w:r>
        <w:rPr>
          <w:rFonts w:hint="default" w:ascii="Times New Roman" w:hAnsi="Times New Roman" w:cs="Times New Roman"/>
          <w:bCs/>
          <w:caps/>
          <w:color w:val="auto"/>
          <w:szCs w:val="24"/>
          <w:highlight w:val="none"/>
        </w:rPr>
        <w:t>附</w:t>
      </w:r>
      <w:r>
        <w:rPr>
          <w:rFonts w:hint="default" w:ascii="Times New Roman" w:hAnsi="Times New Roman" w:cs="Times New Roman"/>
          <w:bCs/>
          <w:caps/>
          <w:color w:val="auto"/>
          <w:szCs w:val="24"/>
          <w:highlight w:val="none"/>
          <w:lang w:eastAsia="zh-CN"/>
        </w:rPr>
        <w:t>图</w:t>
      </w:r>
      <w:r>
        <w:rPr>
          <w:rFonts w:hint="default" w:ascii="Times New Roman" w:hAnsi="Times New Roman" w:cs="Times New Roman"/>
          <w:bCs/>
          <w:caps/>
          <w:color w:val="auto"/>
          <w:szCs w:val="24"/>
          <w:highlight w:val="none"/>
        </w:rPr>
        <w:t xml:space="preserve">1 </w:t>
      </w:r>
      <w:r>
        <w:rPr>
          <w:rFonts w:hint="default" w:ascii="Times New Roman" w:hAnsi="Times New Roman" w:cs="Times New Roman"/>
          <w:bCs/>
          <w:caps/>
          <w:color w:val="auto"/>
          <w:szCs w:val="24"/>
          <w:highlight w:val="none"/>
          <w:lang w:eastAsia="zh-CN"/>
        </w:rPr>
        <w:t>三江港经济区</w:t>
      </w:r>
      <w:r>
        <w:rPr>
          <w:rFonts w:hint="default" w:ascii="Times New Roman" w:hAnsi="Times New Roman" w:cs="Times New Roman"/>
          <w:bCs/>
          <w:caps/>
          <w:color w:val="auto"/>
          <w:szCs w:val="24"/>
          <w:highlight w:val="none"/>
        </w:rPr>
        <w:t>地理位置图</w:t>
      </w:r>
    </w:p>
    <w:p>
      <w:pPr>
        <w:pStyle w:val="31"/>
        <w:adjustRightInd w:val="0"/>
        <w:snapToGrid w:val="0"/>
        <w:spacing w:after="0"/>
        <w:ind w:firstLine="480"/>
        <w:rPr>
          <w:rFonts w:hint="default" w:ascii="Times New Roman" w:hAnsi="Times New Roman" w:cs="Times New Roman"/>
          <w:bCs/>
          <w:caps/>
          <w:color w:val="auto"/>
          <w:szCs w:val="24"/>
          <w:highlight w:val="none"/>
        </w:rPr>
      </w:pPr>
      <w:r>
        <w:rPr>
          <w:rFonts w:hint="default" w:ascii="Times New Roman" w:hAnsi="Times New Roman" w:cs="Times New Roman"/>
          <w:bCs/>
          <w:caps/>
          <w:color w:val="auto"/>
          <w:szCs w:val="24"/>
          <w:highlight w:val="none"/>
        </w:rPr>
        <w:t>附</w:t>
      </w:r>
      <w:r>
        <w:rPr>
          <w:rFonts w:hint="default" w:ascii="Times New Roman" w:hAnsi="Times New Roman" w:cs="Times New Roman"/>
          <w:bCs/>
          <w:caps/>
          <w:color w:val="auto"/>
          <w:szCs w:val="24"/>
          <w:highlight w:val="none"/>
          <w:lang w:eastAsia="zh-CN"/>
        </w:rPr>
        <w:t>图</w:t>
      </w:r>
      <w:r>
        <w:rPr>
          <w:rFonts w:hint="default" w:ascii="Times New Roman" w:hAnsi="Times New Roman" w:cs="Times New Roman"/>
          <w:bCs/>
          <w:caps/>
          <w:color w:val="auto"/>
          <w:szCs w:val="24"/>
          <w:highlight w:val="none"/>
          <w:lang w:val="en-US" w:eastAsia="zh-CN"/>
        </w:rPr>
        <w:t>2</w:t>
      </w:r>
      <w:r>
        <w:rPr>
          <w:rFonts w:hint="default" w:ascii="Times New Roman" w:hAnsi="Times New Roman" w:cs="Times New Roman"/>
          <w:bCs/>
          <w:caps/>
          <w:color w:val="auto"/>
          <w:szCs w:val="24"/>
          <w:highlight w:val="none"/>
        </w:rPr>
        <w:t xml:space="preserve"> </w:t>
      </w:r>
      <w:r>
        <w:rPr>
          <w:rFonts w:hint="default" w:ascii="Times New Roman" w:hAnsi="Times New Roman" w:cs="Times New Roman"/>
          <w:bCs/>
          <w:caps/>
          <w:color w:val="auto"/>
          <w:szCs w:val="24"/>
          <w:highlight w:val="none"/>
          <w:lang w:eastAsia="zh-CN"/>
        </w:rPr>
        <w:t>三江港经济区调查范围及周边情况情况图</w:t>
      </w:r>
    </w:p>
    <w:p>
      <w:pPr>
        <w:pStyle w:val="31"/>
        <w:adjustRightInd w:val="0"/>
        <w:snapToGrid w:val="0"/>
        <w:spacing w:after="0"/>
        <w:ind w:firstLine="480"/>
        <w:rPr>
          <w:rFonts w:hint="default" w:ascii="Times New Roman" w:hAnsi="Times New Roman" w:cs="Times New Roman"/>
          <w:bCs/>
          <w:caps/>
          <w:color w:val="auto"/>
          <w:szCs w:val="24"/>
          <w:highlight w:val="none"/>
          <w:lang w:val="en-US" w:eastAsia="zh-CN"/>
        </w:rPr>
      </w:pPr>
      <w:r>
        <w:rPr>
          <w:rFonts w:hint="default" w:ascii="Times New Roman" w:hAnsi="Times New Roman" w:cs="Times New Roman"/>
          <w:bCs/>
          <w:caps/>
          <w:color w:val="auto"/>
          <w:szCs w:val="24"/>
          <w:highlight w:val="none"/>
          <w:lang w:eastAsia="zh-CN"/>
        </w:rPr>
        <w:t>附图</w:t>
      </w:r>
      <w:r>
        <w:rPr>
          <w:rFonts w:hint="default" w:ascii="Times New Roman" w:hAnsi="Times New Roman" w:cs="Times New Roman"/>
          <w:bCs/>
          <w:caps/>
          <w:color w:val="auto"/>
          <w:szCs w:val="24"/>
          <w:highlight w:val="none"/>
          <w:lang w:val="en-US" w:eastAsia="zh-CN"/>
        </w:rPr>
        <w:t>3 鄂州市远景城乡产业结构图</w:t>
      </w:r>
    </w:p>
    <w:p>
      <w:pPr>
        <w:pStyle w:val="31"/>
        <w:adjustRightInd w:val="0"/>
        <w:snapToGrid w:val="0"/>
        <w:spacing w:after="0"/>
        <w:ind w:firstLine="480"/>
        <w:rPr>
          <w:rFonts w:hint="default" w:ascii="Times New Roman" w:hAnsi="Times New Roman" w:eastAsia="宋体" w:cs="Times New Roman"/>
          <w:bCs/>
          <w:caps/>
          <w:color w:val="auto"/>
          <w:szCs w:val="24"/>
          <w:highlight w:val="none"/>
          <w:lang w:val="en-US" w:eastAsia="zh-CN"/>
        </w:rPr>
      </w:pPr>
      <w:r>
        <w:rPr>
          <w:rFonts w:hint="default" w:ascii="Times New Roman" w:hAnsi="Times New Roman" w:cs="Times New Roman"/>
          <w:bCs/>
          <w:caps/>
          <w:color w:val="auto"/>
          <w:szCs w:val="24"/>
          <w:highlight w:val="none"/>
          <w:lang w:val="en-US" w:eastAsia="zh-CN"/>
        </w:rPr>
        <w:t>附图4 鄂州市三江港新区总体规划</w:t>
      </w:r>
      <w:r>
        <w:rPr>
          <w:rFonts w:hint="eastAsia"/>
          <w:lang w:eastAsia="zh-CN"/>
        </w:rPr>
        <w:t>（</w:t>
      </w:r>
      <w:r>
        <w:rPr>
          <w:rFonts w:hint="eastAsia"/>
          <w:lang w:val="en-US" w:eastAsia="zh-CN"/>
        </w:rPr>
        <w:t>2013-2030</w:t>
      </w:r>
      <w:r>
        <w:rPr>
          <w:rFonts w:hint="eastAsia"/>
          <w:lang w:eastAsia="zh-CN"/>
        </w:rPr>
        <w:t>）——</w:t>
      </w:r>
      <w:r>
        <w:rPr>
          <w:rFonts w:hint="eastAsia"/>
          <w:lang w:val="en-US" w:eastAsia="zh-CN"/>
        </w:rPr>
        <w:t>土地使用规划图</w:t>
      </w:r>
    </w:p>
    <w:p>
      <w:pPr>
        <w:pStyle w:val="31"/>
        <w:adjustRightInd w:val="0"/>
        <w:snapToGrid w:val="0"/>
        <w:spacing w:after="0"/>
        <w:ind w:firstLine="480"/>
        <w:rPr>
          <w:rFonts w:hint="default" w:ascii="Times New Roman" w:hAnsi="Times New Roman" w:cs="Times New Roman"/>
          <w:bCs/>
          <w:caps/>
          <w:color w:val="auto"/>
          <w:szCs w:val="24"/>
          <w:highlight w:val="none"/>
          <w:lang w:val="en-US" w:eastAsia="zh-CN"/>
        </w:rPr>
      </w:pPr>
      <w:r>
        <w:rPr>
          <w:rFonts w:hint="default" w:ascii="Times New Roman" w:hAnsi="Times New Roman" w:cs="Times New Roman"/>
          <w:bCs/>
          <w:caps/>
          <w:color w:val="auto"/>
          <w:szCs w:val="24"/>
          <w:highlight w:val="none"/>
          <w:lang w:val="en-US" w:eastAsia="zh-CN"/>
        </w:rPr>
        <w:t>附图5 三江港经济区已建成企业</w:t>
      </w:r>
      <w:r>
        <w:rPr>
          <w:rFonts w:hint="eastAsia" w:cs="Times New Roman"/>
          <w:bCs/>
          <w:caps/>
          <w:color w:val="auto"/>
          <w:szCs w:val="24"/>
          <w:highlight w:val="none"/>
          <w:lang w:val="en-US" w:eastAsia="zh-CN"/>
        </w:rPr>
        <w:t>聚集区及典型企业</w:t>
      </w:r>
      <w:r>
        <w:rPr>
          <w:rFonts w:hint="default" w:ascii="Times New Roman" w:hAnsi="Times New Roman" w:cs="Times New Roman"/>
          <w:bCs/>
          <w:caps/>
          <w:color w:val="auto"/>
          <w:szCs w:val="24"/>
          <w:highlight w:val="none"/>
          <w:lang w:val="en-US" w:eastAsia="zh-CN"/>
        </w:rPr>
        <w:t>分布图</w:t>
      </w:r>
    </w:p>
    <w:p>
      <w:pPr>
        <w:pStyle w:val="31"/>
        <w:adjustRightInd w:val="0"/>
        <w:snapToGrid w:val="0"/>
        <w:spacing w:after="0"/>
        <w:ind w:firstLine="480"/>
        <w:rPr>
          <w:rFonts w:hint="default" w:ascii="Times New Roman" w:hAnsi="Times New Roman" w:cs="Times New Roman"/>
          <w:bCs/>
          <w:caps/>
          <w:color w:val="auto"/>
          <w:szCs w:val="24"/>
          <w:highlight w:val="none"/>
          <w:lang w:val="en-US" w:eastAsia="zh-CN"/>
        </w:rPr>
      </w:pPr>
      <w:r>
        <w:rPr>
          <w:rFonts w:hint="default" w:ascii="Times New Roman" w:hAnsi="Times New Roman" w:cs="Times New Roman"/>
          <w:bCs/>
          <w:caps/>
          <w:color w:val="auto"/>
          <w:szCs w:val="24"/>
          <w:highlight w:val="none"/>
          <w:lang w:val="en-US" w:eastAsia="zh-CN"/>
        </w:rPr>
        <w:t>附图6 土壤和地下水实际采样点位分布图</w:t>
      </w:r>
    </w:p>
    <w:p>
      <w:pPr>
        <w:pStyle w:val="31"/>
        <w:adjustRightInd w:val="0"/>
        <w:snapToGrid w:val="0"/>
        <w:spacing w:after="0"/>
        <w:ind w:left="0" w:leftChars="0" w:firstLine="0" w:firstLineChars="0"/>
        <w:rPr>
          <w:rFonts w:hint="default" w:ascii="Times New Roman" w:hAnsi="Times New Roman" w:cs="Times New Roman"/>
          <w:bCs/>
          <w:caps/>
          <w:color w:val="auto"/>
          <w:szCs w:val="24"/>
          <w:highlight w:val="none"/>
          <w:lang w:eastAsia="zh-CN"/>
        </w:rPr>
        <w:sectPr>
          <w:headerReference r:id="rId4" w:type="default"/>
          <w:footerReference r:id="rId5" w:type="default"/>
          <w:pgSz w:w="11906" w:h="16838"/>
          <w:pgMar w:top="1134" w:right="1134" w:bottom="1134" w:left="1134"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pPr>
        <w:pStyle w:val="31"/>
        <w:adjustRightInd w:val="0"/>
        <w:snapToGrid w:val="0"/>
        <w:spacing w:after="0"/>
        <w:ind w:left="0" w:leftChars="0" w:firstLine="0" w:firstLineChars="0"/>
        <w:rPr>
          <w:rFonts w:hint="default" w:ascii="Times New Roman" w:hAnsi="Times New Roman" w:cs="Times New Roman"/>
          <w:bCs/>
          <w:caps/>
          <w:color w:val="auto"/>
          <w:szCs w:val="24"/>
          <w:highlight w:val="none"/>
          <w:lang w:eastAsia="zh-CN"/>
        </w:rPr>
        <w:sectPr>
          <w:headerReference r:id="rId6" w:type="default"/>
          <w:pgSz w:w="11906" w:h="16838"/>
          <w:pgMar w:top="1134" w:right="1134" w:bottom="1134" w:left="1134"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pPr>
        <w:pStyle w:val="31"/>
        <w:adjustRightInd w:val="0"/>
        <w:snapToGrid w:val="0"/>
        <w:spacing w:after="0"/>
        <w:ind w:firstLine="480"/>
        <w:rPr>
          <w:rFonts w:hint="default" w:ascii="Times New Roman" w:hAnsi="Times New Roman" w:cs="Times New Roman"/>
          <w:bCs/>
          <w:caps/>
          <w:color w:val="auto"/>
          <w:szCs w:val="24"/>
          <w:highlight w:val="none"/>
          <w:lang w:eastAsia="zh-CN"/>
        </w:rPr>
      </w:pPr>
    </w:p>
    <w:p>
      <w:pPr>
        <w:pStyle w:val="3"/>
        <w:pageBreakBefore w:val="0"/>
        <w:numPr>
          <w:ilvl w:val="0"/>
          <w:numId w:val="1"/>
        </w:numPr>
        <w:tabs>
          <w:tab w:val="clear" w:pos="425"/>
        </w:tabs>
        <w:rPr>
          <w:rFonts w:hint="default" w:ascii="Times New Roman" w:hAnsi="Times New Roman" w:cs="Times New Roman"/>
          <w:color w:val="auto"/>
          <w:highlight w:val="none"/>
        </w:rPr>
      </w:pPr>
      <w:bookmarkStart w:id="0" w:name="_Toc27455"/>
      <w:bookmarkStart w:id="1" w:name="_Toc28265"/>
      <w:r>
        <w:rPr>
          <w:rFonts w:hint="default" w:ascii="Times New Roman" w:hAnsi="Times New Roman" w:cs="Times New Roman"/>
          <w:color w:val="auto"/>
          <w:highlight w:val="none"/>
          <w:lang w:eastAsia="zh-CN"/>
        </w:rPr>
        <w:t>概述</w:t>
      </w:r>
      <w:bookmarkEnd w:id="0"/>
      <w:bookmarkEnd w:id="1"/>
    </w:p>
    <w:p>
      <w:pPr>
        <w:pStyle w:val="4"/>
        <w:tabs>
          <w:tab w:val="left" w:leader="dot" w:pos="0"/>
          <w:tab w:val="clear" w:pos="567"/>
        </w:tabs>
        <w:rPr>
          <w:rFonts w:hint="default" w:ascii="Times New Roman" w:hAnsi="Times New Roman" w:cs="Times New Roman"/>
          <w:color w:val="auto"/>
          <w:highlight w:val="none"/>
        </w:rPr>
      </w:pPr>
      <w:bookmarkStart w:id="2" w:name="_Toc10642668"/>
      <w:bookmarkStart w:id="3" w:name="_Toc9767"/>
      <w:bookmarkStart w:id="4" w:name="_Toc21653"/>
      <w:r>
        <w:rPr>
          <w:rFonts w:hint="default" w:ascii="Times New Roman" w:hAnsi="Times New Roman" w:cs="Times New Roman"/>
          <w:color w:val="auto"/>
          <w:highlight w:val="none"/>
        </w:rPr>
        <w:t>项目由来</w:t>
      </w:r>
      <w:bookmarkEnd w:id="2"/>
      <w:bookmarkEnd w:id="3"/>
      <w:bookmarkEnd w:id="4"/>
    </w:p>
    <w:p>
      <w:pPr>
        <w:ind w:left="1" w:firstLine="480" w:firstLineChars="200"/>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为贯彻落实《中华人民共和国土壤污染防治法》、《国务院关于印发土壤污染防治行动计划的通知》（国发〔2016〕31号）、《省人民政府关于印发湖北省土壤污染防治行动计划工作方案的通知》（鄂政发〔2016〕85号）、《市人民政府关于印发鄂州市土壤污染防治工作方案的通知</w:t>
      </w:r>
      <w:r>
        <w:rPr>
          <w:rFonts w:hint="default" w:ascii="Times New Roman" w:hAnsi="Times New Roman" w:cs="Times New Roman" w:eastAsiaTheme="minorEastAsia"/>
          <w:highlight w:val="none"/>
          <w:lang w:eastAsia="zh-CN"/>
        </w:rPr>
        <w:t>（</w:t>
      </w:r>
      <w:r>
        <w:rPr>
          <w:rFonts w:hint="default" w:ascii="Times New Roman" w:hAnsi="Times New Roman" w:cs="Times New Roman" w:eastAsiaTheme="minorEastAsia"/>
          <w:highlight w:val="none"/>
          <w:lang w:val="en-US" w:eastAsia="zh-CN"/>
        </w:rPr>
        <w:t>2017年5月</w:t>
      </w:r>
      <w:r>
        <w:rPr>
          <w:rFonts w:hint="default" w:ascii="Times New Roman" w:hAnsi="Times New Roman" w:cs="Times New Roman" w:eastAsiaTheme="minorEastAsia"/>
          <w:highlight w:val="none"/>
          <w:lang w:eastAsia="zh-CN"/>
        </w:rPr>
        <w:t>）</w:t>
      </w:r>
      <w:r>
        <w:rPr>
          <w:rFonts w:hint="default" w:ascii="Times New Roman" w:hAnsi="Times New Roman" w:cs="Times New Roman" w:eastAsiaTheme="minorEastAsia"/>
          <w:highlight w:val="none"/>
        </w:rPr>
        <w:t>》、《鄂州市土壤污染治理与修复规划（2018-2020）》</w:t>
      </w:r>
      <w:r>
        <w:rPr>
          <w:rFonts w:hint="default" w:ascii="Times New Roman" w:hAnsi="Times New Roman" w:cs="Times New Roman" w:eastAsiaTheme="minorEastAsia"/>
          <w:highlight w:val="none"/>
          <w:lang w:eastAsia="zh-CN"/>
        </w:rPr>
        <w:t>中</w:t>
      </w:r>
      <w:r>
        <w:rPr>
          <w:rFonts w:hint="default" w:ascii="Times New Roman" w:hAnsi="Times New Roman" w:cs="Times New Roman" w:eastAsiaTheme="minorEastAsia"/>
          <w:highlight w:val="none"/>
        </w:rPr>
        <w:t>“有关环境保护部门要定期对重点监管企业和工业园区周边开展监测”</w:t>
      </w:r>
      <w:r>
        <w:rPr>
          <w:rFonts w:hint="default" w:ascii="Times New Roman" w:hAnsi="Times New Roman" w:cs="Times New Roman" w:eastAsiaTheme="minorEastAsia"/>
          <w:highlight w:val="none"/>
          <w:lang w:eastAsia="zh-CN"/>
        </w:rPr>
        <w:t>的</w:t>
      </w:r>
      <w:r>
        <w:rPr>
          <w:rFonts w:hint="default" w:ascii="Times New Roman" w:hAnsi="Times New Roman" w:cs="Times New Roman" w:eastAsiaTheme="minorEastAsia"/>
          <w:highlight w:val="none"/>
        </w:rPr>
        <w:t>要求，</w:t>
      </w:r>
      <w:r>
        <w:rPr>
          <w:rFonts w:hint="default" w:ascii="Times New Roman" w:hAnsi="Times New Roman" w:cs="Times New Roman" w:eastAsiaTheme="minorEastAsia"/>
          <w:highlight w:val="none"/>
          <w:lang w:eastAsia="zh-CN"/>
        </w:rPr>
        <w:t>切</w:t>
      </w:r>
      <w:r>
        <w:rPr>
          <w:rFonts w:hint="default" w:ascii="Times New Roman" w:hAnsi="Times New Roman" w:cs="Times New Roman" w:eastAsiaTheme="minorEastAsia"/>
          <w:highlight w:val="none"/>
        </w:rPr>
        <w:t>实推进鄂州市土壤污染防治工作，摸清重点监管单位及工业园区土壤污染状况，将调查结果作为环境执法和风险预警的重要依据</w:t>
      </w:r>
      <w:r>
        <w:rPr>
          <w:rFonts w:hint="default" w:ascii="Times New Roman" w:hAnsi="Times New Roman" w:cs="Times New Roman" w:eastAsiaTheme="minorEastAsia"/>
          <w:highlight w:val="none"/>
          <w:lang w:eastAsia="zh-CN"/>
        </w:rPr>
        <w:t>，</w:t>
      </w:r>
      <w:r>
        <w:rPr>
          <w:rFonts w:hint="default" w:ascii="Times New Roman" w:hAnsi="Times New Roman" w:cs="Times New Roman" w:eastAsiaTheme="minorEastAsia"/>
          <w:highlight w:val="none"/>
        </w:rPr>
        <w:t>2020年9月，鄂州市生态环境局委托湖北君邦环境技术有限责任公司开展鄂州市</w:t>
      </w:r>
      <w:r>
        <w:rPr>
          <w:rFonts w:hint="default" w:ascii="Times New Roman" w:hAnsi="Times New Roman" w:cs="Times New Roman"/>
          <w:snapToGrid w:val="0"/>
          <w:color w:val="000000"/>
          <w:kern w:val="0"/>
          <w:highlight w:val="none"/>
        </w:rPr>
        <w:t>华容创业园、三江港</w:t>
      </w:r>
      <w:r>
        <w:rPr>
          <w:rFonts w:hint="default" w:ascii="Times New Roman" w:hAnsi="Times New Roman" w:cs="Times New Roman"/>
          <w:snapToGrid w:val="0"/>
          <w:color w:val="000000"/>
          <w:kern w:val="0"/>
          <w:highlight w:val="none"/>
          <w:lang w:val="en-US" w:eastAsia="zh-CN"/>
        </w:rPr>
        <w:t>经济</w:t>
      </w:r>
      <w:r>
        <w:rPr>
          <w:rFonts w:hint="default" w:ascii="Times New Roman" w:hAnsi="Times New Roman" w:cs="Times New Roman"/>
          <w:snapToGrid w:val="0"/>
          <w:color w:val="000000"/>
          <w:kern w:val="0"/>
          <w:highlight w:val="none"/>
        </w:rPr>
        <w:t>区、</w:t>
      </w:r>
      <w:r>
        <w:rPr>
          <w:rFonts w:hint="default" w:ascii="Times New Roman" w:hAnsi="Times New Roman" w:cs="Times New Roman"/>
          <w:snapToGrid w:val="0"/>
          <w:color w:val="000000"/>
          <w:kern w:val="0"/>
          <w:highlight w:val="none"/>
          <w:lang w:eastAsia="zh-CN"/>
        </w:rPr>
        <w:t>城东产业园（鄂城新区）</w:t>
      </w:r>
      <w:r>
        <w:rPr>
          <w:rFonts w:hint="default" w:ascii="Times New Roman" w:hAnsi="Times New Roman" w:cs="Times New Roman"/>
          <w:snapToGrid w:val="0"/>
          <w:color w:val="000000"/>
          <w:kern w:val="0"/>
          <w:highlight w:val="none"/>
        </w:rPr>
        <w:t>、鄂州经济开发区、花湖开发区共五个工业园</w:t>
      </w:r>
      <w:r>
        <w:rPr>
          <w:rFonts w:hint="default" w:ascii="Times New Roman" w:hAnsi="Times New Roman" w:cs="Times New Roman" w:eastAsiaTheme="minorEastAsia"/>
          <w:highlight w:val="none"/>
        </w:rPr>
        <w:t>周边土壤环境质量调查工作。接受委托后，湖北君邦环境技术有限责任公司（以下简称“我公司”）于2020年10月至12月开展了现场调查和样品采集工作，结合园区现场情况及前期收集的相关资料，基于现场采集送检样品的检测数据开展数据分析及报告编制工作。</w:t>
      </w:r>
    </w:p>
    <w:p>
      <w:pPr>
        <w:spacing w:line="360" w:lineRule="auto"/>
        <w:ind w:left="1" w:firstLine="480" w:firstLineChars="200"/>
        <w:rPr>
          <w:rFonts w:hint="default" w:ascii="Times New Roman" w:hAnsi="Times New Roman" w:cs="Times New Roman" w:eastAsiaTheme="minorEastAsia"/>
          <w:b/>
          <w:bCs/>
          <w:color w:val="auto"/>
          <w:sz w:val="24"/>
          <w:szCs w:val="24"/>
          <w:highlight w:val="none"/>
          <w:shd w:val="clear" w:color="auto" w:fill="auto"/>
          <w:lang w:val="en-US" w:eastAsia="zh-CN"/>
        </w:rPr>
      </w:pPr>
      <w:r>
        <w:rPr>
          <w:rFonts w:hint="default" w:ascii="Times New Roman" w:hAnsi="Times New Roman" w:cs="Times New Roman" w:eastAsiaTheme="minorEastAsia"/>
          <w:color w:val="auto"/>
          <w:sz w:val="24"/>
          <w:szCs w:val="24"/>
          <w:highlight w:val="none"/>
          <w:shd w:val="clear" w:color="auto" w:fill="auto"/>
          <w:lang w:val="en-US" w:eastAsia="zh-CN"/>
        </w:rPr>
        <w:t>其中，三江港经济区位于鄂州市华容区，与鄂州市华容创业园、鄂州经济开发区毗邻，调查面积为</w:t>
      </w:r>
      <w:r>
        <w:rPr>
          <w:rFonts w:hint="eastAsia" w:cs="Times New Roman" w:eastAsiaTheme="minorEastAsia"/>
          <w:color w:val="auto"/>
          <w:sz w:val="24"/>
          <w:szCs w:val="24"/>
          <w:highlight w:val="none"/>
          <w:shd w:val="clear" w:color="auto" w:fill="auto"/>
          <w:lang w:val="en-US" w:eastAsia="zh-CN"/>
        </w:rPr>
        <w:t>190</w:t>
      </w:r>
      <w:r>
        <w:rPr>
          <w:rFonts w:hint="default" w:ascii="Times New Roman" w:hAnsi="Times New Roman" w:cs="Times New Roman" w:eastAsiaTheme="minorEastAsia"/>
          <w:color w:val="auto"/>
          <w:sz w:val="24"/>
          <w:szCs w:val="24"/>
          <w:highlight w:val="none"/>
          <w:shd w:val="clear" w:color="auto" w:fill="auto"/>
          <w:lang w:val="en-US" w:eastAsia="zh-CN"/>
        </w:rPr>
        <w:t>.32km</w:t>
      </w:r>
      <w:r>
        <w:rPr>
          <w:rFonts w:hint="default" w:ascii="Times New Roman" w:hAnsi="Times New Roman" w:cs="Times New Roman" w:eastAsiaTheme="minorEastAsia"/>
          <w:color w:val="auto"/>
          <w:sz w:val="24"/>
          <w:szCs w:val="24"/>
          <w:highlight w:val="none"/>
          <w:shd w:val="clear" w:color="auto" w:fill="auto"/>
          <w:vertAlign w:val="superscript"/>
          <w:lang w:val="en-US" w:eastAsia="zh-CN"/>
        </w:rPr>
        <w:t>2</w:t>
      </w:r>
      <w:r>
        <w:rPr>
          <w:rFonts w:hint="default" w:ascii="Times New Roman" w:hAnsi="Times New Roman" w:cs="Times New Roman" w:eastAsiaTheme="minorEastAsia"/>
          <w:color w:val="auto"/>
          <w:sz w:val="24"/>
          <w:szCs w:val="24"/>
          <w:highlight w:val="none"/>
          <w:shd w:val="clear" w:color="auto" w:fill="auto"/>
          <w:vertAlign w:val="baseline"/>
          <w:lang w:val="en-US" w:eastAsia="zh-CN"/>
        </w:rPr>
        <w:t>。我公司</w:t>
      </w:r>
      <w:r>
        <w:rPr>
          <w:rFonts w:hint="default" w:ascii="Times New Roman" w:hAnsi="Times New Roman" w:cs="Times New Roman" w:eastAsiaTheme="minorEastAsia"/>
          <w:color w:val="auto"/>
          <w:sz w:val="24"/>
          <w:szCs w:val="24"/>
          <w:highlight w:val="none"/>
          <w:shd w:val="clear" w:color="auto" w:fill="auto"/>
          <w:lang w:val="en-US" w:eastAsia="zh-CN"/>
        </w:rPr>
        <w:t>于2021年</w:t>
      </w:r>
      <w:r>
        <w:rPr>
          <w:rFonts w:hint="eastAsia" w:cs="Times New Roman" w:eastAsiaTheme="minorEastAsia"/>
          <w:color w:val="auto"/>
          <w:sz w:val="24"/>
          <w:szCs w:val="24"/>
          <w:highlight w:val="none"/>
          <w:shd w:val="clear" w:color="auto" w:fill="auto"/>
          <w:lang w:val="en-US" w:eastAsia="zh-CN"/>
        </w:rPr>
        <w:t>2</w:t>
      </w:r>
      <w:r>
        <w:rPr>
          <w:rFonts w:hint="default" w:ascii="Times New Roman" w:hAnsi="Times New Roman" w:cs="Times New Roman" w:eastAsiaTheme="minorEastAsia"/>
          <w:color w:val="auto"/>
          <w:sz w:val="24"/>
          <w:szCs w:val="24"/>
          <w:highlight w:val="none"/>
          <w:shd w:val="clear" w:color="auto" w:fill="auto"/>
          <w:lang w:val="en-US" w:eastAsia="zh-CN"/>
        </w:rPr>
        <w:t>月编制完成了《鄂州市工业园区周边土壤质量调查评估报告（2020年）——三江港经济区（送审稿）》</w:t>
      </w:r>
      <w:r>
        <w:rPr>
          <w:rFonts w:hint="eastAsia" w:cs="Times New Roman" w:eastAsiaTheme="minorEastAsia"/>
          <w:color w:val="auto"/>
          <w:sz w:val="24"/>
          <w:szCs w:val="24"/>
          <w:highlight w:val="none"/>
          <w:shd w:val="clear" w:color="auto" w:fill="auto"/>
          <w:lang w:val="en-US" w:eastAsia="zh-CN"/>
        </w:rPr>
        <w:t>并于2021年2月7日通过了专家评审会（专家意见见附件7）。现将</w:t>
      </w:r>
      <w:r>
        <w:rPr>
          <w:rFonts w:hint="default" w:ascii="Times New Roman" w:hAnsi="Times New Roman" w:cs="Times New Roman" w:eastAsiaTheme="minorEastAsia"/>
          <w:color w:val="auto"/>
          <w:sz w:val="24"/>
          <w:szCs w:val="24"/>
          <w:highlight w:val="none"/>
          <w:shd w:val="clear" w:color="auto" w:fill="auto"/>
          <w:lang w:val="en-US" w:eastAsia="zh-CN"/>
        </w:rPr>
        <w:t>《鄂州市工业园区周边土壤质量调查评估报告（2020年）——三江港经济区（送审稿）》</w:t>
      </w:r>
      <w:r>
        <w:rPr>
          <w:rFonts w:hint="eastAsia" w:cs="Times New Roman" w:eastAsiaTheme="minorEastAsia"/>
          <w:color w:val="auto"/>
          <w:sz w:val="24"/>
          <w:szCs w:val="24"/>
          <w:highlight w:val="none"/>
          <w:shd w:val="clear" w:color="auto" w:fill="auto"/>
          <w:lang w:val="en-US" w:eastAsia="zh-CN"/>
        </w:rPr>
        <w:t>交由鄂州市生态环境局备案</w:t>
      </w:r>
      <w:r>
        <w:rPr>
          <w:rFonts w:hint="default" w:ascii="Times New Roman" w:hAnsi="Times New Roman" w:cs="Times New Roman" w:eastAsiaTheme="minorEastAsia"/>
          <w:color w:val="auto"/>
          <w:sz w:val="24"/>
          <w:szCs w:val="24"/>
          <w:highlight w:val="none"/>
          <w:shd w:val="clear" w:color="auto" w:fill="auto"/>
          <w:lang w:val="en-US" w:eastAsia="zh-CN"/>
        </w:rPr>
        <w:t>。</w:t>
      </w:r>
    </w:p>
    <w:p>
      <w:pPr>
        <w:pStyle w:val="4"/>
        <w:tabs>
          <w:tab w:val="left" w:leader="dot" w:pos="0"/>
          <w:tab w:val="clear" w:pos="567"/>
        </w:tabs>
        <w:rPr>
          <w:rFonts w:hint="default" w:ascii="Times New Roman" w:hAnsi="Times New Roman" w:cs="Times New Roman"/>
          <w:color w:val="auto"/>
          <w:highlight w:val="none"/>
        </w:rPr>
      </w:pPr>
      <w:bookmarkStart w:id="5" w:name="_Toc29937"/>
      <w:bookmarkStart w:id="6" w:name="_Toc20454"/>
      <w:bookmarkStart w:id="7" w:name="_Toc15371849"/>
      <w:r>
        <w:rPr>
          <w:rFonts w:hint="default" w:ascii="Times New Roman" w:hAnsi="Times New Roman" w:cs="Times New Roman"/>
          <w:color w:val="auto"/>
          <w:highlight w:val="none"/>
        </w:rPr>
        <w:t>调查目的和原则</w:t>
      </w:r>
      <w:bookmarkEnd w:id="5"/>
      <w:bookmarkEnd w:id="6"/>
      <w:bookmarkEnd w:id="7"/>
    </w:p>
    <w:p>
      <w:pPr>
        <w:pStyle w:val="5"/>
        <w:tabs>
          <w:tab w:val="clear" w:pos="851"/>
        </w:tabs>
        <w:rPr>
          <w:rFonts w:hint="default" w:ascii="Times New Roman" w:hAnsi="Times New Roman" w:cs="Times New Roman"/>
          <w:color w:val="auto"/>
          <w:highlight w:val="none"/>
        </w:rPr>
      </w:pPr>
      <w:r>
        <w:rPr>
          <w:rFonts w:hint="default" w:ascii="Times New Roman" w:hAnsi="Times New Roman" w:cs="Times New Roman"/>
          <w:color w:val="auto"/>
          <w:highlight w:val="none"/>
        </w:rPr>
        <w:t>调查目的</w:t>
      </w:r>
    </w:p>
    <w:p>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eastAsia="zh-CN"/>
        </w:rPr>
        <w:t>本次调查的</w:t>
      </w:r>
      <w:r>
        <w:rPr>
          <w:rFonts w:hint="default" w:ascii="Times New Roman" w:hAnsi="Times New Roman" w:cs="Times New Roman"/>
          <w:color w:val="auto"/>
          <w:kern w:val="0"/>
          <w:sz w:val="24"/>
          <w:highlight w:val="none"/>
        </w:rPr>
        <w:t>目的为：</w:t>
      </w:r>
    </w:p>
    <w:p>
      <w:pPr>
        <w:numPr>
          <w:ilvl w:val="0"/>
          <w:numId w:val="4"/>
        </w:num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eastAsia="zh-CN"/>
        </w:rPr>
        <w:t>初步了解工业园区周边是否存在</w:t>
      </w:r>
      <w:r>
        <w:rPr>
          <w:rFonts w:hint="default" w:ascii="Times New Roman" w:hAnsi="Times New Roman" w:cs="Times New Roman"/>
          <w:color w:val="auto"/>
          <w:kern w:val="0"/>
          <w:sz w:val="24"/>
          <w:highlight w:val="none"/>
        </w:rPr>
        <w:t>土壤和</w:t>
      </w:r>
      <w:r>
        <w:rPr>
          <w:rFonts w:hint="default" w:ascii="Times New Roman" w:hAnsi="Times New Roman" w:cs="Times New Roman"/>
          <w:color w:val="auto"/>
          <w:kern w:val="0"/>
          <w:sz w:val="24"/>
          <w:highlight w:val="none"/>
          <w:lang w:eastAsia="zh-CN"/>
        </w:rPr>
        <w:t>地下水</w:t>
      </w:r>
      <w:r>
        <w:rPr>
          <w:rFonts w:hint="default" w:ascii="Times New Roman" w:hAnsi="Times New Roman" w:cs="Times New Roman"/>
          <w:color w:val="auto"/>
          <w:kern w:val="0"/>
          <w:sz w:val="24"/>
          <w:highlight w:val="none"/>
        </w:rPr>
        <w:t>污染；</w:t>
      </w:r>
    </w:p>
    <w:p>
      <w:pPr>
        <w:numPr>
          <w:ilvl w:val="0"/>
          <w:numId w:val="4"/>
        </w:num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eastAsia="zh-CN"/>
        </w:rPr>
        <w:t>了解工业园区内已建成企业分布情况，调查工业园内已建成企业聚集区周边是否存在</w:t>
      </w:r>
      <w:r>
        <w:rPr>
          <w:rFonts w:hint="default" w:ascii="Times New Roman" w:hAnsi="Times New Roman" w:cs="Times New Roman"/>
          <w:color w:val="auto"/>
          <w:kern w:val="0"/>
          <w:sz w:val="24"/>
          <w:highlight w:val="none"/>
        </w:rPr>
        <w:t>土壤和</w:t>
      </w:r>
      <w:r>
        <w:rPr>
          <w:rFonts w:hint="default" w:ascii="Times New Roman" w:hAnsi="Times New Roman" w:cs="Times New Roman"/>
          <w:color w:val="auto"/>
          <w:kern w:val="0"/>
          <w:sz w:val="24"/>
          <w:highlight w:val="none"/>
          <w:lang w:eastAsia="zh-CN"/>
        </w:rPr>
        <w:t>地下水</w:t>
      </w:r>
      <w:r>
        <w:rPr>
          <w:rFonts w:hint="default" w:ascii="Times New Roman" w:hAnsi="Times New Roman" w:cs="Times New Roman"/>
          <w:color w:val="auto"/>
          <w:kern w:val="0"/>
          <w:sz w:val="24"/>
          <w:highlight w:val="none"/>
        </w:rPr>
        <w:t>污染；</w:t>
      </w:r>
    </w:p>
    <w:p>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val="en-US" w:eastAsia="zh-CN"/>
        </w:rPr>
        <w:t>3</w:t>
      </w:r>
      <w:r>
        <w:rPr>
          <w:rFonts w:hint="default" w:ascii="Times New Roman" w:hAnsi="Times New Roman" w:cs="Times New Roman"/>
          <w:color w:val="auto"/>
          <w:kern w:val="0"/>
          <w:sz w:val="24"/>
          <w:highlight w:val="none"/>
        </w:rPr>
        <w:t>）若存在污染，</w:t>
      </w:r>
      <w:r>
        <w:rPr>
          <w:rFonts w:hint="default" w:ascii="Times New Roman" w:hAnsi="Times New Roman" w:cs="Times New Roman"/>
          <w:color w:val="auto"/>
          <w:kern w:val="0"/>
          <w:sz w:val="24"/>
          <w:highlight w:val="none"/>
          <w:lang w:eastAsia="zh-CN"/>
        </w:rPr>
        <w:t>明确调查范围内</w:t>
      </w:r>
      <w:r>
        <w:rPr>
          <w:rFonts w:hint="default" w:ascii="Times New Roman" w:hAnsi="Times New Roman" w:cs="Times New Roman"/>
          <w:color w:val="auto"/>
          <w:kern w:val="0"/>
          <w:sz w:val="24"/>
          <w:highlight w:val="none"/>
        </w:rPr>
        <w:t>土壤和</w:t>
      </w:r>
      <w:r>
        <w:rPr>
          <w:rFonts w:hint="default" w:ascii="Times New Roman" w:hAnsi="Times New Roman" w:cs="Times New Roman"/>
          <w:color w:val="auto"/>
          <w:kern w:val="0"/>
          <w:sz w:val="24"/>
          <w:highlight w:val="none"/>
          <w:lang w:eastAsia="zh-CN"/>
        </w:rPr>
        <w:t>地下水</w:t>
      </w:r>
      <w:r>
        <w:rPr>
          <w:rFonts w:hint="default" w:ascii="Times New Roman" w:hAnsi="Times New Roman" w:cs="Times New Roman"/>
          <w:color w:val="auto"/>
          <w:kern w:val="0"/>
          <w:sz w:val="24"/>
          <w:highlight w:val="none"/>
        </w:rPr>
        <w:t>中</w:t>
      </w:r>
      <w:r>
        <w:rPr>
          <w:rFonts w:hint="default" w:ascii="Times New Roman" w:hAnsi="Times New Roman" w:cs="Times New Roman"/>
          <w:color w:val="auto"/>
          <w:kern w:val="0"/>
          <w:sz w:val="24"/>
          <w:highlight w:val="none"/>
          <w:lang w:eastAsia="zh-CN"/>
        </w:rPr>
        <w:t>污染物类别，初步分析污染成因</w:t>
      </w:r>
      <w:r>
        <w:rPr>
          <w:rFonts w:hint="default" w:ascii="Times New Roman" w:hAnsi="Times New Roman" w:cs="Times New Roman"/>
          <w:color w:val="auto"/>
          <w:kern w:val="0"/>
          <w:sz w:val="24"/>
          <w:highlight w:val="none"/>
        </w:rPr>
        <w:t>；</w:t>
      </w:r>
    </w:p>
    <w:p>
      <w:pPr>
        <w:spacing w:line="360" w:lineRule="auto"/>
        <w:ind w:left="1"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val="en-US" w:eastAsia="zh-CN"/>
        </w:rPr>
        <w:t>4</w:t>
      </w:r>
      <w:r>
        <w:rPr>
          <w:rFonts w:hint="default" w:ascii="Times New Roman" w:hAnsi="Times New Roman" w:cs="Times New Roman"/>
          <w:color w:val="auto"/>
          <w:kern w:val="0"/>
          <w:sz w:val="24"/>
          <w:highlight w:val="none"/>
        </w:rPr>
        <w:t>）对土壤及</w:t>
      </w:r>
      <w:r>
        <w:rPr>
          <w:rFonts w:hint="default" w:ascii="Times New Roman" w:hAnsi="Times New Roman" w:cs="Times New Roman"/>
          <w:color w:val="auto"/>
          <w:kern w:val="0"/>
          <w:sz w:val="24"/>
          <w:highlight w:val="none"/>
          <w:lang w:eastAsia="zh-CN"/>
        </w:rPr>
        <w:t>地下水</w:t>
      </w:r>
      <w:r>
        <w:rPr>
          <w:rFonts w:hint="default" w:ascii="Times New Roman" w:hAnsi="Times New Roman" w:cs="Times New Roman"/>
          <w:color w:val="auto"/>
          <w:kern w:val="0"/>
          <w:sz w:val="24"/>
          <w:highlight w:val="none"/>
        </w:rPr>
        <w:t>环境质量</w:t>
      </w:r>
      <w:r>
        <w:rPr>
          <w:rFonts w:hint="default" w:ascii="Times New Roman" w:hAnsi="Times New Roman" w:cs="Times New Roman"/>
          <w:color w:val="auto"/>
          <w:kern w:val="0"/>
          <w:sz w:val="24"/>
          <w:highlight w:val="none"/>
          <w:lang w:eastAsia="zh-CN"/>
        </w:rPr>
        <w:t>现状</w:t>
      </w:r>
      <w:r>
        <w:rPr>
          <w:rFonts w:hint="default" w:ascii="Times New Roman" w:hAnsi="Times New Roman" w:cs="Times New Roman"/>
          <w:color w:val="auto"/>
          <w:kern w:val="0"/>
          <w:sz w:val="24"/>
          <w:highlight w:val="none"/>
        </w:rPr>
        <w:t>进行评价，为环境风险预警</w:t>
      </w:r>
      <w:r>
        <w:rPr>
          <w:rFonts w:hint="default" w:ascii="Times New Roman" w:hAnsi="Times New Roman" w:cs="Times New Roman"/>
          <w:color w:val="auto"/>
          <w:kern w:val="0"/>
          <w:sz w:val="24"/>
          <w:highlight w:val="none"/>
          <w:lang w:eastAsia="zh-CN"/>
        </w:rPr>
        <w:t>提供</w:t>
      </w:r>
      <w:r>
        <w:rPr>
          <w:rFonts w:hint="default" w:ascii="Times New Roman" w:hAnsi="Times New Roman" w:cs="Times New Roman"/>
          <w:color w:val="auto"/>
          <w:kern w:val="0"/>
          <w:sz w:val="24"/>
          <w:highlight w:val="none"/>
        </w:rPr>
        <w:t>重要依据。</w:t>
      </w:r>
    </w:p>
    <w:p>
      <w:pPr>
        <w:pStyle w:val="5"/>
        <w:tabs>
          <w:tab w:val="clear" w:pos="851"/>
        </w:tabs>
        <w:rPr>
          <w:rFonts w:hint="default" w:ascii="Times New Roman" w:hAnsi="Times New Roman" w:cs="Times New Roman"/>
          <w:color w:val="auto"/>
          <w:highlight w:val="none"/>
        </w:rPr>
      </w:pPr>
      <w:r>
        <w:rPr>
          <w:rFonts w:hint="default" w:ascii="Times New Roman" w:hAnsi="Times New Roman" w:cs="Times New Roman"/>
          <w:color w:val="auto"/>
          <w:highlight w:val="none"/>
        </w:rPr>
        <w:t>调查原则</w:t>
      </w:r>
    </w:p>
    <w:p>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（1）针对性原则</w:t>
      </w:r>
    </w:p>
    <w:p>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根据</w:t>
      </w:r>
      <w:r>
        <w:rPr>
          <w:rFonts w:hint="default" w:ascii="Times New Roman" w:hAnsi="Times New Roman" w:cs="Times New Roman"/>
          <w:color w:val="auto"/>
          <w:kern w:val="0"/>
          <w:sz w:val="24"/>
          <w:highlight w:val="none"/>
          <w:lang w:eastAsia="zh-CN"/>
        </w:rPr>
        <w:t>鄂州市</w:t>
      </w:r>
      <w:r>
        <w:rPr>
          <w:rFonts w:hint="default" w:ascii="Times New Roman" w:hAnsi="Times New Roman" w:cs="Times New Roman"/>
          <w:color w:val="auto"/>
          <w:kern w:val="0"/>
          <w:sz w:val="24"/>
          <w:highlight w:val="none"/>
          <w:lang w:val="en-US" w:eastAsia="zh-CN"/>
        </w:rPr>
        <w:t>三江港经济区</w:t>
      </w:r>
      <w:r>
        <w:rPr>
          <w:rFonts w:hint="default" w:ascii="Times New Roman" w:hAnsi="Times New Roman" w:cs="Times New Roman"/>
          <w:color w:val="auto"/>
          <w:kern w:val="0"/>
          <w:sz w:val="24"/>
          <w:highlight w:val="none"/>
          <w:lang w:eastAsia="zh-CN"/>
        </w:rPr>
        <w:t>工业园区的土地利用现状、已建成企业分布情况</w:t>
      </w:r>
      <w:r>
        <w:rPr>
          <w:rFonts w:hint="default" w:ascii="Times New Roman" w:hAnsi="Times New Roman" w:cs="Times New Roman"/>
          <w:color w:val="auto"/>
          <w:kern w:val="0"/>
          <w:sz w:val="24"/>
          <w:highlight w:val="none"/>
        </w:rPr>
        <w:t>，将</w:t>
      </w:r>
      <w:r>
        <w:rPr>
          <w:rFonts w:hint="default" w:ascii="Times New Roman" w:hAnsi="Times New Roman" w:cs="Times New Roman"/>
          <w:color w:val="auto"/>
          <w:kern w:val="0"/>
          <w:sz w:val="24"/>
          <w:highlight w:val="none"/>
          <w:lang w:eastAsia="zh-CN"/>
        </w:rPr>
        <w:t>整个工业园</w:t>
      </w:r>
      <w:r>
        <w:rPr>
          <w:rFonts w:hint="eastAsia" w:cs="Times New Roman"/>
          <w:color w:val="auto"/>
          <w:kern w:val="0"/>
          <w:sz w:val="24"/>
          <w:highlight w:val="none"/>
          <w:lang w:eastAsia="zh-CN"/>
        </w:rPr>
        <w:t>、</w:t>
      </w:r>
      <w:r>
        <w:rPr>
          <w:rFonts w:hint="default" w:ascii="Times New Roman" w:hAnsi="Times New Roman" w:cs="Times New Roman"/>
          <w:color w:val="auto"/>
          <w:kern w:val="0"/>
          <w:sz w:val="24"/>
          <w:highlight w:val="none"/>
          <w:lang w:eastAsia="zh-CN"/>
        </w:rPr>
        <w:t>园区</w:t>
      </w:r>
      <w:r>
        <w:rPr>
          <w:rFonts w:hint="eastAsia" w:cs="Times New Roman"/>
          <w:color w:val="auto"/>
          <w:kern w:val="0"/>
          <w:sz w:val="24"/>
          <w:highlight w:val="none"/>
          <w:lang w:eastAsia="zh-CN"/>
        </w:rPr>
        <w:t>主要已建成企业聚集区</w:t>
      </w:r>
      <w:r>
        <w:rPr>
          <w:rFonts w:hint="default" w:ascii="Times New Roman" w:hAnsi="Times New Roman" w:cs="Times New Roman"/>
          <w:color w:val="auto"/>
          <w:kern w:val="0"/>
          <w:sz w:val="24"/>
          <w:highlight w:val="none"/>
          <w:lang w:eastAsia="zh-CN"/>
        </w:rPr>
        <w:t>域</w:t>
      </w:r>
      <w:r>
        <w:rPr>
          <w:rFonts w:hint="default" w:ascii="Times New Roman" w:hAnsi="Times New Roman" w:cs="Times New Roman"/>
          <w:color w:val="auto"/>
          <w:kern w:val="0"/>
          <w:sz w:val="24"/>
          <w:highlight w:val="none"/>
        </w:rPr>
        <w:t>作为调查重点；根据</w:t>
      </w:r>
      <w:r>
        <w:rPr>
          <w:rFonts w:hint="default" w:ascii="Times New Roman" w:hAnsi="Times New Roman" w:cs="Times New Roman"/>
          <w:color w:val="auto"/>
          <w:kern w:val="0"/>
          <w:sz w:val="24"/>
          <w:highlight w:val="none"/>
          <w:lang w:eastAsia="zh-CN"/>
        </w:rPr>
        <w:t>园区产业功能定位、</w:t>
      </w:r>
      <w:r>
        <w:rPr>
          <w:rFonts w:hint="eastAsia" w:cs="Times New Roman"/>
          <w:color w:val="auto"/>
          <w:kern w:val="0"/>
          <w:sz w:val="24"/>
          <w:highlight w:val="none"/>
          <w:lang w:val="en-US" w:eastAsia="zh-CN"/>
        </w:rPr>
        <w:t>典型企业</w:t>
      </w:r>
      <w:r>
        <w:rPr>
          <w:rFonts w:hint="default" w:ascii="Times New Roman" w:hAnsi="Times New Roman" w:cs="Times New Roman"/>
          <w:color w:val="auto"/>
          <w:kern w:val="0"/>
          <w:sz w:val="24"/>
          <w:highlight w:val="none"/>
          <w:lang w:eastAsia="zh-CN"/>
        </w:rPr>
        <w:t>的产排污环节</w:t>
      </w:r>
      <w:r>
        <w:rPr>
          <w:rFonts w:hint="default" w:ascii="Times New Roman" w:hAnsi="Times New Roman" w:cs="Times New Roman"/>
          <w:color w:val="auto"/>
          <w:kern w:val="0"/>
          <w:sz w:val="24"/>
          <w:highlight w:val="none"/>
        </w:rPr>
        <w:t>，有针对性地设定调查项目。</w:t>
      </w:r>
    </w:p>
    <w:p>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（2）规范性原则</w:t>
      </w:r>
    </w:p>
    <w:p>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eastAsia="zh-CN"/>
        </w:rPr>
        <w:t>参考</w:t>
      </w:r>
      <w:r>
        <w:rPr>
          <w:rFonts w:hint="default" w:ascii="Times New Roman" w:hAnsi="Times New Roman" w:cs="Times New Roman"/>
          <w:color w:val="auto"/>
          <w:kern w:val="0"/>
          <w:sz w:val="24"/>
          <w:highlight w:val="none"/>
        </w:rPr>
        <w:t>目前国内及国际上</w:t>
      </w:r>
      <w:r>
        <w:rPr>
          <w:rFonts w:hint="eastAsia" w:cs="Times New Roman"/>
          <w:color w:val="auto"/>
          <w:kern w:val="0"/>
          <w:sz w:val="24"/>
          <w:highlight w:val="none"/>
          <w:lang w:eastAsia="zh-CN"/>
        </w:rPr>
        <w:t>地块</w:t>
      </w:r>
      <w:r>
        <w:rPr>
          <w:rFonts w:hint="default" w:ascii="Times New Roman" w:hAnsi="Times New Roman" w:cs="Times New Roman"/>
          <w:color w:val="auto"/>
          <w:kern w:val="0"/>
          <w:sz w:val="24"/>
          <w:highlight w:val="none"/>
          <w:lang w:eastAsia="zh-CN"/>
        </w:rPr>
        <w:t>土壤及地下水</w:t>
      </w:r>
      <w:r>
        <w:rPr>
          <w:rFonts w:hint="default" w:ascii="Times New Roman" w:hAnsi="Times New Roman" w:cs="Times New Roman"/>
          <w:color w:val="auto"/>
          <w:kern w:val="0"/>
          <w:sz w:val="24"/>
          <w:highlight w:val="none"/>
        </w:rPr>
        <w:t>调查的相关技术规范，对</w:t>
      </w:r>
      <w:r>
        <w:rPr>
          <w:rFonts w:hint="eastAsia" w:cs="Times New Roman"/>
          <w:color w:val="auto"/>
          <w:kern w:val="0"/>
          <w:sz w:val="24"/>
          <w:highlight w:val="none"/>
          <w:lang w:eastAsia="zh-CN"/>
        </w:rPr>
        <w:t>园区</w:t>
      </w:r>
      <w:r>
        <w:rPr>
          <w:rFonts w:hint="default" w:ascii="Times New Roman" w:hAnsi="Times New Roman" w:cs="Times New Roman"/>
          <w:color w:val="auto"/>
          <w:kern w:val="0"/>
          <w:sz w:val="24"/>
          <w:highlight w:val="none"/>
        </w:rPr>
        <w:t>现场调查采样、样品保存运输、样品分析等一系列过程进行严格的质量控制，保证调查和评估结果的科学性、准确性和客观性。</w:t>
      </w:r>
    </w:p>
    <w:p>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（3）可操作性原则</w:t>
      </w:r>
    </w:p>
    <w:p>
      <w:pPr>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综合考虑</w:t>
      </w:r>
      <w:r>
        <w:rPr>
          <w:rFonts w:hint="default" w:ascii="Times New Roman" w:hAnsi="Times New Roman" w:cs="Times New Roman"/>
          <w:color w:val="auto"/>
          <w:kern w:val="0"/>
          <w:sz w:val="24"/>
          <w:highlight w:val="none"/>
          <w:lang w:eastAsia="zh-CN"/>
        </w:rPr>
        <w:t>调查园区</w:t>
      </w:r>
      <w:r>
        <w:rPr>
          <w:rFonts w:hint="default" w:ascii="Times New Roman" w:hAnsi="Times New Roman" w:cs="Times New Roman"/>
          <w:color w:val="auto"/>
          <w:kern w:val="0"/>
          <w:sz w:val="24"/>
          <w:highlight w:val="none"/>
        </w:rPr>
        <w:t>复杂性、污染特点和环境条件等因素，制定可操作的调查方案和采样计划，确保调查评估工作顺利完成。</w:t>
      </w:r>
    </w:p>
    <w:p>
      <w:pPr>
        <w:pStyle w:val="4"/>
        <w:tabs>
          <w:tab w:val="left" w:leader="dot" w:pos="0"/>
          <w:tab w:val="clear" w:pos="567"/>
        </w:tabs>
        <w:rPr>
          <w:rFonts w:hint="default" w:ascii="Times New Roman" w:hAnsi="Times New Roman" w:cs="Times New Roman"/>
          <w:color w:val="auto"/>
          <w:highlight w:val="none"/>
        </w:rPr>
      </w:pPr>
      <w:bookmarkStart w:id="8" w:name="_Toc13311"/>
      <w:bookmarkStart w:id="9" w:name="_Toc15371850"/>
      <w:bookmarkStart w:id="10" w:name="_Toc18023"/>
      <w:r>
        <w:rPr>
          <w:rFonts w:hint="default" w:ascii="Times New Roman" w:hAnsi="Times New Roman" w:cs="Times New Roman"/>
          <w:color w:val="auto"/>
          <w:highlight w:val="none"/>
        </w:rPr>
        <w:t>调查</w:t>
      </w:r>
      <w:r>
        <w:rPr>
          <w:rFonts w:hint="default" w:ascii="Times New Roman" w:hAnsi="Times New Roman" w:cs="Times New Roman"/>
          <w:color w:val="auto"/>
          <w:highlight w:val="none"/>
          <w:lang w:eastAsia="zh-CN"/>
        </w:rPr>
        <w:t>对象和</w:t>
      </w:r>
      <w:r>
        <w:rPr>
          <w:rFonts w:hint="default" w:ascii="Times New Roman" w:hAnsi="Times New Roman" w:cs="Times New Roman"/>
          <w:color w:val="auto"/>
          <w:highlight w:val="none"/>
        </w:rPr>
        <w:t>范围</w:t>
      </w:r>
      <w:bookmarkEnd w:id="8"/>
      <w:bookmarkEnd w:id="9"/>
      <w:bookmarkEnd w:id="10"/>
    </w:p>
    <w:p>
      <w:pPr>
        <w:spacing w:line="360" w:lineRule="auto"/>
        <w:ind w:firstLine="480" w:firstLineChars="200"/>
        <w:rPr>
          <w:rFonts w:hint="default" w:ascii="Times New Roman" w:hAnsi="Times New Roman" w:cs="Times New Roman" w:eastAsiaTheme="minorEastAsia"/>
          <w:color w:val="auto"/>
          <w:sz w:val="24"/>
          <w:highlight w:val="none"/>
          <w:shd w:val="clear" w:color="auto" w:fill="auto"/>
          <w:lang w:eastAsia="zh-CN"/>
        </w:rPr>
      </w:pPr>
      <w:r>
        <w:rPr>
          <w:rFonts w:hint="default" w:ascii="Times New Roman" w:hAnsi="Times New Roman" w:cs="Times New Roman"/>
          <w:color w:val="auto"/>
          <w:kern w:val="0"/>
          <w:sz w:val="24"/>
          <w:highlight w:val="none"/>
        </w:rPr>
        <w:t>本次调查对象为</w:t>
      </w:r>
      <w:r>
        <w:rPr>
          <w:rFonts w:hint="default" w:ascii="Times New Roman" w:hAnsi="Times New Roman" w:cs="Times New Roman"/>
          <w:color w:val="auto"/>
          <w:kern w:val="0"/>
          <w:sz w:val="24"/>
          <w:highlight w:val="none"/>
          <w:lang w:eastAsia="zh-CN"/>
        </w:rPr>
        <w:t>鄂州市</w:t>
      </w:r>
      <w:r>
        <w:rPr>
          <w:rFonts w:hint="default" w:ascii="Times New Roman" w:hAnsi="Times New Roman" w:cs="Times New Roman"/>
          <w:color w:val="auto"/>
          <w:kern w:val="0"/>
          <w:sz w:val="24"/>
          <w:highlight w:val="none"/>
          <w:lang w:val="en-US" w:eastAsia="zh-CN"/>
        </w:rPr>
        <w:t>三江港经济区，主要针对工业园区周边、已建成企业聚集区周边土壤和地下水质量进行调查评估</w:t>
      </w:r>
      <w:r>
        <w:rPr>
          <w:rFonts w:hint="default" w:ascii="Times New Roman" w:hAnsi="Times New Roman" w:cs="Times New Roman" w:eastAsiaTheme="minorEastAsia"/>
          <w:color w:val="auto"/>
          <w:sz w:val="24"/>
          <w:highlight w:val="none"/>
          <w:shd w:val="clear" w:color="auto" w:fill="auto"/>
          <w:lang w:eastAsia="zh-CN"/>
        </w:rPr>
        <w:t>。</w:t>
      </w:r>
    </w:p>
    <w:p>
      <w:pPr>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eastAsiaTheme="minorEastAsia"/>
          <w:color w:val="auto"/>
          <w:sz w:val="24"/>
          <w:highlight w:val="none"/>
          <w:shd w:val="clear" w:color="auto" w:fill="auto"/>
          <w:lang w:val="en-US" w:eastAsia="zh-CN"/>
        </w:rPr>
        <w:t>三江港经济区位于鄂州市华容区，北、东</w:t>
      </w:r>
      <w:r>
        <w:rPr>
          <w:rFonts w:hint="eastAsia" w:cs="Times New Roman" w:eastAsiaTheme="minorEastAsia"/>
          <w:color w:val="auto"/>
          <w:sz w:val="24"/>
          <w:highlight w:val="none"/>
          <w:shd w:val="clear" w:color="auto" w:fill="auto"/>
          <w:lang w:val="en-US" w:eastAsia="zh-CN"/>
        </w:rPr>
        <w:t>临</w:t>
      </w:r>
      <w:r>
        <w:rPr>
          <w:rFonts w:hint="default" w:ascii="Times New Roman" w:hAnsi="Times New Roman" w:cs="Times New Roman" w:eastAsiaTheme="minorEastAsia"/>
          <w:color w:val="auto"/>
          <w:sz w:val="24"/>
          <w:highlight w:val="none"/>
          <w:shd w:val="clear" w:color="auto" w:fill="auto"/>
          <w:lang w:val="en-US" w:eastAsia="zh-CN"/>
        </w:rPr>
        <w:t>长江，南</w:t>
      </w:r>
      <w:r>
        <w:rPr>
          <w:rFonts w:hint="eastAsia" w:cs="Times New Roman" w:eastAsiaTheme="minorEastAsia"/>
          <w:color w:val="auto"/>
          <w:sz w:val="24"/>
          <w:highlight w:val="none"/>
          <w:shd w:val="clear" w:color="auto" w:fill="auto"/>
          <w:lang w:val="en-US" w:eastAsia="zh-CN"/>
        </w:rPr>
        <w:t>临</w:t>
      </w:r>
      <w:r>
        <w:rPr>
          <w:rFonts w:hint="default" w:ascii="Times New Roman" w:hAnsi="Times New Roman" w:cs="Times New Roman" w:eastAsiaTheme="minorEastAsia"/>
          <w:color w:val="auto"/>
          <w:sz w:val="24"/>
          <w:highlight w:val="none"/>
          <w:shd w:val="clear" w:color="auto" w:fill="auto"/>
          <w:lang w:val="en-US" w:eastAsia="zh-CN"/>
        </w:rPr>
        <w:t>鄂州市城西新区（开发区），西</w:t>
      </w:r>
      <w:r>
        <w:rPr>
          <w:rFonts w:hint="eastAsia" w:cs="Times New Roman" w:eastAsiaTheme="minorEastAsia"/>
          <w:color w:val="auto"/>
          <w:sz w:val="24"/>
          <w:highlight w:val="none"/>
          <w:shd w:val="clear" w:color="auto" w:fill="auto"/>
          <w:lang w:val="en-US" w:eastAsia="zh-CN"/>
        </w:rPr>
        <w:t>临</w:t>
      </w:r>
      <w:r>
        <w:rPr>
          <w:rFonts w:hint="default" w:ascii="Times New Roman" w:hAnsi="Times New Roman" w:cs="Times New Roman" w:eastAsiaTheme="minorEastAsia"/>
          <w:color w:val="auto"/>
          <w:sz w:val="24"/>
          <w:highlight w:val="none"/>
          <w:shd w:val="clear" w:color="auto" w:fill="auto"/>
          <w:lang w:val="en-US" w:eastAsia="zh-CN"/>
        </w:rPr>
        <w:t>鄂咸高速公路，根据</w:t>
      </w:r>
      <w:r>
        <w:rPr>
          <w:rFonts w:hint="default" w:ascii="Times New Roman" w:hAnsi="Times New Roman" w:cs="Times New Roman"/>
          <w:color w:val="auto"/>
          <w:sz w:val="24"/>
          <w:szCs w:val="24"/>
          <w:highlight w:val="none"/>
          <w:lang w:eastAsia="zh-CN"/>
        </w:rPr>
        <w:t>《鄂州市三江港新区总体规划（2013-2030）》（上海同济城市规划设计研究院，2014年10月）</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三江港经济区规划面积为207.32</w:t>
      </w:r>
      <w:r>
        <w:rPr>
          <w:rFonts w:hint="default" w:ascii="Times New Roman" w:hAnsi="Times New Roman" w:cs="Times New Roman" w:eastAsiaTheme="minorEastAsia"/>
          <w:color w:val="auto"/>
          <w:sz w:val="24"/>
          <w:highlight w:val="none"/>
          <w:shd w:val="clear" w:color="auto" w:fill="auto"/>
          <w:lang w:val="en-US" w:eastAsia="zh-CN"/>
        </w:rPr>
        <w:t>km</w:t>
      </w:r>
      <w:r>
        <w:rPr>
          <w:rFonts w:hint="default" w:ascii="Times New Roman" w:hAnsi="Times New Roman" w:cs="Times New Roman" w:eastAsiaTheme="minorEastAsia"/>
          <w:color w:val="auto"/>
          <w:sz w:val="24"/>
          <w:highlight w:val="none"/>
          <w:shd w:val="clear" w:color="auto" w:fill="auto"/>
          <w:vertAlign w:val="superscript"/>
          <w:lang w:val="en-US" w:eastAsia="zh-CN"/>
        </w:rPr>
        <w:t>2</w:t>
      </w:r>
      <w:r>
        <w:rPr>
          <w:rFonts w:hint="eastAsia" w:cs="Times New Roman" w:eastAsiaTheme="minorEastAsia"/>
          <w:color w:val="auto"/>
          <w:sz w:val="24"/>
          <w:highlight w:val="none"/>
          <w:shd w:val="clear" w:color="auto" w:fill="auto"/>
          <w:lang w:val="en-US" w:eastAsia="zh-CN"/>
        </w:rPr>
        <w:t>，其中本园区东南的17km</w:t>
      </w:r>
      <w:r>
        <w:rPr>
          <w:rFonts w:hint="eastAsia" w:cs="Times New Roman" w:eastAsiaTheme="minorEastAsia"/>
          <w:color w:val="auto"/>
          <w:sz w:val="24"/>
          <w:highlight w:val="none"/>
          <w:shd w:val="clear" w:color="auto" w:fill="auto"/>
          <w:vertAlign w:val="superscript"/>
          <w:lang w:val="en-US" w:eastAsia="zh-CN"/>
        </w:rPr>
        <w:t>2</w:t>
      </w:r>
      <w:r>
        <w:rPr>
          <w:rFonts w:hint="eastAsia" w:cs="Times New Roman" w:eastAsiaTheme="minorEastAsia"/>
          <w:color w:val="auto"/>
          <w:sz w:val="24"/>
          <w:highlight w:val="none"/>
          <w:shd w:val="clear" w:color="auto" w:fill="auto"/>
          <w:lang w:val="en-US" w:eastAsia="zh-CN"/>
        </w:rPr>
        <w:t>托管于鄂州经济开发区，故本次</w:t>
      </w:r>
      <w:r>
        <w:rPr>
          <w:rFonts w:hint="default" w:ascii="Times New Roman" w:hAnsi="Times New Roman" w:cs="Times New Roman" w:eastAsiaTheme="minorEastAsia"/>
          <w:color w:val="auto"/>
          <w:sz w:val="24"/>
          <w:highlight w:val="none"/>
          <w:shd w:val="clear" w:color="auto" w:fill="auto"/>
          <w:lang w:val="en-US" w:eastAsia="zh-CN"/>
        </w:rPr>
        <w:t>调查面积为</w:t>
      </w:r>
      <w:r>
        <w:rPr>
          <w:rFonts w:hint="eastAsia" w:cs="Times New Roman" w:eastAsiaTheme="minorEastAsia"/>
          <w:color w:val="auto"/>
          <w:sz w:val="24"/>
          <w:highlight w:val="none"/>
          <w:shd w:val="clear" w:color="auto" w:fill="auto"/>
          <w:lang w:val="en-US" w:eastAsia="zh-CN"/>
        </w:rPr>
        <w:t>190</w:t>
      </w:r>
      <w:r>
        <w:rPr>
          <w:rFonts w:hint="default" w:ascii="Times New Roman" w:hAnsi="Times New Roman" w:cs="Times New Roman" w:eastAsiaTheme="minorEastAsia"/>
          <w:color w:val="auto"/>
          <w:sz w:val="24"/>
          <w:highlight w:val="none"/>
          <w:shd w:val="clear" w:color="auto" w:fill="auto"/>
          <w:lang w:val="en-US" w:eastAsia="zh-CN"/>
        </w:rPr>
        <w:t>.32km</w:t>
      </w:r>
      <w:r>
        <w:rPr>
          <w:rFonts w:hint="default" w:ascii="Times New Roman" w:hAnsi="Times New Roman" w:cs="Times New Roman" w:eastAsiaTheme="minorEastAsia"/>
          <w:color w:val="auto"/>
          <w:sz w:val="24"/>
          <w:highlight w:val="none"/>
          <w:shd w:val="clear" w:color="auto" w:fill="auto"/>
          <w:vertAlign w:val="superscript"/>
          <w:lang w:val="en-US" w:eastAsia="zh-CN"/>
        </w:rPr>
        <w:t>2</w:t>
      </w:r>
      <w:r>
        <w:rPr>
          <w:rFonts w:hint="default" w:ascii="Times New Roman" w:hAnsi="Times New Roman" w:cs="Times New Roman" w:eastAsiaTheme="minorEastAsia"/>
          <w:color w:val="auto"/>
          <w:sz w:val="24"/>
          <w:highlight w:val="none"/>
          <w:shd w:val="clear" w:color="auto" w:fill="auto"/>
          <w:lang w:val="en-US" w:eastAsia="zh-CN"/>
        </w:rPr>
        <w:t>，</w:t>
      </w:r>
      <w:r>
        <w:rPr>
          <w:rFonts w:hint="default" w:ascii="Times New Roman" w:hAnsi="Times New Roman" w:cs="Times New Roman" w:eastAsiaTheme="minorEastAsia"/>
          <w:bCs/>
          <w:caps/>
          <w:color w:val="auto"/>
          <w:szCs w:val="24"/>
          <w:highlight w:val="none"/>
          <w:lang w:eastAsia="zh-CN"/>
        </w:rPr>
        <w:t>三江港经济区</w:t>
      </w:r>
      <w:r>
        <w:rPr>
          <w:rFonts w:hint="default" w:ascii="Times New Roman" w:hAnsi="Times New Roman" w:cs="Times New Roman"/>
          <w:bCs/>
          <w:caps/>
          <w:color w:val="auto"/>
          <w:szCs w:val="24"/>
          <w:highlight w:val="none"/>
        </w:rPr>
        <w:t>地理位置图</w:t>
      </w:r>
      <w:r>
        <w:rPr>
          <w:rFonts w:hint="default" w:ascii="Times New Roman" w:hAnsi="Times New Roman" w:cs="Times New Roman" w:eastAsiaTheme="minorEastAsia"/>
          <w:color w:val="auto"/>
          <w:sz w:val="24"/>
          <w:highlight w:val="none"/>
          <w:shd w:val="clear" w:color="auto" w:fill="auto"/>
          <w:lang w:val="en-US" w:eastAsia="zh-CN"/>
        </w:rPr>
        <w:t>见附图1，三江港经济区调查范</w:t>
      </w:r>
      <w:r>
        <w:rPr>
          <w:rFonts w:hint="default" w:ascii="Times New Roman" w:hAnsi="Times New Roman" w:cs="Times New Roman"/>
          <w:color w:val="auto"/>
          <w:kern w:val="0"/>
          <w:sz w:val="24"/>
          <w:highlight w:val="none"/>
          <w:lang w:eastAsia="zh-CN"/>
        </w:rPr>
        <w:t>围及周边情况图见附图</w:t>
      </w:r>
      <w:r>
        <w:rPr>
          <w:rFonts w:hint="default" w:ascii="Times New Roman" w:hAnsi="Times New Roman" w:cs="Times New Roman"/>
          <w:color w:val="auto"/>
          <w:kern w:val="0"/>
          <w:sz w:val="24"/>
          <w:highlight w:val="none"/>
          <w:lang w:val="en-US" w:eastAsia="zh-CN"/>
        </w:rPr>
        <w:t>2。</w:t>
      </w:r>
    </w:p>
    <w:p>
      <w:pPr>
        <w:pStyle w:val="4"/>
        <w:tabs>
          <w:tab w:val="left" w:leader="dot" w:pos="0"/>
          <w:tab w:val="clear" w:pos="567"/>
        </w:tabs>
        <w:spacing w:before="240"/>
        <w:rPr>
          <w:rFonts w:hint="default" w:ascii="Times New Roman" w:hAnsi="Times New Roman" w:cs="Times New Roman"/>
          <w:color w:val="auto"/>
          <w:highlight w:val="none"/>
        </w:rPr>
      </w:pPr>
      <w:bookmarkStart w:id="11" w:name="_Toc5045"/>
      <w:bookmarkStart w:id="12" w:name="_Toc14019"/>
      <w:r>
        <w:rPr>
          <w:rFonts w:hint="default" w:ascii="Times New Roman" w:hAnsi="Times New Roman" w:cs="Times New Roman"/>
          <w:color w:val="auto"/>
          <w:highlight w:val="none"/>
          <w:lang w:eastAsia="zh-CN"/>
        </w:rPr>
        <w:t>调查依据</w:t>
      </w:r>
      <w:bookmarkEnd w:id="11"/>
      <w:bookmarkEnd w:id="12"/>
    </w:p>
    <w:p>
      <w:pPr>
        <w:pStyle w:val="5"/>
        <w:tabs>
          <w:tab w:val="clear" w:pos="851"/>
        </w:tabs>
        <w:rPr>
          <w:rFonts w:hint="default" w:ascii="Times New Roman" w:hAnsi="Times New Roman" w:cs="Times New Roman"/>
          <w:color w:val="auto"/>
          <w:highlight w:val="none"/>
        </w:rPr>
      </w:pPr>
      <w:r>
        <w:rPr>
          <w:rFonts w:hint="default" w:ascii="Times New Roman" w:hAnsi="Times New Roman" w:cs="Times New Roman"/>
          <w:color w:val="auto"/>
          <w:highlight w:val="none"/>
        </w:rPr>
        <w:t>法律法规</w:t>
      </w:r>
    </w:p>
    <w:p>
      <w:pPr>
        <w:spacing w:line="360" w:lineRule="auto"/>
        <w:ind w:left="24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（1）《中华人民共和国环境保护法》（2014年4月24日修订，2015年1月1日施行）</w:t>
      </w:r>
      <w:r>
        <w:rPr>
          <w:rFonts w:hint="default" w:ascii="Times New Roman" w:hAnsi="Times New Roman" w:cs="Times New Roman"/>
          <w:color w:val="auto"/>
          <w:sz w:val="24"/>
          <w:highlight w:val="none"/>
          <w:lang w:eastAsia="zh-CN"/>
        </w:rPr>
        <w:t>；</w:t>
      </w:r>
    </w:p>
    <w:p>
      <w:pPr>
        <w:spacing w:line="360" w:lineRule="auto"/>
        <w:ind w:firstLine="240" w:firstLineChars="10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（2）《中华人民共和国土壤污染防治法》（2019年1月1日施行）</w:t>
      </w:r>
      <w:r>
        <w:rPr>
          <w:rFonts w:hint="default" w:ascii="Times New Roman" w:hAnsi="Times New Roman" w:cs="Times New Roman"/>
          <w:color w:val="auto"/>
          <w:sz w:val="24"/>
          <w:highlight w:val="none"/>
          <w:lang w:eastAsia="zh-CN"/>
        </w:rPr>
        <w:t>；</w:t>
      </w:r>
    </w:p>
    <w:p>
      <w:pPr>
        <w:spacing w:line="360" w:lineRule="auto"/>
        <w:ind w:firstLine="240" w:firstLineChars="10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（3）</w:t>
      </w:r>
      <w:r>
        <w:rPr>
          <w:rFonts w:hint="default" w:ascii="Times New Roman" w:hAnsi="Times New Roman" w:cs="Times New Roman"/>
          <w:color w:val="auto"/>
          <w:kern w:val="0"/>
          <w:sz w:val="24"/>
          <w:highlight w:val="none"/>
        </w:rPr>
        <w:t>《国务院关于印发土壤污染防治行动计划的通知》（国发[2016]31号）</w:t>
      </w:r>
      <w:r>
        <w:rPr>
          <w:rFonts w:hint="default" w:ascii="Times New Roman" w:hAnsi="Times New Roman" w:cs="Times New Roman"/>
          <w:color w:val="auto"/>
          <w:kern w:val="0"/>
          <w:sz w:val="24"/>
          <w:highlight w:val="none"/>
          <w:lang w:eastAsia="zh-CN"/>
        </w:rPr>
        <w:t>；</w:t>
      </w:r>
    </w:p>
    <w:p>
      <w:pPr>
        <w:spacing w:line="360" w:lineRule="auto"/>
        <w:ind w:firstLine="240" w:firstLineChars="100"/>
        <w:rPr>
          <w:rFonts w:hint="default" w:ascii="Times New Roman" w:hAnsi="Times New Roman" w:cs="Times New Roman"/>
          <w:color w:val="auto"/>
          <w:kern w:val="0"/>
          <w:sz w:val="24"/>
          <w:highlight w:val="none"/>
          <w:lang w:eastAsia="zh-CN"/>
        </w:rPr>
      </w:pPr>
      <w:r>
        <w:rPr>
          <w:rFonts w:hint="default" w:ascii="Times New Roman" w:hAnsi="Times New Roman" w:cs="Times New Roman"/>
          <w:color w:val="auto"/>
          <w:sz w:val="24"/>
          <w:highlight w:val="none"/>
        </w:rPr>
        <w:t>（4）</w:t>
      </w:r>
      <w:r>
        <w:rPr>
          <w:rFonts w:hint="default" w:ascii="Times New Roman" w:hAnsi="Times New Roman" w:cs="Times New Roman"/>
          <w:color w:val="auto"/>
          <w:kern w:val="0"/>
          <w:sz w:val="24"/>
          <w:highlight w:val="none"/>
        </w:rPr>
        <w:t>《湖北省土壤污染防治行动计划工作方案》（鄂政发[2016]85号）</w:t>
      </w:r>
      <w:r>
        <w:rPr>
          <w:rFonts w:hint="default" w:ascii="Times New Roman" w:hAnsi="Times New Roman" w:cs="Times New Roman"/>
          <w:color w:val="auto"/>
          <w:kern w:val="0"/>
          <w:sz w:val="24"/>
          <w:highlight w:val="none"/>
          <w:lang w:eastAsia="zh-CN"/>
        </w:rPr>
        <w:t>；</w:t>
      </w:r>
    </w:p>
    <w:p>
      <w:pPr>
        <w:spacing w:line="360" w:lineRule="auto"/>
        <w:ind w:firstLine="240" w:firstLineChars="100"/>
        <w:rPr>
          <w:rFonts w:hint="default" w:ascii="Times New Roman" w:hAnsi="Times New Roman" w:eastAsia="宋体" w:cs="Times New Roman"/>
          <w:color w:val="auto"/>
          <w:kern w:val="0"/>
          <w:sz w:val="24"/>
          <w:highlight w:val="none"/>
          <w:lang w:eastAsia="zh-CN"/>
        </w:rPr>
      </w:pP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w:t>
      </w:r>
      <w:r>
        <w:rPr>
          <w:rFonts w:hint="default" w:ascii="Times New Roman" w:hAnsi="Times New Roman" w:cs="Times New Roman"/>
          <w:color w:val="auto"/>
          <w:kern w:val="0"/>
          <w:sz w:val="24"/>
          <w:highlight w:val="none"/>
        </w:rPr>
        <w:t>《湖北省土壤污染防治条例》（2016年10月1日起施行）</w:t>
      </w:r>
      <w:r>
        <w:rPr>
          <w:rFonts w:hint="default" w:ascii="Times New Roman" w:hAnsi="Times New Roman" w:cs="Times New Roman"/>
          <w:color w:val="auto"/>
          <w:kern w:val="0"/>
          <w:sz w:val="24"/>
          <w:highlight w:val="none"/>
          <w:lang w:eastAsia="zh-CN"/>
        </w:rPr>
        <w:t>；</w:t>
      </w:r>
    </w:p>
    <w:p>
      <w:pPr>
        <w:spacing w:line="360" w:lineRule="auto"/>
        <w:ind w:firstLine="240" w:firstLineChars="100"/>
        <w:rPr>
          <w:rFonts w:hint="default" w:ascii="Times New Roman" w:hAnsi="Times New Roman" w:cs="Times New Roman"/>
          <w:color w:val="auto"/>
          <w:kern w:val="0"/>
          <w:sz w:val="24"/>
          <w:highlight w:val="none"/>
        </w:rPr>
      </w:pP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6</w:t>
      </w:r>
      <w:r>
        <w:rPr>
          <w:rFonts w:hint="default" w:ascii="Times New Roman" w:hAnsi="Times New Roman" w:cs="Times New Roman"/>
          <w:color w:val="auto"/>
          <w:sz w:val="24"/>
          <w:highlight w:val="none"/>
        </w:rPr>
        <w:t>）《市人民政府关于印发鄂州市土壤污染防治工作方案的通知》</w:t>
      </w:r>
      <w:r>
        <w:rPr>
          <w:rFonts w:hint="default" w:ascii="Times New Roman" w:hAnsi="Times New Roman" w:cs="Times New Roman"/>
          <w:color w:val="auto"/>
          <w:sz w:val="24"/>
          <w:highlight w:val="none"/>
          <w:lang w:eastAsia="zh-CN"/>
        </w:rPr>
        <w:t>（鄂州市人民政府，</w:t>
      </w:r>
      <w:r>
        <w:rPr>
          <w:rFonts w:hint="default" w:ascii="Times New Roman" w:hAnsi="Times New Roman" w:cs="Times New Roman"/>
          <w:color w:val="auto"/>
          <w:sz w:val="24"/>
          <w:highlight w:val="none"/>
          <w:lang w:val="en-US" w:eastAsia="zh-CN"/>
        </w:rPr>
        <w:t>2017年5月</w:t>
      </w:r>
      <w:r>
        <w:rPr>
          <w:rFonts w:hint="default" w:ascii="Times New Roman" w:hAnsi="Times New Roman" w:cs="Times New Roman"/>
          <w:color w:val="auto"/>
          <w:sz w:val="24"/>
          <w:highlight w:val="none"/>
          <w:lang w:eastAsia="zh-CN"/>
        </w:rPr>
        <w:t>）；</w:t>
      </w:r>
    </w:p>
    <w:p>
      <w:pPr>
        <w:spacing w:line="360" w:lineRule="auto"/>
        <w:ind w:firstLine="240" w:firstLineChars="100"/>
        <w:rPr>
          <w:rFonts w:hint="default" w:ascii="Times New Roman" w:hAnsi="Times New Roman" w:eastAsia="宋体" w:cs="Times New Roman"/>
          <w:color w:val="auto"/>
          <w:kern w:val="0"/>
          <w:sz w:val="24"/>
          <w:highlight w:val="none"/>
          <w:lang w:eastAsia="zh-CN"/>
        </w:rPr>
      </w:pP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7</w:t>
      </w:r>
      <w:r>
        <w:rPr>
          <w:rFonts w:hint="default" w:ascii="Times New Roman" w:hAnsi="Times New Roman" w:cs="Times New Roman"/>
          <w:color w:val="auto"/>
          <w:sz w:val="24"/>
          <w:highlight w:val="none"/>
        </w:rPr>
        <w:t>）《鄂州市土壤污染治理与修复规划（2018-2020）》</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val="en-US" w:eastAsia="zh-CN"/>
        </w:rPr>
        <w:t>2018年8月</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eastAsia="zh-CN"/>
        </w:rPr>
        <w:t>。</w:t>
      </w:r>
    </w:p>
    <w:p>
      <w:pPr>
        <w:pStyle w:val="5"/>
        <w:tabs>
          <w:tab w:val="clear" w:pos="851"/>
        </w:tabs>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规章及规范性文件</w:t>
      </w:r>
    </w:p>
    <w:p>
      <w:pPr>
        <w:numPr>
          <w:ilvl w:val="0"/>
          <w:numId w:val="5"/>
        </w:numPr>
        <w:spacing w:line="360" w:lineRule="auto"/>
        <w:ind w:firstLine="360" w:firstLineChars="1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《国家重点监控企业污染源监督性监测及信息公开办法》（环发〔2013〕81号）；</w:t>
      </w:r>
    </w:p>
    <w:p>
      <w:pPr>
        <w:numPr>
          <w:ilvl w:val="0"/>
          <w:numId w:val="5"/>
        </w:numPr>
        <w:spacing w:line="360" w:lineRule="auto"/>
        <w:ind w:firstLine="360" w:firstLineChars="1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《土壤环境监测技术规范》（HJ/T 166-2004）</w:t>
      </w:r>
      <w:r>
        <w:rPr>
          <w:rFonts w:hint="default" w:ascii="Times New Roman" w:hAnsi="Times New Roman" w:cs="Times New Roman"/>
          <w:color w:val="auto"/>
          <w:sz w:val="24"/>
          <w:highlight w:val="none"/>
          <w:lang w:eastAsia="zh-CN"/>
        </w:rPr>
        <w:t>；</w:t>
      </w:r>
    </w:p>
    <w:p>
      <w:pPr>
        <w:numPr>
          <w:ilvl w:val="0"/>
          <w:numId w:val="5"/>
        </w:numPr>
        <w:spacing w:line="360" w:lineRule="auto"/>
        <w:ind w:firstLine="360" w:firstLineChars="1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《地下水环境监测技术规范》（HJ/T 164-2004）</w:t>
      </w:r>
      <w:r>
        <w:rPr>
          <w:rFonts w:hint="default" w:ascii="Times New Roman" w:hAnsi="Times New Roman" w:cs="Times New Roman"/>
          <w:color w:val="auto"/>
          <w:sz w:val="24"/>
          <w:highlight w:val="none"/>
          <w:lang w:eastAsia="zh-CN"/>
        </w:rPr>
        <w:t>；</w:t>
      </w:r>
    </w:p>
    <w:p>
      <w:pPr>
        <w:numPr>
          <w:ilvl w:val="0"/>
          <w:numId w:val="5"/>
        </w:numPr>
        <w:spacing w:line="360" w:lineRule="auto"/>
        <w:ind w:firstLine="360" w:firstLineChars="1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《地下水污染地质调查评价规范》（DD 2008-01）</w:t>
      </w:r>
      <w:r>
        <w:rPr>
          <w:rFonts w:hint="default" w:ascii="Times New Roman" w:hAnsi="Times New Roman" w:cs="Times New Roman"/>
          <w:color w:val="auto"/>
          <w:sz w:val="24"/>
          <w:highlight w:val="none"/>
          <w:lang w:eastAsia="zh-CN"/>
        </w:rPr>
        <w:t>；</w:t>
      </w:r>
    </w:p>
    <w:p>
      <w:pPr>
        <w:numPr>
          <w:ilvl w:val="0"/>
          <w:numId w:val="5"/>
        </w:numPr>
        <w:spacing w:line="360" w:lineRule="auto"/>
        <w:ind w:firstLine="360" w:firstLineChars="1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《水文水井地质钻探规程》（</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"http://www.so.com/link?m=a1YwI%2F0%2BYRdYzN9gH7AmoqYK0k5XBBQ78EfoPvN0C4ul1lgOU9LQ344m3y4zBz4X3YodIVcvYWhFCmPmSM2fsLAihDFhW9dXJC9SLZBwYouE0I0sc4EX9UF8hHzXRC7H8AqIQVVp0GP2RJumPi%2BgnsPozumplTOe17J5HHAXiZn2ne2ju3870nRiZ14Q4j7Xnz%2ByMu7ICSioTJkDBWn%2BFqg%3D%3D" \t "_blank"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 w:val="24"/>
          <w:highlight w:val="none"/>
        </w:rPr>
        <w:t>DZ/T 0148-2014 </w:t>
      </w:r>
      <w:r>
        <w:rPr>
          <w:rFonts w:hint="default" w:ascii="Times New Roman" w:hAnsi="Times New Roman" w:cs="Times New Roman"/>
          <w:color w:val="auto"/>
          <w:sz w:val="24"/>
          <w:highlight w:val="none"/>
        </w:rPr>
        <w:fldChar w:fldCharType="end"/>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w:t>
      </w:r>
    </w:p>
    <w:p>
      <w:pPr>
        <w:numPr>
          <w:ilvl w:val="0"/>
          <w:numId w:val="5"/>
        </w:numPr>
        <w:spacing w:line="360" w:lineRule="auto"/>
        <w:ind w:firstLine="360" w:firstLineChars="150"/>
        <w:rPr>
          <w:rFonts w:hint="default" w:ascii="Times New Roman" w:hAnsi="Times New Roman" w:cs="Times New Roman"/>
          <w:color w:val="auto"/>
          <w:kern w:val="0"/>
          <w:sz w:val="24"/>
          <w:highlight w:val="none"/>
          <w:lang w:eastAsia="zh-CN"/>
        </w:rPr>
      </w:pPr>
      <w:r>
        <w:rPr>
          <w:rFonts w:hint="default" w:ascii="Times New Roman" w:hAnsi="Times New Roman" w:cs="Times New Roman"/>
          <w:color w:val="auto"/>
          <w:sz w:val="24"/>
          <w:highlight w:val="none"/>
        </w:rPr>
        <w:t>《岩土工程勘查规范》（GB 50021-2001）</w:t>
      </w:r>
      <w:r>
        <w:rPr>
          <w:rFonts w:hint="default" w:ascii="Times New Roman" w:hAnsi="Times New Roman" w:cs="Times New Roman"/>
          <w:color w:val="auto"/>
          <w:sz w:val="24"/>
          <w:highlight w:val="none"/>
          <w:lang w:eastAsia="zh-CN"/>
        </w:rPr>
        <w:t>。</w:t>
      </w:r>
    </w:p>
    <w:p>
      <w:pPr>
        <w:pStyle w:val="5"/>
        <w:tabs>
          <w:tab w:val="clear" w:pos="851"/>
        </w:tabs>
        <w:rPr>
          <w:rFonts w:hint="default" w:ascii="Times New Roman" w:hAnsi="Times New Roman" w:cs="Times New Roman"/>
          <w:color w:val="auto"/>
          <w:highlight w:val="none"/>
        </w:rPr>
      </w:pPr>
      <w:r>
        <w:rPr>
          <w:rFonts w:hint="default" w:ascii="Times New Roman" w:hAnsi="Times New Roman" w:cs="Times New Roman"/>
          <w:color w:val="auto"/>
          <w:highlight w:val="none"/>
        </w:rPr>
        <w:t>技术标准</w:t>
      </w:r>
      <w:r>
        <w:rPr>
          <w:rFonts w:hint="default" w:ascii="Times New Roman" w:hAnsi="Times New Roman" w:cs="Times New Roman"/>
          <w:color w:val="auto"/>
          <w:highlight w:val="none"/>
          <w:lang w:eastAsia="zh-CN"/>
        </w:rPr>
        <w:t>和导则</w:t>
      </w:r>
      <w:r>
        <w:rPr>
          <w:rFonts w:hint="default" w:ascii="Times New Roman" w:hAnsi="Times New Roman" w:cs="Times New Roman"/>
          <w:color w:val="auto"/>
          <w:highlight w:val="none"/>
          <w:lang w:val="en-US" w:eastAsia="zh-CN"/>
        </w:rPr>
        <w:t xml:space="preserve"> </w:t>
      </w:r>
    </w:p>
    <w:p>
      <w:pPr>
        <w:numPr>
          <w:ilvl w:val="0"/>
          <w:numId w:val="6"/>
        </w:numPr>
        <w:ind w:firstLine="360" w:firstLineChars="1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《土壤环境质量 建设用地土壤污染风险管控标准（试行）》（GB36600-2018）；</w:t>
      </w:r>
    </w:p>
    <w:p>
      <w:pPr>
        <w:numPr>
          <w:ilvl w:val="0"/>
          <w:numId w:val="6"/>
        </w:numPr>
        <w:ind w:firstLine="360" w:firstLineChars="1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《土壤环境质量 农用地土壤污染风险管控标准（试行）》（GB15618-2018）；</w:t>
      </w:r>
    </w:p>
    <w:p>
      <w:pPr>
        <w:numPr>
          <w:ilvl w:val="0"/>
          <w:numId w:val="6"/>
        </w:numPr>
        <w:ind w:firstLine="360" w:firstLineChars="1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《地下水质量标准》（GB/T 14848-2017）；</w:t>
      </w:r>
    </w:p>
    <w:p>
      <w:pPr>
        <w:numPr>
          <w:ilvl w:val="0"/>
          <w:numId w:val="6"/>
        </w:numPr>
        <w:ind w:firstLine="360" w:firstLineChars="1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《地表水环境质量标准》（GB3838-2002）；</w:t>
      </w:r>
    </w:p>
    <w:p>
      <w:pPr>
        <w:numPr>
          <w:ilvl w:val="0"/>
          <w:numId w:val="6"/>
        </w:numPr>
        <w:ind w:firstLine="360" w:firstLineChars="150"/>
        <w:rPr>
          <w:rFonts w:hint="default" w:ascii="Times New Roman" w:hAnsi="Times New Roman" w:cs="Times New Roman"/>
          <w:highlight w:val="none"/>
        </w:rPr>
      </w:pPr>
      <w:r>
        <w:rPr>
          <w:rFonts w:hint="default" w:ascii="Times New Roman" w:hAnsi="Times New Roman" w:cs="Times New Roman"/>
          <w:highlight w:val="none"/>
        </w:rPr>
        <w:t>《建设</w:t>
      </w:r>
      <w:r>
        <w:rPr>
          <w:rFonts w:hint="default" w:ascii="Times New Roman" w:hAnsi="Times New Roman" w:eastAsia="宋体" w:cs="Times New Roman"/>
          <w:color w:val="000000" w:themeColor="text1"/>
          <w:highlight w:val="none"/>
          <w14:textFill>
            <w14:solidFill>
              <w14:schemeClr w14:val="tx1"/>
            </w14:solidFill>
          </w14:textFill>
        </w:rPr>
        <w:t>用地</w:t>
      </w:r>
      <w:r>
        <w:rPr>
          <w:rFonts w:hint="default" w:ascii="Times New Roman" w:hAnsi="Times New Roman" w:cs="Times New Roman"/>
          <w:highlight w:val="none"/>
        </w:rPr>
        <w:t>土壤污染风险筛选值》（DB13_T 5216-2020）</w:t>
      </w:r>
      <w:r>
        <w:rPr>
          <w:rFonts w:hint="default" w:ascii="Times New Roman" w:hAnsi="Times New Roman" w:cs="Times New Roman"/>
          <w:highlight w:val="none"/>
          <w:lang w:eastAsia="zh-CN"/>
        </w:rPr>
        <w:t>；</w:t>
      </w:r>
    </w:p>
    <w:p>
      <w:pPr>
        <w:numPr>
          <w:ilvl w:val="0"/>
          <w:numId w:val="6"/>
        </w:numPr>
        <w:ind w:firstLine="360" w:firstLineChars="150"/>
        <w:rPr>
          <w:rFonts w:hint="default" w:ascii="Times New Roman" w:hAnsi="Times New Roman" w:eastAsia="宋体" w:cs="Times New Roman"/>
          <w:highlight w:val="none"/>
        </w:rPr>
      </w:pPr>
      <w:r>
        <w:rPr>
          <w:rFonts w:hint="default" w:ascii="Times New Roman" w:hAnsi="Times New Roman" w:eastAsia="宋体" w:cs="Times New Roman"/>
          <w:highlight w:val="none"/>
        </w:rPr>
        <w:t>《建设用地土壤污染风险筛选值和管制值</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（DB4403_T 67-2020）</w:t>
      </w:r>
      <w:r>
        <w:rPr>
          <w:rFonts w:hint="default" w:ascii="Times New Roman" w:hAnsi="Times New Roman" w:cs="Times New Roman"/>
          <w:highlight w:val="none"/>
          <w:lang w:eastAsia="zh-CN"/>
        </w:rPr>
        <w:t>；</w:t>
      </w:r>
    </w:p>
    <w:p>
      <w:pPr>
        <w:numPr>
          <w:ilvl w:val="0"/>
          <w:numId w:val="6"/>
        </w:numPr>
        <w:ind w:firstLine="360" w:firstLineChars="1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highlight w:val="none"/>
        </w:rPr>
        <w:t>建设用地土壤污染状况调查技术导则</w:t>
      </w:r>
      <w:r>
        <w:rPr>
          <w:rFonts w:hint="default" w:ascii="Times New Roman" w:hAnsi="Times New Roman" w:cs="Times New Roman"/>
          <w:color w:val="000000" w:themeColor="text1"/>
          <w:highlight w:val="none"/>
          <w14:textFill>
            <w14:solidFill>
              <w14:schemeClr w14:val="tx1"/>
            </w14:solidFill>
          </w14:textFill>
        </w:rPr>
        <w:t>》（HJ 25.1-2019）；</w:t>
      </w:r>
    </w:p>
    <w:p>
      <w:pPr>
        <w:numPr>
          <w:ilvl w:val="0"/>
          <w:numId w:val="6"/>
        </w:numPr>
        <w:ind w:firstLine="360" w:firstLineChars="1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highlight w:val="none"/>
        </w:rPr>
        <w:t>建设用地土壤污染风险管控和修复监测技术导则</w:t>
      </w:r>
      <w:r>
        <w:rPr>
          <w:rFonts w:hint="default" w:ascii="Times New Roman" w:hAnsi="Times New Roman" w:cs="Times New Roman"/>
          <w:color w:val="000000" w:themeColor="text1"/>
          <w:highlight w:val="none"/>
          <w14:textFill>
            <w14:solidFill>
              <w14:schemeClr w14:val="tx1"/>
            </w14:solidFill>
          </w14:textFill>
        </w:rPr>
        <w:t>》（HJ 25.2-2019）；</w:t>
      </w:r>
    </w:p>
    <w:p>
      <w:pPr>
        <w:numPr>
          <w:ilvl w:val="0"/>
          <w:numId w:val="6"/>
        </w:numPr>
        <w:ind w:firstLine="360" w:firstLineChars="1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《建设用地土壤污染风险管控和修复术语》（HJ 682-2019）；</w:t>
      </w:r>
    </w:p>
    <w:p>
      <w:pPr>
        <w:numPr>
          <w:ilvl w:val="0"/>
          <w:numId w:val="6"/>
        </w:numPr>
        <w:ind w:firstLine="360" w:firstLineChars="1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《工业企业场地环境调查评估与修复工作指南（试行）》（环境保护部公告2014年第78号）；</w:t>
      </w:r>
    </w:p>
    <w:p>
      <w:pPr>
        <w:numPr>
          <w:ilvl w:val="0"/>
          <w:numId w:val="6"/>
        </w:numPr>
        <w:ind w:firstLine="360" w:firstLineChars="1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《地块土壤和地下水中挥发性有机物采样技术导则》（HJ 1019-2019）；</w:t>
      </w:r>
    </w:p>
    <w:p>
      <w:pPr>
        <w:numPr>
          <w:ilvl w:val="0"/>
          <w:numId w:val="6"/>
        </w:numPr>
        <w:ind w:firstLine="360" w:firstLineChars="1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《地下水环境状况调查评价工作指南》（2019年9月）；</w:t>
      </w:r>
    </w:p>
    <w:p>
      <w:pPr>
        <w:numPr>
          <w:ilvl w:val="0"/>
          <w:numId w:val="6"/>
        </w:numPr>
        <w:ind w:firstLine="360" w:firstLineChars="1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《重点区域土壤环境质量监测风险点位布设方法》（环办监测函（2016）1号）；</w:t>
      </w:r>
    </w:p>
    <w:p>
      <w:pPr>
        <w:numPr>
          <w:ilvl w:val="0"/>
          <w:numId w:val="6"/>
        </w:numPr>
        <w:ind w:firstLine="360" w:firstLineChars="1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《四川省土壤污染重点监管单位和工业园区周边土壤环境监督性监测工作方案》（川环办函〔2018〕547号）；</w:t>
      </w:r>
    </w:p>
    <w:p>
      <w:pPr>
        <w:numPr>
          <w:ilvl w:val="0"/>
          <w:numId w:val="6"/>
        </w:numPr>
        <w:ind w:firstLine="360" w:firstLineChars="15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《省级土壤污染状况详查实施方案编制指南》（环办土壤函[2017]1023号）;</w:t>
      </w:r>
    </w:p>
    <w:p>
      <w:pPr>
        <w:numPr>
          <w:ilvl w:val="0"/>
          <w:numId w:val="6"/>
        </w:numPr>
        <w:ind w:firstLine="360" w:firstLineChars="150"/>
        <w:rPr>
          <w:rFonts w:hint="default" w:ascii="Times New Roman" w:hAnsi="Times New Roman" w:cs="Times New Roman"/>
          <w:highlight w:val="none"/>
        </w:rPr>
      </w:pPr>
      <w:r>
        <w:rPr>
          <w:rFonts w:hint="default" w:ascii="Times New Roman" w:hAnsi="Times New Roman" w:cs="Times New Roman"/>
          <w:color w:val="000000" w:themeColor="text1"/>
          <w:highlight w:val="none"/>
          <w14:textFill>
            <w14:solidFill>
              <w14:schemeClr w14:val="tx1"/>
            </w14:solidFill>
          </w14:textFill>
        </w:rPr>
        <w:t>《全国土</w:t>
      </w:r>
      <w:r>
        <w:rPr>
          <w:rFonts w:hint="default" w:ascii="Times New Roman" w:hAnsi="Times New Roman" w:cs="Times New Roman"/>
          <w:color w:val="000000" w:themeColor="text1"/>
          <w:kern w:val="0"/>
          <w:highlight w:val="none"/>
          <w14:textFill>
            <w14:solidFill>
              <w14:schemeClr w14:val="tx1"/>
            </w14:solidFill>
          </w14:textFill>
        </w:rPr>
        <w:t>壤污染状况评价技术</w:t>
      </w:r>
      <w:r>
        <w:rPr>
          <w:rFonts w:hint="default" w:ascii="Times New Roman" w:hAnsi="Times New Roman" w:cs="Times New Roman"/>
          <w:color w:val="000000" w:themeColor="text1"/>
          <w:highlight w:val="none"/>
          <w14:textFill>
            <w14:solidFill>
              <w14:schemeClr w14:val="tx1"/>
            </w14:solidFill>
          </w14:textFill>
        </w:rPr>
        <w:t>规定》（环发[2008]39号）</w:t>
      </w:r>
      <w:r>
        <w:rPr>
          <w:rFonts w:hint="default" w:ascii="Times New Roman" w:hAnsi="Times New Roman" w:cs="Times New Roman"/>
          <w:color w:val="000000" w:themeColor="text1"/>
          <w:highlight w:val="none"/>
          <w:lang w:eastAsia="zh-CN"/>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napToGrid/>
        <w:spacing w:after="0"/>
        <w:ind w:firstLine="357" w:firstLineChars="0"/>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18</w:t>
      </w:r>
      <w:r>
        <w:rPr>
          <w:rFonts w:hint="default" w:ascii="Times New Roman" w:hAnsi="Times New Roman" w:cs="Times New Roman"/>
          <w:highlight w:val="none"/>
          <w:lang w:eastAsia="zh-CN"/>
        </w:rPr>
        <w:t>）</w:t>
      </w:r>
      <w:r>
        <w:rPr>
          <w:rFonts w:hint="default" w:ascii="Times New Roman" w:hAnsi="Times New Roman" w:cs="Times New Roman"/>
          <w:highlight w:val="none"/>
        </w:rPr>
        <w:t>《上海市建设用地土壤污染状况调查、风险评估、风险管控与修复方案编制、风险管控与修复效果评估工作的补充规定（试行）》</w:t>
      </w:r>
      <w:r>
        <w:rPr>
          <w:rFonts w:hint="default" w:ascii="Times New Roman" w:hAnsi="Times New Roman" w:cs="Times New Roman"/>
          <w:highlight w:val="none"/>
          <w:lang w:eastAsia="zh-CN"/>
        </w:rPr>
        <w:t>（沪环土（</w:t>
      </w:r>
      <w:r>
        <w:rPr>
          <w:rFonts w:hint="default" w:ascii="Times New Roman" w:hAnsi="Times New Roman" w:cs="Times New Roman"/>
          <w:highlight w:val="none"/>
          <w:lang w:val="en-US" w:eastAsia="zh-CN"/>
        </w:rPr>
        <w:t>2020</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62号</w:t>
      </w:r>
      <w:r>
        <w:rPr>
          <w:rFonts w:hint="default" w:ascii="Times New Roman" w:hAnsi="Times New Roman" w:cs="Times New Roman"/>
          <w:highlight w:val="none"/>
          <w:lang w:eastAsia="zh-CN"/>
        </w:rPr>
        <w:t>）。</w:t>
      </w:r>
    </w:p>
    <w:p>
      <w:pPr>
        <w:pStyle w:val="5"/>
        <w:tabs>
          <w:tab w:val="clear" w:pos="851"/>
        </w:tabs>
        <w:rPr>
          <w:rFonts w:hint="default" w:ascii="Times New Roman" w:hAnsi="Times New Roman" w:cs="Times New Roman"/>
          <w:color w:val="auto"/>
          <w:highlight w:val="none"/>
        </w:rPr>
      </w:pPr>
      <w:r>
        <w:rPr>
          <w:rFonts w:hint="default" w:ascii="Times New Roman" w:hAnsi="Times New Roman" w:cs="Times New Roman"/>
          <w:color w:val="auto"/>
          <w:highlight w:val="none"/>
        </w:rPr>
        <w:t>参考资料</w:t>
      </w:r>
    </w:p>
    <w:p>
      <w:pPr>
        <w:numPr>
          <w:ilvl w:val="0"/>
          <w:numId w:val="7"/>
        </w:numPr>
        <w:spacing w:line="360" w:lineRule="auto"/>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《鄂州市城乡总体规划</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2011-2020年</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w:t>
      </w:r>
    </w:p>
    <w:p>
      <w:pPr>
        <w:numPr>
          <w:ilvl w:val="0"/>
          <w:numId w:val="7"/>
        </w:numPr>
        <w:spacing w:line="360" w:lineRule="auto"/>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《鄂州市三江港新区总体规划（2013-2030）》（上海同济城市规划设计研究院，2014年10月）；</w:t>
      </w:r>
    </w:p>
    <w:p>
      <w:pPr>
        <w:numPr>
          <w:ilvl w:val="0"/>
          <w:numId w:val="7"/>
        </w:numPr>
        <w:spacing w:line="360" w:lineRule="auto"/>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鄂州力兴建材有限公司岩土工程勘察报告</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武汉地质工程勘察院，</w:t>
      </w:r>
      <w:r>
        <w:rPr>
          <w:rFonts w:hint="default" w:ascii="Times New Roman" w:hAnsi="Times New Roman" w:cs="Times New Roman"/>
          <w:color w:val="auto"/>
          <w:sz w:val="24"/>
          <w:highlight w:val="none"/>
          <w:lang w:val="en-US" w:eastAsia="zh-CN"/>
        </w:rPr>
        <w:t>2010年8月1日</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w:t>
      </w:r>
    </w:p>
    <w:p>
      <w:pPr>
        <w:numPr>
          <w:ilvl w:val="0"/>
          <w:numId w:val="7"/>
        </w:numPr>
        <w:spacing w:line="360" w:lineRule="auto"/>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highlight w:val="none"/>
          <w:lang w:eastAsia="zh-CN"/>
        </w:rPr>
        <w:t>《湖北鸿昇矿业有限公司</w:t>
      </w:r>
      <w:r>
        <w:rPr>
          <w:rFonts w:hint="default" w:ascii="Times New Roman" w:hAnsi="Times New Roman" w:cs="Times New Roman"/>
          <w:color w:val="auto"/>
          <w:sz w:val="24"/>
          <w:highlight w:val="none"/>
          <w:lang w:val="en-US" w:eastAsia="zh-CN"/>
        </w:rPr>
        <w:t>150万t/d选矿厂岩土工程勘察报告</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黄石市佳境建筑设计有限公司，</w:t>
      </w:r>
      <w:r>
        <w:rPr>
          <w:rFonts w:hint="default" w:ascii="Times New Roman" w:hAnsi="Times New Roman" w:cs="Times New Roman"/>
          <w:color w:val="auto"/>
          <w:sz w:val="24"/>
          <w:highlight w:val="none"/>
          <w:lang w:val="en-US" w:eastAsia="zh-CN"/>
        </w:rPr>
        <w:t>2012年4月</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w:t>
      </w:r>
    </w:p>
    <w:p>
      <w:pPr>
        <w:numPr>
          <w:ilvl w:val="0"/>
          <w:numId w:val="7"/>
        </w:numPr>
        <w:spacing w:line="360" w:lineRule="auto"/>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eastAsiaTheme="minorEastAsia"/>
          <w:b w:val="0"/>
          <w:bCs/>
          <w:color w:val="auto"/>
          <w:sz w:val="24"/>
          <w:szCs w:val="24"/>
          <w:highlight w:val="none"/>
          <w:vertAlign w:val="baseline"/>
          <w:lang w:val="en-US" w:eastAsia="zh-CN"/>
        </w:rPr>
        <w:t>《中国土壤元素背景值》（国家环境保护局 主持, 中国环境监测总站 主编. 中国土壤元素背景值[J]. 1990.）</w:t>
      </w:r>
      <w:r>
        <w:rPr>
          <w:rFonts w:hint="eastAsia" w:cs="Times New Roman" w:eastAsiaTheme="minorEastAsia"/>
          <w:b w:val="0"/>
          <w:bCs/>
          <w:color w:val="auto"/>
          <w:sz w:val="24"/>
          <w:szCs w:val="24"/>
          <w:highlight w:val="none"/>
          <w:vertAlign w:val="baseline"/>
          <w:lang w:val="en-US" w:eastAsia="zh-CN"/>
        </w:rPr>
        <w:t>；</w:t>
      </w:r>
    </w:p>
    <w:p>
      <w:pPr>
        <w:numPr>
          <w:ilvl w:val="0"/>
          <w:numId w:val="7"/>
        </w:numPr>
        <w:spacing w:line="360" w:lineRule="auto"/>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eastAsia="宋体" w:cs="Times New Roman"/>
          <w:sz w:val="24"/>
          <w:szCs w:val="24"/>
        </w:rPr>
        <w:t>湖北省地下水污染防治规划实施方案（2011-2020年）》</w:t>
      </w:r>
      <w:r>
        <w:rPr>
          <w:rFonts w:hint="eastAsia" w:cs="Times New Roman"/>
          <w:sz w:val="24"/>
          <w:szCs w:val="24"/>
          <w:lang w:eastAsia="zh-CN"/>
        </w:rPr>
        <w:t>；</w:t>
      </w:r>
    </w:p>
    <w:p>
      <w:pPr>
        <w:numPr>
          <w:ilvl w:val="0"/>
          <w:numId w:val="7"/>
        </w:numPr>
        <w:spacing w:line="360" w:lineRule="auto"/>
        <w:ind w:firstLine="480" w:firstLineChars="200"/>
        <w:rPr>
          <w:rFonts w:hint="default" w:ascii="Times New Roman" w:hAnsi="Times New Roman" w:cs="Times New Roman"/>
          <w:color w:val="auto"/>
          <w:sz w:val="24"/>
          <w:szCs w:val="24"/>
          <w:highlight w:val="none"/>
          <w:lang w:eastAsia="zh-CN"/>
        </w:rPr>
      </w:pPr>
      <w:r>
        <w:rPr>
          <w:rFonts w:hint="eastAsia" w:cs="Times New Roman"/>
          <w:sz w:val="24"/>
          <w:szCs w:val="24"/>
          <w:lang w:val="en-US" w:eastAsia="zh-CN"/>
        </w:rPr>
        <w:t>其他资料。</w:t>
      </w:r>
    </w:p>
    <w:p>
      <w:pPr>
        <w:pStyle w:val="4"/>
        <w:tabs>
          <w:tab w:val="left" w:leader="dot" w:pos="0"/>
          <w:tab w:val="clear" w:pos="567"/>
        </w:tabs>
        <w:rPr>
          <w:rFonts w:hint="default" w:ascii="Times New Roman" w:hAnsi="Times New Roman" w:cs="Times New Roman"/>
          <w:color w:val="auto"/>
          <w:highlight w:val="none"/>
        </w:rPr>
      </w:pPr>
      <w:bookmarkStart w:id="13" w:name="_Toc6856"/>
      <w:bookmarkStart w:id="14" w:name="_Toc26649"/>
      <w:r>
        <w:rPr>
          <w:rFonts w:hint="default" w:ascii="Times New Roman" w:hAnsi="Times New Roman" w:cs="Times New Roman"/>
          <w:color w:val="auto"/>
          <w:highlight w:val="none"/>
          <w:lang w:eastAsia="zh-CN"/>
        </w:rPr>
        <w:t>调查方法</w:t>
      </w:r>
      <w:bookmarkEnd w:id="13"/>
      <w:bookmarkEnd w:id="14"/>
    </w:p>
    <w:p>
      <w:pPr>
        <w:spacing w:line="360" w:lineRule="auto"/>
        <w:ind w:firstLine="480" w:firstLineChars="200"/>
        <w:rPr>
          <w:rFonts w:hint="default" w:ascii="Times New Roman" w:hAnsi="Times New Roman" w:cs="Times New Roman"/>
          <w:color w:val="auto"/>
          <w:kern w:val="0"/>
          <w:sz w:val="24"/>
          <w:highlight w:val="none"/>
          <w:lang w:eastAsia="zh-CN"/>
        </w:rPr>
      </w:pPr>
      <w:r>
        <w:rPr>
          <w:rFonts w:hint="default" w:ascii="Times New Roman" w:hAnsi="Times New Roman" w:cs="Times New Roman"/>
          <w:color w:val="auto"/>
          <w:sz w:val="24"/>
          <w:highlight w:val="none"/>
          <w:lang w:eastAsia="zh-CN"/>
        </w:rPr>
        <w:t>参考</w:t>
      </w:r>
      <w:r>
        <w:rPr>
          <w:rFonts w:hint="default" w:ascii="Times New Roman" w:hAnsi="Times New Roman" w:cs="Times New Roman"/>
          <w:color w:val="auto"/>
          <w:sz w:val="24"/>
          <w:highlight w:val="none"/>
        </w:rPr>
        <w:t>《建设用地土壤污染状况调查技术导则》（HJ25.1-2019）、</w:t>
      </w:r>
      <w:r>
        <w:rPr>
          <w:rFonts w:hint="default" w:ascii="Times New Roman" w:hAnsi="Times New Roman" w:cs="Times New Roman"/>
          <w:color w:val="auto"/>
          <w:kern w:val="0"/>
          <w:sz w:val="24"/>
          <w:highlight w:val="none"/>
          <w:lang w:eastAsia="zh-CN"/>
        </w:rPr>
        <w:t>《重点区域土壤环境质量监测风险点位布设方法》（环办监测函（</w:t>
      </w:r>
      <w:r>
        <w:rPr>
          <w:rFonts w:hint="default" w:ascii="Times New Roman" w:hAnsi="Times New Roman" w:cs="Times New Roman"/>
          <w:color w:val="auto"/>
          <w:kern w:val="0"/>
          <w:sz w:val="24"/>
          <w:highlight w:val="none"/>
          <w:lang w:val="en-US" w:eastAsia="zh-CN"/>
        </w:rPr>
        <w:t>2016</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lang w:val="en-US" w:eastAsia="zh-CN"/>
        </w:rPr>
        <w:t>1号</w:t>
      </w:r>
      <w:r>
        <w:rPr>
          <w:rFonts w:hint="default" w:ascii="Times New Roman" w:hAnsi="Times New Roman"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eastAsia="zh-CN"/>
        </w:rPr>
        <w:t>《四川省土壤污染重点监管单位和工业园区周边土壤环境监督性监测工作方案》（川环办函〔2018〕547号），本次调查</w:t>
      </w:r>
      <w:r>
        <w:rPr>
          <w:rFonts w:hint="default" w:ascii="Times New Roman" w:hAnsi="Times New Roman" w:cs="Times New Roman"/>
          <w:color w:val="auto"/>
          <w:kern w:val="0"/>
          <w:sz w:val="24"/>
          <w:highlight w:val="none"/>
          <w:lang w:eastAsia="zh-CN"/>
        </w:rPr>
        <w:t>主要分为两个阶段。</w:t>
      </w:r>
    </w:p>
    <w:p>
      <w:pPr>
        <w:spacing w:line="360" w:lineRule="auto"/>
        <w:ind w:firstLine="480" w:firstLineChars="200"/>
        <w:rPr>
          <w:rFonts w:hint="default" w:ascii="Times New Roman" w:hAnsi="Times New Roman" w:cs="Times New Roman" w:eastAsiaTheme="minorEastAsia"/>
          <w:color w:val="auto"/>
          <w:sz w:val="24"/>
          <w:highlight w:val="none"/>
          <w:shd w:val="clear" w:color="auto" w:fill="auto"/>
          <w:lang w:eastAsia="zh-CN"/>
        </w:rPr>
      </w:pPr>
      <w:r>
        <w:rPr>
          <w:rFonts w:hint="default" w:ascii="Times New Roman" w:hAnsi="Times New Roman" w:cs="Times New Roman"/>
          <w:color w:val="auto"/>
          <w:sz w:val="24"/>
          <w:highlight w:val="none"/>
          <w:lang w:eastAsia="zh-CN"/>
        </w:rPr>
        <w:t>第一阶段，前期准备阶段，是以资料收集、现场踏勘为主的前期调研阶段。主要针对</w:t>
      </w:r>
      <w:r>
        <w:rPr>
          <w:rFonts w:hint="default" w:ascii="Times New Roman" w:hAnsi="Times New Roman" w:cs="Times New Roman" w:eastAsiaTheme="minorEastAsia"/>
          <w:color w:val="auto"/>
          <w:sz w:val="24"/>
          <w:szCs w:val="24"/>
          <w:highlight w:val="none"/>
          <w:shd w:val="clear" w:color="auto" w:fill="auto"/>
          <w:lang w:val="en-US" w:eastAsia="zh-CN"/>
        </w:rPr>
        <w:t>三江港经济区</w:t>
      </w:r>
      <w:r>
        <w:rPr>
          <w:rFonts w:hint="default" w:ascii="Times New Roman" w:hAnsi="Times New Roman" w:cs="Times New Roman" w:eastAsiaTheme="minorEastAsia"/>
          <w:color w:val="auto"/>
          <w:sz w:val="24"/>
          <w:highlight w:val="none"/>
          <w:shd w:val="clear" w:color="auto" w:fill="auto"/>
          <w:lang w:eastAsia="zh-CN"/>
        </w:rPr>
        <w:t>的规划定位、产业结构及布局、开发情况进行调查分析，初步判断工业园和园区内</w:t>
      </w:r>
      <w:r>
        <w:rPr>
          <w:rFonts w:hint="default" w:ascii="Times New Roman" w:hAnsi="Times New Roman" w:cs="Times New Roman"/>
          <w:color w:val="auto"/>
          <w:kern w:val="0"/>
          <w:sz w:val="24"/>
          <w:highlight w:val="none"/>
          <w:lang w:eastAsia="zh-CN"/>
        </w:rPr>
        <w:t>已建成企业聚集区</w:t>
      </w:r>
      <w:r>
        <w:rPr>
          <w:rFonts w:hint="eastAsia" w:cs="Times New Roman"/>
          <w:color w:val="auto"/>
          <w:kern w:val="0"/>
          <w:sz w:val="24"/>
          <w:highlight w:val="none"/>
          <w:lang w:val="en-US" w:eastAsia="zh-CN"/>
        </w:rPr>
        <w:t>是否存在</w:t>
      </w:r>
      <w:r>
        <w:rPr>
          <w:rFonts w:hint="default" w:ascii="Times New Roman" w:hAnsi="Times New Roman" w:cs="Times New Roman" w:eastAsiaTheme="minorEastAsia"/>
          <w:color w:val="auto"/>
          <w:sz w:val="24"/>
          <w:highlight w:val="none"/>
          <w:shd w:val="clear" w:color="auto" w:fill="auto"/>
          <w:lang w:eastAsia="zh-CN"/>
        </w:rPr>
        <w:t>对周边土壤产生污染的</w:t>
      </w:r>
      <w:r>
        <w:rPr>
          <w:rFonts w:hint="eastAsia" w:cs="Times New Roman" w:eastAsiaTheme="minorEastAsia"/>
          <w:color w:val="auto"/>
          <w:sz w:val="24"/>
          <w:highlight w:val="none"/>
          <w:shd w:val="clear" w:color="auto" w:fill="auto"/>
          <w:lang w:val="en-US" w:eastAsia="zh-CN"/>
        </w:rPr>
        <w:t>污染源，若有</w:t>
      </w:r>
      <w:r>
        <w:rPr>
          <w:rFonts w:ascii="宋体" w:hAnsi="宋体" w:eastAsia="宋体" w:cs="宋体"/>
          <w:sz w:val="24"/>
          <w:szCs w:val="24"/>
        </w:rPr>
        <w:t>说明可能的污染类型、污染状况和来源</w:t>
      </w:r>
      <w:r>
        <w:rPr>
          <w:rFonts w:hint="default" w:ascii="Times New Roman" w:hAnsi="Times New Roman" w:cs="Times New Roman" w:eastAsiaTheme="minorEastAsia"/>
          <w:color w:val="auto"/>
          <w:sz w:val="24"/>
          <w:highlight w:val="none"/>
          <w:shd w:val="clear" w:color="auto" w:fill="auto"/>
          <w:lang w:eastAsia="zh-CN"/>
        </w:rPr>
        <w:t>。</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eastAsiaTheme="minorEastAsia"/>
          <w:color w:val="auto"/>
          <w:sz w:val="24"/>
          <w:highlight w:val="none"/>
          <w:shd w:val="clear" w:color="auto" w:fill="auto"/>
          <w:lang w:eastAsia="zh-CN"/>
        </w:rPr>
        <w:t>第二阶段，</w:t>
      </w:r>
      <w:r>
        <w:rPr>
          <w:rFonts w:hint="default" w:ascii="Times New Roman" w:hAnsi="Times New Roman" w:cs="Times New Roman" w:eastAsiaTheme="minorEastAsia"/>
          <w:color w:val="auto"/>
          <w:sz w:val="24"/>
          <w:highlight w:val="none"/>
          <w:lang w:eastAsia="zh-CN"/>
        </w:rPr>
        <w:t>工业园周边土壤</w:t>
      </w:r>
      <w:r>
        <w:rPr>
          <w:rFonts w:hint="default" w:ascii="Times New Roman" w:hAnsi="Times New Roman" w:cs="Times New Roman"/>
          <w:color w:val="auto"/>
          <w:sz w:val="24"/>
          <w:highlight w:val="none"/>
        </w:rPr>
        <w:t>环境初步调查</w:t>
      </w:r>
      <w:r>
        <w:rPr>
          <w:rFonts w:hint="default" w:ascii="Times New Roman" w:hAnsi="Times New Roman" w:cs="Times New Roman"/>
          <w:color w:val="auto"/>
          <w:sz w:val="24"/>
          <w:highlight w:val="none"/>
          <w:lang w:eastAsia="zh-CN"/>
        </w:rPr>
        <w:t>阶段</w:t>
      </w:r>
      <w:r>
        <w:rPr>
          <w:rFonts w:hint="default" w:ascii="Times New Roman" w:hAnsi="Times New Roman" w:cs="Times New Roman"/>
          <w:color w:val="auto"/>
          <w:sz w:val="24"/>
          <w:highlight w:val="none"/>
        </w:rPr>
        <w:t>，是以采样与分析为主的污染证实阶段</w:t>
      </w:r>
      <w:r>
        <w:rPr>
          <w:rFonts w:hint="default" w:ascii="Times New Roman" w:hAnsi="Times New Roman" w:cs="Times New Roman" w:eastAsiaTheme="minorEastAsia"/>
          <w:color w:val="auto"/>
          <w:sz w:val="24"/>
          <w:highlight w:val="none"/>
          <w:shd w:val="clear" w:color="auto" w:fill="auto"/>
          <w:lang w:eastAsia="zh-CN"/>
        </w:rPr>
        <w:t>。</w:t>
      </w:r>
      <w:r>
        <w:rPr>
          <w:rFonts w:hint="default" w:ascii="Times New Roman" w:hAnsi="Times New Roman" w:cs="Times New Roman"/>
          <w:color w:val="auto"/>
          <w:sz w:val="24"/>
          <w:highlight w:val="none"/>
        </w:rPr>
        <w:t>将在第一阶段查表明</w:t>
      </w:r>
      <w:r>
        <w:rPr>
          <w:rFonts w:hint="default" w:ascii="Times New Roman" w:hAnsi="Times New Roman" w:cs="Times New Roman"/>
          <w:color w:val="auto"/>
          <w:sz w:val="24"/>
          <w:highlight w:val="none"/>
          <w:lang w:eastAsia="zh-CN"/>
        </w:rPr>
        <w:t>工业园和园内</w:t>
      </w:r>
      <w:r>
        <w:rPr>
          <w:rFonts w:hint="eastAsia" w:cs="Times New Roman"/>
          <w:color w:val="auto"/>
          <w:sz w:val="24"/>
          <w:highlight w:val="none"/>
          <w:lang w:eastAsia="zh-CN"/>
        </w:rPr>
        <w:t>主要已建成企业聚集区</w:t>
      </w:r>
      <w:r>
        <w:rPr>
          <w:rFonts w:hint="default" w:ascii="Times New Roman" w:hAnsi="Times New Roman" w:cs="Times New Roman"/>
          <w:color w:val="auto"/>
          <w:sz w:val="24"/>
          <w:highlight w:val="none"/>
          <w:lang w:eastAsia="zh-CN"/>
        </w:rPr>
        <w:t>的</w:t>
      </w:r>
      <w:r>
        <w:rPr>
          <w:rFonts w:hint="default" w:ascii="Times New Roman" w:hAnsi="Times New Roman" w:cs="Times New Roman"/>
          <w:color w:val="auto"/>
          <w:sz w:val="24"/>
          <w:highlight w:val="none"/>
        </w:rPr>
        <w:t>周围区域存在可能的污染源的基础上</w:t>
      </w:r>
      <w:r>
        <w:rPr>
          <w:rFonts w:hint="default" w:ascii="Times New Roman" w:hAnsi="Times New Roman" w:cs="Times New Roman"/>
          <w:color w:val="auto"/>
          <w:sz w:val="24"/>
          <w:highlight w:val="none"/>
          <w:lang w:eastAsia="zh-CN"/>
        </w:rPr>
        <w:t>，进行现场采样和实验室分析，</w:t>
      </w:r>
      <w:r>
        <w:rPr>
          <w:rFonts w:hint="default" w:ascii="Times New Roman" w:hAnsi="Times New Roman" w:cs="Times New Roman"/>
          <w:color w:val="auto"/>
          <w:sz w:val="24"/>
          <w:highlight w:val="none"/>
        </w:rPr>
        <w:t>以确定污染种类</w:t>
      </w:r>
      <w:r>
        <w:rPr>
          <w:rFonts w:hint="default" w:ascii="Times New Roman" w:hAnsi="Times New Roman" w:cs="Times New Roman"/>
          <w:color w:val="auto"/>
          <w:sz w:val="24"/>
          <w:highlight w:val="none"/>
          <w:lang w:eastAsia="zh-CN"/>
        </w:rPr>
        <w:t>和程度，并对土壤污染状况进行分析评估，提出下一步污染防治工作建议。</w:t>
      </w:r>
    </w:p>
    <w:p>
      <w:pPr>
        <w:spacing w:line="360" w:lineRule="auto"/>
        <w:ind w:firstLine="480" w:firstLineChars="200"/>
        <w:rPr>
          <w:rFonts w:hint="default" w:ascii="Times New Roman" w:hAnsi="Times New Roman" w:cs="Times New Roman"/>
          <w:color w:val="auto"/>
          <w:sz w:val="24"/>
          <w:highlight w:val="none"/>
        </w:rPr>
      </w:pPr>
    </w:p>
    <w:p>
      <w:pPr>
        <w:spacing w:line="360" w:lineRule="auto"/>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drawing>
          <wp:inline distT="0" distB="0" distL="114300" distR="114300">
            <wp:extent cx="4556760" cy="6229350"/>
            <wp:effectExtent l="19050" t="19050" r="34290" b="19050"/>
            <wp:docPr id="10" name="图片 10" descr="未命名文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未命名文件(1)"/>
                    <pic:cNvPicPr>
                      <a:picLocks noChangeAspect="1"/>
                    </pic:cNvPicPr>
                  </pic:nvPicPr>
                  <pic:blipFill>
                    <a:blip r:embed="rId23"/>
                    <a:stretch>
                      <a:fillRect/>
                    </a:stretch>
                  </pic:blipFill>
                  <pic:spPr>
                    <a:xfrm>
                      <a:off x="0" y="0"/>
                      <a:ext cx="4556760" cy="6229350"/>
                    </a:xfrm>
                    <a:prstGeom prst="rect">
                      <a:avLst/>
                    </a:prstGeom>
                    <a:ln w="19050" cmpd="sng">
                      <a:solidFill>
                        <a:schemeClr val="tx1"/>
                      </a:solidFill>
                      <a:prstDash val="solid"/>
                    </a:ln>
                  </pic:spPr>
                </pic:pic>
              </a:graphicData>
            </a:graphic>
          </wp:inline>
        </w:drawing>
      </w:r>
    </w:p>
    <w:p>
      <w:pPr>
        <w:spacing w:line="360" w:lineRule="auto"/>
        <w:jc w:val="center"/>
        <w:rPr>
          <w:rFonts w:hint="default" w:ascii="Times New Roman" w:hAnsi="Times New Roman" w:eastAsia="黑体" w:cs="Times New Roman"/>
          <w:b/>
          <w:color w:val="auto"/>
          <w:sz w:val="24"/>
          <w:highlight w:val="none"/>
          <w:lang w:eastAsia="zh-CN"/>
        </w:rPr>
        <w:sectPr>
          <w:headerReference r:id="rId7" w:type="default"/>
          <w:footerReference r:id="rId8" w:type="default"/>
          <w:pgSz w:w="11906" w:h="16838"/>
          <w:pgMar w:top="1134" w:right="1134" w:bottom="1134" w:left="1134"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pPr>
      <w:r>
        <w:rPr>
          <w:rFonts w:hint="default" w:ascii="Times New Roman" w:hAnsi="Times New Roman" w:eastAsia="黑体" w:cs="Times New Roman"/>
          <w:b/>
          <w:color w:val="auto"/>
          <w:sz w:val="24"/>
          <w:highlight w:val="none"/>
        </w:rPr>
        <w:t>图1-</w:t>
      </w:r>
      <w:r>
        <w:rPr>
          <w:rFonts w:hint="default" w:ascii="Times New Roman" w:hAnsi="Times New Roman" w:eastAsia="黑体" w:cs="Times New Roman"/>
          <w:b/>
          <w:color w:val="auto"/>
          <w:sz w:val="24"/>
          <w:highlight w:val="none"/>
          <w:lang w:val="en-US" w:eastAsia="zh-CN"/>
        </w:rPr>
        <w:t>5</w:t>
      </w:r>
      <w:r>
        <w:rPr>
          <w:rFonts w:hint="default" w:ascii="Times New Roman" w:hAnsi="Times New Roman" w:eastAsia="黑体" w:cs="Times New Roman"/>
          <w:b/>
          <w:color w:val="auto"/>
          <w:sz w:val="24"/>
          <w:highlight w:val="none"/>
        </w:rPr>
        <w:t xml:space="preserve">-1 </w:t>
      </w:r>
      <w:r>
        <w:rPr>
          <w:rFonts w:hint="default" w:ascii="Times New Roman" w:hAnsi="Times New Roman" w:eastAsia="黑体" w:cs="Times New Roman"/>
          <w:b/>
          <w:color w:val="auto"/>
          <w:sz w:val="24"/>
          <w:highlight w:val="none"/>
          <w:lang w:eastAsia="zh-CN"/>
        </w:rPr>
        <w:t>调查方法流程示意图</w:t>
      </w:r>
    </w:p>
    <w:p>
      <w:pPr>
        <w:pStyle w:val="3"/>
        <w:numPr>
          <w:ilvl w:val="0"/>
          <w:numId w:val="1"/>
        </w:numPr>
        <w:rPr>
          <w:rFonts w:hint="default" w:ascii="Times New Roman" w:hAnsi="Times New Roman" w:cs="Times New Roman"/>
          <w:color w:val="auto"/>
          <w:highlight w:val="none"/>
        </w:rPr>
      </w:pPr>
      <w:bookmarkStart w:id="15" w:name="_Toc29773"/>
      <w:bookmarkStart w:id="16" w:name="_Toc31460"/>
      <w:r>
        <w:rPr>
          <w:rFonts w:hint="default" w:ascii="Times New Roman" w:hAnsi="Times New Roman" w:cs="Times New Roman"/>
          <w:color w:val="auto"/>
          <w:highlight w:val="none"/>
          <w:lang w:eastAsia="zh-CN"/>
        </w:rPr>
        <w:t>调查区域概况</w:t>
      </w:r>
      <w:bookmarkEnd w:id="15"/>
      <w:bookmarkEnd w:id="16"/>
    </w:p>
    <w:p>
      <w:pPr>
        <w:pStyle w:val="4"/>
        <w:rPr>
          <w:rFonts w:hint="default" w:ascii="Times New Roman" w:hAnsi="Times New Roman" w:cs="Times New Roman"/>
          <w:color w:val="auto"/>
          <w:highlight w:val="none"/>
        </w:rPr>
      </w:pPr>
      <w:bookmarkStart w:id="17" w:name="_Toc10355"/>
      <w:bookmarkStart w:id="18" w:name="_Toc4878"/>
      <w:bookmarkStart w:id="19" w:name="_Toc15371854"/>
      <w:r>
        <w:rPr>
          <w:rFonts w:hint="default" w:ascii="Times New Roman" w:hAnsi="Times New Roman" w:cs="Times New Roman"/>
          <w:color w:val="auto"/>
          <w:highlight w:val="none"/>
          <w:lang w:eastAsia="zh-CN"/>
        </w:rPr>
        <w:t>区域环境概况</w:t>
      </w:r>
      <w:bookmarkEnd w:id="17"/>
      <w:bookmarkEnd w:id="18"/>
    </w:p>
    <w:p>
      <w:pPr>
        <w:pStyle w:val="5"/>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地理位置</w:t>
      </w:r>
    </w:p>
    <w:p>
      <w:pPr>
        <w:spacing w:line="360" w:lineRule="auto"/>
        <w:ind w:firstLine="480" w:firstLineChars="200"/>
        <w:rPr>
          <w:rFonts w:hint="default" w:ascii="Times New Roman" w:hAnsi="Times New Roman" w:cs="Times New Roman"/>
          <w:color w:val="auto"/>
          <w:kern w:val="0"/>
          <w:sz w:val="24"/>
          <w:highlight w:val="none"/>
          <w:lang w:eastAsia="zh-CN"/>
        </w:rPr>
      </w:pPr>
      <w:r>
        <w:rPr>
          <w:rFonts w:hint="default" w:ascii="Times New Roman" w:hAnsi="Times New Roman" w:cs="Times New Roman"/>
          <w:color w:val="000000" w:themeColor="text1"/>
          <w:kern w:val="0"/>
          <w:highlight w:val="none"/>
          <w14:textFill>
            <w14:solidFill>
              <w14:schemeClr w14:val="tx1"/>
            </w14:solidFill>
          </w14:textFill>
        </w:rPr>
        <w:t>鄂州市位于东经114</w:t>
      </w:r>
      <w:r>
        <w:rPr>
          <w:rFonts w:hint="default" w:ascii="Times New Roman" w:hAnsi="Times New Roman" w:cs="Times New Roman"/>
          <w:color w:val="000000" w:themeColor="text1"/>
          <w:kern w:val="0"/>
          <w:highlight w:val="none"/>
          <w:lang w:val="en-US" w:eastAsia="zh-CN"/>
          <w14:textFill>
            <w14:solidFill>
              <w14:schemeClr w14:val="tx1"/>
            </w14:solidFill>
          </w14:textFill>
        </w:rPr>
        <w:t>°</w:t>
      </w:r>
      <w:r>
        <w:rPr>
          <w:rFonts w:hint="default" w:ascii="Times New Roman" w:hAnsi="Times New Roman" w:cs="Times New Roman"/>
          <w:color w:val="000000" w:themeColor="text1"/>
          <w:kern w:val="0"/>
          <w:highlight w:val="none"/>
          <w14:textFill>
            <w14:solidFill>
              <w14:schemeClr w14:val="tx1"/>
            </w14:solidFill>
          </w14:textFill>
        </w:rPr>
        <w:t>30</w:t>
      </w:r>
      <w:r>
        <w:rPr>
          <w:rFonts w:hint="default" w:ascii="Times New Roman" w:hAnsi="Times New Roman" w:cs="Times New Roman"/>
          <w:color w:val="000000" w:themeColor="text1"/>
          <w:kern w:val="0"/>
          <w:highlight w:val="none"/>
          <w:lang w:val="en-US" w:eastAsia="zh-CN"/>
          <w14:textFill>
            <w14:solidFill>
              <w14:schemeClr w14:val="tx1"/>
            </w14:solidFill>
          </w14:textFill>
        </w:rPr>
        <w:t>′</w:t>
      </w:r>
      <w:r>
        <w:rPr>
          <w:rFonts w:hint="default" w:ascii="Times New Roman" w:hAnsi="Times New Roman" w:cs="Times New Roman"/>
          <w:color w:val="000000" w:themeColor="text1"/>
          <w:kern w:val="0"/>
          <w:highlight w:val="none"/>
          <w14:textFill>
            <w14:solidFill>
              <w14:schemeClr w14:val="tx1"/>
            </w14:solidFill>
          </w14:textFill>
        </w:rPr>
        <w:t>-115</w:t>
      </w:r>
      <w:r>
        <w:rPr>
          <w:rFonts w:hint="default" w:ascii="Times New Roman" w:hAnsi="Times New Roman" w:cs="Times New Roman"/>
          <w:color w:val="000000" w:themeColor="text1"/>
          <w:kern w:val="0"/>
          <w:highlight w:val="none"/>
          <w:lang w:val="en-US" w:eastAsia="zh-CN"/>
          <w14:textFill>
            <w14:solidFill>
              <w14:schemeClr w14:val="tx1"/>
            </w14:solidFill>
          </w14:textFill>
        </w:rPr>
        <w:t>°</w:t>
      </w:r>
      <w:r>
        <w:rPr>
          <w:rFonts w:hint="default" w:ascii="Times New Roman" w:hAnsi="Times New Roman" w:cs="Times New Roman"/>
          <w:color w:val="000000" w:themeColor="text1"/>
          <w:kern w:val="0"/>
          <w:highlight w:val="none"/>
          <w14:textFill>
            <w14:solidFill>
              <w14:schemeClr w14:val="tx1"/>
            </w14:solidFill>
          </w14:textFill>
        </w:rPr>
        <w:t>05</w:t>
      </w:r>
      <w:r>
        <w:rPr>
          <w:rFonts w:hint="default" w:ascii="Times New Roman" w:hAnsi="Times New Roman" w:cs="Times New Roman"/>
          <w:color w:val="000000" w:themeColor="text1"/>
          <w:kern w:val="0"/>
          <w:highlight w:val="none"/>
          <w:lang w:val="en-US" w:eastAsia="zh-CN"/>
          <w14:textFill>
            <w14:solidFill>
              <w14:schemeClr w14:val="tx1"/>
            </w14:solidFill>
          </w14:textFill>
        </w:rPr>
        <w:t>′</w:t>
      </w:r>
      <w:r>
        <w:rPr>
          <w:rFonts w:hint="default" w:ascii="Times New Roman" w:hAnsi="Times New Roman" w:cs="Times New Roman"/>
          <w:color w:val="000000" w:themeColor="text1"/>
          <w:kern w:val="0"/>
          <w:highlight w:val="none"/>
          <w14:textFill>
            <w14:solidFill>
              <w14:schemeClr w14:val="tx1"/>
            </w14:solidFill>
          </w14:textFill>
        </w:rPr>
        <w:t>，北纬30</w:t>
      </w:r>
      <w:r>
        <w:rPr>
          <w:rFonts w:hint="default" w:ascii="Times New Roman" w:hAnsi="Times New Roman" w:cs="Times New Roman"/>
          <w:color w:val="000000" w:themeColor="text1"/>
          <w:kern w:val="0"/>
          <w:highlight w:val="none"/>
          <w:lang w:val="en-US" w:eastAsia="zh-CN"/>
          <w14:textFill>
            <w14:solidFill>
              <w14:schemeClr w14:val="tx1"/>
            </w14:solidFill>
          </w14:textFill>
        </w:rPr>
        <w:t>°</w:t>
      </w:r>
      <w:r>
        <w:rPr>
          <w:rFonts w:hint="default" w:ascii="Times New Roman" w:hAnsi="Times New Roman" w:cs="Times New Roman"/>
          <w:color w:val="000000" w:themeColor="text1"/>
          <w:kern w:val="0"/>
          <w:highlight w:val="none"/>
          <w14:textFill>
            <w14:solidFill>
              <w14:schemeClr w14:val="tx1"/>
            </w14:solidFill>
          </w14:textFill>
        </w:rPr>
        <w:t>01</w:t>
      </w:r>
      <w:r>
        <w:rPr>
          <w:rFonts w:hint="default" w:ascii="Times New Roman" w:hAnsi="Times New Roman" w:cs="Times New Roman"/>
          <w:color w:val="000000" w:themeColor="text1"/>
          <w:kern w:val="0"/>
          <w:highlight w:val="none"/>
          <w:lang w:val="en-US" w:eastAsia="zh-CN"/>
          <w14:textFill>
            <w14:solidFill>
              <w14:schemeClr w14:val="tx1"/>
            </w14:solidFill>
          </w14:textFill>
        </w:rPr>
        <w:t>′</w:t>
      </w:r>
      <w:r>
        <w:rPr>
          <w:rFonts w:hint="default" w:ascii="Times New Roman" w:hAnsi="Times New Roman" w:cs="Times New Roman"/>
          <w:color w:val="000000" w:themeColor="text1"/>
          <w:kern w:val="0"/>
          <w:highlight w:val="none"/>
          <w14:textFill>
            <w14:solidFill>
              <w14:schemeClr w14:val="tx1"/>
            </w14:solidFill>
          </w14:textFill>
        </w:rPr>
        <w:t>-30</w:t>
      </w:r>
      <w:r>
        <w:rPr>
          <w:rFonts w:hint="default" w:ascii="Times New Roman" w:hAnsi="Times New Roman" w:cs="Times New Roman"/>
          <w:color w:val="000000" w:themeColor="text1"/>
          <w:kern w:val="0"/>
          <w:highlight w:val="none"/>
          <w:lang w:val="en-US" w:eastAsia="zh-CN"/>
          <w14:textFill>
            <w14:solidFill>
              <w14:schemeClr w14:val="tx1"/>
            </w14:solidFill>
          </w14:textFill>
        </w:rPr>
        <w:t>°</w:t>
      </w:r>
      <w:r>
        <w:rPr>
          <w:rFonts w:hint="default" w:ascii="Times New Roman" w:hAnsi="Times New Roman" w:cs="Times New Roman"/>
          <w:color w:val="000000" w:themeColor="text1"/>
          <w:kern w:val="0"/>
          <w:highlight w:val="none"/>
          <w14:textFill>
            <w14:solidFill>
              <w14:schemeClr w14:val="tx1"/>
            </w14:solidFill>
          </w14:textFill>
        </w:rPr>
        <w:t>36</w:t>
      </w:r>
      <w:r>
        <w:rPr>
          <w:rFonts w:hint="default" w:ascii="Times New Roman" w:hAnsi="Times New Roman" w:cs="Times New Roman"/>
          <w:color w:val="000000" w:themeColor="text1"/>
          <w:kern w:val="0"/>
          <w:highlight w:val="none"/>
          <w:lang w:val="en-US" w:eastAsia="zh-CN"/>
          <w14:textFill>
            <w14:solidFill>
              <w14:schemeClr w14:val="tx1"/>
            </w14:solidFill>
          </w14:textFill>
        </w:rPr>
        <w:t>′</w:t>
      </w:r>
      <w:r>
        <w:rPr>
          <w:rFonts w:hint="default" w:ascii="Times New Roman" w:hAnsi="Times New Roman" w:cs="Times New Roman"/>
          <w:color w:val="auto"/>
          <w:kern w:val="0"/>
          <w:sz w:val="24"/>
          <w:highlight w:val="none"/>
          <w:lang w:eastAsia="zh-CN"/>
        </w:rPr>
        <w:t>，湖北省东南部，长江中游南岸。西与武汉市的江夏区、洪山区接壤，东南与黄石市毗连，北临长江，自西向东分别与武汉市的新洲区和黄冈市的团风县、黄州区、浠水县等地隔江相望。整个地域在地图上近似“人”字形。全市地势东南高、西北低、中间较平，境内最高点四峰山海拔485.8m，最低点梁子湖海拔11.7m。</w:t>
      </w:r>
    </w:p>
    <w:p>
      <w:pPr>
        <w:pStyle w:val="5"/>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地质地貌</w:t>
      </w:r>
    </w:p>
    <w:p>
      <w:pPr>
        <w:spacing w:line="360" w:lineRule="auto"/>
        <w:ind w:firstLine="480" w:firstLineChars="200"/>
        <w:rPr>
          <w:rFonts w:hint="default" w:ascii="Times New Roman" w:hAnsi="Times New Roman" w:cs="Times New Roman"/>
          <w:color w:val="auto"/>
          <w:kern w:val="0"/>
          <w:sz w:val="24"/>
          <w:highlight w:val="none"/>
          <w:lang w:eastAsia="zh-CN"/>
        </w:rPr>
      </w:pPr>
      <w:r>
        <w:rPr>
          <w:rFonts w:hint="default" w:ascii="Times New Roman" w:hAnsi="Times New Roman" w:cs="Times New Roman"/>
          <w:color w:val="auto"/>
          <w:kern w:val="0"/>
          <w:sz w:val="24"/>
          <w:highlight w:val="none"/>
          <w:lang w:eastAsia="zh-CN"/>
        </w:rPr>
        <w:t>鄂州市属扬子准地台下扬子台坪中的三级构造单元－－大冶台褶带，跨太子庙台褶束和梁子湖凹陷两个四级构造单元。</w:t>
      </w:r>
    </w:p>
    <w:p>
      <w:pPr>
        <w:spacing w:line="360" w:lineRule="auto"/>
        <w:ind w:firstLine="480" w:firstLineChars="200"/>
        <w:rPr>
          <w:rFonts w:hint="default" w:ascii="Times New Roman" w:hAnsi="Times New Roman" w:cs="Times New Roman"/>
          <w:color w:val="auto"/>
          <w:kern w:val="0"/>
          <w:sz w:val="24"/>
          <w:highlight w:val="none"/>
          <w:lang w:eastAsia="zh-CN"/>
        </w:rPr>
      </w:pPr>
      <w:r>
        <w:rPr>
          <w:rFonts w:hint="default" w:ascii="Times New Roman" w:hAnsi="Times New Roman" w:cs="Times New Roman"/>
          <w:color w:val="auto"/>
          <w:kern w:val="0"/>
          <w:sz w:val="24"/>
          <w:highlight w:val="none"/>
          <w:lang w:eastAsia="zh-CN"/>
        </w:rPr>
        <w:t>鄂州市市域范围内出露的地层简单，分布的基岩地层，从下古生界志留系至新生界除缺失志留系上、下统、泥盆系中下统、石炭系下统、三叠系下统嘉陵江组和二叠系上统外，其余地层均有分布。侏罗系～白垩系下统主要出露在鄂州市的中部和梁子湖盆区，三叠系中至上统零星出露在南东部，志留系、泥盆系、石炭系和二叠系零星出露在市区的西山北侧临长江南侧一带。</w:t>
      </w:r>
    </w:p>
    <w:p>
      <w:pPr>
        <w:spacing w:line="360" w:lineRule="auto"/>
        <w:ind w:firstLine="480" w:firstLineChars="200"/>
        <w:rPr>
          <w:rFonts w:hint="default" w:ascii="Times New Roman" w:hAnsi="Times New Roman" w:cs="Times New Roman"/>
          <w:color w:val="auto"/>
          <w:kern w:val="0"/>
          <w:sz w:val="24"/>
          <w:highlight w:val="none"/>
          <w:lang w:eastAsia="zh-CN"/>
        </w:rPr>
      </w:pPr>
      <w:r>
        <w:rPr>
          <w:rFonts w:hint="default" w:ascii="Times New Roman" w:hAnsi="Times New Roman" w:cs="Times New Roman"/>
          <w:color w:val="auto"/>
          <w:kern w:val="0"/>
          <w:sz w:val="24"/>
          <w:highlight w:val="none"/>
          <w:lang w:eastAsia="zh-CN"/>
        </w:rPr>
        <w:t>石炭系上统～二叠系下统、三叠系下统，为本区三套碳酸盐岩。二叠系上统为海相含煤建造；志留系及泥盆系上统为滨海相碎屑岩建造；三叠系中、上统～侏罗系中统为海湾～湖相碎屑岩建造；侏罗系上统和白垩系下统为陆相火山碎屑岩建造；上白垩～第三系为陆相砂页岩沉积。新生界以松散堆积物为主。第四系松散层广泛分布，其中湖区与沿江地带最发育。</w:t>
      </w:r>
    </w:p>
    <w:p>
      <w:pPr>
        <w:spacing w:line="360" w:lineRule="auto"/>
        <w:ind w:firstLine="480" w:firstLineChars="200"/>
        <w:rPr>
          <w:rFonts w:hint="default" w:ascii="Times New Roman" w:hAnsi="Times New Roman" w:cs="Times New Roman"/>
          <w:color w:val="auto"/>
          <w:kern w:val="0"/>
          <w:sz w:val="24"/>
          <w:highlight w:val="none"/>
          <w:lang w:eastAsia="zh-CN"/>
        </w:rPr>
      </w:pPr>
      <w:r>
        <w:rPr>
          <w:rFonts w:hint="default" w:ascii="Times New Roman" w:hAnsi="Times New Roman" w:cs="Times New Roman"/>
          <w:color w:val="auto"/>
          <w:kern w:val="0"/>
          <w:sz w:val="24"/>
          <w:highlight w:val="none"/>
          <w:lang w:eastAsia="zh-CN"/>
        </w:rPr>
        <w:t>鄂州市最高地势四峰山，海拔485.8m；最低梁子镇之梁子门，海拔11.7m。分布有四种类型的地貌单元：北侧白浒镇～临江、东侧燕矶～杨叶为长江冲积阶地；东部和南部之东侧，由白雉山、峰尖子山和早山组成了丘陵地貌之基本骨架；北部和南部之西侧，为岗状平原，岗丘标高多在90m左右；中部梁子湖、鸭儿湖、三山湖、洋澜湖横贯鄂州腹地，形成了滞水冲湖积平原。</w:t>
      </w:r>
    </w:p>
    <w:p>
      <w:pPr>
        <w:pStyle w:val="5"/>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气象气候</w:t>
      </w:r>
    </w:p>
    <w:p>
      <w:pPr>
        <w:spacing w:line="360" w:lineRule="auto"/>
        <w:ind w:firstLine="480" w:firstLineChars="200"/>
        <w:rPr>
          <w:rFonts w:hint="default" w:ascii="Times New Roman" w:hAnsi="Times New Roman" w:cs="Times New Roman"/>
          <w:color w:val="auto"/>
          <w:kern w:val="0"/>
          <w:sz w:val="24"/>
          <w:highlight w:val="none"/>
          <w:lang w:eastAsia="zh-CN"/>
        </w:rPr>
      </w:pPr>
      <w:r>
        <w:rPr>
          <w:rFonts w:hint="default" w:ascii="Times New Roman" w:hAnsi="Times New Roman" w:cs="Times New Roman"/>
          <w:color w:val="auto"/>
          <w:kern w:val="0"/>
          <w:sz w:val="24"/>
          <w:highlight w:val="none"/>
          <w:lang w:eastAsia="zh-CN"/>
        </w:rPr>
        <w:t>鄂州市属亚热带季风气候区，季风气候明显，气候受我国东亚季风环流支配。冬冷夏热，四季分明，气温偏高变幅大；雨量充沛，梅雨明显，降水分布均衡，春秋季多阴雨，夏季降水明显偏少，易暴雨成灾；光照充足，多集中于7月；年均无霜期长，为250~300天。</w:t>
      </w:r>
    </w:p>
    <w:p>
      <w:pPr>
        <w:spacing w:line="360" w:lineRule="auto"/>
        <w:ind w:firstLine="480" w:firstLineChars="200"/>
        <w:rPr>
          <w:rFonts w:hint="default" w:ascii="Times New Roman" w:hAnsi="Times New Roman" w:cs="Times New Roman"/>
          <w:color w:val="auto"/>
          <w:kern w:val="0"/>
          <w:sz w:val="24"/>
          <w:highlight w:val="none"/>
          <w:lang w:eastAsia="zh-CN"/>
        </w:rPr>
      </w:pPr>
      <w:r>
        <w:rPr>
          <w:rFonts w:hint="default" w:ascii="Times New Roman" w:hAnsi="Times New Roman" w:cs="Times New Roman"/>
          <w:color w:val="auto"/>
          <w:highlight w:val="none"/>
        </w:rPr>
        <w:t>鄂州市秋、冬两季主导风向是偏北风，春、夏两季主导风向是偏东风。年均降雨量1282.8毫</w:t>
      </w:r>
      <w:r>
        <w:rPr>
          <w:rFonts w:hint="default" w:ascii="Times New Roman" w:hAnsi="Times New Roman" w:cs="Times New Roman"/>
          <w:color w:val="auto"/>
          <w:highlight w:val="none"/>
          <w:lang w:eastAsia="zh-CN"/>
        </w:rPr>
        <w:t>m</w:t>
      </w:r>
      <w:r>
        <w:rPr>
          <w:rFonts w:hint="default" w:ascii="Times New Roman" w:hAnsi="Times New Roman" w:cs="Times New Roman"/>
          <w:color w:val="auto"/>
          <w:highlight w:val="none"/>
        </w:rPr>
        <w:t>，年均日照2003.8小时，年均无霜期266天，平均气温17℃，最高气温40.7℃，最低气温-12.4℃。</w:t>
      </w:r>
    </w:p>
    <w:p>
      <w:pPr>
        <w:pStyle w:val="5"/>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水文水资源</w:t>
      </w:r>
    </w:p>
    <w:p>
      <w:pPr>
        <w:spacing w:line="360" w:lineRule="auto"/>
        <w:ind w:firstLine="480" w:firstLineChars="200"/>
        <w:jc w:val="left"/>
        <w:rPr>
          <w:rFonts w:hint="default" w:ascii="Times New Roman" w:hAnsi="Times New Roman" w:cs="Times New Roman" w:eastAsiaTheme="minorEastAsia"/>
          <w:color w:val="auto"/>
          <w:sz w:val="24"/>
          <w:szCs w:val="24"/>
          <w:highlight w:val="none"/>
          <w:shd w:val="clear" w:color="auto" w:fill="auto"/>
        </w:rPr>
      </w:pPr>
      <w:r>
        <w:rPr>
          <w:rFonts w:hint="default" w:ascii="Times New Roman" w:hAnsi="Times New Roman" w:cs="Times New Roman" w:eastAsiaTheme="minorEastAsia"/>
          <w:color w:val="auto"/>
          <w:sz w:val="24"/>
          <w:szCs w:val="24"/>
          <w:highlight w:val="none"/>
          <w:shd w:val="clear" w:color="auto" w:fill="auto"/>
        </w:rPr>
        <w:t>鄂州市位于长江中游南岸，境内河流星罗棋布，河道交叉纵横，素有“百湖之市”的美称。城区为河流所环绕，地表水体主要有北面的长江、西面的新港、长港，城区内的洋澜湖及市内零星分布的湖、水塘，地表水资源相当丰富。</w:t>
      </w:r>
    </w:p>
    <w:p>
      <w:pPr>
        <w:spacing w:line="360" w:lineRule="auto"/>
        <w:ind w:firstLine="480" w:firstLineChars="200"/>
        <w:jc w:val="left"/>
        <w:rPr>
          <w:rFonts w:hint="default" w:ascii="Times New Roman" w:hAnsi="Times New Roman" w:cs="Times New Roman" w:eastAsiaTheme="minorEastAsia"/>
          <w:color w:val="auto"/>
          <w:sz w:val="24"/>
          <w:szCs w:val="24"/>
          <w:highlight w:val="none"/>
          <w:shd w:val="clear" w:color="auto" w:fill="auto"/>
        </w:rPr>
      </w:pPr>
      <w:r>
        <w:rPr>
          <w:rFonts w:hint="default" w:ascii="Times New Roman" w:hAnsi="Times New Roman" w:cs="Times New Roman" w:eastAsiaTheme="minorEastAsia"/>
          <w:color w:val="auto"/>
          <w:sz w:val="24"/>
          <w:szCs w:val="24"/>
          <w:highlight w:val="none"/>
          <w:shd w:val="clear" w:color="auto" w:fill="auto"/>
        </w:rPr>
        <w:t>长江自西依市境而东流，在城区过境长约9km，河道较直，水深量大，江面宽约2000m，年平均流量23331m</w:t>
      </w:r>
      <w:r>
        <w:rPr>
          <w:rFonts w:hint="default" w:ascii="Times New Roman" w:hAnsi="Times New Roman" w:cs="Times New Roman" w:eastAsiaTheme="minorEastAsia"/>
          <w:color w:val="auto"/>
          <w:sz w:val="24"/>
          <w:szCs w:val="24"/>
          <w:highlight w:val="none"/>
          <w:shd w:val="clear" w:color="auto" w:fill="auto"/>
          <w:vertAlign w:val="superscript"/>
        </w:rPr>
        <w:t>3</w:t>
      </w:r>
      <w:r>
        <w:rPr>
          <w:rFonts w:hint="default" w:ascii="Times New Roman" w:hAnsi="Times New Roman" w:cs="Times New Roman" w:eastAsiaTheme="minorEastAsia"/>
          <w:color w:val="auto"/>
          <w:sz w:val="24"/>
          <w:szCs w:val="24"/>
          <w:highlight w:val="none"/>
          <w:shd w:val="clear" w:color="auto" w:fill="auto"/>
        </w:rPr>
        <w:t>/s，水位 17.37m</w:t>
      </w:r>
      <w:r>
        <w:rPr>
          <w:rFonts w:hint="eastAsia" w:cs="Times New Roman" w:eastAsiaTheme="minorEastAsia"/>
          <w:color w:val="auto"/>
          <w:sz w:val="24"/>
          <w:szCs w:val="24"/>
          <w:highlight w:val="none"/>
          <w:shd w:val="clear" w:color="auto" w:fill="auto"/>
          <w:lang w:eastAsia="zh-CN"/>
        </w:rPr>
        <w:t>；</w:t>
      </w:r>
      <w:r>
        <w:rPr>
          <w:rFonts w:hint="default" w:ascii="Times New Roman" w:hAnsi="Times New Roman" w:cs="Times New Roman" w:eastAsiaTheme="minorEastAsia"/>
          <w:color w:val="auto"/>
          <w:sz w:val="24"/>
          <w:szCs w:val="24"/>
          <w:highlight w:val="none"/>
          <w:shd w:val="clear" w:color="auto" w:fill="auto"/>
        </w:rPr>
        <w:t>丰水期流量39100m</w:t>
      </w:r>
      <w:r>
        <w:rPr>
          <w:rFonts w:hint="default" w:ascii="Times New Roman" w:hAnsi="Times New Roman" w:cs="Times New Roman" w:eastAsiaTheme="minorEastAsia"/>
          <w:color w:val="auto"/>
          <w:sz w:val="24"/>
          <w:szCs w:val="24"/>
          <w:highlight w:val="none"/>
          <w:shd w:val="clear" w:color="auto" w:fill="auto"/>
          <w:vertAlign w:val="superscript"/>
        </w:rPr>
        <w:t>3</w:t>
      </w:r>
      <w:r>
        <w:rPr>
          <w:rFonts w:hint="default" w:ascii="Times New Roman" w:hAnsi="Times New Roman" w:cs="Times New Roman" w:eastAsiaTheme="minorEastAsia"/>
          <w:color w:val="auto"/>
          <w:sz w:val="24"/>
          <w:szCs w:val="24"/>
          <w:highlight w:val="none"/>
          <w:shd w:val="clear" w:color="auto" w:fill="auto"/>
        </w:rPr>
        <w:t>/s，水位21.58m；枯水期平均流量 12076m</w:t>
      </w:r>
      <w:r>
        <w:rPr>
          <w:rFonts w:hint="default" w:ascii="Times New Roman" w:hAnsi="Times New Roman" w:cs="Times New Roman" w:eastAsiaTheme="minorEastAsia"/>
          <w:color w:val="auto"/>
          <w:sz w:val="24"/>
          <w:szCs w:val="24"/>
          <w:highlight w:val="none"/>
          <w:shd w:val="clear" w:color="auto" w:fill="auto"/>
          <w:vertAlign w:val="superscript"/>
        </w:rPr>
        <w:t>3</w:t>
      </w:r>
      <w:r>
        <w:rPr>
          <w:rFonts w:hint="default" w:ascii="Times New Roman" w:hAnsi="Times New Roman" w:cs="Times New Roman" w:eastAsiaTheme="minorEastAsia"/>
          <w:color w:val="auto"/>
          <w:sz w:val="24"/>
          <w:szCs w:val="24"/>
          <w:highlight w:val="none"/>
          <w:shd w:val="clear" w:color="auto" w:fill="auto"/>
        </w:rPr>
        <w:t>/s，水位 14.03m。鄂州市境内长江窄宽相间，单一性和弯曲型河段较窄，最小河宽870</w:t>
      </w:r>
      <w:r>
        <w:rPr>
          <w:rFonts w:hint="default" w:ascii="Times New Roman" w:hAnsi="Times New Roman" w:cs="Times New Roman" w:eastAsiaTheme="minorEastAsia"/>
          <w:color w:val="auto"/>
          <w:sz w:val="24"/>
          <w:szCs w:val="24"/>
          <w:highlight w:val="none"/>
          <w:shd w:val="clear" w:color="auto" w:fill="auto"/>
          <w:lang w:eastAsia="zh-CN"/>
        </w:rPr>
        <w:t>m</w:t>
      </w:r>
      <w:r>
        <w:rPr>
          <w:rFonts w:hint="default" w:ascii="Times New Roman" w:hAnsi="Times New Roman" w:cs="Times New Roman" w:eastAsiaTheme="minorEastAsia"/>
          <w:color w:val="auto"/>
          <w:sz w:val="24"/>
          <w:szCs w:val="24"/>
          <w:highlight w:val="none"/>
          <w:shd w:val="clear" w:color="auto" w:fill="auto"/>
        </w:rPr>
        <w:t>，河宽最大达8000</w:t>
      </w:r>
      <w:r>
        <w:rPr>
          <w:rFonts w:hint="default" w:ascii="Times New Roman" w:hAnsi="Times New Roman" w:cs="Times New Roman" w:eastAsiaTheme="minorEastAsia"/>
          <w:color w:val="auto"/>
          <w:sz w:val="24"/>
          <w:szCs w:val="24"/>
          <w:highlight w:val="none"/>
          <w:shd w:val="clear" w:color="auto" w:fill="auto"/>
          <w:lang w:eastAsia="zh-CN"/>
        </w:rPr>
        <w:t>m</w:t>
      </w:r>
      <w:r>
        <w:rPr>
          <w:rFonts w:hint="default" w:ascii="Times New Roman" w:hAnsi="Times New Roman" w:cs="Times New Roman" w:eastAsiaTheme="minorEastAsia"/>
          <w:color w:val="auto"/>
          <w:sz w:val="24"/>
          <w:szCs w:val="24"/>
          <w:highlight w:val="none"/>
          <w:shd w:val="clear" w:color="auto" w:fill="auto"/>
        </w:rPr>
        <w:t>。由于长江水量丰沛，汛期时间长，在多年的平均情况下，每年 5~10月为汛期，2~3月为枯水期，境内长江年平均水位17.20</w:t>
      </w:r>
      <w:r>
        <w:rPr>
          <w:rFonts w:hint="default" w:ascii="Times New Roman" w:hAnsi="Times New Roman" w:cs="Times New Roman" w:eastAsiaTheme="minorEastAsia"/>
          <w:color w:val="auto"/>
          <w:sz w:val="24"/>
          <w:szCs w:val="24"/>
          <w:highlight w:val="none"/>
          <w:shd w:val="clear" w:color="auto" w:fill="auto"/>
          <w:lang w:eastAsia="zh-CN"/>
        </w:rPr>
        <w:t>m</w:t>
      </w:r>
      <w:r>
        <w:rPr>
          <w:rFonts w:hint="default" w:ascii="Times New Roman" w:hAnsi="Times New Roman" w:cs="Times New Roman" w:eastAsiaTheme="minorEastAsia"/>
          <w:color w:val="auto"/>
          <w:sz w:val="24"/>
          <w:szCs w:val="24"/>
          <w:highlight w:val="none"/>
          <w:shd w:val="clear" w:color="auto" w:fill="auto"/>
        </w:rPr>
        <w:t>，年平均流量为23800立方</w:t>
      </w:r>
      <w:r>
        <w:rPr>
          <w:rFonts w:hint="default" w:ascii="Times New Roman" w:hAnsi="Times New Roman" w:cs="Times New Roman" w:eastAsiaTheme="minorEastAsia"/>
          <w:color w:val="auto"/>
          <w:sz w:val="24"/>
          <w:szCs w:val="24"/>
          <w:highlight w:val="none"/>
          <w:shd w:val="clear" w:color="auto" w:fill="auto"/>
          <w:lang w:eastAsia="zh-CN"/>
        </w:rPr>
        <w:t>m</w:t>
      </w:r>
      <w:r>
        <w:rPr>
          <w:rFonts w:hint="default" w:ascii="Times New Roman" w:hAnsi="Times New Roman" w:cs="Times New Roman" w:eastAsiaTheme="minorEastAsia"/>
          <w:color w:val="auto"/>
          <w:sz w:val="24"/>
          <w:szCs w:val="24"/>
          <w:highlight w:val="none"/>
          <w:shd w:val="clear" w:color="auto" w:fill="auto"/>
        </w:rPr>
        <w:t>/秒，年平均含沙量为0.586公斤/立方</w:t>
      </w:r>
      <w:r>
        <w:rPr>
          <w:rFonts w:hint="default" w:ascii="Times New Roman" w:hAnsi="Times New Roman" w:cs="Times New Roman" w:eastAsiaTheme="minorEastAsia"/>
          <w:color w:val="auto"/>
          <w:sz w:val="24"/>
          <w:szCs w:val="24"/>
          <w:highlight w:val="none"/>
          <w:shd w:val="clear" w:color="auto" w:fill="auto"/>
          <w:lang w:eastAsia="zh-CN"/>
        </w:rPr>
        <w:t>m</w:t>
      </w:r>
      <w:r>
        <w:rPr>
          <w:rFonts w:hint="default" w:ascii="Times New Roman" w:hAnsi="Times New Roman" w:cs="Times New Roman" w:eastAsiaTheme="minorEastAsia"/>
          <w:color w:val="auto"/>
          <w:sz w:val="24"/>
          <w:szCs w:val="24"/>
          <w:highlight w:val="none"/>
          <w:shd w:val="clear" w:color="auto" w:fill="auto"/>
        </w:rPr>
        <w:t>，年平均输沙量为43000万吨。</w:t>
      </w:r>
    </w:p>
    <w:p>
      <w:pPr>
        <w:pStyle w:val="5"/>
        <w:tabs>
          <w:tab w:val="clear" w:pos="851"/>
        </w:tabs>
        <w:rPr>
          <w:rFonts w:hint="default" w:ascii="Times New Roman" w:hAnsi="Times New Roman" w:cs="Times New Roman"/>
          <w:color w:val="auto"/>
          <w:highlight w:val="none"/>
        </w:rPr>
      </w:pPr>
      <w:r>
        <w:rPr>
          <w:rFonts w:hint="default" w:ascii="Times New Roman" w:hAnsi="Times New Roman" w:cs="Times New Roman"/>
          <w:color w:val="auto"/>
          <w:highlight w:val="none"/>
        </w:rPr>
        <w:t>工程地质及水文地质概况</w:t>
      </w:r>
    </w:p>
    <w:p>
      <w:pPr>
        <w:autoSpaceDE w:val="0"/>
        <w:autoSpaceDN w:val="0"/>
        <w:adjustRightInd w:val="0"/>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鄂州力兴统领科技有限公司、湖北鸿昇矿业有限公司分别位于本园区的中西部和东侧红线内，</w:t>
      </w:r>
      <w:r>
        <w:rPr>
          <w:rFonts w:hint="default" w:ascii="Times New Roman" w:hAnsi="Times New Roman" w:cs="Times New Roman"/>
          <w:color w:val="auto"/>
          <w:sz w:val="24"/>
          <w:highlight w:val="none"/>
        </w:rPr>
        <w:t>本报告引用《</w:t>
      </w:r>
      <w:r>
        <w:rPr>
          <w:rFonts w:hint="default" w:ascii="Times New Roman" w:hAnsi="Times New Roman" w:cs="Times New Roman"/>
          <w:color w:val="auto"/>
          <w:sz w:val="24"/>
          <w:highlight w:val="none"/>
          <w:lang w:eastAsia="zh-CN"/>
        </w:rPr>
        <w:t>鄂州力兴建材有限公司岩土工程勘察报告</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武汉地质工程勘察院，</w:t>
      </w:r>
      <w:r>
        <w:rPr>
          <w:rFonts w:hint="default" w:ascii="Times New Roman" w:hAnsi="Times New Roman" w:cs="Times New Roman"/>
          <w:color w:val="auto"/>
          <w:sz w:val="24"/>
          <w:highlight w:val="none"/>
          <w:lang w:val="en-US" w:eastAsia="zh-CN"/>
        </w:rPr>
        <w:t>2010年8月1日</w:t>
      </w:r>
      <w:r>
        <w:rPr>
          <w:rFonts w:hint="default" w:ascii="Times New Roman" w:hAnsi="Times New Roman" w:cs="Times New Roman"/>
          <w:color w:val="auto"/>
          <w:sz w:val="24"/>
          <w:highlight w:val="none"/>
        </w:rPr>
        <w:t>）（以下简称</w:t>
      </w:r>
      <w:r>
        <w:rPr>
          <w:rFonts w:hint="default" w:ascii="Times New Roman" w:hAnsi="Times New Roman" w:cs="Times New Roman"/>
          <w:color w:val="auto"/>
          <w:sz w:val="24"/>
          <w:highlight w:val="none"/>
          <w:lang w:eastAsia="zh-CN"/>
        </w:rPr>
        <w:t>“力兴建材</w:t>
      </w:r>
      <w:r>
        <w:rPr>
          <w:rFonts w:hint="default" w:ascii="Times New Roman" w:hAnsi="Times New Roman" w:cs="Times New Roman"/>
          <w:color w:val="auto"/>
          <w:sz w:val="24"/>
          <w:highlight w:val="none"/>
        </w:rPr>
        <w:t>地勘报告</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和《湖北鸿昇矿业有限公司</w:t>
      </w:r>
      <w:r>
        <w:rPr>
          <w:rFonts w:hint="default" w:ascii="Times New Roman" w:hAnsi="Times New Roman" w:cs="Times New Roman"/>
          <w:color w:val="auto"/>
          <w:sz w:val="24"/>
          <w:highlight w:val="none"/>
          <w:lang w:val="en-US" w:eastAsia="zh-CN"/>
        </w:rPr>
        <w:t>150万t/d选矿厂岩土工程勘察报告</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黄石市佳境建筑设计有限公司，</w:t>
      </w:r>
      <w:r>
        <w:rPr>
          <w:rFonts w:hint="default" w:ascii="Times New Roman" w:hAnsi="Times New Roman" w:cs="Times New Roman"/>
          <w:color w:val="auto"/>
          <w:sz w:val="24"/>
          <w:highlight w:val="none"/>
          <w:lang w:val="en-US" w:eastAsia="zh-CN"/>
        </w:rPr>
        <w:t>2012年4月</w:t>
      </w:r>
      <w:r>
        <w:rPr>
          <w:rFonts w:hint="default" w:ascii="Times New Roman" w:hAnsi="Times New Roman" w:cs="Times New Roman"/>
          <w:color w:val="auto"/>
          <w:sz w:val="24"/>
          <w:highlight w:val="none"/>
        </w:rPr>
        <w:t>）（以下简称</w:t>
      </w:r>
      <w:r>
        <w:rPr>
          <w:rFonts w:hint="default" w:ascii="Times New Roman" w:hAnsi="Times New Roman" w:cs="Times New Roman"/>
          <w:color w:val="auto"/>
          <w:sz w:val="24"/>
          <w:highlight w:val="none"/>
          <w:lang w:eastAsia="zh-CN"/>
        </w:rPr>
        <w:t>“鸿昇矿业地勘</w:t>
      </w:r>
      <w:r>
        <w:rPr>
          <w:rFonts w:hint="default" w:ascii="Times New Roman" w:hAnsi="Times New Roman" w:cs="Times New Roman"/>
          <w:color w:val="auto"/>
          <w:sz w:val="24"/>
          <w:highlight w:val="none"/>
        </w:rPr>
        <w:t>报告</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）中相关内容进行分析。</w:t>
      </w:r>
    </w:p>
    <w:p>
      <w:pPr>
        <w:pStyle w:val="6"/>
        <w:numPr>
          <w:ilvl w:val="0"/>
          <w:numId w:val="0"/>
        </w:numPr>
        <w:bidi w:val="0"/>
        <w:ind w:leftChars="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2.1.</w:t>
      </w:r>
      <w:r>
        <w:rPr>
          <w:rFonts w:hint="default" w:ascii="Times New Roman" w:hAnsi="Times New Roman" w:cs="Times New Roman"/>
          <w:color w:val="auto"/>
          <w:highlight w:val="none"/>
          <w:lang w:val="en-US" w:eastAsia="zh-CN"/>
        </w:rPr>
        <w:t>5</w:t>
      </w:r>
      <w:r>
        <w:rPr>
          <w:rFonts w:hint="default"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lang w:eastAsia="zh-CN"/>
        </w:rPr>
        <w:t>工程地质概况</w:t>
      </w:r>
    </w:p>
    <w:p>
      <w:pPr>
        <w:autoSpaceDE w:val="0"/>
        <w:autoSpaceDN w:val="0"/>
        <w:adjustRightInd w:val="0"/>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w:t>
      </w:r>
      <w:r>
        <w:rPr>
          <w:rFonts w:hint="default" w:ascii="Times New Roman" w:hAnsi="Times New Roman" w:cs="Times New Roman"/>
          <w:color w:val="auto"/>
          <w:sz w:val="24"/>
          <w:highlight w:val="none"/>
          <w:lang w:eastAsia="zh-CN"/>
        </w:rPr>
        <w:t>力兴建材</w:t>
      </w:r>
      <w:r>
        <w:rPr>
          <w:rFonts w:hint="default" w:ascii="Times New Roman" w:hAnsi="Times New Roman" w:cs="Times New Roman"/>
          <w:color w:val="auto"/>
          <w:sz w:val="24"/>
          <w:highlight w:val="none"/>
        </w:rPr>
        <w:t>地勘报告</w:t>
      </w:r>
      <w:r>
        <w:rPr>
          <w:rFonts w:hint="default" w:ascii="Times New Roman" w:hAnsi="Times New Roman" w:cs="Times New Roman"/>
          <w:color w:val="auto"/>
          <w:sz w:val="24"/>
          <w:highlight w:val="none"/>
          <w:lang w:eastAsia="zh-CN"/>
        </w:rPr>
        <w:t>及鸿昇矿业地勘</w:t>
      </w:r>
      <w:r>
        <w:rPr>
          <w:rFonts w:hint="default" w:ascii="Times New Roman" w:hAnsi="Times New Roman" w:cs="Times New Roman"/>
          <w:color w:val="auto"/>
          <w:sz w:val="24"/>
          <w:highlight w:val="none"/>
        </w:rPr>
        <w:t>报告，调查</w:t>
      </w:r>
      <w:r>
        <w:rPr>
          <w:rFonts w:hint="default" w:ascii="Times New Roman" w:hAnsi="Times New Roman" w:cs="Times New Roman"/>
          <w:color w:val="auto"/>
          <w:sz w:val="24"/>
          <w:highlight w:val="none"/>
          <w:lang w:eastAsia="zh-CN"/>
        </w:rPr>
        <w:t>园区</w:t>
      </w:r>
      <w:r>
        <w:rPr>
          <w:rFonts w:hint="default" w:ascii="Times New Roman" w:hAnsi="Times New Roman" w:cs="Times New Roman"/>
          <w:color w:val="auto"/>
          <w:sz w:val="24"/>
          <w:highlight w:val="none"/>
        </w:rPr>
        <w:t>勘察范围内所分布的地层表层</w:t>
      </w:r>
      <w:r>
        <w:rPr>
          <w:rFonts w:hint="default" w:ascii="Times New Roman" w:hAnsi="Times New Roman" w:cs="Times New Roman"/>
          <w:color w:val="auto"/>
          <w:sz w:val="24"/>
          <w:highlight w:val="none"/>
          <w:lang w:eastAsia="zh-CN"/>
        </w:rPr>
        <w:t>大致一致，从上至下依次为素填土、粉质粘土、泥质粉砂岩</w:t>
      </w:r>
      <w:r>
        <w:rPr>
          <w:rFonts w:hint="default" w:ascii="Times New Roman" w:hAnsi="Times New Roman" w:cs="Times New Roman"/>
          <w:color w:val="auto"/>
          <w:sz w:val="24"/>
          <w:highlight w:val="none"/>
        </w:rPr>
        <w:t>。各岩土层分布情况及主要特征如下：</w:t>
      </w:r>
    </w:p>
    <w:p>
      <w:pPr>
        <w:spacing w:line="360" w:lineRule="auto"/>
        <w:jc w:val="center"/>
        <w:rPr>
          <w:rFonts w:hint="default" w:ascii="Times New Roman" w:hAnsi="Times New Roman" w:eastAsia="黑体" w:cs="Times New Roman"/>
          <w:b/>
          <w:color w:val="auto"/>
          <w:sz w:val="24"/>
          <w:highlight w:val="none"/>
          <w:lang w:val="en-US" w:eastAsia="zh-CN"/>
        </w:rPr>
      </w:pPr>
      <w:r>
        <w:rPr>
          <w:rFonts w:hint="default" w:ascii="Times New Roman" w:hAnsi="Times New Roman" w:eastAsia="黑体" w:cs="Times New Roman"/>
          <w:b/>
          <w:color w:val="auto"/>
          <w:sz w:val="24"/>
          <w:highlight w:val="none"/>
          <w:lang w:val="en-US" w:eastAsia="zh-CN"/>
        </w:rPr>
        <w:t>表2-1-1 园区内部分地块工程地质情况</w:t>
      </w:r>
    </w:p>
    <w:tbl>
      <w:tblPr>
        <w:tblStyle w:val="22"/>
        <w:tblW w:w="9854"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30"/>
        <w:gridCol w:w="3735"/>
        <w:gridCol w:w="438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730" w:type="dxa"/>
            <w:tcBorders>
              <w:top w:val="single" w:color="auto" w:sz="12" w:space="0"/>
              <w:bottom w:val="single" w:color="auto" w:sz="12" w:space="0"/>
            </w:tcBorders>
            <w:vAlign w:val="center"/>
            <mc:AlternateContent>
              <mc:Choice Requires="wpsCustomData">
                <wpsCustomData:diagonals>
                  <wpsCustomData:diagonal from="10000" to="30000">
                    <wpsCustomData:border w:val="single" w:color="auto" w:sz="12" w:space="0"/>
                  </wpsCustomData:diagonal>
                </wpsCustomData:diagonals>
              </mc:Choice>
            </mc:AlternateContent>
          </w:tcPr>
          <w:p>
            <w:pPr>
              <w:pStyle w:val="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eastAsia="zh-CN"/>
              </w:rPr>
            </w:pPr>
          </w:p>
          <w:p>
            <w:pPr>
              <w:pStyle w:val="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mc:AlternateContent>
                <mc:Choice Requires="wpsCustomData">
                  <wpsCustomData:diagonalParaType/>
                </mc:Choice>
              </mc:AlternateContent>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cs="Times New Roman"/>
                <w:b/>
                <w:bCs/>
                <w:color w:val="auto"/>
                <w:sz w:val="21"/>
                <w:szCs w:val="21"/>
                <w:highlight w:val="none"/>
                <w:vertAlign w:val="baseline"/>
                <w:lang w:eastAsia="zh-CN"/>
              </w:rPr>
              <w:t>地层</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cs="Times New Roman"/>
                <w:b/>
                <w:bCs/>
                <w:color w:val="auto"/>
                <w:sz w:val="21"/>
                <w:szCs w:val="21"/>
                <w:highlight w:val="none"/>
                <w:vertAlign w:val="baseline"/>
                <w:lang w:eastAsia="zh-CN"/>
              </w:rPr>
              <w:t>描述</w:t>
            </w:r>
          </w:p>
        </w:tc>
        <w:tc>
          <w:tcPr>
            <w:tcW w:w="3735" w:type="dxa"/>
            <w:tcBorders>
              <w:top w:val="single" w:color="auto" w:sz="12" w:space="0"/>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vertAlign w:val="baseline"/>
              </w:rPr>
            </w:pPr>
            <w:r>
              <w:rPr>
                <w:rFonts w:hint="default" w:ascii="Times New Roman" w:hAnsi="Times New Roman" w:cs="Times New Roman"/>
                <w:b/>
                <w:bCs/>
                <w:color w:val="auto"/>
                <w:sz w:val="21"/>
                <w:szCs w:val="21"/>
                <w:highlight w:val="none"/>
                <w:lang w:eastAsia="zh-CN"/>
              </w:rPr>
              <w:t>力兴建材</w:t>
            </w:r>
            <w:r>
              <w:rPr>
                <w:rFonts w:hint="default" w:ascii="Times New Roman" w:hAnsi="Times New Roman" w:cs="Times New Roman"/>
                <w:b/>
                <w:bCs/>
                <w:color w:val="auto"/>
                <w:sz w:val="21"/>
                <w:szCs w:val="21"/>
                <w:highlight w:val="none"/>
              </w:rPr>
              <w:t>地勘报告</w:t>
            </w:r>
          </w:p>
        </w:tc>
        <w:tc>
          <w:tcPr>
            <w:tcW w:w="4389" w:type="dxa"/>
            <w:tcBorders>
              <w:top w:val="single" w:color="auto" w:sz="12" w:space="0"/>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vertAlign w:val="baseline"/>
              </w:rPr>
            </w:pPr>
            <w:r>
              <w:rPr>
                <w:rFonts w:hint="default" w:ascii="Times New Roman" w:hAnsi="Times New Roman" w:cs="Times New Roman"/>
                <w:b/>
                <w:bCs/>
                <w:color w:val="auto"/>
                <w:sz w:val="21"/>
                <w:szCs w:val="21"/>
                <w:highlight w:val="none"/>
                <w:lang w:eastAsia="zh-CN"/>
              </w:rPr>
              <w:t>鸿昇矿业地勘</w:t>
            </w:r>
            <w:r>
              <w:rPr>
                <w:rFonts w:hint="default" w:ascii="Times New Roman" w:hAnsi="Times New Roman" w:cs="Times New Roman"/>
                <w:b/>
                <w:bCs/>
                <w:color w:val="auto"/>
                <w:sz w:val="21"/>
                <w:szCs w:val="21"/>
                <w:highlight w:val="none"/>
              </w:rPr>
              <w:t>报告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30" w:type="dxa"/>
            <w:tcBorders>
              <w:top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①素填土</w:t>
            </w:r>
          </w:p>
        </w:tc>
        <w:tc>
          <w:tcPr>
            <w:tcW w:w="3735" w:type="dxa"/>
            <w:tcBorders>
              <w:top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eastAsia="zh-CN"/>
              </w:rPr>
              <w:t>杂色，稍湿，主要成份粘性土、淤泥质土夹植物根茎和少量建筑垃圾组成，层厚0.3-2.9m， 平均厚度1.9m.</w:t>
            </w:r>
          </w:p>
        </w:tc>
        <w:tc>
          <w:tcPr>
            <w:tcW w:w="4389" w:type="dxa"/>
            <w:tcBorders>
              <w:top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eastAsia="zh-CN"/>
              </w:rPr>
              <w:t>灰色，湿，松散状态，以粘性土为主，见植物根，层厚</w:t>
            </w:r>
            <w:r>
              <w:rPr>
                <w:rFonts w:hint="default" w:ascii="Times New Roman" w:hAnsi="Times New Roman" w:cs="Times New Roman"/>
                <w:color w:val="auto"/>
                <w:sz w:val="21"/>
                <w:szCs w:val="21"/>
                <w:highlight w:val="none"/>
                <w:vertAlign w:val="baseline"/>
                <w:lang w:val="en-US" w:eastAsia="zh-CN"/>
              </w:rPr>
              <w:t>0.5-2.5m。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3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eastAsia="zh-CN"/>
              </w:rPr>
              <w:t>②粉质粘土</w:t>
            </w:r>
          </w:p>
        </w:tc>
        <w:tc>
          <w:tcPr>
            <w:tcW w:w="3735"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eastAsia="zh-CN"/>
              </w:rPr>
              <w:t>黄色、可塑状态，含铁锰质及少量灰、灰绿高岭土团块，层厚0.8-2. 6m,平均厚度1.4m，层面埋深1.3-2. 7m，</w:t>
            </w:r>
          </w:p>
        </w:tc>
        <w:tc>
          <w:tcPr>
            <w:tcW w:w="4389"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eastAsia="zh-CN"/>
              </w:rPr>
              <w:t>灰黄色，可塑状态，含高岭土、铁锰质。为本场地“硬壳层"，层厚0.7-3. 0m，层项埋深0.5-2.1m。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3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③粉质粘土</w:t>
            </w:r>
          </w:p>
        </w:tc>
        <w:tc>
          <w:tcPr>
            <w:tcW w:w="3735"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eastAsia="zh-CN"/>
              </w:rPr>
              <w:t>黄色一黄褐色，硬塑状态，含铁锰质及少量灰、灰绿高岭土团块，揭露层厚5.1-12. 0m，平均厚度8.7m，层面埋深0.5-5. 1m.</w:t>
            </w:r>
          </w:p>
        </w:tc>
        <w:tc>
          <w:tcPr>
            <w:tcW w:w="4389"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rPr>
            </w:pPr>
            <w:r>
              <w:rPr>
                <w:rFonts w:hint="default" w:ascii="Times New Roman" w:hAnsi="Times New Roman" w:cs="Times New Roman"/>
                <w:color w:val="auto"/>
                <w:sz w:val="21"/>
                <w:szCs w:val="21"/>
                <w:highlight w:val="none"/>
                <w:vertAlign w:val="baseline"/>
                <w:lang w:eastAsia="zh-CN"/>
              </w:rPr>
              <w:t>灰黑色，饱和、流塑状态，含薄层状砂。层厚2.2-23.6m，层顶埋深1.0-3.7m。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3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④</w:t>
            </w:r>
            <w:r>
              <w:rPr>
                <w:rFonts w:hint="default" w:ascii="Times New Roman" w:hAnsi="Times New Roman" w:cs="Times New Roman"/>
                <w:color w:val="auto"/>
                <w:sz w:val="21"/>
                <w:szCs w:val="21"/>
                <w:highlight w:val="none"/>
                <w:vertAlign w:val="baseline"/>
                <w:lang w:val="en-US" w:eastAsia="zh-CN"/>
              </w:rPr>
              <w:t xml:space="preserve">-1 </w:t>
            </w:r>
            <w:r>
              <w:rPr>
                <w:rFonts w:hint="default" w:ascii="Times New Roman" w:hAnsi="Times New Roman" w:cs="Times New Roman"/>
                <w:color w:val="auto"/>
                <w:sz w:val="21"/>
                <w:szCs w:val="21"/>
                <w:highlight w:val="none"/>
                <w:vertAlign w:val="baseline"/>
                <w:lang w:eastAsia="zh-CN"/>
              </w:rPr>
              <w:t>粉质粘土</w:t>
            </w:r>
          </w:p>
        </w:tc>
        <w:tc>
          <w:tcPr>
            <w:tcW w:w="3735"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w:t>
            </w:r>
          </w:p>
        </w:tc>
        <w:tc>
          <w:tcPr>
            <w:tcW w:w="4389"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eastAsia="zh-CN"/>
              </w:rPr>
              <w:t>灰色，可塑状态，含高岭土、铁锰质、少量砂。层厚</w:t>
            </w:r>
            <w:r>
              <w:rPr>
                <w:rFonts w:hint="default" w:ascii="Times New Roman" w:hAnsi="Times New Roman" w:cs="Times New Roman"/>
                <w:color w:val="auto"/>
                <w:sz w:val="21"/>
                <w:szCs w:val="21"/>
                <w:highlight w:val="none"/>
                <w:vertAlign w:val="baseline"/>
                <w:lang w:val="en-US" w:eastAsia="zh-CN"/>
              </w:rPr>
              <w:t>0.9-15.2m，层顶埋深1.2-18.1m。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3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④</w:t>
            </w:r>
            <w:r>
              <w:rPr>
                <w:rFonts w:hint="default" w:ascii="Times New Roman" w:hAnsi="Times New Roman" w:cs="Times New Roman"/>
                <w:color w:val="auto"/>
                <w:sz w:val="21"/>
                <w:szCs w:val="21"/>
                <w:highlight w:val="none"/>
                <w:vertAlign w:val="baseline"/>
                <w:lang w:val="en-US" w:eastAsia="zh-CN"/>
              </w:rPr>
              <w:t xml:space="preserve">-2 </w:t>
            </w:r>
            <w:r>
              <w:rPr>
                <w:rFonts w:hint="default" w:ascii="Times New Roman" w:hAnsi="Times New Roman" w:cs="Times New Roman"/>
                <w:color w:val="auto"/>
                <w:sz w:val="21"/>
                <w:szCs w:val="21"/>
                <w:highlight w:val="none"/>
                <w:vertAlign w:val="baseline"/>
                <w:lang w:eastAsia="zh-CN"/>
              </w:rPr>
              <w:t>粉质粘土</w:t>
            </w:r>
          </w:p>
        </w:tc>
        <w:tc>
          <w:tcPr>
            <w:tcW w:w="3735"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w:t>
            </w:r>
          </w:p>
        </w:tc>
        <w:tc>
          <w:tcPr>
            <w:tcW w:w="4389"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灰色。可硬塑状态。含高岭土、铁锰质结核。层厚4.1-17.9m，层项埋深6.0-20.1m。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3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④</w:t>
            </w:r>
            <w:r>
              <w:rPr>
                <w:rFonts w:hint="default" w:ascii="Times New Roman" w:hAnsi="Times New Roman" w:cs="Times New Roman"/>
                <w:color w:val="auto"/>
                <w:sz w:val="21"/>
                <w:szCs w:val="21"/>
                <w:highlight w:val="none"/>
                <w:vertAlign w:val="baseline"/>
                <w:lang w:val="en-US" w:eastAsia="zh-CN"/>
              </w:rPr>
              <w:t xml:space="preserve">-3 </w:t>
            </w:r>
            <w:r>
              <w:rPr>
                <w:rFonts w:hint="default" w:ascii="Times New Roman" w:hAnsi="Times New Roman" w:cs="Times New Roman"/>
                <w:color w:val="auto"/>
                <w:sz w:val="21"/>
                <w:szCs w:val="21"/>
                <w:highlight w:val="none"/>
                <w:vertAlign w:val="baseline"/>
                <w:lang w:eastAsia="zh-CN"/>
              </w:rPr>
              <w:t>粉质粘土</w:t>
            </w:r>
          </w:p>
        </w:tc>
        <w:tc>
          <w:tcPr>
            <w:tcW w:w="3735"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w:t>
            </w:r>
          </w:p>
        </w:tc>
        <w:tc>
          <w:tcPr>
            <w:tcW w:w="4389"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灰色，软可塑状态，含高岭土、铁锰质、少量砂。层厚1.5-17.2m，顶埋深69-23.5m。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30"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val="en-US" w:eastAsia="zh-CN"/>
              </w:rPr>
              <w:t>⑤-1强风化泥质粉砂岩</w:t>
            </w:r>
          </w:p>
        </w:tc>
        <w:tc>
          <w:tcPr>
            <w:tcW w:w="3735"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w:t>
            </w:r>
          </w:p>
        </w:tc>
        <w:tc>
          <w:tcPr>
            <w:tcW w:w="4389"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紫红色、紫色，岩芯呈砂土状、碎块状，残留岩块手可折断。层厚2. 1-7.1m.层项埋21.6-28. 2m。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30" w:type="dxa"/>
            <w:tcBorders>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val="en-US" w:eastAsia="zh-CN"/>
              </w:rPr>
              <w:t>⑤-2中风化泥质粉砂岩</w:t>
            </w:r>
          </w:p>
        </w:tc>
        <w:tc>
          <w:tcPr>
            <w:tcW w:w="3735" w:type="dxa"/>
            <w:tcBorders>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w:t>
            </w:r>
          </w:p>
        </w:tc>
        <w:tc>
          <w:tcPr>
            <w:tcW w:w="4389" w:type="dxa"/>
            <w:tcBorders>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紫红色、紫色，岩芯呈柱状、长柱状。岩芯采取率较低，为软岩、岩体完整程度为较破碎、基本质量等级为V类。层厚未揭穿，层顶埋深24.7-32.0m。</w:t>
            </w:r>
          </w:p>
        </w:tc>
      </w:tr>
    </w:tbl>
    <w:p>
      <w:pPr>
        <w:pStyle w:val="6"/>
        <w:numPr>
          <w:ilvl w:val="0"/>
          <w:numId w:val="0"/>
        </w:numPr>
        <w:bidi w:val="0"/>
        <w:ind w:leftChars="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2.1.5.2</w:t>
      </w:r>
      <w:r>
        <w:rPr>
          <w:rFonts w:hint="default" w:ascii="Times New Roman" w:hAnsi="Times New Roman" w:cs="Times New Roman"/>
          <w:color w:val="auto"/>
          <w:highlight w:val="none"/>
          <w:lang w:eastAsia="zh-CN"/>
        </w:rPr>
        <w:t>水文地质概况</w:t>
      </w:r>
    </w:p>
    <w:p>
      <w:pPr>
        <w:spacing w:line="360" w:lineRule="auto"/>
        <w:ind w:firstLine="560"/>
        <w:rPr>
          <w:rFonts w:hint="default" w:ascii="Times New Roman" w:hAnsi="Times New Roman" w:cs="Times New Roman"/>
          <w:color w:val="auto"/>
          <w:highlight w:val="none"/>
        </w:rPr>
      </w:pPr>
      <w:r>
        <w:rPr>
          <w:rFonts w:hint="default" w:ascii="Times New Roman" w:hAnsi="Times New Roman" w:cs="Times New Roman"/>
          <w:color w:val="auto"/>
          <w:sz w:val="24"/>
          <w:highlight w:val="none"/>
        </w:rPr>
        <w:t>根据</w:t>
      </w:r>
      <w:r>
        <w:rPr>
          <w:rFonts w:hint="default" w:ascii="Times New Roman" w:hAnsi="Times New Roman" w:cs="Times New Roman"/>
          <w:color w:val="auto"/>
          <w:sz w:val="24"/>
          <w:highlight w:val="none"/>
          <w:lang w:eastAsia="zh-CN"/>
        </w:rPr>
        <w:t>力兴建材</w:t>
      </w:r>
      <w:r>
        <w:rPr>
          <w:rFonts w:hint="default" w:ascii="Times New Roman" w:hAnsi="Times New Roman" w:cs="Times New Roman"/>
          <w:color w:val="auto"/>
          <w:sz w:val="24"/>
          <w:highlight w:val="none"/>
        </w:rPr>
        <w:t>地勘报告</w:t>
      </w:r>
      <w:r>
        <w:rPr>
          <w:rFonts w:hint="default" w:ascii="Times New Roman" w:hAnsi="Times New Roman" w:cs="Times New Roman"/>
          <w:color w:val="auto"/>
          <w:sz w:val="24"/>
          <w:highlight w:val="none"/>
          <w:lang w:eastAsia="zh-CN"/>
        </w:rPr>
        <w:t>及鸿昇矿业地勘</w:t>
      </w:r>
      <w:r>
        <w:rPr>
          <w:rFonts w:hint="default" w:ascii="Times New Roman" w:hAnsi="Times New Roman" w:cs="Times New Roman"/>
          <w:color w:val="auto"/>
          <w:sz w:val="24"/>
          <w:highlight w:val="none"/>
        </w:rPr>
        <w:t>报告</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eastAsia="zh-CN"/>
        </w:rPr>
        <w:t>勘察范围内和钻孔所达深度内地下水类型主要为潜水，主要补给源为大气降水和地表水。地下水水量较小、受季节影响较大，</w:t>
      </w:r>
      <w:r>
        <w:rPr>
          <w:rFonts w:hint="default" w:ascii="Times New Roman" w:hAnsi="Times New Roman" w:cs="Times New Roman"/>
          <w:color w:val="auto"/>
          <w:kern w:val="0"/>
          <w:sz w:val="24"/>
          <w:highlight w:val="none"/>
          <w:lang w:val="en-US" w:eastAsia="zh-CN"/>
        </w:rPr>
        <w:t>勘察期间测得其水位埋深为1.50-2.30m。</w:t>
      </w:r>
    </w:p>
    <w:bookmarkEnd w:id="19"/>
    <w:p>
      <w:pPr>
        <w:pStyle w:val="4"/>
        <w:rPr>
          <w:rFonts w:hint="default" w:ascii="Times New Roman" w:hAnsi="Times New Roman" w:cs="Times New Roman"/>
          <w:color w:val="auto"/>
          <w:highlight w:val="none"/>
        </w:rPr>
      </w:pPr>
      <w:bookmarkStart w:id="20" w:name="_Toc25362"/>
      <w:bookmarkStart w:id="21" w:name="_Toc18975"/>
      <w:r>
        <w:rPr>
          <w:rFonts w:hint="default" w:ascii="Times New Roman" w:hAnsi="Times New Roman" w:cs="Times New Roman"/>
          <w:color w:val="auto"/>
          <w:highlight w:val="none"/>
          <w:lang w:eastAsia="zh-CN"/>
        </w:rPr>
        <w:t>园区概况</w:t>
      </w:r>
      <w:bookmarkEnd w:id="20"/>
      <w:bookmarkEnd w:id="21"/>
    </w:p>
    <w:p>
      <w:pPr>
        <w:pStyle w:val="5"/>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园区地理位置及周边情况</w:t>
      </w:r>
    </w:p>
    <w:p>
      <w:pPr>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eastAsiaTheme="minorEastAsia"/>
          <w:color w:val="auto"/>
          <w:sz w:val="24"/>
          <w:highlight w:val="none"/>
          <w:shd w:val="clear" w:color="auto" w:fill="auto"/>
          <w:lang w:val="en-US" w:eastAsia="zh-CN"/>
        </w:rPr>
        <w:t>三江港经济区位于鄂州市华容区，调查面积为</w:t>
      </w:r>
      <w:r>
        <w:rPr>
          <w:rFonts w:hint="eastAsia" w:cs="Times New Roman" w:eastAsiaTheme="minorEastAsia"/>
          <w:color w:val="auto"/>
          <w:sz w:val="24"/>
          <w:highlight w:val="none"/>
          <w:shd w:val="clear" w:color="auto" w:fill="auto"/>
          <w:lang w:val="en-US" w:eastAsia="zh-CN"/>
        </w:rPr>
        <w:t>190</w:t>
      </w:r>
      <w:r>
        <w:rPr>
          <w:rFonts w:hint="default" w:ascii="Times New Roman" w:hAnsi="Times New Roman" w:cs="Times New Roman" w:eastAsiaTheme="minorEastAsia"/>
          <w:color w:val="auto"/>
          <w:sz w:val="24"/>
          <w:highlight w:val="none"/>
          <w:shd w:val="clear" w:color="auto" w:fill="auto"/>
          <w:lang w:val="en-US" w:eastAsia="zh-CN"/>
        </w:rPr>
        <w:t>.32km</w:t>
      </w:r>
      <w:r>
        <w:rPr>
          <w:rFonts w:hint="default" w:ascii="Times New Roman" w:hAnsi="Times New Roman" w:cs="Times New Roman" w:eastAsiaTheme="minorEastAsia"/>
          <w:color w:val="auto"/>
          <w:sz w:val="24"/>
          <w:highlight w:val="none"/>
          <w:shd w:val="clear" w:color="auto" w:fill="auto"/>
          <w:vertAlign w:val="superscript"/>
          <w:lang w:val="en-US" w:eastAsia="zh-CN"/>
        </w:rPr>
        <w:t>2</w:t>
      </w:r>
      <w:r>
        <w:rPr>
          <w:rFonts w:hint="default" w:ascii="Times New Roman" w:hAnsi="Times New Roman" w:cs="Times New Roman"/>
          <w:color w:val="auto"/>
          <w:kern w:val="0"/>
          <w:sz w:val="24"/>
          <w:highlight w:val="none"/>
          <w:lang w:val="en-US" w:eastAsia="zh-CN"/>
        </w:rPr>
        <w:t>。</w:t>
      </w:r>
      <w:r>
        <w:rPr>
          <w:rFonts w:hint="default" w:ascii="Times New Roman" w:hAnsi="Times New Roman" w:cs="Times New Roman" w:eastAsiaTheme="minorEastAsia"/>
          <w:color w:val="auto"/>
          <w:sz w:val="24"/>
          <w:highlight w:val="none"/>
          <w:shd w:val="clear" w:color="auto" w:fill="auto"/>
          <w:lang w:val="en-US" w:eastAsia="zh-CN"/>
        </w:rPr>
        <w:t>调查范</w:t>
      </w:r>
      <w:r>
        <w:rPr>
          <w:rFonts w:hint="default" w:ascii="Times New Roman" w:hAnsi="Times New Roman" w:cs="Times New Roman"/>
          <w:color w:val="auto"/>
          <w:kern w:val="0"/>
          <w:sz w:val="24"/>
          <w:highlight w:val="none"/>
          <w:lang w:eastAsia="zh-CN"/>
        </w:rPr>
        <w:t>围及周边情况图见附图</w:t>
      </w:r>
      <w:r>
        <w:rPr>
          <w:rFonts w:hint="default" w:ascii="Times New Roman" w:hAnsi="Times New Roman" w:cs="Times New Roman"/>
          <w:color w:val="auto"/>
          <w:kern w:val="0"/>
          <w:sz w:val="24"/>
          <w:highlight w:val="none"/>
          <w:lang w:val="en-US" w:eastAsia="zh-CN"/>
        </w:rPr>
        <w:t>2。</w:t>
      </w:r>
    </w:p>
    <w:p>
      <w:pPr>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根据三江港经济区及周边地块现状卫片，三江港经济区西侧边界与华容创业园接壤，隔华蒲路分布有各类企业、村落等；三江港经济区北侧、东侧边界外为长江；三江港经济区南侧边界与鄂州经济开发区相邻，隔樊蒲大道分布有企业、村落、学校等。敏感点分布情况如下表所示：</w:t>
      </w:r>
    </w:p>
    <w:p>
      <w:pPr>
        <w:spacing w:line="360" w:lineRule="auto"/>
        <w:jc w:val="center"/>
        <w:rPr>
          <w:rFonts w:hint="default" w:ascii="Times New Roman" w:hAnsi="Times New Roman" w:eastAsia="黑体" w:cs="Times New Roman"/>
          <w:b/>
          <w:color w:val="auto"/>
          <w:sz w:val="24"/>
          <w:highlight w:val="none"/>
          <w:lang w:val="en-US" w:eastAsia="zh-CN"/>
        </w:rPr>
      </w:pPr>
      <w:r>
        <w:rPr>
          <w:rFonts w:hint="default" w:ascii="Times New Roman" w:hAnsi="Times New Roman" w:eastAsia="黑体" w:cs="Times New Roman"/>
          <w:b/>
          <w:color w:val="auto"/>
          <w:sz w:val="24"/>
          <w:highlight w:val="none"/>
          <w:lang w:val="en-US" w:eastAsia="zh-CN"/>
        </w:rPr>
        <w:t>表2-2-1 三江港经济区周边敏感点分布情况</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7"/>
        <w:gridCol w:w="2072"/>
        <w:gridCol w:w="1158"/>
        <w:gridCol w:w="2961"/>
        <w:gridCol w:w="29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697" w:type="dxa"/>
            <w:tcBorders>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编号</w:t>
            </w:r>
          </w:p>
        </w:tc>
        <w:tc>
          <w:tcPr>
            <w:tcW w:w="2072" w:type="dxa"/>
            <w:tcBorders>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项目</w:t>
            </w:r>
          </w:p>
        </w:tc>
        <w:tc>
          <w:tcPr>
            <w:tcW w:w="1158" w:type="dxa"/>
            <w:tcBorders>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cs="Times New Roman"/>
                <w:b/>
                <w:bCs/>
                <w:color w:val="auto"/>
                <w:sz w:val="21"/>
                <w:szCs w:val="21"/>
                <w:highlight w:val="none"/>
                <w:vertAlign w:val="baseline"/>
                <w:lang w:val="en-US" w:eastAsia="zh-CN"/>
              </w:rPr>
              <w:t>相对方位</w:t>
            </w:r>
          </w:p>
        </w:tc>
        <w:tc>
          <w:tcPr>
            <w:tcW w:w="2962" w:type="dxa"/>
            <w:tcBorders>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与工业园区最近距离（m）</w:t>
            </w:r>
          </w:p>
        </w:tc>
        <w:tc>
          <w:tcPr>
            <w:tcW w:w="2962" w:type="dxa"/>
            <w:tcBorders>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2"/>
                <w:szCs w:val="22"/>
                <w:highlight w:val="none"/>
                <w:u w:val="none"/>
                <w:lang w:val="en-US" w:eastAsia="zh-CN" w:bidi="ar"/>
              </w:rPr>
              <w:t>泥矶村</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西</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cs="Times New Roman"/>
                <w:i w:val="0"/>
                <w:color w:val="auto"/>
                <w:kern w:val="0"/>
                <w:sz w:val="22"/>
                <w:szCs w:val="22"/>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2</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2"/>
                <w:szCs w:val="22"/>
                <w:highlight w:val="none"/>
                <w:u w:val="none"/>
                <w:lang w:val="en-US" w:eastAsia="zh-CN" w:bidi="ar"/>
              </w:rPr>
              <w:t>高家咀</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西</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150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cs="Times New Roman"/>
                <w:i w:val="0"/>
                <w:color w:val="auto"/>
                <w:kern w:val="0"/>
                <w:sz w:val="22"/>
                <w:szCs w:val="22"/>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3</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2"/>
                <w:szCs w:val="22"/>
                <w:highlight w:val="none"/>
                <w:u w:val="none"/>
                <w:lang w:val="en-US" w:eastAsia="zh-CN" w:bidi="ar"/>
              </w:rPr>
              <w:t>刘弄村</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西</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150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cs="Times New Roman"/>
                <w:i w:val="0"/>
                <w:color w:val="auto"/>
                <w:kern w:val="0"/>
                <w:sz w:val="22"/>
                <w:szCs w:val="22"/>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4</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2"/>
                <w:szCs w:val="22"/>
                <w:highlight w:val="none"/>
                <w:u w:val="none"/>
                <w:lang w:val="en-US" w:eastAsia="zh-CN" w:bidi="ar"/>
              </w:rPr>
              <w:t>金家大湾</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西</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240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cs="Times New Roman"/>
                <w:i w:val="0"/>
                <w:color w:val="auto"/>
                <w:kern w:val="0"/>
                <w:sz w:val="22"/>
                <w:szCs w:val="22"/>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5</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2"/>
                <w:szCs w:val="22"/>
                <w:highlight w:val="none"/>
                <w:u w:val="none"/>
                <w:lang w:val="en-US" w:eastAsia="zh-CN" w:bidi="ar"/>
              </w:rPr>
              <w:t>张后村</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西</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125</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cs="Times New Roman"/>
                <w:i w:val="0"/>
                <w:color w:val="auto"/>
                <w:kern w:val="0"/>
                <w:sz w:val="22"/>
                <w:szCs w:val="22"/>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6</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2"/>
                <w:szCs w:val="22"/>
                <w:highlight w:val="none"/>
                <w:u w:val="none"/>
                <w:lang w:val="en-US" w:eastAsia="zh-CN" w:bidi="ar"/>
              </w:rPr>
              <w:t>朱家包</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西</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280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cs="Times New Roman"/>
                <w:i w:val="0"/>
                <w:color w:val="auto"/>
                <w:kern w:val="0"/>
                <w:sz w:val="22"/>
                <w:szCs w:val="22"/>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7</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2"/>
                <w:szCs w:val="22"/>
                <w:highlight w:val="none"/>
                <w:u w:val="none"/>
                <w:lang w:val="en-US" w:eastAsia="zh-CN" w:bidi="ar"/>
              </w:rPr>
              <w:t>秦家咀</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西</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360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cs="Times New Roman"/>
                <w:i w:val="0"/>
                <w:color w:val="auto"/>
                <w:kern w:val="0"/>
                <w:sz w:val="22"/>
                <w:szCs w:val="22"/>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8</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2"/>
                <w:szCs w:val="22"/>
                <w:highlight w:val="none"/>
                <w:u w:val="none"/>
                <w:lang w:val="en-US" w:eastAsia="zh-CN" w:bidi="ar"/>
              </w:rPr>
              <w:t>百席村</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西</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cs="Times New Roman"/>
                <w:i w:val="0"/>
                <w:color w:val="auto"/>
                <w:kern w:val="0"/>
                <w:sz w:val="22"/>
                <w:szCs w:val="22"/>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9</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2"/>
                <w:szCs w:val="22"/>
                <w:highlight w:val="none"/>
                <w:u w:val="none"/>
                <w:lang w:val="en-US" w:eastAsia="zh-CN" w:bidi="ar"/>
              </w:rPr>
              <w:t>赵竹林</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西</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300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cs="Times New Roman"/>
                <w:i w:val="0"/>
                <w:color w:val="auto"/>
                <w:kern w:val="0"/>
                <w:sz w:val="22"/>
                <w:szCs w:val="22"/>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2"/>
                <w:szCs w:val="22"/>
                <w:highlight w:val="none"/>
                <w:u w:val="none"/>
                <w:lang w:val="en-US" w:eastAsia="zh-CN" w:bidi="ar"/>
              </w:rPr>
              <w:t>霍庄</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西</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300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cs="Times New Roman"/>
                <w:i w:val="0"/>
                <w:color w:val="auto"/>
                <w:kern w:val="0"/>
                <w:sz w:val="22"/>
                <w:szCs w:val="22"/>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11</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2"/>
                <w:szCs w:val="22"/>
                <w:highlight w:val="none"/>
                <w:u w:val="none"/>
                <w:lang w:val="en-US" w:eastAsia="zh-CN" w:bidi="ar"/>
              </w:rPr>
              <w:t>竹林夏</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西</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130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cs="Times New Roman"/>
                <w:i w:val="0"/>
                <w:color w:val="auto"/>
                <w:kern w:val="0"/>
                <w:sz w:val="22"/>
                <w:szCs w:val="22"/>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12</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2"/>
                <w:szCs w:val="22"/>
                <w:highlight w:val="none"/>
                <w:u w:val="none"/>
                <w:lang w:val="en-US" w:eastAsia="zh-CN" w:bidi="ar"/>
              </w:rPr>
              <w:t>戴张</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西</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130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cs="Times New Roman"/>
                <w:i w:val="0"/>
                <w:color w:val="auto"/>
                <w:kern w:val="0"/>
                <w:sz w:val="22"/>
                <w:szCs w:val="22"/>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13</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2"/>
                <w:szCs w:val="22"/>
                <w:highlight w:val="none"/>
                <w:u w:val="none"/>
                <w:lang w:val="en-US" w:eastAsia="zh-CN" w:bidi="ar"/>
              </w:rPr>
              <w:t>赵家启</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西</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cs="Times New Roman"/>
                <w:i w:val="0"/>
                <w:color w:val="auto"/>
                <w:kern w:val="0"/>
                <w:sz w:val="22"/>
                <w:szCs w:val="22"/>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14</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2"/>
                <w:szCs w:val="22"/>
                <w:highlight w:val="none"/>
                <w:u w:val="none"/>
                <w:lang w:val="en-US" w:eastAsia="zh-CN" w:bidi="ar"/>
              </w:rPr>
              <w:t>新赵</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西</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300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cs="Times New Roman"/>
                <w:i w:val="0"/>
                <w:color w:val="auto"/>
                <w:kern w:val="0"/>
                <w:sz w:val="22"/>
                <w:szCs w:val="22"/>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15</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2"/>
                <w:szCs w:val="22"/>
                <w:highlight w:val="none"/>
                <w:u w:val="none"/>
                <w:lang w:val="en-US" w:eastAsia="zh-CN" w:bidi="ar"/>
              </w:rPr>
              <w:t>蔡家湾</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西</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380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cs="Times New Roman"/>
                <w:i w:val="0"/>
                <w:color w:val="auto"/>
                <w:kern w:val="0"/>
                <w:sz w:val="22"/>
                <w:szCs w:val="22"/>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16</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2"/>
                <w:szCs w:val="22"/>
                <w:highlight w:val="none"/>
                <w:u w:val="none"/>
                <w:lang w:val="en-US" w:eastAsia="zh-CN" w:bidi="ar"/>
              </w:rPr>
              <w:t>蔡家塆</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西</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cs="Times New Roman"/>
                <w:i w:val="0"/>
                <w:color w:val="auto"/>
                <w:kern w:val="0"/>
                <w:sz w:val="22"/>
                <w:szCs w:val="22"/>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17</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2"/>
                <w:szCs w:val="22"/>
                <w:highlight w:val="none"/>
                <w:u w:val="none"/>
                <w:lang w:val="en-US" w:eastAsia="zh-CN" w:bidi="ar"/>
              </w:rPr>
              <w:t>刘林塘</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西</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330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cs="Times New Roman"/>
                <w:i w:val="0"/>
                <w:color w:val="auto"/>
                <w:kern w:val="0"/>
                <w:sz w:val="22"/>
                <w:szCs w:val="22"/>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18</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2"/>
                <w:szCs w:val="22"/>
                <w:highlight w:val="none"/>
                <w:u w:val="none"/>
                <w:lang w:val="en-US" w:eastAsia="zh-CN" w:bidi="ar"/>
              </w:rPr>
              <w:t>易家柘</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西</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cs="Times New Roman"/>
                <w:i w:val="0"/>
                <w:color w:val="auto"/>
                <w:kern w:val="0"/>
                <w:sz w:val="22"/>
                <w:szCs w:val="22"/>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19</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2"/>
                <w:szCs w:val="22"/>
                <w:highlight w:val="none"/>
                <w:u w:val="none"/>
                <w:lang w:val="en-US" w:eastAsia="zh-CN" w:bidi="ar"/>
              </w:rPr>
              <w:t>李闵村</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西</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50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cs="Times New Roman"/>
                <w:i w:val="0"/>
                <w:color w:val="auto"/>
                <w:kern w:val="0"/>
                <w:sz w:val="22"/>
                <w:szCs w:val="22"/>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20</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2"/>
                <w:szCs w:val="22"/>
                <w:highlight w:val="none"/>
                <w:u w:val="none"/>
                <w:lang w:val="en-US" w:eastAsia="zh-CN" w:bidi="ar"/>
              </w:rPr>
              <w:t>赵咀廖</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西</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150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cs="Times New Roman"/>
                <w:i w:val="0"/>
                <w:color w:val="auto"/>
                <w:kern w:val="0"/>
                <w:sz w:val="22"/>
                <w:szCs w:val="22"/>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21</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2"/>
                <w:szCs w:val="22"/>
                <w:highlight w:val="none"/>
                <w:u w:val="none"/>
                <w:lang w:val="en-US" w:eastAsia="zh-CN" w:bidi="ar"/>
              </w:rPr>
              <w:t>汪家下塆</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东</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100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cs="Times New Roman"/>
                <w:i w:val="0"/>
                <w:color w:val="auto"/>
                <w:kern w:val="0"/>
                <w:sz w:val="22"/>
                <w:szCs w:val="22"/>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22</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2"/>
                <w:szCs w:val="22"/>
                <w:highlight w:val="none"/>
                <w:u w:val="none"/>
                <w:lang w:val="en-US" w:eastAsia="zh-CN" w:bidi="ar"/>
              </w:rPr>
              <w:t>叶家河</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东</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100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cs="Times New Roman"/>
                <w:i w:val="0"/>
                <w:color w:val="auto"/>
                <w:kern w:val="0"/>
                <w:sz w:val="22"/>
                <w:szCs w:val="22"/>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23</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2"/>
                <w:szCs w:val="22"/>
                <w:highlight w:val="none"/>
                <w:u w:val="none"/>
                <w:lang w:val="en-US" w:eastAsia="zh-CN" w:bidi="ar"/>
              </w:rPr>
              <w:t>宋家塆</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东</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400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cs="Times New Roman"/>
                <w:i w:val="0"/>
                <w:color w:val="auto"/>
                <w:kern w:val="0"/>
                <w:sz w:val="22"/>
                <w:szCs w:val="22"/>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24</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2"/>
                <w:szCs w:val="22"/>
                <w:highlight w:val="none"/>
                <w:u w:val="none"/>
                <w:lang w:val="en-US" w:eastAsia="zh-CN" w:bidi="ar"/>
              </w:rPr>
              <w:t>毛家湾</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东</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350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cs="Times New Roman"/>
                <w:i w:val="0"/>
                <w:color w:val="auto"/>
                <w:kern w:val="0"/>
                <w:sz w:val="22"/>
                <w:szCs w:val="22"/>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25</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2"/>
                <w:szCs w:val="22"/>
                <w:highlight w:val="none"/>
                <w:u w:val="none"/>
                <w:lang w:val="en-US" w:eastAsia="zh-CN" w:bidi="ar"/>
              </w:rPr>
              <w:t>郑家塆</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南</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cs="Times New Roman"/>
                <w:i w:val="0"/>
                <w:color w:val="auto"/>
                <w:kern w:val="0"/>
                <w:sz w:val="22"/>
                <w:szCs w:val="22"/>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26</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2"/>
                <w:szCs w:val="22"/>
                <w:highlight w:val="none"/>
                <w:u w:val="none"/>
                <w:lang w:val="en-US" w:eastAsia="zh-CN" w:bidi="ar"/>
              </w:rPr>
              <w:t>纽家墩</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南</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200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cs="Times New Roman"/>
                <w:i w:val="0"/>
                <w:color w:val="auto"/>
                <w:kern w:val="0"/>
                <w:sz w:val="22"/>
                <w:szCs w:val="22"/>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27</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2"/>
                <w:szCs w:val="22"/>
                <w:highlight w:val="none"/>
                <w:u w:val="none"/>
                <w:lang w:val="en-US" w:eastAsia="zh-CN" w:bidi="ar"/>
              </w:rPr>
              <w:t>纽墩小学</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南</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200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cs="Times New Roman"/>
                <w:i w:val="0"/>
                <w:color w:val="auto"/>
                <w:kern w:val="0"/>
                <w:sz w:val="22"/>
                <w:szCs w:val="22"/>
                <w:highlight w:val="none"/>
                <w:u w:val="none"/>
                <w:lang w:val="en-US" w:eastAsia="zh-CN" w:bidi="ar"/>
              </w:rPr>
              <w:t>文化教育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28</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2"/>
                <w:szCs w:val="22"/>
                <w:highlight w:val="none"/>
                <w:u w:val="none"/>
                <w:lang w:val="en-US" w:eastAsia="zh-CN" w:bidi="ar"/>
              </w:rPr>
              <w:t>小胡湾</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南</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150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cs="Times New Roman"/>
                <w:i w:val="0"/>
                <w:color w:val="auto"/>
                <w:kern w:val="0"/>
                <w:sz w:val="22"/>
                <w:szCs w:val="22"/>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29</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2"/>
                <w:szCs w:val="22"/>
                <w:highlight w:val="none"/>
                <w:u w:val="none"/>
                <w:lang w:val="en-US" w:eastAsia="zh-CN" w:bidi="ar"/>
              </w:rPr>
              <w:t>郭垱小学</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南</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50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cs="Times New Roman"/>
                <w:i w:val="0"/>
                <w:color w:val="auto"/>
                <w:kern w:val="0"/>
                <w:sz w:val="22"/>
                <w:szCs w:val="22"/>
                <w:highlight w:val="none"/>
                <w:u w:val="none"/>
                <w:lang w:val="en-US" w:eastAsia="zh-CN" w:bidi="ar"/>
              </w:rPr>
              <w:t>文化教育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30</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2"/>
                <w:szCs w:val="22"/>
                <w:highlight w:val="none"/>
                <w:u w:val="none"/>
                <w:lang w:val="en-US" w:eastAsia="zh-CN" w:bidi="ar"/>
              </w:rPr>
              <w:t>郭垱村</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南</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150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cs="Times New Roman"/>
                <w:i w:val="0"/>
                <w:color w:val="auto"/>
                <w:kern w:val="0"/>
                <w:sz w:val="22"/>
                <w:szCs w:val="22"/>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31</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2"/>
                <w:szCs w:val="22"/>
                <w:highlight w:val="none"/>
                <w:u w:val="none"/>
                <w:lang w:val="en-US" w:eastAsia="zh-CN" w:bidi="ar"/>
              </w:rPr>
              <w:t>王家塆</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南</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380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cs="Times New Roman"/>
                <w:i w:val="0"/>
                <w:color w:val="auto"/>
                <w:kern w:val="0"/>
                <w:sz w:val="22"/>
                <w:szCs w:val="22"/>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32</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2"/>
                <w:szCs w:val="22"/>
                <w:highlight w:val="none"/>
                <w:u w:val="none"/>
                <w:lang w:val="en-US" w:eastAsia="zh-CN" w:bidi="ar"/>
              </w:rPr>
              <w:t>金家畈</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南</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310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cs="Times New Roman"/>
                <w:i w:val="0"/>
                <w:color w:val="auto"/>
                <w:kern w:val="0"/>
                <w:sz w:val="22"/>
                <w:szCs w:val="22"/>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33</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2"/>
                <w:szCs w:val="22"/>
                <w:highlight w:val="none"/>
                <w:u w:val="none"/>
                <w:lang w:val="en-US" w:eastAsia="zh-CN" w:bidi="ar"/>
              </w:rPr>
              <w:t>何桥村</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南</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120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cs="Times New Roman"/>
                <w:i w:val="0"/>
                <w:color w:val="auto"/>
                <w:kern w:val="0"/>
                <w:sz w:val="22"/>
                <w:szCs w:val="22"/>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34</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2"/>
                <w:szCs w:val="22"/>
                <w:highlight w:val="none"/>
                <w:u w:val="none"/>
                <w:lang w:val="en-US" w:eastAsia="zh-CN" w:bidi="ar"/>
              </w:rPr>
              <w:t>鄂州市经贸学校</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南</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color w:val="auto"/>
                <w:kern w:val="0"/>
                <w:sz w:val="22"/>
                <w:szCs w:val="22"/>
                <w:highlight w:val="none"/>
                <w:u w:val="none"/>
                <w:lang w:val="en-US" w:eastAsia="zh-CN" w:bidi="ar"/>
              </w:rPr>
              <w:t>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cs="Times New Roman"/>
                <w:i w:val="0"/>
                <w:color w:val="auto"/>
                <w:kern w:val="0"/>
                <w:sz w:val="22"/>
                <w:szCs w:val="22"/>
                <w:highlight w:val="none"/>
                <w:u w:val="none"/>
                <w:lang w:val="en-US" w:eastAsia="zh-CN" w:bidi="ar"/>
              </w:rPr>
              <w:t>文化教育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35</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2"/>
                <w:szCs w:val="22"/>
                <w:highlight w:val="none"/>
                <w:u w:val="none"/>
                <w:lang w:val="en-US" w:eastAsia="zh-CN" w:bidi="ar"/>
              </w:rPr>
              <w:t>横山社区</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2"/>
                <w:szCs w:val="22"/>
                <w:highlight w:val="none"/>
                <w:u w:val="none"/>
                <w:lang w:val="en-US" w:eastAsia="zh-CN" w:bidi="ar"/>
              </w:rPr>
              <w:t>南</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2"/>
                <w:szCs w:val="22"/>
                <w:highlight w:val="none"/>
                <w:u w:val="none"/>
                <w:lang w:val="en-US" w:eastAsia="zh-CN" w:bidi="ar"/>
              </w:rPr>
              <w:t>150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cs="Times New Roman"/>
                <w:i w:val="0"/>
                <w:color w:val="auto"/>
                <w:kern w:val="0"/>
                <w:sz w:val="22"/>
                <w:szCs w:val="22"/>
                <w:highlight w:val="none"/>
                <w:u w:val="none"/>
                <w:lang w:val="en-US" w:eastAsia="zh-CN" w:bidi="ar"/>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36</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2"/>
                <w:szCs w:val="22"/>
                <w:highlight w:val="none"/>
                <w:u w:val="none"/>
                <w:lang w:val="en-US" w:eastAsia="zh-CN" w:bidi="ar"/>
              </w:rPr>
              <w:t>横山社区幼儿园</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2"/>
                <w:szCs w:val="22"/>
                <w:highlight w:val="none"/>
                <w:u w:val="none"/>
                <w:lang w:val="en-US" w:eastAsia="zh-CN" w:bidi="ar"/>
              </w:rPr>
              <w:t>南</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2"/>
                <w:szCs w:val="22"/>
                <w:highlight w:val="none"/>
                <w:u w:val="none"/>
                <w:lang w:val="en-US" w:eastAsia="zh-CN" w:bidi="ar"/>
              </w:rPr>
              <w:t>180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cs="Times New Roman"/>
                <w:i w:val="0"/>
                <w:color w:val="auto"/>
                <w:kern w:val="0"/>
                <w:sz w:val="22"/>
                <w:szCs w:val="22"/>
                <w:highlight w:val="none"/>
                <w:u w:val="none"/>
                <w:lang w:val="en-US" w:eastAsia="zh-CN" w:bidi="ar"/>
              </w:rPr>
              <w:t>文化教育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37</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cs="Times New Roman"/>
                <w:i w:val="0"/>
                <w:color w:val="auto"/>
                <w:kern w:val="0"/>
                <w:sz w:val="22"/>
                <w:szCs w:val="22"/>
                <w:highlight w:val="none"/>
                <w:u w:val="none"/>
                <w:lang w:val="en-US" w:eastAsia="zh-CN" w:bidi="ar"/>
              </w:rPr>
              <w:t>长江（鄂州段）</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cs="Times New Roman"/>
                <w:i w:val="0"/>
                <w:color w:val="auto"/>
                <w:kern w:val="0"/>
                <w:sz w:val="22"/>
                <w:szCs w:val="22"/>
                <w:highlight w:val="none"/>
                <w:u w:val="none"/>
                <w:lang w:val="en-US" w:eastAsia="zh-CN" w:bidi="ar"/>
              </w:rPr>
              <w:t>东</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cs="Times New Roman"/>
                <w:i w:val="0"/>
                <w:color w:val="auto"/>
                <w:kern w:val="0"/>
                <w:sz w:val="22"/>
                <w:szCs w:val="22"/>
                <w:highlight w:val="none"/>
                <w:u w:val="none"/>
                <w:lang w:val="en-US" w:eastAsia="zh-CN" w:bidi="ar"/>
              </w:rPr>
              <w:t>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cs="Times New Roman"/>
                <w:i w:val="0"/>
                <w:color w:val="auto"/>
                <w:kern w:val="0"/>
                <w:sz w:val="22"/>
                <w:szCs w:val="22"/>
                <w:highlight w:val="none"/>
                <w:u w:val="none"/>
                <w:lang w:val="en-US" w:eastAsia="zh-CN" w:bidi="ar"/>
              </w:rPr>
              <w:t>地表水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38</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cs="Times New Roman"/>
                <w:i w:val="0"/>
                <w:color w:val="auto"/>
                <w:kern w:val="0"/>
                <w:sz w:val="22"/>
                <w:szCs w:val="22"/>
                <w:highlight w:val="none"/>
                <w:u w:val="none"/>
                <w:lang w:val="en-US" w:eastAsia="zh-CN" w:bidi="ar"/>
              </w:rPr>
              <w:t>长江（鄂州段）</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cs="Times New Roman"/>
                <w:i w:val="0"/>
                <w:color w:val="auto"/>
                <w:kern w:val="0"/>
                <w:sz w:val="22"/>
                <w:szCs w:val="22"/>
                <w:highlight w:val="none"/>
                <w:u w:val="none"/>
                <w:lang w:val="en-US" w:eastAsia="zh-CN" w:bidi="ar"/>
              </w:rPr>
              <w:t>北</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cs="Times New Roman"/>
                <w:i w:val="0"/>
                <w:color w:val="auto"/>
                <w:kern w:val="0"/>
                <w:sz w:val="22"/>
                <w:szCs w:val="22"/>
                <w:highlight w:val="none"/>
                <w:u w:val="none"/>
                <w:lang w:val="en-US" w:eastAsia="zh-CN" w:bidi="ar"/>
              </w:rPr>
              <w:t>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cs="Times New Roman"/>
                <w:i w:val="0"/>
                <w:color w:val="auto"/>
                <w:kern w:val="0"/>
                <w:sz w:val="22"/>
                <w:szCs w:val="22"/>
                <w:highlight w:val="none"/>
                <w:u w:val="none"/>
                <w:lang w:val="en-US" w:eastAsia="zh-CN" w:bidi="ar"/>
              </w:rPr>
              <w:t>地表水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39</w:t>
            </w:r>
          </w:p>
        </w:tc>
        <w:tc>
          <w:tcPr>
            <w:tcW w:w="207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2"/>
                <w:szCs w:val="22"/>
                <w:highlight w:val="none"/>
                <w:u w:val="none"/>
                <w:lang w:val="en-US" w:eastAsia="zh-CN" w:bidi="ar"/>
              </w:rPr>
            </w:pPr>
            <w:r>
              <w:rPr>
                <w:rFonts w:hint="default" w:ascii="Times New Roman" w:hAnsi="Times New Roman" w:cs="Times New Roman"/>
                <w:i w:val="0"/>
                <w:color w:val="auto"/>
                <w:kern w:val="0"/>
                <w:sz w:val="22"/>
                <w:szCs w:val="22"/>
                <w:highlight w:val="none"/>
                <w:u w:val="none"/>
                <w:lang w:val="en-US" w:eastAsia="zh-CN" w:bidi="ar"/>
              </w:rPr>
              <w:t>五四湖</w:t>
            </w:r>
          </w:p>
        </w:tc>
        <w:tc>
          <w:tcPr>
            <w:tcW w:w="1158"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2"/>
                <w:szCs w:val="22"/>
                <w:highlight w:val="none"/>
                <w:u w:val="none"/>
                <w:lang w:val="en-US" w:eastAsia="zh-CN" w:bidi="ar"/>
              </w:rPr>
            </w:pPr>
            <w:r>
              <w:rPr>
                <w:rFonts w:hint="default" w:ascii="Times New Roman" w:hAnsi="Times New Roman" w:cs="Times New Roman"/>
                <w:i w:val="0"/>
                <w:color w:val="auto"/>
                <w:kern w:val="0"/>
                <w:sz w:val="22"/>
                <w:szCs w:val="22"/>
                <w:highlight w:val="none"/>
                <w:u w:val="none"/>
                <w:lang w:val="en-US" w:eastAsia="zh-CN" w:bidi="ar"/>
              </w:rPr>
              <w:t>西</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2"/>
                <w:szCs w:val="22"/>
                <w:highlight w:val="none"/>
                <w:u w:val="none"/>
                <w:lang w:val="en-US" w:eastAsia="zh-CN" w:bidi="ar"/>
              </w:rPr>
            </w:pPr>
            <w:r>
              <w:rPr>
                <w:rFonts w:hint="default" w:ascii="Times New Roman" w:hAnsi="Times New Roman" w:cs="Times New Roman"/>
                <w:i w:val="0"/>
                <w:color w:val="auto"/>
                <w:kern w:val="0"/>
                <w:sz w:val="22"/>
                <w:szCs w:val="22"/>
                <w:highlight w:val="none"/>
                <w:u w:val="none"/>
                <w:lang w:val="en-US" w:eastAsia="zh-CN" w:bidi="ar"/>
              </w:rPr>
              <w:t>0</w:t>
            </w:r>
          </w:p>
        </w:tc>
        <w:tc>
          <w:tcPr>
            <w:tcW w:w="2962" w:type="dxa"/>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2"/>
                <w:szCs w:val="22"/>
                <w:highlight w:val="none"/>
                <w:u w:val="none"/>
                <w:lang w:val="en-US" w:eastAsia="zh-CN" w:bidi="ar"/>
              </w:rPr>
            </w:pPr>
            <w:r>
              <w:rPr>
                <w:rFonts w:hint="default" w:ascii="Times New Roman" w:hAnsi="Times New Roman" w:cs="Times New Roman"/>
                <w:i w:val="0"/>
                <w:color w:val="auto"/>
                <w:kern w:val="0"/>
                <w:sz w:val="22"/>
                <w:szCs w:val="22"/>
                <w:highlight w:val="none"/>
                <w:u w:val="none"/>
                <w:lang w:val="en-US" w:eastAsia="zh-CN" w:bidi="ar"/>
              </w:rPr>
              <w:t>地表水</w:t>
            </w:r>
          </w:p>
        </w:tc>
      </w:tr>
    </w:tbl>
    <w:p>
      <w:pPr>
        <w:pStyle w:val="5"/>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规划定位</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根据《鄂州市城乡总体规划》（2011-2020），鄂州市通过多条通道的联接，形成西联东湖高新区、北湖化工区，东接黄石老工业基地的葛店开发区、华容创业园区、三江港经济区、鄂州经济开发区、城东产业园区（鄂城新区）、花湖开发区“一线串六园区”的沿江综合产业走廊。其中，三江港经济区重点发展冶金、机械制造、石化、建材。</w:t>
      </w:r>
    </w:p>
    <w:p>
      <w:pPr>
        <w:pStyle w:val="31"/>
        <w:keepNext w:val="0"/>
        <w:keepLines w:val="0"/>
        <w:pageBreakBefore w:val="0"/>
        <w:widowControl w:val="0"/>
        <w:kinsoku/>
        <w:wordWrap/>
        <w:overflowPunct/>
        <w:topLinePunct w:val="0"/>
        <w:autoSpaceDE/>
        <w:autoSpaceDN/>
        <w:bidi w:val="0"/>
        <w:adjustRightInd/>
        <w:snapToGrid/>
        <w:spacing w:after="0" w:line="360" w:lineRule="auto"/>
        <w:ind w:firstLine="48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kern w:val="0"/>
          <w:sz w:val="24"/>
          <w:highlight w:val="none"/>
          <w:lang w:val="en-US" w:eastAsia="zh-CN"/>
        </w:rPr>
        <w:t>鄂州市远景城乡产业结构图见附图3。</w:t>
      </w:r>
      <w:r>
        <w:rPr>
          <w:rFonts w:hint="default" w:ascii="Times New Roman" w:hAnsi="Times New Roman" w:cs="Times New Roman"/>
          <w:bCs/>
          <w:caps/>
          <w:color w:val="auto"/>
          <w:szCs w:val="24"/>
          <w:highlight w:val="none"/>
          <w:lang w:val="en-US" w:eastAsia="zh-CN"/>
        </w:rPr>
        <w:t>鄂州市三江港新区总体规划</w:t>
      </w:r>
      <w:r>
        <w:rPr>
          <w:rFonts w:hint="eastAsia"/>
          <w:lang w:eastAsia="zh-CN"/>
        </w:rPr>
        <w:t>（</w:t>
      </w:r>
      <w:r>
        <w:rPr>
          <w:rFonts w:hint="eastAsia"/>
          <w:lang w:val="en-US" w:eastAsia="zh-CN"/>
        </w:rPr>
        <w:t>2013-2030</w:t>
      </w:r>
      <w:r>
        <w:rPr>
          <w:rFonts w:hint="eastAsia"/>
          <w:lang w:eastAsia="zh-CN"/>
        </w:rPr>
        <w:t>）——</w:t>
      </w:r>
      <w:r>
        <w:rPr>
          <w:rFonts w:hint="eastAsia"/>
          <w:lang w:val="en-US" w:eastAsia="zh-CN"/>
        </w:rPr>
        <w:t>土地使用规划图</w:t>
      </w:r>
      <w:r>
        <w:rPr>
          <w:rFonts w:hint="default" w:ascii="Times New Roman" w:hAnsi="Times New Roman" w:cs="Times New Roman"/>
          <w:color w:val="auto"/>
          <w:kern w:val="0"/>
          <w:sz w:val="24"/>
          <w:highlight w:val="none"/>
          <w:lang w:val="en-US" w:eastAsia="zh-CN"/>
        </w:rPr>
        <w:t>见附图4。</w:t>
      </w:r>
    </w:p>
    <w:p>
      <w:pPr>
        <w:pStyle w:val="5"/>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园区土地利用现状</w:t>
      </w:r>
    </w:p>
    <w:p>
      <w:pPr>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根据现场踏勘和谷歌卫片图，园区内大部分范围尚未开发，主要为村落和农田、湖泊。企业主要在园区的中部沿S38黄鄂高速分布、园区东部沿江分布、园区南部沿S7武鄂高速分布。已建成企业聚集区内主要企业情况如表2-2-2所示，已建成企业</w:t>
      </w:r>
      <w:r>
        <w:rPr>
          <w:rFonts w:hint="eastAsia" w:cs="Times New Roman"/>
          <w:color w:val="auto"/>
          <w:kern w:val="0"/>
          <w:sz w:val="24"/>
          <w:highlight w:val="none"/>
          <w:lang w:val="en-US" w:eastAsia="zh-CN"/>
        </w:rPr>
        <w:t>聚集区及典型企业</w:t>
      </w:r>
      <w:r>
        <w:rPr>
          <w:rFonts w:hint="default" w:ascii="Times New Roman" w:hAnsi="Times New Roman" w:cs="Times New Roman"/>
          <w:color w:val="auto"/>
          <w:kern w:val="0"/>
          <w:sz w:val="24"/>
          <w:highlight w:val="none"/>
          <w:lang w:val="en-US" w:eastAsia="zh-CN"/>
        </w:rPr>
        <w:t>分布图见附图5。</w:t>
      </w:r>
    </w:p>
    <w:p>
      <w:pPr>
        <w:keepNext w:val="0"/>
        <w:keepLines w:val="0"/>
        <w:pageBreakBefore w:val="0"/>
        <w:widowControl w:val="0"/>
        <w:kinsoku/>
        <w:wordWrap/>
        <w:overflowPunct/>
        <w:topLinePunct w:val="0"/>
        <w:autoSpaceDE/>
        <w:autoSpaceDN/>
        <w:bidi w:val="0"/>
        <w:adjustRightInd/>
        <w:snapToGrid/>
        <w:spacing w:before="167" w:beforeLines="50" w:line="240" w:lineRule="auto"/>
        <w:jc w:val="center"/>
        <w:textAlignment w:val="auto"/>
        <w:rPr>
          <w:rFonts w:hint="default" w:ascii="Times New Roman" w:hAnsi="Times New Roman" w:eastAsia="黑体" w:cs="Times New Roman"/>
          <w:b/>
          <w:color w:val="auto"/>
          <w:sz w:val="24"/>
          <w:highlight w:val="none"/>
          <w:lang w:val="en-US" w:eastAsia="zh-CN"/>
        </w:rPr>
      </w:pPr>
      <w:r>
        <w:rPr>
          <w:rFonts w:hint="default" w:ascii="Times New Roman" w:hAnsi="Times New Roman" w:eastAsia="黑体" w:cs="Times New Roman"/>
          <w:b/>
          <w:color w:val="auto"/>
          <w:sz w:val="24"/>
          <w:highlight w:val="none"/>
          <w:lang w:val="en-US" w:eastAsia="zh-CN"/>
        </w:rPr>
        <w:t>表2-2-2 园区内主要已建成企业情况一览表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1760"/>
        <w:gridCol w:w="1744"/>
        <w:gridCol w:w="56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364" w:type="pct"/>
            <w:tcBorders>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编号</w:t>
            </w:r>
          </w:p>
        </w:tc>
        <w:tc>
          <w:tcPr>
            <w:tcW w:w="893" w:type="pct"/>
            <w:tcBorders>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主要企业名称</w:t>
            </w:r>
          </w:p>
        </w:tc>
        <w:tc>
          <w:tcPr>
            <w:tcW w:w="885" w:type="pct"/>
            <w:tcBorders>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企业位置</w:t>
            </w:r>
            <w:r>
              <w:rPr>
                <w:rFonts w:hint="default" w:ascii="Times New Roman" w:hAnsi="Times New Roman" w:cs="Times New Roman"/>
                <w:b/>
                <w:bCs/>
                <w:color w:val="auto"/>
                <w:sz w:val="21"/>
                <w:szCs w:val="21"/>
                <w:highlight w:val="none"/>
                <w:vertAlign w:val="superscript"/>
                <w:lang w:val="en-US" w:eastAsia="zh-CN"/>
              </w:rPr>
              <w:t>①</w:t>
            </w:r>
          </w:p>
        </w:tc>
        <w:tc>
          <w:tcPr>
            <w:tcW w:w="2857" w:type="pct"/>
            <w:tcBorders>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主要经营范围</w:t>
            </w:r>
            <w:r>
              <w:rPr>
                <w:rFonts w:hint="default" w:ascii="Times New Roman" w:hAnsi="Times New Roman" w:cs="Times New Roman"/>
                <w:b/>
                <w:bCs/>
                <w:color w:val="auto"/>
                <w:sz w:val="21"/>
                <w:szCs w:val="21"/>
                <w:highlight w:val="none"/>
                <w:vertAlign w:val="superscript"/>
                <w:lang w:val="en-US" w:eastAsia="zh-CN"/>
              </w:rPr>
              <w:t>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tcBorders>
              <w:top w:val="single" w:color="auto" w:sz="12" w:space="0"/>
            </w:tcBorders>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893" w:type="pct"/>
            <w:tcBorders>
              <w:top w:val="single" w:color="auto" w:sz="12" w:space="0"/>
            </w:tcBorders>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鄂州市坤劲商贸有限公司</w:t>
            </w:r>
          </w:p>
        </w:tc>
        <w:tc>
          <w:tcPr>
            <w:tcW w:w="885" w:type="pct"/>
            <w:tcBorders>
              <w:top w:val="single" w:color="auto" w:sz="12" w:space="0"/>
            </w:tcBorders>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鄂州市华容区蒲团乡大庙村</w:t>
            </w:r>
          </w:p>
        </w:tc>
        <w:tc>
          <w:tcPr>
            <w:tcW w:w="2857" w:type="pct"/>
            <w:tcBorders>
              <w:top w:val="single" w:color="auto" w:sz="12" w:space="0"/>
            </w:tcBorders>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粮食及其它初级农产品（含高粱、芝麻、黄豆）收购、储存、初加工、销售；油料及初级农产品收购、储存、销售；销售：大</w:t>
            </w:r>
            <w:r>
              <w:rPr>
                <w:rFonts w:hint="eastAsia" w:cs="Times New Roman"/>
                <w:i w:val="0"/>
                <w:color w:val="auto"/>
                <w:kern w:val="0"/>
                <w:sz w:val="21"/>
                <w:szCs w:val="21"/>
                <w:highlight w:val="none"/>
                <w:u w:val="none"/>
                <w:lang w:val="en-US" w:eastAsia="zh-CN" w:bidi="ar"/>
              </w:rPr>
              <w:t>米</w:t>
            </w:r>
            <w:r>
              <w:rPr>
                <w:rFonts w:hint="default" w:ascii="Times New Roman" w:hAnsi="Times New Roman" w:eastAsia="宋体" w:cs="Times New Roman"/>
                <w:i w:val="0"/>
                <w:color w:val="auto"/>
                <w:kern w:val="0"/>
                <w:sz w:val="21"/>
                <w:szCs w:val="21"/>
                <w:highlight w:val="none"/>
                <w:u w:val="none"/>
                <w:lang w:val="en-US" w:eastAsia="zh-CN" w:bidi="ar"/>
              </w:rPr>
              <w:t>、食用油、面粉、面条。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2</w:t>
            </w:r>
          </w:p>
        </w:tc>
        <w:tc>
          <w:tcPr>
            <w:tcW w:w="893"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中国电建集团山东电力管道工程有限公司湖北管片厂</w:t>
            </w:r>
          </w:p>
        </w:tc>
        <w:tc>
          <w:tcPr>
            <w:tcW w:w="885"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鄂州市华容区蒲团乡大庙村</w:t>
            </w:r>
          </w:p>
        </w:tc>
        <w:tc>
          <w:tcPr>
            <w:tcW w:w="2857"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预应力钢筒混凝土管、普通混凝土管、输水管、顶管、套管</w:t>
            </w:r>
            <w:r>
              <w:rPr>
                <w:rFonts w:hint="default" w:ascii="Times New Roman" w:hAnsi="Times New Roman"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制造管件预应力管桩、混凝土结构构件及混凝土制品</w:t>
            </w:r>
            <w:r>
              <w:rPr>
                <w:rFonts w:hint="default" w:ascii="Times New Roman" w:hAnsi="Times New Roman"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地铁管片、轨枕、桥梁、综合管廊</w:t>
            </w:r>
            <w:r>
              <w:rPr>
                <w:rFonts w:hint="default" w:ascii="Times New Roman" w:hAnsi="Times New Roman"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塑料管材、玻璃钢管、压力钢管及钢岔管、燃气管道、热力管道的制造、安装</w:t>
            </w:r>
            <w:r>
              <w:rPr>
                <w:rFonts w:hint="default" w:ascii="Times New Roman" w:hAnsi="Times New Roman" w:cs="Times New Roman"/>
                <w:i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3</w:t>
            </w:r>
          </w:p>
        </w:tc>
        <w:tc>
          <w:tcPr>
            <w:tcW w:w="893"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鄂州市泳拓工贸有限公司</w:t>
            </w:r>
          </w:p>
        </w:tc>
        <w:tc>
          <w:tcPr>
            <w:tcW w:w="885"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鄂州市华容区蒲团乡小庙村九组</w:t>
            </w:r>
          </w:p>
        </w:tc>
        <w:tc>
          <w:tcPr>
            <w:tcW w:w="2857"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金属结构件、五金配件、铁艺门窗加工、销售；废旧金属回收、销售；销售：建筑材料、金属材料。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4</w:t>
            </w:r>
          </w:p>
        </w:tc>
        <w:tc>
          <w:tcPr>
            <w:tcW w:w="893"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鄂州市枫叶红新型建材厂</w:t>
            </w:r>
          </w:p>
        </w:tc>
        <w:tc>
          <w:tcPr>
            <w:tcW w:w="885"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鄂州市华容区临江乡崔汤村</w:t>
            </w:r>
          </w:p>
        </w:tc>
        <w:tc>
          <w:tcPr>
            <w:tcW w:w="2857"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混凝土路面砖、路缘石、墙面砖及人造文化石等建材的研发、生产、施工及销售。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i w:val="0"/>
                <w:iCs w:val="0"/>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5</w:t>
            </w:r>
          </w:p>
        </w:tc>
        <w:tc>
          <w:tcPr>
            <w:tcW w:w="893" w:type="pct"/>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b w:val="0"/>
                <w:bCs w:val="0"/>
                <w:i w:val="0"/>
                <w:iCs w:val="0"/>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湖北合力久盛混凝土有限公司</w:t>
            </w:r>
          </w:p>
        </w:tc>
        <w:tc>
          <w:tcPr>
            <w:tcW w:w="885" w:type="pct"/>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b w:val="0"/>
                <w:bCs w:val="0"/>
                <w:i w:val="0"/>
                <w:iCs w:val="0"/>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鄂州市华容区临江乡崔汤村</w:t>
            </w:r>
          </w:p>
        </w:tc>
        <w:tc>
          <w:tcPr>
            <w:tcW w:w="2857" w:type="pct"/>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b w:val="0"/>
                <w:bCs w:val="0"/>
                <w:i w:val="0"/>
                <w:iCs w:val="0"/>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生产、销售：商品混凝土、混凝土外加剂（不含危险化学品）；销售：建筑材料、金属材料、机电产品、五金配件。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6</w:t>
            </w:r>
          </w:p>
        </w:tc>
        <w:tc>
          <w:tcPr>
            <w:tcW w:w="893"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鄂州市华源商品混凝土有限公司</w:t>
            </w:r>
          </w:p>
        </w:tc>
        <w:tc>
          <w:tcPr>
            <w:tcW w:w="885"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鄂州市华容区临江乡崔汤村</w:t>
            </w:r>
          </w:p>
        </w:tc>
        <w:tc>
          <w:tcPr>
            <w:tcW w:w="2857"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商品混凝土、混凝土外加剂（不含危险化学品）；销售：建筑材料、金属材料、机电产品、五金配件。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7</w:t>
            </w:r>
          </w:p>
        </w:tc>
        <w:tc>
          <w:tcPr>
            <w:tcW w:w="893"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湖北永浩铸业科技股份有限公司</w:t>
            </w:r>
          </w:p>
        </w:tc>
        <w:tc>
          <w:tcPr>
            <w:tcW w:w="885"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鄂州市华容区临江乡新港村</w:t>
            </w:r>
          </w:p>
        </w:tc>
        <w:tc>
          <w:tcPr>
            <w:tcW w:w="2857"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铸造件加工、销售；铸业制造件技术研发；计算机软件产品开发及销售；机械设备及技术进出口业务（国家限定公司经营或禁止进出口的商品及技术除外）；普通机械设备零配件加工；销售：煤炭、矿产品、彩砖、化工产品（不含化学危险品）、钢渣、金属材料、建筑材料、焦碳、五金、交电、水暖器材、机电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8</w:t>
            </w:r>
          </w:p>
        </w:tc>
        <w:tc>
          <w:tcPr>
            <w:tcW w:w="893"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湖北楚藩水泥制造有限公司</w:t>
            </w:r>
          </w:p>
        </w:tc>
        <w:tc>
          <w:tcPr>
            <w:tcW w:w="885"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湖北省鄂州市华容区华容镇华蒲路</w:t>
            </w:r>
          </w:p>
        </w:tc>
        <w:tc>
          <w:tcPr>
            <w:tcW w:w="2857"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干混砂浆、湿拌砂浆及水泥粉磨生产、销售；销售：建筑材料。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9</w:t>
            </w:r>
          </w:p>
        </w:tc>
        <w:tc>
          <w:tcPr>
            <w:tcW w:w="893"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鄂州市强山水泥制品有限公司</w:t>
            </w:r>
          </w:p>
        </w:tc>
        <w:tc>
          <w:tcPr>
            <w:tcW w:w="885"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鄂州市华容区华蒲路熊皮村十三组</w:t>
            </w:r>
          </w:p>
        </w:tc>
        <w:tc>
          <w:tcPr>
            <w:tcW w:w="2857"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销售：建筑材料、油木竿、金属材料、五金交电、装饰材料、机电产品；对工程建设、物资贸易、园林建筑、农业基础设施项目的投资。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893"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湖北世顺泽环保科技有限公司</w:t>
            </w:r>
          </w:p>
        </w:tc>
        <w:tc>
          <w:tcPr>
            <w:tcW w:w="885"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鄂州市华容区华容镇柴汤村十三组华蒲路特一号</w:t>
            </w:r>
          </w:p>
        </w:tc>
        <w:tc>
          <w:tcPr>
            <w:tcW w:w="2857"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脱硫石膏处理；脱硫石膏的技术研发及销售；销售：建筑材料、水泥、钢材、五金水暖、装饰装潢材料、保温材料、防水材料。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11</w:t>
            </w:r>
          </w:p>
        </w:tc>
        <w:tc>
          <w:tcPr>
            <w:tcW w:w="893"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湖北鸿茂矿渣微粉有限公司</w:t>
            </w:r>
          </w:p>
        </w:tc>
        <w:tc>
          <w:tcPr>
            <w:tcW w:w="885"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鄂州市华容镇楚藩路</w:t>
            </w:r>
          </w:p>
        </w:tc>
        <w:tc>
          <w:tcPr>
            <w:tcW w:w="2857"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矿渣微粉研发、生产、销售；砂石加工、销售；干混砂浆生产、销售；复合材料及新型建材的研发、销售及技术推广服务；工程管理服务；混凝土膨胀剂、混凝土防水剂、防水建筑材料、涂料（不含危险化学品）、灌浆料、装配式建筑材料的生产、销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12</w:t>
            </w:r>
          </w:p>
        </w:tc>
        <w:tc>
          <w:tcPr>
            <w:tcW w:w="893"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湖北凌鑫节能环保科技有限责任公司</w:t>
            </w:r>
          </w:p>
        </w:tc>
        <w:tc>
          <w:tcPr>
            <w:tcW w:w="885"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鄂州市华容区段店镇孙彭村</w:t>
            </w:r>
          </w:p>
        </w:tc>
        <w:tc>
          <w:tcPr>
            <w:tcW w:w="2857"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生产：（预拌）干混砂浆；销售：建筑材料、干混沙浆。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13</w:t>
            </w:r>
          </w:p>
        </w:tc>
        <w:tc>
          <w:tcPr>
            <w:tcW w:w="893"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鄂州重春新型建材有限责任公司</w:t>
            </w:r>
          </w:p>
        </w:tc>
        <w:tc>
          <w:tcPr>
            <w:tcW w:w="885"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鄂州华容段店孙彭村李家岗</w:t>
            </w:r>
          </w:p>
        </w:tc>
        <w:tc>
          <w:tcPr>
            <w:tcW w:w="2857"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生产、销售：加气块、灰砂砖；销售：预拌干混砂浆。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shd w:val="clear" w:color="auto" w:fill="E7E6E6" w:themeFill="background2"/>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14</w:t>
            </w:r>
          </w:p>
        </w:tc>
        <w:tc>
          <w:tcPr>
            <w:tcW w:w="893" w:type="pct"/>
            <w:shd w:val="clear" w:color="auto" w:fill="E7E6E6" w:themeFill="background2"/>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华新水泥（鄂州）有限公司</w:t>
            </w:r>
          </w:p>
        </w:tc>
        <w:tc>
          <w:tcPr>
            <w:tcW w:w="885" w:type="pct"/>
            <w:shd w:val="clear" w:color="auto" w:fill="E7E6E6" w:themeFill="background2"/>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鄂州市华容区段店镇孙彭村</w:t>
            </w:r>
          </w:p>
        </w:tc>
        <w:tc>
          <w:tcPr>
            <w:tcW w:w="2857" w:type="pct"/>
            <w:shd w:val="clear" w:color="auto" w:fill="E7E6E6" w:themeFill="background2"/>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生产、销售：水泥；销售：矿渣粉；货运代办。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15</w:t>
            </w:r>
          </w:p>
        </w:tc>
        <w:tc>
          <w:tcPr>
            <w:tcW w:w="893"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湖北华祥水泥有限公司鄂州分公司</w:t>
            </w:r>
          </w:p>
        </w:tc>
        <w:tc>
          <w:tcPr>
            <w:tcW w:w="885"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鄂州市华容区段店镇孙彭村</w:t>
            </w:r>
          </w:p>
        </w:tc>
        <w:tc>
          <w:tcPr>
            <w:tcW w:w="2857"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水泥粉磨，水泥销售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16</w:t>
            </w:r>
          </w:p>
        </w:tc>
        <w:tc>
          <w:tcPr>
            <w:tcW w:w="893"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湖北鼎润环保科技有限公司</w:t>
            </w:r>
          </w:p>
        </w:tc>
        <w:tc>
          <w:tcPr>
            <w:tcW w:w="885"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鄂州市华容区段店孙彭村</w:t>
            </w:r>
          </w:p>
        </w:tc>
        <w:tc>
          <w:tcPr>
            <w:tcW w:w="2857"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PC预制构件、商品混凝土、干混砂浆技术研究及生产、销售；机械设备生产</w:t>
            </w:r>
            <w:r>
              <w:rPr>
                <w:rStyle w:val="71"/>
                <w:rFonts w:hint="default" w:ascii="Times New Roman" w:hAnsi="Times New Roman" w:eastAsia="宋体" w:cs="Times New Roman"/>
                <w:color w:val="auto"/>
                <w:sz w:val="21"/>
                <w:szCs w:val="21"/>
                <w:highlight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不含特种设备</w:t>
            </w:r>
            <w:r>
              <w:rPr>
                <w:rStyle w:val="71"/>
                <w:rFonts w:hint="default" w:ascii="Times New Roman" w:hAnsi="Times New Roman" w:eastAsia="宋体" w:cs="Times New Roman"/>
                <w:color w:val="auto"/>
                <w:sz w:val="21"/>
                <w:szCs w:val="21"/>
                <w:highlight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、销售；厂房出租；</w:t>
            </w:r>
            <w:r>
              <w:rPr>
                <w:rStyle w:val="71"/>
                <w:rFonts w:hint="default" w:ascii="Times New Roman" w:hAnsi="Times New Roman" w:eastAsia="宋体" w:cs="Times New Roman"/>
                <w:color w:val="auto"/>
                <w:sz w:val="21"/>
                <w:szCs w:val="21"/>
                <w:highlight w:val="none"/>
                <w:lang w:val="en-US" w:eastAsia="zh-CN" w:bidi="ar"/>
              </w:rPr>
              <w:t>ALC</w:t>
            </w:r>
            <w:r>
              <w:rPr>
                <w:rFonts w:hint="default" w:ascii="Times New Roman" w:hAnsi="Times New Roman" w:eastAsia="宋体" w:cs="Times New Roman"/>
                <w:i w:val="0"/>
                <w:color w:val="auto"/>
                <w:kern w:val="0"/>
                <w:sz w:val="21"/>
                <w:szCs w:val="21"/>
                <w:highlight w:val="none"/>
                <w:u w:val="none"/>
                <w:lang w:val="en-US" w:eastAsia="zh-CN" w:bidi="ar"/>
              </w:rPr>
              <w:t>板材及</w:t>
            </w:r>
            <w:r>
              <w:rPr>
                <w:rStyle w:val="71"/>
                <w:rFonts w:hint="default" w:ascii="Times New Roman" w:hAnsi="Times New Roman" w:eastAsia="宋体" w:cs="Times New Roman"/>
                <w:color w:val="auto"/>
                <w:sz w:val="21"/>
                <w:szCs w:val="21"/>
                <w:highlight w:val="none"/>
                <w:lang w:val="en-US" w:eastAsia="zh-CN" w:bidi="ar"/>
              </w:rPr>
              <w:t>ALC</w:t>
            </w:r>
            <w:r>
              <w:rPr>
                <w:rFonts w:hint="default" w:ascii="Times New Roman" w:hAnsi="Times New Roman" w:eastAsia="宋体" w:cs="Times New Roman"/>
                <w:i w:val="0"/>
                <w:color w:val="auto"/>
                <w:kern w:val="0"/>
                <w:sz w:val="21"/>
                <w:szCs w:val="21"/>
                <w:highlight w:val="none"/>
                <w:u w:val="none"/>
                <w:lang w:val="en-US" w:eastAsia="zh-CN" w:bidi="ar"/>
              </w:rPr>
              <w:t>砌块的生产及销售；</w:t>
            </w:r>
            <w:r>
              <w:rPr>
                <w:rStyle w:val="71"/>
                <w:rFonts w:hint="default" w:ascii="Times New Roman" w:hAnsi="Times New Roman" w:eastAsia="宋体" w:cs="Times New Roman"/>
                <w:color w:val="auto"/>
                <w:sz w:val="21"/>
                <w:szCs w:val="21"/>
                <w:highlight w:val="none"/>
                <w:lang w:val="en-US" w:eastAsia="zh-CN" w:bidi="ar"/>
              </w:rPr>
              <w:t>ALC</w:t>
            </w:r>
            <w:r>
              <w:rPr>
                <w:rFonts w:hint="default" w:ascii="Times New Roman" w:hAnsi="Times New Roman" w:eastAsia="宋体" w:cs="Times New Roman"/>
                <w:i w:val="0"/>
                <w:color w:val="auto"/>
                <w:kern w:val="0"/>
                <w:sz w:val="21"/>
                <w:szCs w:val="21"/>
                <w:highlight w:val="none"/>
                <w:u w:val="none"/>
                <w:lang w:val="en-US" w:eastAsia="zh-CN" w:bidi="ar"/>
              </w:rPr>
              <w:t>装配式建筑材料研发及推广应用；普通货物运输。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shd w:val="clear" w:color="auto" w:fill="E7E6E6" w:themeFill="background2"/>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17</w:t>
            </w:r>
          </w:p>
        </w:tc>
        <w:tc>
          <w:tcPr>
            <w:tcW w:w="893" w:type="pct"/>
            <w:shd w:val="clear" w:color="auto" w:fill="E7E6E6" w:themeFill="background2"/>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湖北宇拓新型墙材有限公司</w:t>
            </w:r>
          </w:p>
        </w:tc>
        <w:tc>
          <w:tcPr>
            <w:tcW w:w="885" w:type="pct"/>
            <w:shd w:val="clear" w:color="auto" w:fill="E7E6E6" w:themeFill="background2"/>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鄂州市华容区段店镇孙彭村</w:t>
            </w:r>
          </w:p>
        </w:tc>
        <w:tc>
          <w:tcPr>
            <w:tcW w:w="2857" w:type="pct"/>
            <w:shd w:val="clear" w:color="auto" w:fill="E7E6E6" w:themeFill="background2"/>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生产、销售：煤灰加气砼、灰砂砖、青沙；废石、建筑废弃物的综合利用；建材销售。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18</w:t>
            </w:r>
          </w:p>
        </w:tc>
        <w:tc>
          <w:tcPr>
            <w:tcW w:w="893"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aps w:val="0"/>
                <w:color w:val="auto"/>
                <w:spacing w:val="0"/>
                <w:sz w:val="21"/>
                <w:szCs w:val="21"/>
                <w:highlight w:val="none"/>
                <w:shd w:val="clear" w:fill="FFFFFF"/>
              </w:rPr>
              <w:t>湖北鑫吉药用包装股份有限公司</w:t>
            </w:r>
          </w:p>
        </w:tc>
        <w:tc>
          <w:tcPr>
            <w:tcW w:w="885"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鄂州市华容区段店镇三江大道</w:t>
            </w:r>
            <w:r>
              <w:rPr>
                <w:rStyle w:val="71"/>
                <w:rFonts w:hint="default" w:ascii="Times New Roman" w:hAnsi="Times New Roman" w:eastAsia="宋体" w:cs="Times New Roman"/>
                <w:color w:val="auto"/>
                <w:sz w:val="21"/>
                <w:szCs w:val="21"/>
                <w:highlight w:val="none"/>
                <w:lang w:val="en-US" w:eastAsia="zh-CN" w:bidi="ar"/>
              </w:rPr>
              <w:t>177</w:t>
            </w:r>
            <w:r>
              <w:rPr>
                <w:rFonts w:hint="default" w:ascii="Times New Roman" w:hAnsi="Times New Roman" w:eastAsia="宋体" w:cs="Times New Roman"/>
                <w:i w:val="0"/>
                <w:color w:val="auto"/>
                <w:kern w:val="0"/>
                <w:sz w:val="21"/>
                <w:szCs w:val="21"/>
                <w:highlight w:val="none"/>
                <w:u w:val="none"/>
                <w:lang w:val="en-US" w:eastAsia="zh-CN" w:bidi="ar"/>
              </w:rPr>
              <w:t>号</w:t>
            </w:r>
          </w:p>
        </w:tc>
        <w:tc>
          <w:tcPr>
            <w:tcW w:w="2857"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包装装潢印刷品印刷；生产、加工、销售：金属软管、药用软膏铝管、药品包装用铝箔、药用包装用复合膜、铝制品；销售百货；本公司生产经营的产品进出口业务。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19</w:t>
            </w:r>
          </w:p>
        </w:tc>
        <w:tc>
          <w:tcPr>
            <w:tcW w:w="893"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eastAsia="宋体" w:cs="Times New Roman"/>
                <w:b/>
                <w:bCs/>
                <w:i w:val="0"/>
                <w:color w:val="auto"/>
                <w:kern w:val="0"/>
                <w:sz w:val="21"/>
                <w:szCs w:val="21"/>
                <w:highlight w:val="none"/>
                <w:u w:val="none"/>
                <w:lang w:val="en-US" w:eastAsia="zh-CN" w:bidi="ar"/>
              </w:rPr>
              <w:t>鄂州市力兴统领科技有限公司</w:t>
            </w:r>
          </w:p>
        </w:tc>
        <w:tc>
          <w:tcPr>
            <w:tcW w:w="885"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eastAsia="宋体" w:cs="Times New Roman"/>
                <w:b/>
                <w:bCs/>
                <w:i w:val="0"/>
                <w:color w:val="auto"/>
                <w:kern w:val="0"/>
                <w:sz w:val="21"/>
                <w:szCs w:val="21"/>
                <w:highlight w:val="none"/>
                <w:u w:val="none"/>
                <w:lang w:val="en-US" w:eastAsia="zh-CN" w:bidi="ar"/>
              </w:rPr>
              <w:t>鄂州市市场监督管理局</w:t>
            </w:r>
          </w:p>
        </w:tc>
        <w:tc>
          <w:tcPr>
            <w:tcW w:w="2857"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eastAsia="宋体" w:cs="Times New Roman"/>
                <w:b/>
                <w:bCs/>
                <w:i w:val="0"/>
                <w:color w:val="auto"/>
                <w:kern w:val="0"/>
                <w:sz w:val="21"/>
                <w:szCs w:val="21"/>
                <w:highlight w:val="none"/>
                <w:u w:val="none"/>
                <w:lang w:val="en-US" w:eastAsia="zh-CN" w:bidi="ar"/>
              </w:rPr>
              <w:t>生产、销售：水泥助磨剂；销售：水泥外加剂、粉煤灰、水泥、建筑材料、沥青、水稳材料、混凝土；加工销售编织袋；道路工程；园林绿化工程。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shd w:val="clear" w:color="auto" w:fill="E7E6E6" w:themeFill="background2"/>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20</w:t>
            </w:r>
          </w:p>
        </w:tc>
        <w:tc>
          <w:tcPr>
            <w:tcW w:w="893" w:type="pct"/>
            <w:shd w:val="clear" w:color="auto" w:fill="E7E6E6" w:themeFill="background2"/>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鄂州市国伟建材有限责任公司</w:t>
            </w:r>
          </w:p>
        </w:tc>
        <w:tc>
          <w:tcPr>
            <w:tcW w:w="885" w:type="pct"/>
            <w:shd w:val="clear" w:color="auto" w:fill="E7E6E6" w:themeFill="background2"/>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鄂州市华容区段店镇灯塘村</w:t>
            </w:r>
          </w:p>
        </w:tc>
        <w:tc>
          <w:tcPr>
            <w:tcW w:w="2857" w:type="pct"/>
            <w:shd w:val="clear" w:color="auto" w:fill="E7E6E6" w:themeFill="background2"/>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生产、销售：灰沙砖、加气块、水泥砖、煤灰砖、干粉砂浆。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shd w:val="clear" w:color="auto" w:fill="E7E6E6" w:themeFill="background2"/>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21</w:t>
            </w:r>
          </w:p>
        </w:tc>
        <w:tc>
          <w:tcPr>
            <w:tcW w:w="893" w:type="pct"/>
            <w:shd w:val="clear" w:color="auto" w:fill="E7E6E6" w:themeFill="background2"/>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湖北丽美药用包装有限公司</w:t>
            </w:r>
          </w:p>
        </w:tc>
        <w:tc>
          <w:tcPr>
            <w:tcW w:w="885" w:type="pct"/>
            <w:shd w:val="clear" w:color="auto" w:fill="E7E6E6" w:themeFill="background2"/>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鄂州市三江港区三和大道</w:t>
            </w:r>
            <w:r>
              <w:rPr>
                <w:rStyle w:val="71"/>
                <w:rFonts w:hint="default" w:ascii="Times New Roman" w:hAnsi="Times New Roman" w:eastAsia="宋体" w:cs="Times New Roman"/>
                <w:color w:val="auto"/>
                <w:sz w:val="21"/>
                <w:szCs w:val="21"/>
                <w:highlight w:val="none"/>
                <w:lang w:val="en-US" w:eastAsia="zh-CN" w:bidi="ar"/>
              </w:rPr>
              <w:t>35</w:t>
            </w:r>
            <w:r>
              <w:rPr>
                <w:rFonts w:hint="default" w:ascii="Times New Roman" w:hAnsi="Times New Roman" w:eastAsia="宋体" w:cs="Times New Roman"/>
                <w:i w:val="0"/>
                <w:color w:val="auto"/>
                <w:kern w:val="0"/>
                <w:sz w:val="21"/>
                <w:szCs w:val="21"/>
                <w:highlight w:val="none"/>
                <w:u w:val="none"/>
                <w:lang w:val="en-US" w:eastAsia="zh-CN" w:bidi="ar"/>
              </w:rPr>
              <w:t>号</w:t>
            </w:r>
          </w:p>
        </w:tc>
        <w:tc>
          <w:tcPr>
            <w:tcW w:w="2857" w:type="pct"/>
            <w:shd w:val="clear" w:color="auto" w:fill="E7E6E6" w:themeFill="background2"/>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包装装潢印刷品印刷；生产、销售：药用、化妆品、食品、精细化工及日化产品的铝质、铝塑硬软管；自营、收购及代理商品和技术的进出口业务。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22</w:t>
            </w:r>
          </w:p>
        </w:tc>
        <w:tc>
          <w:tcPr>
            <w:tcW w:w="893" w:type="pct"/>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aps w:val="0"/>
                <w:color w:val="auto"/>
                <w:spacing w:val="0"/>
                <w:sz w:val="21"/>
                <w:szCs w:val="21"/>
                <w:highlight w:val="none"/>
                <w:shd w:val="clear" w:fill="FFFFFF"/>
              </w:rPr>
              <w:t>鄂州市段店镇沛红服装厂</w:t>
            </w:r>
          </w:p>
        </w:tc>
        <w:tc>
          <w:tcPr>
            <w:tcW w:w="885" w:type="pct"/>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aps w:val="0"/>
                <w:color w:val="auto"/>
                <w:spacing w:val="0"/>
                <w:sz w:val="21"/>
                <w:szCs w:val="21"/>
                <w:highlight w:val="none"/>
                <w:shd w:val="clear" w:fill="FFFFFF"/>
              </w:rPr>
              <w:t>鄂州市华容区段店镇孔关村十组</w:t>
            </w:r>
          </w:p>
        </w:tc>
        <w:tc>
          <w:tcPr>
            <w:tcW w:w="2857" w:type="pct"/>
            <w:shd w:val="clear" w:color="auto" w:fill="auto"/>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aps w:val="0"/>
                <w:color w:val="auto"/>
                <w:spacing w:val="0"/>
                <w:sz w:val="21"/>
                <w:szCs w:val="21"/>
                <w:highlight w:val="none"/>
                <w:shd w:val="clear" w:fill="FFFFFF"/>
              </w:rPr>
              <w:t>服装加工、销售。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23</w:t>
            </w:r>
          </w:p>
        </w:tc>
        <w:tc>
          <w:tcPr>
            <w:tcW w:w="893"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湖北迪洋环保科技有限公司</w:t>
            </w:r>
          </w:p>
        </w:tc>
        <w:tc>
          <w:tcPr>
            <w:tcW w:w="885"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鄂州市华容区段店镇孔关村三和大道</w:t>
            </w:r>
            <w:r>
              <w:rPr>
                <w:rStyle w:val="71"/>
                <w:rFonts w:hint="default" w:ascii="Times New Roman" w:hAnsi="Times New Roman" w:eastAsia="宋体" w:cs="Times New Roman"/>
                <w:color w:val="auto"/>
                <w:sz w:val="21"/>
                <w:szCs w:val="21"/>
                <w:highlight w:val="none"/>
                <w:lang w:val="en-US" w:eastAsia="zh-CN" w:bidi="ar"/>
              </w:rPr>
              <w:t>33</w:t>
            </w:r>
            <w:r>
              <w:rPr>
                <w:rFonts w:hint="default" w:ascii="Times New Roman" w:hAnsi="Times New Roman" w:eastAsia="宋体" w:cs="Times New Roman"/>
                <w:i w:val="0"/>
                <w:color w:val="auto"/>
                <w:kern w:val="0"/>
                <w:sz w:val="21"/>
                <w:szCs w:val="21"/>
                <w:highlight w:val="none"/>
                <w:u w:val="none"/>
                <w:lang w:val="en-US" w:eastAsia="zh-CN" w:bidi="ar"/>
              </w:rPr>
              <w:t>号</w:t>
            </w:r>
          </w:p>
        </w:tc>
        <w:tc>
          <w:tcPr>
            <w:tcW w:w="2857"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环保设备技术研发、技术咨询、技术推广、技术转让；环保设备生产（不含冶炼、压延及铸造）；防水工程施工；销售：环保设备、水处理设备、暖通设备。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24</w:t>
            </w:r>
          </w:p>
        </w:tc>
        <w:tc>
          <w:tcPr>
            <w:tcW w:w="893"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武汉鑫桥安建筑材料有限公司鄂州分公司</w:t>
            </w:r>
          </w:p>
        </w:tc>
        <w:tc>
          <w:tcPr>
            <w:tcW w:w="885"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鄂州市华容区段店镇孔关村吴垅湾对面</w:t>
            </w:r>
          </w:p>
        </w:tc>
        <w:tc>
          <w:tcPr>
            <w:tcW w:w="2857"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新型建筑材料的研发、生产、销售；建筑工程施工、技术咨询、技术服务；波纹管加工制作（不含冶炼及压延）及销售；机械设备销售；锚具销售；管件及相关配件销售；建筑劳务分包；市政工程、保温工程设计、施工；加固工程；化工产品（不含化学危险品）销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25</w:t>
            </w:r>
          </w:p>
        </w:tc>
        <w:tc>
          <w:tcPr>
            <w:tcW w:w="893"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湖北富升智能装备股份有限公司</w:t>
            </w:r>
          </w:p>
        </w:tc>
        <w:tc>
          <w:tcPr>
            <w:tcW w:w="885"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鄂州市华容区段店镇三江大道特</w:t>
            </w:r>
            <w:r>
              <w:rPr>
                <w:rStyle w:val="71"/>
                <w:rFonts w:hint="default" w:ascii="Times New Roman" w:hAnsi="Times New Roman" w:eastAsia="宋体" w:cs="Times New Roman"/>
                <w:color w:val="auto"/>
                <w:sz w:val="21"/>
                <w:szCs w:val="21"/>
                <w:highlight w:val="none"/>
                <w:lang w:val="en-US" w:eastAsia="zh-CN" w:bidi="ar"/>
              </w:rPr>
              <w:t>1</w:t>
            </w:r>
            <w:r>
              <w:rPr>
                <w:rFonts w:hint="default" w:ascii="Times New Roman" w:hAnsi="Times New Roman" w:eastAsia="宋体" w:cs="Times New Roman"/>
                <w:i w:val="0"/>
                <w:color w:val="auto"/>
                <w:kern w:val="0"/>
                <w:sz w:val="21"/>
                <w:szCs w:val="21"/>
                <w:highlight w:val="none"/>
                <w:u w:val="none"/>
                <w:lang w:val="en-US" w:eastAsia="zh-CN" w:bidi="ar"/>
              </w:rPr>
              <w:t>号</w:t>
            </w:r>
          </w:p>
        </w:tc>
        <w:tc>
          <w:tcPr>
            <w:tcW w:w="2857"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制造、加工、销售：锻压机械设备、锻压件、铁路配件；销售：金属材料、仪器仪表、建筑材料、化工产品（不含剧毒和其他化学危险品）；经营本企业自产产品及技术的出口业务；经营本企业生产所需的原辅材料、仪器仪表、机械设备、零配件及技术的进口业务；经营进料加工和</w:t>
            </w:r>
            <w:r>
              <w:rPr>
                <w:rStyle w:val="71"/>
                <w:rFonts w:hint="default" w:ascii="Times New Roman" w:hAnsi="Times New Roman" w:eastAsia="宋体" w:cs="Times New Roman"/>
                <w:color w:val="auto"/>
                <w:sz w:val="21"/>
                <w:szCs w:val="21"/>
                <w:highlight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三来一补</w:t>
            </w:r>
            <w:r>
              <w:rPr>
                <w:rStyle w:val="71"/>
                <w:rFonts w:hint="default" w:ascii="Times New Roman" w:hAnsi="Times New Roman" w:eastAsia="宋体" w:cs="Times New Roman"/>
                <w:color w:val="auto"/>
                <w:sz w:val="21"/>
                <w:szCs w:val="21"/>
                <w:highlight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业务；废旧金属回收销售（不含危险废物）。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26</w:t>
            </w:r>
          </w:p>
        </w:tc>
        <w:tc>
          <w:tcPr>
            <w:tcW w:w="893"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鄂州市科力工业技术开发有限责任公司</w:t>
            </w:r>
          </w:p>
        </w:tc>
        <w:tc>
          <w:tcPr>
            <w:tcW w:w="885"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鄂州市华容区段店镇骆李村</w:t>
            </w:r>
          </w:p>
        </w:tc>
        <w:tc>
          <w:tcPr>
            <w:tcW w:w="2857"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工业机电设备及节能环保工程设备开发研究、制造；年产</w:t>
            </w:r>
            <w:r>
              <w:rPr>
                <w:rStyle w:val="71"/>
                <w:rFonts w:hint="default" w:ascii="Times New Roman" w:hAnsi="Times New Roman" w:eastAsia="宋体" w:cs="Times New Roman"/>
                <w:color w:val="auto"/>
                <w:sz w:val="21"/>
                <w:szCs w:val="21"/>
                <w:highlight w:val="none"/>
                <w:lang w:val="en-US" w:eastAsia="zh-CN" w:bidi="ar"/>
              </w:rPr>
              <w:t>20</w:t>
            </w:r>
            <w:r>
              <w:rPr>
                <w:rFonts w:hint="default" w:ascii="Times New Roman" w:hAnsi="Times New Roman" w:eastAsia="宋体" w:cs="Times New Roman"/>
                <w:i w:val="0"/>
                <w:color w:val="auto"/>
                <w:kern w:val="0"/>
                <w:sz w:val="21"/>
                <w:szCs w:val="21"/>
                <w:highlight w:val="none"/>
                <w:u w:val="none"/>
                <w:lang w:val="en-US" w:eastAsia="zh-CN" w:bidi="ar"/>
              </w:rPr>
              <w:t>万吨以下水泥厂技改项目论证设计；技术咨询；生产水泥砌块。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27</w:t>
            </w:r>
          </w:p>
        </w:tc>
        <w:tc>
          <w:tcPr>
            <w:tcW w:w="893"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鄂州市华龙塑业有限公司</w:t>
            </w:r>
          </w:p>
        </w:tc>
        <w:tc>
          <w:tcPr>
            <w:tcW w:w="885"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鄂州市华容区段店镇三和大道</w:t>
            </w:r>
            <w:r>
              <w:rPr>
                <w:rStyle w:val="71"/>
                <w:rFonts w:hint="default" w:ascii="Times New Roman" w:hAnsi="Times New Roman" w:eastAsia="宋体" w:cs="Times New Roman"/>
                <w:color w:val="auto"/>
                <w:sz w:val="21"/>
                <w:szCs w:val="21"/>
                <w:highlight w:val="none"/>
                <w:lang w:val="en-US" w:eastAsia="zh-CN" w:bidi="ar"/>
              </w:rPr>
              <w:t>21</w:t>
            </w:r>
            <w:r>
              <w:rPr>
                <w:rFonts w:hint="default" w:ascii="Times New Roman" w:hAnsi="Times New Roman" w:eastAsia="宋体" w:cs="Times New Roman"/>
                <w:i w:val="0"/>
                <w:color w:val="auto"/>
                <w:kern w:val="0"/>
                <w:sz w:val="21"/>
                <w:szCs w:val="21"/>
                <w:highlight w:val="none"/>
                <w:u w:val="none"/>
                <w:lang w:val="en-US" w:eastAsia="zh-CN" w:bidi="ar"/>
              </w:rPr>
              <w:t>号</w:t>
            </w:r>
          </w:p>
        </w:tc>
        <w:tc>
          <w:tcPr>
            <w:tcW w:w="2857"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生产、加工、销售：塑料帽盖、塑料管、塑料瓶、塑料模具、塑料包装。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shd w:val="clear" w:color="auto" w:fill="E7E6E6" w:themeFill="background2"/>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28</w:t>
            </w:r>
          </w:p>
        </w:tc>
        <w:tc>
          <w:tcPr>
            <w:tcW w:w="893" w:type="pct"/>
            <w:shd w:val="clear" w:color="auto" w:fill="E7E6E6" w:themeFill="background2"/>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鄂州市胜利软管股份有限公司</w:t>
            </w:r>
          </w:p>
        </w:tc>
        <w:tc>
          <w:tcPr>
            <w:tcW w:w="885" w:type="pct"/>
            <w:shd w:val="clear" w:color="auto" w:fill="E7E6E6" w:themeFill="background2"/>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鄂州市华容区段店镇</w:t>
            </w:r>
          </w:p>
        </w:tc>
        <w:tc>
          <w:tcPr>
            <w:tcW w:w="2857" w:type="pct"/>
            <w:shd w:val="clear" w:color="auto" w:fill="E7E6E6" w:themeFill="background2"/>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b w:val="0"/>
                <w:bCs w:val="0"/>
                <w:i w:val="0"/>
                <w:iCs w:val="0"/>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包装装潢印刷品印刷；自产自销铝软管；自营和代理各类商品及技术的进出口业务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i w:val="0"/>
                <w:color w:val="auto"/>
                <w:kern w:val="0"/>
                <w:sz w:val="21"/>
                <w:szCs w:val="21"/>
                <w:highlight w:val="none"/>
                <w:u w:val="none"/>
                <w:lang w:val="en-US" w:eastAsia="zh-CN" w:bidi="ar"/>
              </w:rPr>
              <w:t>29</w:t>
            </w:r>
          </w:p>
        </w:tc>
        <w:tc>
          <w:tcPr>
            <w:tcW w:w="893"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鄂州三江港宏文包装有限公司</w:t>
            </w:r>
          </w:p>
        </w:tc>
        <w:tc>
          <w:tcPr>
            <w:tcW w:w="885"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鄂州市华容区段店镇骆李村特</w:t>
            </w:r>
            <w:r>
              <w:rPr>
                <w:rStyle w:val="71"/>
                <w:rFonts w:hint="default" w:ascii="Times New Roman" w:hAnsi="Times New Roman" w:eastAsia="宋体" w:cs="Times New Roman"/>
                <w:color w:val="auto"/>
                <w:sz w:val="21"/>
                <w:szCs w:val="21"/>
                <w:highlight w:val="none"/>
                <w:lang w:val="en-US" w:eastAsia="zh-CN" w:bidi="ar"/>
              </w:rPr>
              <w:t>19</w:t>
            </w:r>
            <w:r>
              <w:rPr>
                <w:rFonts w:hint="default" w:ascii="Times New Roman" w:hAnsi="Times New Roman" w:eastAsia="宋体" w:cs="Times New Roman"/>
                <w:i w:val="0"/>
                <w:color w:val="auto"/>
                <w:kern w:val="0"/>
                <w:sz w:val="21"/>
                <w:szCs w:val="21"/>
                <w:highlight w:val="none"/>
                <w:u w:val="none"/>
                <w:lang w:val="en-US" w:eastAsia="zh-CN" w:bidi="ar"/>
              </w:rPr>
              <w:t>号</w:t>
            </w:r>
          </w:p>
        </w:tc>
        <w:tc>
          <w:tcPr>
            <w:tcW w:w="2857"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包装装潢印刷品印刷；纸箱纸盒的加工（不含纸浆制造）及印刷；封箱胶带、缠绕膜、木质托板生产、销售。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i w:val="0"/>
                <w:color w:val="auto"/>
                <w:kern w:val="0"/>
                <w:sz w:val="21"/>
                <w:szCs w:val="21"/>
                <w:highlight w:val="none"/>
                <w:u w:val="none"/>
                <w:lang w:val="en-US" w:eastAsia="zh-CN" w:bidi="ar"/>
              </w:rPr>
              <w:t>30</w:t>
            </w:r>
          </w:p>
        </w:tc>
        <w:tc>
          <w:tcPr>
            <w:tcW w:w="893"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eastAsia="宋体" w:cs="Times New Roman"/>
                <w:b/>
                <w:bCs/>
                <w:i w:val="0"/>
                <w:color w:val="auto"/>
                <w:kern w:val="0"/>
                <w:sz w:val="21"/>
                <w:szCs w:val="21"/>
                <w:highlight w:val="none"/>
                <w:u w:val="none"/>
                <w:lang w:val="en-US" w:eastAsia="zh-CN" w:bidi="ar"/>
              </w:rPr>
              <w:t>湖北鸿昇矿业有限公司</w:t>
            </w:r>
          </w:p>
        </w:tc>
        <w:tc>
          <w:tcPr>
            <w:tcW w:w="885"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eastAsia="宋体" w:cs="Times New Roman"/>
                <w:b/>
                <w:bCs/>
                <w:i w:val="0"/>
                <w:color w:val="auto"/>
                <w:kern w:val="0"/>
                <w:sz w:val="21"/>
                <w:szCs w:val="21"/>
                <w:highlight w:val="none"/>
                <w:u w:val="none"/>
                <w:lang w:val="en-US" w:eastAsia="zh-CN" w:bidi="ar"/>
              </w:rPr>
              <w:t>湖北省武汉新港三江港经济区临江大道</w:t>
            </w:r>
            <w:r>
              <w:rPr>
                <w:rStyle w:val="71"/>
                <w:rFonts w:hint="default" w:ascii="Times New Roman" w:hAnsi="Times New Roman" w:eastAsia="宋体" w:cs="Times New Roman"/>
                <w:b/>
                <w:bCs/>
                <w:color w:val="auto"/>
                <w:sz w:val="21"/>
                <w:szCs w:val="21"/>
                <w:highlight w:val="none"/>
                <w:lang w:val="en-US" w:eastAsia="zh-CN" w:bidi="ar"/>
              </w:rPr>
              <w:t>90</w:t>
            </w:r>
            <w:r>
              <w:rPr>
                <w:rFonts w:hint="default" w:ascii="Times New Roman" w:hAnsi="Times New Roman" w:eastAsia="宋体" w:cs="Times New Roman"/>
                <w:b/>
                <w:bCs/>
                <w:i w:val="0"/>
                <w:color w:val="auto"/>
                <w:kern w:val="0"/>
                <w:sz w:val="21"/>
                <w:szCs w:val="21"/>
                <w:highlight w:val="none"/>
                <w:u w:val="none"/>
                <w:lang w:val="en-US" w:eastAsia="zh-CN" w:bidi="ar"/>
              </w:rPr>
              <w:t>号</w:t>
            </w:r>
          </w:p>
        </w:tc>
        <w:tc>
          <w:tcPr>
            <w:tcW w:w="2857"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eastAsia="宋体" w:cs="Times New Roman"/>
                <w:b/>
                <w:bCs/>
                <w:i w:val="0"/>
                <w:color w:val="auto"/>
                <w:kern w:val="0"/>
                <w:sz w:val="21"/>
                <w:szCs w:val="21"/>
                <w:highlight w:val="none"/>
                <w:u w:val="none"/>
                <w:lang w:val="en-US" w:eastAsia="zh-CN" w:bidi="ar"/>
              </w:rPr>
              <w:t>一般项目：选矿；矿物洗选加工；金属矿石销售；金属废料和碎屑加工处理；建筑砌块制造；建筑砌块销售；煤炭及制品销售；土地使用权租赁；机械设备租赁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i w:val="0"/>
                <w:color w:val="auto"/>
                <w:kern w:val="0"/>
                <w:sz w:val="21"/>
                <w:szCs w:val="21"/>
                <w:highlight w:val="none"/>
                <w:u w:val="none"/>
                <w:lang w:val="en-US" w:eastAsia="zh-CN" w:bidi="ar"/>
              </w:rPr>
              <w:t>31</w:t>
            </w:r>
          </w:p>
        </w:tc>
        <w:tc>
          <w:tcPr>
            <w:tcW w:w="893"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湖北鄂钢长航港务有限公司</w:t>
            </w:r>
          </w:p>
        </w:tc>
        <w:tc>
          <w:tcPr>
            <w:tcW w:w="885"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鄂州市华容区临江乡</w:t>
            </w:r>
          </w:p>
        </w:tc>
        <w:tc>
          <w:tcPr>
            <w:tcW w:w="2857"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普通货运；码头设施经营；货物装卸、中转、储存服务；货运代办；销售：金属材料、建筑材料、矿产品、煤炭。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i w:val="0"/>
                <w:color w:val="auto"/>
                <w:kern w:val="0"/>
                <w:sz w:val="21"/>
                <w:szCs w:val="21"/>
                <w:highlight w:val="none"/>
                <w:u w:val="none"/>
                <w:lang w:val="en-US" w:eastAsia="zh-CN" w:bidi="ar"/>
              </w:rPr>
              <w:t>32</w:t>
            </w:r>
          </w:p>
        </w:tc>
        <w:tc>
          <w:tcPr>
            <w:tcW w:w="893"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鄂州市昊晟新型材料有限公司</w:t>
            </w:r>
          </w:p>
        </w:tc>
        <w:tc>
          <w:tcPr>
            <w:tcW w:w="885"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鄂州市华容区临江乡黄柏山伟城物流有限公司厂内</w:t>
            </w:r>
          </w:p>
        </w:tc>
        <w:tc>
          <w:tcPr>
            <w:tcW w:w="2857"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建筑新材料研发及技术推广；销售：矿渣微粉、碎石、水泥、钢渣、脱硫石膏、钙石粉、炉渣、矿产品、粉煤灰、冶金炉料、金属材料、装饰材料、机电设备及配件、水暖器材、五金交电、防水材料、保温材料。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i w:val="0"/>
                <w:color w:val="auto"/>
                <w:kern w:val="0"/>
                <w:sz w:val="21"/>
                <w:szCs w:val="21"/>
                <w:highlight w:val="none"/>
                <w:u w:val="none"/>
                <w:lang w:val="en-US" w:eastAsia="zh-CN" w:bidi="ar"/>
              </w:rPr>
              <w:t>33</w:t>
            </w:r>
          </w:p>
        </w:tc>
        <w:tc>
          <w:tcPr>
            <w:tcW w:w="893"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湖北长江三江港区域投资开发有限公司</w:t>
            </w:r>
          </w:p>
        </w:tc>
        <w:tc>
          <w:tcPr>
            <w:tcW w:w="885"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鄂州市华容区楚藩大道</w:t>
            </w:r>
            <w:r>
              <w:rPr>
                <w:rStyle w:val="71"/>
                <w:rFonts w:hint="default" w:ascii="Times New Roman" w:hAnsi="Times New Roman" w:eastAsia="宋体" w:cs="Times New Roman"/>
                <w:color w:val="auto"/>
                <w:sz w:val="21"/>
                <w:szCs w:val="21"/>
                <w:highlight w:val="none"/>
                <w:lang w:val="en-US" w:eastAsia="zh-CN" w:bidi="ar"/>
              </w:rPr>
              <w:t>220</w:t>
            </w:r>
            <w:r>
              <w:rPr>
                <w:rFonts w:hint="default" w:ascii="Times New Roman" w:hAnsi="Times New Roman" w:eastAsia="宋体" w:cs="Times New Roman"/>
                <w:i w:val="0"/>
                <w:color w:val="auto"/>
                <w:kern w:val="0"/>
                <w:sz w:val="21"/>
                <w:szCs w:val="21"/>
                <w:highlight w:val="none"/>
                <w:u w:val="none"/>
                <w:lang w:val="en-US" w:eastAsia="zh-CN" w:bidi="ar"/>
              </w:rPr>
              <w:t>号</w:t>
            </w:r>
          </w:p>
        </w:tc>
        <w:tc>
          <w:tcPr>
            <w:tcW w:w="2857"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城市基础设施、港口码头设施及城市综合体的投资、建设与运营管理；土地收储与开发；房地产开发与经营；产业园区开发建设；高新技术、节能环保产业的投资开发；物流、生态农业及旅游产业的投资开发；资产管理与运营；风险投资与委托投资（不含金融类投资）；国际技术、经济合作；项目咨询服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i w:val="0"/>
                <w:color w:val="auto"/>
                <w:kern w:val="0"/>
                <w:sz w:val="21"/>
                <w:szCs w:val="21"/>
                <w:highlight w:val="none"/>
                <w:u w:val="none"/>
                <w:lang w:val="en-US" w:eastAsia="zh-CN" w:bidi="ar"/>
              </w:rPr>
              <w:t>34</w:t>
            </w:r>
          </w:p>
        </w:tc>
        <w:tc>
          <w:tcPr>
            <w:tcW w:w="893"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湖北憨哥酒业有限公司</w:t>
            </w:r>
          </w:p>
        </w:tc>
        <w:tc>
          <w:tcPr>
            <w:tcW w:w="885"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鄂州市华容区临江大道</w:t>
            </w:r>
            <w:r>
              <w:rPr>
                <w:rStyle w:val="71"/>
                <w:rFonts w:hint="default" w:ascii="Times New Roman" w:hAnsi="Times New Roman" w:eastAsia="宋体" w:cs="Times New Roman"/>
                <w:color w:val="auto"/>
                <w:sz w:val="21"/>
                <w:szCs w:val="21"/>
                <w:highlight w:val="none"/>
                <w:lang w:val="en-US" w:eastAsia="zh-CN" w:bidi="ar"/>
              </w:rPr>
              <w:t>218</w:t>
            </w:r>
            <w:r>
              <w:rPr>
                <w:rFonts w:hint="default" w:ascii="Times New Roman" w:hAnsi="Times New Roman" w:eastAsia="宋体" w:cs="Times New Roman"/>
                <w:i w:val="0"/>
                <w:color w:val="auto"/>
                <w:kern w:val="0"/>
                <w:sz w:val="21"/>
                <w:szCs w:val="21"/>
                <w:highlight w:val="none"/>
                <w:u w:val="none"/>
                <w:lang w:val="en-US" w:eastAsia="zh-CN" w:bidi="ar"/>
              </w:rPr>
              <w:t>号</w:t>
            </w:r>
          </w:p>
        </w:tc>
        <w:tc>
          <w:tcPr>
            <w:tcW w:w="2857"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白酒（液态</w:t>
            </w:r>
            <w:r>
              <w:rPr>
                <w:rStyle w:val="71"/>
                <w:rFonts w:hint="default" w:ascii="Times New Roman" w:hAnsi="Times New Roman" w:eastAsia="宋体" w:cs="Times New Roman"/>
                <w:color w:val="auto"/>
                <w:sz w:val="21"/>
                <w:szCs w:val="21"/>
                <w:highlight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生产、销售；憨哥牌系列配制酒制造、销售；销售：饮料、参茸、燕窝、海鲜产品、农副产品。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i w:val="0"/>
                <w:color w:val="auto"/>
                <w:kern w:val="0"/>
                <w:sz w:val="21"/>
                <w:szCs w:val="21"/>
                <w:highlight w:val="none"/>
                <w:u w:val="none"/>
                <w:lang w:val="en-US" w:eastAsia="zh-CN" w:bidi="ar"/>
              </w:rPr>
              <w:t>35</w:t>
            </w:r>
          </w:p>
        </w:tc>
        <w:tc>
          <w:tcPr>
            <w:tcW w:w="893"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湖北三和管桩有限公司</w:t>
            </w:r>
          </w:p>
        </w:tc>
        <w:tc>
          <w:tcPr>
            <w:tcW w:w="885"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鄂州市华容区临江乡</w:t>
            </w:r>
          </w:p>
        </w:tc>
        <w:tc>
          <w:tcPr>
            <w:tcW w:w="2857"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制造、销售：预应力混凝土管桩、水泥制品、新型建筑材料；货物装卸搬运服务；厂房出租；机械设备租赁服务。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i w:val="0"/>
                <w:color w:val="auto"/>
                <w:kern w:val="0"/>
                <w:sz w:val="21"/>
                <w:szCs w:val="21"/>
                <w:highlight w:val="none"/>
                <w:u w:val="none"/>
                <w:lang w:val="en-US" w:eastAsia="zh-CN" w:bidi="ar"/>
              </w:rPr>
              <w:t>36</w:t>
            </w:r>
          </w:p>
        </w:tc>
        <w:tc>
          <w:tcPr>
            <w:tcW w:w="893"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鄂州大同食品工贸股份有限公司</w:t>
            </w:r>
          </w:p>
        </w:tc>
        <w:tc>
          <w:tcPr>
            <w:tcW w:w="885"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鄂州市樊蒲大道吉刘街</w:t>
            </w:r>
            <w:r>
              <w:rPr>
                <w:rStyle w:val="71"/>
                <w:rFonts w:hint="default" w:ascii="Times New Roman" w:hAnsi="Times New Roman" w:eastAsia="宋体" w:cs="Times New Roman"/>
                <w:color w:val="auto"/>
                <w:sz w:val="21"/>
                <w:szCs w:val="21"/>
                <w:highlight w:val="none"/>
                <w:lang w:val="en-US" w:eastAsia="zh-CN" w:bidi="ar"/>
              </w:rPr>
              <w:t>41</w:t>
            </w:r>
            <w:r>
              <w:rPr>
                <w:rFonts w:hint="default" w:ascii="Times New Roman" w:hAnsi="Times New Roman" w:eastAsia="宋体" w:cs="Times New Roman"/>
                <w:i w:val="0"/>
                <w:color w:val="auto"/>
                <w:kern w:val="0"/>
                <w:sz w:val="21"/>
                <w:szCs w:val="21"/>
                <w:highlight w:val="none"/>
                <w:u w:val="none"/>
                <w:lang w:val="en-US" w:eastAsia="zh-CN" w:bidi="ar"/>
              </w:rPr>
              <w:t>号</w:t>
            </w:r>
          </w:p>
        </w:tc>
        <w:tc>
          <w:tcPr>
            <w:tcW w:w="2857"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销售、加工：罐头（畜禽水产罐头）；销售、生产：蛋制品（再制蛋类）；自营和代理各类商品和技术的进出品。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364"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i w:val="0"/>
                <w:color w:val="auto"/>
                <w:kern w:val="0"/>
                <w:sz w:val="21"/>
                <w:szCs w:val="21"/>
                <w:highlight w:val="none"/>
                <w:u w:val="none"/>
                <w:lang w:val="en-US" w:eastAsia="zh-CN" w:bidi="ar"/>
              </w:rPr>
              <w:t>37</w:t>
            </w:r>
          </w:p>
        </w:tc>
        <w:tc>
          <w:tcPr>
            <w:tcW w:w="893"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鄂州市吉庆烟花爆竹有限公司</w:t>
            </w:r>
          </w:p>
        </w:tc>
        <w:tc>
          <w:tcPr>
            <w:tcW w:w="885"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鄂州市华容区蒲团乡郭垱社区</w:t>
            </w:r>
          </w:p>
        </w:tc>
        <w:tc>
          <w:tcPr>
            <w:tcW w:w="2857"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销售：烟花、爆竹（以上项目经营期限至</w:t>
            </w:r>
            <w:r>
              <w:rPr>
                <w:rStyle w:val="71"/>
                <w:rFonts w:hint="default" w:ascii="Times New Roman" w:hAnsi="Times New Roman" w:eastAsia="宋体" w:cs="Times New Roman"/>
                <w:color w:val="auto"/>
                <w:sz w:val="21"/>
                <w:szCs w:val="21"/>
                <w:highlight w:val="none"/>
                <w:lang w:val="en-US" w:eastAsia="zh-CN" w:bidi="ar"/>
              </w:rPr>
              <w:t>2018</w:t>
            </w:r>
            <w:r>
              <w:rPr>
                <w:rFonts w:hint="default" w:ascii="Times New Roman" w:hAnsi="Times New Roman" w:eastAsia="宋体" w:cs="Times New Roman"/>
                <w:i w:val="0"/>
                <w:color w:val="auto"/>
                <w:kern w:val="0"/>
                <w:sz w:val="21"/>
                <w:szCs w:val="21"/>
                <w:highlight w:val="none"/>
                <w:u w:val="none"/>
                <w:lang w:val="en-US" w:eastAsia="zh-CN" w:bidi="ar"/>
              </w:rPr>
              <w:t>年</w:t>
            </w:r>
            <w:r>
              <w:rPr>
                <w:rStyle w:val="71"/>
                <w:rFonts w:hint="default" w:ascii="Times New Roman" w:hAnsi="Times New Roman" w:eastAsia="宋体" w:cs="Times New Roman"/>
                <w:color w:val="auto"/>
                <w:sz w:val="21"/>
                <w:szCs w:val="21"/>
                <w:highlight w:val="none"/>
                <w:lang w:val="en-US" w:eastAsia="zh-CN" w:bidi="ar"/>
              </w:rPr>
              <w:t>4</w:t>
            </w:r>
            <w:r>
              <w:rPr>
                <w:rFonts w:hint="default" w:ascii="Times New Roman" w:hAnsi="Times New Roman" w:eastAsia="宋体" w:cs="Times New Roman"/>
                <w:i w:val="0"/>
                <w:color w:val="auto"/>
                <w:kern w:val="0"/>
                <w:sz w:val="21"/>
                <w:szCs w:val="21"/>
                <w:highlight w:val="none"/>
                <w:u w:val="none"/>
                <w:lang w:val="en-US" w:eastAsia="zh-CN" w:bidi="ar"/>
              </w:rPr>
              <w:t>月</w:t>
            </w:r>
            <w:r>
              <w:rPr>
                <w:rStyle w:val="71"/>
                <w:rFonts w:hint="default" w:ascii="Times New Roman" w:hAnsi="Times New Roman" w:eastAsia="宋体" w:cs="Times New Roman"/>
                <w:color w:val="auto"/>
                <w:sz w:val="21"/>
                <w:szCs w:val="21"/>
                <w:highlight w:val="none"/>
                <w:lang w:val="en-US" w:eastAsia="zh-CN" w:bidi="ar"/>
              </w:rPr>
              <w:t>24</w:t>
            </w:r>
            <w:r>
              <w:rPr>
                <w:rFonts w:hint="default" w:ascii="Times New Roman" w:hAnsi="Times New Roman" w:eastAsia="宋体" w:cs="Times New Roman"/>
                <w:i w:val="0"/>
                <w:color w:val="auto"/>
                <w:kern w:val="0"/>
                <w:sz w:val="21"/>
                <w:szCs w:val="21"/>
                <w:highlight w:val="none"/>
                <w:u w:val="none"/>
                <w:lang w:val="en-US" w:eastAsia="zh-CN" w:bidi="ar"/>
              </w:rPr>
              <w:t>日）、日用杂品、百货。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364"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i w:val="0"/>
                <w:color w:val="auto"/>
                <w:kern w:val="0"/>
                <w:sz w:val="21"/>
                <w:szCs w:val="21"/>
                <w:highlight w:val="none"/>
                <w:u w:val="none"/>
                <w:lang w:val="en-US" w:eastAsia="zh-CN" w:bidi="ar"/>
              </w:rPr>
              <w:t>38</w:t>
            </w:r>
          </w:p>
        </w:tc>
        <w:tc>
          <w:tcPr>
            <w:tcW w:w="893"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鄂州东润混凝土销售有限公司华容分公司</w:t>
            </w:r>
          </w:p>
        </w:tc>
        <w:tc>
          <w:tcPr>
            <w:tcW w:w="885"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鄂州市华容区临江乡临湖路</w:t>
            </w:r>
            <w:r>
              <w:rPr>
                <w:rStyle w:val="71"/>
                <w:rFonts w:hint="default" w:ascii="Times New Roman" w:hAnsi="Times New Roman" w:eastAsia="宋体" w:cs="Times New Roman"/>
                <w:color w:val="auto"/>
                <w:sz w:val="21"/>
                <w:szCs w:val="21"/>
                <w:highlight w:val="none"/>
                <w:lang w:val="en-US" w:eastAsia="zh-CN" w:bidi="ar"/>
              </w:rPr>
              <w:t>23</w:t>
            </w:r>
            <w:r>
              <w:rPr>
                <w:rFonts w:hint="default" w:ascii="Times New Roman" w:hAnsi="Times New Roman" w:eastAsia="宋体" w:cs="Times New Roman"/>
                <w:i w:val="0"/>
                <w:color w:val="auto"/>
                <w:kern w:val="0"/>
                <w:sz w:val="21"/>
                <w:szCs w:val="21"/>
                <w:highlight w:val="none"/>
                <w:u w:val="none"/>
                <w:lang w:val="en-US" w:eastAsia="zh-CN" w:bidi="ar"/>
              </w:rPr>
              <w:t>号</w:t>
            </w:r>
          </w:p>
        </w:tc>
        <w:tc>
          <w:tcPr>
            <w:tcW w:w="2857"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生产、销售：商品混凝土；销售：建筑材料。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364"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i w:val="0"/>
                <w:color w:val="auto"/>
                <w:kern w:val="0"/>
                <w:sz w:val="21"/>
                <w:szCs w:val="21"/>
                <w:highlight w:val="none"/>
                <w:u w:val="none"/>
                <w:lang w:val="en-US" w:eastAsia="zh-CN" w:bidi="ar"/>
              </w:rPr>
              <w:t>39</w:t>
            </w:r>
          </w:p>
        </w:tc>
        <w:tc>
          <w:tcPr>
            <w:tcW w:w="893"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鄂州今朝新型建材有限公司</w:t>
            </w:r>
          </w:p>
        </w:tc>
        <w:tc>
          <w:tcPr>
            <w:tcW w:w="885"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鄂州市华容区临江乡马桥村</w:t>
            </w:r>
          </w:p>
        </w:tc>
        <w:tc>
          <w:tcPr>
            <w:tcW w:w="2857"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生产、销售：加气混凝土砌块、灰沙砖。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364"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i w:val="0"/>
                <w:color w:val="auto"/>
                <w:kern w:val="0"/>
                <w:sz w:val="21"/>
                <w:szCs w:val="21"/>
                <w:highlight w:val="none"/>
                <w:u w:val="none"/>
                <w:lang w:val="en-US" w:eastAsia="zh-CN" w:bidi="ar"/>
              </w:rPr>
              <w:t>40</w:t>
            </w:r>
          </w:p>
        </w:tc>
        <w:tc>
          <w:tcPr>
            <w:tcW w:w="893"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湖北三江港远华建材有限公司</w:t>
            </w:r>
          </w:p>
        </w:tc>
        <w:tc>
          <w:tcPr>
            <w:tcW w:w="885"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鄂州市临江乡临江村二组</w:t>
            </w:r>
          </w:p>
        </w:tc>
        <w:tc>
          <w:tcPr>
            <w:tcW w:w="2857"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沥青砼混凝土、水泥混凝土、水泥稳定土生产及销售（不含危险化学品）；销售：钢材、水泥、碎石、黄砂、石材、金属材料、装饰材料、工程塑料、预应力钢筋混凝土管桩、建筑材料；普通货物运输；碎石加工；机械租赁；道路路面工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364"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i w:val="0"/>
                <w:color w:val="auto"/>
                <w:kern w:val="0"/>
                <w:sz w:val="21"/>
                <w:szCs w:val="21"/>
                <w:highlight w:val="none"/>
                <w:u w:val="none"/>
                <w:lang w:val="en-US" w:eastAsia="zh-CN" w:bidi="ar"/>
              </w:rPr>
              <w:t>41</w:t>
            </w:r>
          </w:p>
        </w:tc>
        <w:tc>
          <w:tcPr>
            <w:tcW w:w="893"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湖北国权水泥制造有限公司</w:t>
            </w:r>
          </w:p>
        </w:tc>
        <w:tc>
          <w:tcPr>
            <w:tcW w:w="885"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鄂州市临江乡马桥</w:t>
            </w:r>
          </w:p>
        </w:tc>
        <w:tc>
          <w:tcPr>
            <w:tcW w:w="2857"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生产、销售：通用水泥、干粉砂浆。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364"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i w:val="0"/>
                <w:color w:val="auto"/>
                <w:kern w:val="0"/>
                <w:sz w:val="21"/>
                <w:szCs w:val="21"/>
                <w:highlight w:val="none"/>
                <w:u w:val="none"/>
                <w:lang w:val="en-US" w:eastAsia="zh-CN" w:bidi="ar"/>
              </w:rPr>
              <w:t>42</w:t>
            </w:r>
          </w:p>
        </w:tc>
        <w:tc>
          <w:tcPr>
            <w:tcW w:w="893" w:type="pct"/>
            <w:vAlign w:val="center"/>
          </w:tcPr>
          <w:p>
            <w:pPr>
              <w:keepNext w:val="0"/>
              <w:keepLines w:val="0"/>
              <w:widowControl/>
              <w:suppressLineNumbers w:val="0"/>
              <w:spacing w:before="0" w:beforeAutospacing="0" w:after="0" w:afterAutospacing="0" w:line="240" w:lineRule="auto"/>
              <w:ind w:left="0" w:right="0"/>
              <w:jc w:val="both"/>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湖北交投致远新材料科技有限公司</w:t>
            </w:r>
          </w:p>
        </w:tc>
        <w:tc>
          <w:tcPr>
            <w:tcW w:w="885"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鄂州市华容区临江乡粑铺村粑铺村委会1号</w:t>
            </w:r>
          </w:p>
        </w:tc>
        <w:tc>
          <w:tcPr>
            <w:tcW w:w="2857"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改性沥青、乳化沥青生产；沥青仓储（不含危险化学品）；物流服务、普通货运；沥青研制技术及路面技术开发、技术服务及信息咨询服务；批零兼营：润滑油、重油、化工产品（不含危险化学品）、建筑材料、沥青、沥青添加剂、公路用新材料及其它沥青类产品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364" w:type="pct"/>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i w:val="0"/>
                <w:color w:val="auto"/>
                <w:kern w:val="0"/>
                <w:sz w:val="21"/>
                <w:szCs w:val="21"/>
                <w:highlight w:val="none"/>
                <w:u w:val="none"/>
                <w:lang w:val="en-US" w:eastAsia="zh-CN" w:bidi="ar"/>
              </w:rPr>
              <w:t>43</w:t>
            </w:r>
          </w:p>
        </w:tc>
        <w:tc>
          <w:tcPr>
            <w:tcW w:w="893"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理工光大造船鄂州股份有限公司</w:t>
            </w:r>
          </w:p>
        </w:tc>
        <w:tc>
          <w:tcPr>
            <w:tcW w:w="885"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鄂州市华容区临江乡临江大道</w:t>
            </w:r>
            <w:r>
              <w:rPr>
                <w:rStyle w:val="71"/>
                <w:rFonts w:hint="default" w:ascii="Times New Roman" w:hAnsi="Times New Roman" w:eastAsia="宋体" w:cs="Times New Roman"/>
                <w:color w:val="auto"/>
                <w:sz w:val="21"/>
                <w:szCs w:val="21"/>
                <w:highlight w:val="none"/>
                <w:lang w:val="en-US" w:eastAsia="zh-CN" w:bidi="ar"/>
              </w:rPr>
              <w:t>2</w:t>
            </w:r>
            <w:r>
              <w:rPr>
                <w:rFonts w:hint="default" w:ascii="Times New Roman" w:hAnsi="Times New Roman" w:eastAsia="宋体" w:cs="Times New Roman"/>
                <w:i w:val="0"/>
                <w:color w:val="auto"/>
                <w:kern w:val="0"/>
                <w:sz w:val="21"/>
                <w:szCs w:val="21"/>
                <w:highlight w:val="none"/>
                <w:u w:val="none"/>
                <w:lang w:val="en-US" w:eastAsia="zh-CN" w:bidi="ar"/>
              </w:rPr>
              <w:t>号</w:t>
            </w:r>
          </w:p>
        </w:tc>
        <w:tc>
          <w:tcPr>
            <w:tcW w:w="2857" w:type="pct"/>
            <w:vAlign w:val="center"/>
          </w:tcPr>
          <w:p>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船舶与海洋工程专用设备的制造、维修、销售；船舶与海洋工程技术咨询服务；货物进出口、技术进出口业务；码头经营。</w:t>
            </w:r>
          </w:p>
        </w:tc>
      </w:tr>
    </w:tbl>
    <w:p>
      <w:pPr>
        <w:keepNext/>
        <w:keepLines/>
        <w:tabs>
          <w:tab w:val="left" w:pos="425"/>
        </w:tabs>
        <w:spacing w:line="240" w:lineRule="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注：</w:t>
      </w:r>
      <w:r>
        <w:rPr>
          <w:rFonts w:hint="default" w:ascii="Times New Roman" w:hAnsi="Times New Roman" w:cs="Times New Roman"/>
          <w:b/>
          <w:bCs/>
          <w:color w:val="auto"/>
          <w:sz w:val="18"/>
          <w:szCs w:val="18"/>
          <w:highlight w:val="none"/>
          <w:lang w:val="en-US" w:eastAsia="zh-CN"/>
        </w:rPr>
        <w:t>①</w:t>
      </w:r>
      <w:r>
        <w:rPr>
          <w:rFonts w:hint="default" w:ascii="Times New Roman" w:hAnsi="Times New Roman" w:cs="Times New Roman"/>
          <w:b/>
          <w:bCs/>
          <w:color w:val="auto"/>
          <w:sz w:val="18"/>
          <w:szCs w:val="18"/>
          <w:highlight w:val="none"/>
        </w:rPr>
        <w:t>企业位置和主要经营范围</w:t>
      </w:r>
      <w:r>
        <w:rPr>
          <w:rFonts w:hint="default" w:ascii="Times New Roman" w:hAnsi="Times New Roman" w:cs="Times New Roman"/>
          <w:b/>
          <w:bCs/>
          <w:color w:val="auto"/>
          <w:sz w:val="18"/>
          <w:szCs w:val="18"/>
          <w:highlight w:val="none"/>
          <w:lang w:val="en-US" w:eastAsia="zh-CN"/>
        </w:rPr>
        <w:t>结合现场踏勘情况及</w:t>
      </w:r>
      <w:r>
        <w:rPr>
          <w:rFonts w:hint="default" w:ascii="Times New Roman" w:hAnsi="Times New Roman" w:cs="Times New Roman"/>
          <w:b/>
          <w:bCs/>
          <w:color w:val="auto"/>
          <w:sz w:val="18"/>
          <w:szCs w:val="18"/>
          <w:highlight w:val="none"/>
        </w:rPr>
        <w:t>国家企业信用信息系统</w:t>
      </w:r>
      <w:r>
        <w:rPr>
          <w:rFonts w:hint="default" w:ascii="Times New Roman" w:hAnsi="Times New Roman" w:cs="Times New Roman"/>
          <w:b/>
          <w:bCs/>
          <w:color w:val="auto"/>
          <w:sz w:val="18"/>
          <w:szCs w:val="18"/>
          <w:highlight w:val="none"/>
          <w:lang w:eastAsia="zh-CN"/>
        </w:rPr>
        <w:t>（</w:t>
      </w:r>
      <w:r>
        <w:rPr>
          <w:rFonts w:hint="default" w:ascii="Times New Roman" w:hAnsi="Times New Roman" w:cs="Times New Roman"/>
          <w:b/>
          <w:bCs/>
          <w:color w:val="auto"/>
          <w:sz w:val="18"/>
          <w:szCs w:val="18"/>
          <w:highlight w:val="none"/>
        </w:rPr>
        <w:t>http://www.gsxt.gov.cn/index.html</w:t>
      </w:r>
      <w:r>
        <w:rPr>
          <w:rFonts w:hint="default" w:ascii="Times New Roman" w:hAnsi="Times New Roman" w:cs="Times New Roman"/>
          <w:b/>
          <w:bCs/>
          <w:color w:val="auto"/>
          <w:sz w:val="18"/>
          <w:szCs w:val="18"/>
          <w:highlight w:val="none"/>
          <w:lang w:eastAsia="zh-CN"/>
        </w:rPr>
        <w:t>）</w:t>
      </w:r>
      <w:r>
        <w:rPr>
          <w:rFonts w:hint="default" w:ascii="Times New Roman" w:hAnsi="Times New Roman" w:cs="Times New Roman"/>
          <w:b/>
          <w:bCs/>
          <w:color w:val="auto"/>
          <w:sz w:val="18"/>
          <w:szCs w:val="18"/>
          <w:highlight w:val="none"/>
        </w:rPr>
        <w:t>查询得到；</w:t>
      </w:r>
    </w:p>
    <w:p>
      <w:pPr>
        <w:keepNext/>
        <w:keepLines/>
        <w:tabs>
          <w:tab w:val="left" w:pos="425"/>
        </w:tabs>
        <w:spacing w:line="240" w:lineRule="auto"/>
        <w:ind w:firstLine="361" w:firstLineChars="200"/>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lang w:val="en-US" w:eastAsia="zh-CN"/>
        </w:rPr>
        <w:t>②</w:t>
      </w:r>
      <w:r>
        <w:rPr>
          <w:rFonts w:hint="default" w:ascii="Times New Roman" w:hAnsi="Times New Roman" w:cs="Times New Roman"/>
          <w:b/>
          <w:bCs/>
          <w:color w:val="auto"/>
          <w:sz w:val="18"/>
          <w:szCs w:val="18"/>
          <w:highlight w:val="none"/>
        </w:rPr>
        <w:t>加粗企业为土壤污染重点行业类别及土壤污染重点企业</w:t>
      </w:r>
      <w:r>
        <w:rPr>
          <w:rFonts w:hint="default" w:ascii="Times New Roman" w:hAnsi="Times New Roman" w:cs="Times New Roman"/>
          <w:b/>
          <w:bCs/>
          <w:color w:val="auto"/>
          <w:sz w:val="18"/>
          <w:szCs w:val="18"/>
          <w:highlight w:val="none"/>
          <w:lang w:eastAsia="zh-CN"/>
        </w:rPr>
        <w:t>（</w:t>
      </w:r>
      <w:r>
        <w:rPr>
          <w:rFonts w:hint="default" w:ascii="Times New Roman" w:hAnsi="Times New Roman" w:cs="Times New Roman"/>
          <w:b/>
          <w:bCs/>
          <w:color w:val="auto"/>
          <w:sz w:val="18"/>
          <w:szCs w:val="18"/>
          <w:highlight w:val="none"/>
          <w:lang w:val="en-US" w:eastAsia="zh-CN"/>
        </w:rPr>
        <w:t>简称“重点行业企业”</w:t>
      </w:r>
      <w:r>
        <w:rPr>
          <w:rFonts w:hint="default" w:ascii="Times New Roman" w:hAnsi="Times New Roman" w:cs="Times New Roman"/>
          <w:b/>
          <w:bCs/>
          <w:color w:val="auto"/>
          <w:sz w:val="18"/>
          <w:szCs w:val="18"/>
          <w:highlight w:val="none"/>
          <w:lang w:eastAsia="zh-CN"/>
        </w:rPr>
        <w:t>）</w:t>
      </w:r>
      <w:r>
        <w:rPr>
          <w:rFonts w:hint="default" w:ascii="Times New Roman" w:hAnsi="Times New Roman" w:cs="Times New Roman"/>
          <w:b/>
          <w:bCs/>
          <w:color w:val="auto"/>
          <w:sz w:val="18"/>
          <w:szCs w:val="18"/>
          <w:highlight w:val="none"/>
        </w:rPr>
        <w:t>，基本信息来源于重点行业企业用地调查信息管理系统；</w:t>
      </w:r>
    </w:p>
    <w:p>
      <w:pPr>
        <w:keepNext/>
        <w:keepLines/>
        <w:tabs>
          <w:tab w:val="left" w:pos="425"/>
        </w:tabs>
        <w:spacing w:line="240" w:lineRule="auto"/>
        <w:ind w:firstLine="361" w:firstLineChars="200"/>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lang w:val="en-US" w:eastAsia="zh-CN"/>
        </w:rPr>
        <w:t>③</w:t>
      </w:r>
      <w:r>
        <w:rPr>
          <w:rFonts w:hint="default" w:ascii="Times New Roman" w:hAnsi="Times New Roman" w:cs="Times New Roman"/>
          <w:b/>
          <w:bCs/>
          <w:color w:val="auto"/>
          <w:sz w:val="18"/>
          <w:szCs w:val="18"/>
          <w:highlight w:val="none"/>
        </w:rPr>
        <w:t>阴影企业为已取得排污许可证企业（截止202</w:t>
      </w:r>
      <w:r>
        <w:rPr>
          <w:rFonts w:hint="default" w:ascii="Times New Roman" w:hAnsi="Times New Roman" w:cs="Times New Roman"/>
          <w:b/>
          <w:bCs/>
          <w:color w:val="auto"/>
          <w:sz w:val="18"/>
          <w:szCs w:val="18"/>
          <w:highlight w:val="none"/>
          <w:lang w:val="en-US" w:eastAsia="zh-CN"/>
        </w:rPr>
        <w:t>1</w:t>
      </w:r>
      <w:r>
        <w:rPr>
          <w:rFonts w:hint="default" w:ascii="Times New Roman" w:hAnsi="Times New Roman" w:cs="Times New Roman"/>
          <w:b/>
          <w:bCs/>
          <w:color w:val="auto"/>
          <w:sz w:val="18"/>
          <w:szCs w:val="18"/>
          <w:highlight w:val="none"/>
        </w:rPr>
        <w:t>年</w:t>
      </w:r>
      <w:r>
        <w:rPr>
          <w:rFonts w:hint="default" w:ascii="Times New Roman" w:hAnsi="Times New Roman" w:cs="Times New Roman"/>
          <w:b/>
          <w:bCs/>
          <w:color w:val="auto"/>
          <w:sz w:val="18"/>
          <w:szCs w:val="18"/>
          <w:highlight w:val="none"/>
          <w:lang w:val="en-US" w:eastAsia="zh-CN"/>
        </w:rPr>
        <w:t>1</w:t>
      </w:r>
      <w:r>
        <w:rPr>
          <w:rFonts w:hint="default" w:ascii="Times New Roman" w:hAnsi="Times New Roman" w:cs="Times New Roman"/>
          <w:b/>
          <w:bCs/>
          <w:color w:val="auto"/>
          <w:sz w:val="18"/>
          <w:szCs w:val="18"/>
          <w:highlight w:val="none"/>
        </w:rPr>
        <w:t>月），基本信息来源于全国排污许可证管理信息平台 公开端（http://permit.mee.gov.cn/）。</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b w:val="0"/>
          <w:bCs w:val="0"/>
          <w:color w:val="auto"/>
          <w:kern w:val="0"/>
          <w:sz w:val="24"/>
          <w:szCs w:val="24"/>
          <w:highlight w:val="none"/>
          <w:lang w:val="en-US" w:eastAsia="zh-CN"/>
        </w:rPr>
        <w:t>园区内主要已建成企业经营范围如表2-2-2，</w:t>
      </w:r>
      <w:r>
        <w:rPr>
          <w:rFonts w:hint="eastAsia" w:cs="Times New Roman"/>
          <w:b w:val="0"/>
          <w:bCs w:val="0"/>
          <w:color w:val="auto"/>
          <w:kern w:val="0"/>
          <w:sz w:val="24"/>
          <w:szCs w:val="24"/>
          <w:highlight w:val="none"/>
          <w:lang w:val="en-US" w:eastAsia="zh-CN"/>
        </w:rPr>
        <w:t>园区企业与产业定位基本一致。</w:t>
      </w:r>
      <w:r>
        <w:rPr>
          <w:rFonts w:hint="default" w:ascii="Times New Roman" w:hAnsi="Times New Roman" w:cs="Times New Roman"/>
          <w:b w:val="0"/>
          <w:bCs w:val="0"/>
          <w:color w:val="auto"/>
          <w:kern w:val="0"/>
          <w:sz w:val="24"/>
          <w:szCs w:val="24"/>
          <w:highlight w:val="none"/>
          <w:lang w:val="en-US" w:eastAsia="zh-CN"/>
        </w:rPr>
        <w:t>其中重点行业企业有2家，分别为</w:t>
      </w:r>
      <w:r>
        <w:rPr>
          <w:rFonts w:hint="default" w:ascii="Times New Roman" w:hAnsi="Times New Roman" w:eastAsia="宋体" w:cs="Times New Roman"/>
          <w:b w:val="0"/>
          <w:bCs w:val="0"/>
          <w:i w:val="0"/>
          <w:color w:val="auto"/>
          <w:kern w:val="0"/>
          <w:sz w:val="24"/>
          <w:szCs w:val="24"/>
          <w:highlight w:val="none"/>
          <w:u w:val="none"/>
          <w:lang w:val="en-US" w:eastAsia="zh-CN" w:bidi="ar"/>
        </w:rPr>
        <w:t>鄂州市力兴统领科技有限公司</w:t>
      </w:r>
      <w:r>
        <w:rPr>
          <w:rFonts w:hint="default" w:ascii="Times New Roman" w:hAnsi="Times New Roman" w:cs="Times New Roman"/>
          <w:b w:val="0"/>
          <w:bCs w:val="0"/>
          <w:color w:val="auto"/>
          <w:kern w:val="0"/>
          <w:sz w:val="24"/>
          <w:szCs w:val="24"/>
          <w:highlight w:val="none"/>
          <w:u w:val="none"/>
          <w:lang w:val="en-US" w:eastAsia="zh-CN" w:bidi="ar"/>
        </w:rPr>
        <w:t>、</w:t>
      </w:r>
      <w:r>
        <w:rPr>
          <w:rFonts w:hint="default" w:ascii="Times New Roman" w:hAnsi="Times New Roman" w:eastAsia="宋体" w:cs="Times New Roman"/>
          <w:b w:val="0"/>
          <w:bCs w:val="0"/>
          <w:i w:val="0"/>
          <w:color w:val="auto"/>
          <w:kern w:val="0"/>
          <w:sz w:val="24"/>
          <w:szCs w:val="24"/>
          <w:highlight w:val="none"/>
          <w:u w:val="none"/>
          <w:lang w:val="en-US" w:eastAsia="zh-CN" w:bidi="ar"/>
        </w:rPr>
        <w:t>湖北鸿昇矿业有限公司</w:t>
      </w:r>
      <w:r>
        <w:rPr>
          <w:rFonts w:hint="default" w:ascii="Times New Roman" w:hAnsi="Times New Roman" w:cs="Times New Roman"/>
          <w:b w:val="0"/>
          <w:bCs w:val="0"/>
          <w:color w:val="auto"/>
          <w:kern w:val="0"/>
          <w:sz w:val="24"/>
          <w:szCs w:val="24"/>
          <w:highlight w:val="none"/>
          <w:u w:val="none"/>
          <w:lang w:val="en-US" w:eastAsia="zh-CN" w:bidi="ar"/>
        </w:rPr>
        <w:t>；已取得排污许可证企业5家，分别为</w:t>
      </w:r>
      <w:r>
        <w:rPr>
          <w:rFonts w:hint="default" w:ascii="Times New Roman" w:hAnsi="Times New Roman" w:eastAsia="宋体" w:cs="Times New Roman"/>
          <w:b w:val="0"/>
          <w:bCs w:val="0"/>
          <w:i w:val="0"/>
          <w:color w:val="auto"/>
          <w:kern w:val="0"/>
          <w:sz w:val="24"/>
          <w:szCs w:val="24"/>
          <w:highlight w:val="none"/>
          <w:u w:val="none"/>
          <w:lang w:val="en-US" w:eastAsia="zh-CN" w:bidi="ar"/>
        </w:rPr>
        <w:t>华新水泥（鄂州）有限公司</w:t>
      </w:r>
      <w:r>
        <w:rPr>
          <w:rFonts w:hint="default" w:ascii="Times New Roman" w:hAnsi="Times New Roman" w:cs="Times New Roman"/>
          <w:b w:val="0"/>
          <w:bCs w:val="0"/>
          <w:i w:val="0"/>
          <w:color w:val="000000"/>
          <w:kern w:val="0"/>
          <w:sz w:val="24"/>
          <w:szCs w:val="24"/>
          <w:highlight w:val="none"/>
          <w:u w:val="none"/>
          <w:lang w:val="en-US" w:eastAsia="zh-CN" w:bidi="ar"/>
        </w:rPr>
        <w:t>、</w:t>
      </w:r>
      <w:r>
        <w:rPr>
          <w:rFonts w:hint="default" w:ascii="Times New Roman" w:hAnsi="Times New Roman" w:eastAsia="宋体" w:cs="Times New Roman"/>
          <w:b w:val="0"/>
          <w:bCs w:val="0"/>
          <w:i w:val="0"/>
          <w:color w:val="auto"/>
          <w:kern w:val="0"/>
          <w:sz w:val="24"/>
          <w:szCs w:val="24"/>
          <w:highlight w:val="none"/>
          <w:u w:val="none"/>
          <w:lang w:val="en-US" w:eastAsia="zh-CN" w:bidi="ar"/>
        </w:rPr>
        <w:t>湖北宇拓新型墙材有限公司</w:t>
      </w:r>
      <w:r>
        <w:rPr>
          <w:rFonts w:hint="default" w:ascii="Times New Roman" w:hAnsi="Times New Roman" w:cs="Times New Roman"/>
          <w:b w:val="0"/>
          <w:bCs w:val="0"/>
          <w:i w:val="0"/>
          <w:color w:val="4E4E4E"/>
          <w:kern w:val="0"/>
          <w:sz w:val="24"/>
          <w:szCs w:val="24"/>
          <w:highlight w:val="none"/>
          <w:u w:val="none"/>
          <w:lang w:val="en-US" w:eastAsia="zh-CN" w:bidi="ar"/>
        </w:rPr>
        <w:t>、</w:t>
      </w:r>
      <w:r>
        <w:rPr>
          <w:rFonts w:hint="default" w:ascii="Times New Roman" w:hAnsi="Times New Roman" w:eastAsia="宋体" w:cs="Times New Roman"/>
          <w:b w:val="0"/>
          <w:bCs w:val="0"/>
          <w:i w:val="0"/>
          <w:color w:val="auto"/>
          <w:kern w:val="0"/>
          <w:sz w:val="24"/>
          <w:szCs w:val="24"/>
          <w:highlight w:val="none"/>
          <w:u w:val="none"/>
          <w:lang w:val="en-US" w:eastAsia="zh-CN" w:bidi="ar"/>
        </w:rPr>
        <w:t>鄂州市国伟建材有限责任公司</w:t>
      </w:r>
      <w:r>
        <w:rPr>
          <w:rFonts w:hint="default" w:ascii="Times New Roman" w:hAnsi="Times New Roman" w:cs="Times New Roman"/>
          <w:b w:val="0"/>
          <w:bCs w:val="0"/>
          <w:i w:val="0"/>
          <w:color w:val="auto"/>
          <w:kern w:val="0"/>
          <w:sz w:val="24"/>
          <w:szCs w:val="24"/>
          <w:highlight w:val="none"/>
          <w:u w:val="none"/>
          <w:lang w:val="en-US" w:eastAsia="zh-CN" w:bidi="ar"/>
        </w:rPr>
        <w:t>、</w:t>
      </w:r>
      <w:r>
        <w:rPr>
          <w:rFonts w:hint="default" w:ascii="Times New Roman" w:hAnsi="Times New Roman" w:eastAsia="宋体" w:cs="Times New Roman"/>
          <w:b w:val="0"/>
          <w:bCs w:val="0"/>
          <w:i w:val="0"/>
          <w:color w:val="auto"/>
          <w:kern w:val="0"/>
          <w:sz w:val="24"/>
          <w:szCs w:val="24"/>
          <w:highlight w:val="none"/>
          <w:u w:val="none"/>
          <w:lang w:val="en-US" w:eastAsia="zh-CN" w:bidi="ar"/>
        </w:rPr>
        <w:t>湖北丽美药用包装有限公司</w:t>
      </w:r>
      <w:r>
        <w:rPr>
          <w:rFonts w:hint="default" w:ascii="Times New Roman" w:hAnsi="Times New Roman" w:cs="Times New Roman"/>
          <w:b w:val="0"/>
          <w:bCs w:val="0"/>
          <w:i w:val="0"/>
          <w:color w:val="auto"/>
          <w:kern w:val="0"/>
          <w:sz w:val="24"/>
          <w:szCs w:val="24"/>
          <w:highlight w:val="none"/>
          <w:u w:val="none"/>
          <w:lang w:val="en-US" w:eastAsia="zh-CN" w:bidi="ar"/>
        </w:rPr>
        <w:t>、</w:t>
      </w:r>
      <w:r>
        <w:rPr>
          <w:rFonts w:hint="default" w:ascii="Times New Roman" w:hAnsi="Times New Roman" w:eastAsia="宋体" w:cs="Times New Roman"/>
          <w:b w:val="0"/>
          <w:bCs w:val="0"/>
          <w:i w:val="0"/>
          <w:color w:val="auto"/>
          <w:kern w:val="0"/>
          <w:sz w:val="24"/>
          <w:szCs w:val="24"/>
          <w:highlight w:val="none"/>
          <w:u w:val="none"/>
          <w:lang w:val="en-US" w:eastAsia="zh-CN" w:bidi="ar"/>
        </w:rPr>
        <w:t>鄂州市胜利软管股份有限公司</w:t>
      </w:r>
      <w:r>
        <w:rPr>
          <w:rFonts w:hint="default" w:ascii="Times New Roman" w:hAnsi="Times New Roman" w:cs="Times New Roman"/>
          <w:b w:val="0"/>
          <w:bCs w:val="0"/>
          <w:color w:val="auto"/>
          <w:kern w:val="0"/>
          <w:sz w:val="24"/>
          <w:szCs w:val="24"/>
          <w:highlight w:val="none"/>
          <w:lang w:val="en-US" w:eastAsia="zh-CN"/>
        </w:rPr>
        <w:t>。</w:t>
      </w:r>
      <w:bookmarkStart w:id="22" w:name="_Toc8815"/>
    </w:p>
    <w:p>
      <w:pPr>
        <w:pStyle w:val="4"/>
        <w:tabs>
          <w:tab w:val="clear" w:pos="567"/>
        </w:tabs>
        <w:rPr>
          <w:rFonts w:hint="default" w:ascii="Times New Roman" w:hAnsi="Times New Roman" w:cs="Times New Roman"/>
          <w:color w:val="auto"/>
          <w:highlight w:val="none"/>
        </w:rPr>
      </w:pPr>
      <w:bookmarkStart w:id="23" w:name="_Toc4780"/>
      <w:r>
        <w:rPr>
          <w:rFonts w:hint="default" w:ascii="Times New Roman" w:hAnsi="Times New Roman" w:cs="Times New Roman"/>
          <w:color w:val="auto"/>
          <w:highlight w:val="none"/>
          <w:lang w:eastAsia="zh-CN"/>
        </w:rPr>
        <w:t>园区</w:t>
      </w:r>
      <w:r>
        <w:rPr>
          <w:rFonts w:hint="default" w:ascii="Times New Roman" w:hAnsi="Times New Roman" w:cs="Times New Roman"/>
          <w:color w:val="auto"/>
          <w:highlight w:val="none"/>
        </w:rPr>
        <w:t>污染源分析</w:t>
      </w:r>
      <w:bookmarkEnd w:id="22"/>
      <w:bookmarkEnd w:id="23"/>
    </w:p>
    <w:p>
      <w:pPr>
        <w:spacing w:line="360" w:lineRule="auto"/>
        <w:ind w:firstLine="480" w:firstLineChars="200"/>
        <w:rPr>
          <w:rFonts w:hint="default" w:ascii="Times New Roman" w:hAnsi="Times New Roman" w:cs="Times New Roman"/>
          <w:b w:val="0"/>
          <w:bCs w:val="0"/>
          <w:color w:val="auto"/>
          <w:kern w:val="0"/>
          <w:sz w:val="24"/>
          <w:highlight w:val="none"/>
          <w:lang w:val="en-US" w:eastAsia="zh-CN"/>
        </w:rPr>
      </w:pPr>
      <w:r>
        <w:rPr>
          <w:rFonts w:hint="default" w:ascii="Times New Roman" w:hAnsi="Times New Roman" w:cs="Times New Roman"/>
          <w:b w:val="0"/>
          <w:bCs w:val="0"/>
          <w:color w:val="auto"/>
          <w:kern w:val="0"/>
          <w:sz w:val="24"/>
          <w:highlight w:val="none"/>
          <w:lang w:val="en-US" w:eastAsia="zh-CN"/>
        </w:rPr>
        <w:t>园区特征污染源识别主要依据园区规划产业定位确定，并根据重点行业企业用地调查信息管理系统、全国排污许可证管理信息平台公开端补充典型企业污染因子。</w:t>
      </w:r>
    </w:p>
    <w:p>
      <w:pPr>
        <w:spacing w:line="360" w:lineRule="auto"/>
        <w:ind w:firstLine="480" w:firstLineChars="200"/>
        <w:rPr>
          <w:rFonts w:hint="default" w:ascii="Times New Roman" w:hAnsi="Times New Roman" w:cs="Times New Roman"/>
          <w:b w:val="0"/>
          <w:bCs w:val="0"/>
          <w:color w:val="auto"/>
          <w:kern w:val="0"/>
          <w:sz w:val="24"/>
          <w:highlight w:val="none"/>
          <w:lang w:val="en-US" w:eastAsia="zh-CN"/>
        </w:rPr>
      </w:pPr>
      <w:r>
        <w:rPr>
          <w:rFonts w:hint="default" w:ascii="Times New Roman" w:hAnsi="Times New Roman" w:cs="Times New Roman"/>
          <w:b w:val="0"/>
          <w:bCs w:val="0"/>
          <w:color w:val="auto"/>
          <w:kern w:val="0"/>
          <w:sz w:val="24"/>
          <w:highlight w:val="none"/>
          <w:lang w:val="en-US" w:eastAsia="zh-CN"/>
        </w:rPr>
        <w:t>三江港经济区重点发展</w:t>
      </w:r>
      <w:r>
        <w:rPr>
          <w:rFonts w:hint="default" w:ascii="Times New Roman" w:hAnsi="Times New Roman" w:cs="Times New Roman"/>
          <w:color w:val="auto"/>
          <w:kern w:val="0"/>
          <w:sz w:val="24"/>
          <w:highlight w:val="none"/>
          <w:lang w:val="en-US" w:eastAsia="zh-CN"/>
        </w:rPr>
        <w:t>冶金、机械制造、石化、建材</w:t>
      </w:r>
      <w:r>
        <w:rPr>
          <w:rFonts w:hint="default" w:ascii="Times New Roman" w:hAnsi="Times New Roman" w:cs="Times New Roman"/>
          <w:b w:val="0"/>
          <w:bCs w:val="0"/>
          <w:color w:val="auto"/>
          <w:kern w:val="0"/>
          <w:sz w:val="24"/>
          <w:highlight w:val="none"/>
          <w:lang w:val="en-US" w:eastAsia="zh-CN"/>
        </w:rPr>
        <w:t>：</w:t>
      </w:r>
    </w:p>
    <w:p>
      <w:pPr>
        <w:spacing w:line="360" w:lineRule="auto"/>
        <w:ind w:firstLine="482" w:firstLineChars="200"/>
        <w:rPr>
          <w:rFonts w:hint="default" w:ascii="Times New Roman" w:hAnsi="Times New Roman" w:cs="Times New Roman"/>
          <w:b w:val="0"/>
          <w:bCs w:val="0"/>
          <w:color w:val="auto"/>
          <w:kern w:val="0"/>
          <w:sz w:val="24"/>
          <w:highlight w:val="none"/>
          <w:lang w:val="en-US" w:eastAsia="zh-CN"/>
        </w:rPr>
      </w:pPr>
      <w:r>
        <w:rPr>
          <w:rFonts w:hint="default" w:ascii="Times New Roman" w:hAnsi="Times New Roman" w:cs="Times New Roman"/>
          <w:b/>
          <w:bCs/>
          <w:color w:val="auto"/>
          <w:kern w:val="0"/>
          <w:sz w:val="24"/>
          <w:highlight w:val="none"/>
          <w:lang w:val="en-US" w:eastAsia="zh-CN"/>
        </w:rPr>
        <w:t>冶金：</w:t>
      </w:r>
      <w:r>
        <w:rPr>
          <w:rFonts w:hint="default" w:ascii="Times New Roman" w:hAnsi="Times New Roman" w:cs="Times New Roman"/>
          <w:b w:val="0"/>
          <w:bCs w:val="0"/>
          <w:color w:val="auto"/>
          <w:kern w:val="0"/>
          <w:sz w:val="24"/>
          <w:highlight w:val="none"/>
          <w:lang w:val="en-US" w:eastAsia="zh-CN"/>
        </w:rPr>
        <w:t>冶金包括黑色金属冶炼和有色金属冶炼两大类，其中黑色金属冶炼主要的污染源有烧结球团、高炉炼</w:t>
      </w:r>
      <w:r>
        <w:rPr>
          <w:rFonts w:hint="default" w:ascii="Times New Roman" w:hAnsi="Times New Roman" w:cs="Times New Roman"/>
          <w:b w:val="0"/>
          <w:bCs w:val="0"/>
          <w:color w:val="auto"/>
          <w:kern w:val="0"/>
          <w:sz w:val="24"/>
          <w:szCs w:val="24"/>
          <w:highlight w:val="none"/>
          <w:lang w:val="en-US" w:eastAsia="zh-CN"/>
        </w:rPr>
        <w:t>铁、</w:t>
      </w:r>
      <w:r>
        <w:rPr>
          <w:rFonts w:hint="default" w:ascii="Times New Roman" w:hAnsi="Times New Roman" w:cs="Times New Roman"/>
          <w:color w:val="auto"/>
          <w:sz w:val="24"/>
          <w:szCs w:val="24"/>
          <w:highlight w:val="none"/>
          <w:vertAlign w:val="baseline"/>
          <w:lang w:val="en-US" w:eastAsia="zh-CN"/>
        </w:rPr>
        <w:t>转炉、电炉</w:t>
      </w:r>
      <w:r>
        <w:rPr>
          <w:rFonts w:hint="default" w:ascii="Times New Roman" w:hAnsi="Times New Roman" w:cs="Times New Roman"/>
          <w:b w:val="0"/>
          <w:bCs w:val="0"/>
          <w:color w:val="auto"/>
          <w:kern w:val="0"/>
          <w:sz w:val="24"/>
          <w:highlight w:val="none"/>
          <w:lang w:val="en-US" w:eastAsia="zh-CN"/>
        </w:rPr>
        <w:t>产生、</w:t>
      </w:r>
      <w:r>
        <w:rPr>
          <w:rFonts w:hint="default" w:ascii="Times New Roman" w:hAnsi="Times New Roman" w:eastAsia="宋体" w:cs="Times New Roman"/>
          <w:color w:val="auto"/>
          <w:sz w:val="24"/>
          <w:szCs w:val="24"/>
          <w:highlight w:val="none"/>
        </w:rPr>
        <w:t>铁合金矿热炉及其他冶炼装置</w:t>
      </w:r>
      <w:r>
        <w:rPr>
          <w:rFonts w:hint="default" w:ascii="Times New Roman" w:hAnsi="Times New Roman" w:cs="Times New Roman"/>
          <w:b w:val="0"/>
          <w:bCs w:val="0"/>
          <w:color w:val="auto"/>
          <w:kern w:val="0"/>
          <w:sz w:val="24"/>
          <w:highlight w:val="none"/>
          <w:lang w:val="en-US" w:eastAsia="zh-CN"/>
        </w:rPr>
        <w:t>的废气，水冲渣、煤气净化水、煤气洗涤废水、连铸废水、渣水淬废水、直接冷却水，以及产生的废油、钢渣、冶炼渣、水处理污泥、矿热炉除尘灰等固废；有色金属冶炼主要的污染源有冶炼环境集烟、再生冶炼</w:t>
      </w:r>
      <w:r>
        <w:rPr>
          <w:rFonts w:hint="default" w:ascii="Times New Roman" w:hAnsi="Times New Roman" w:eastAsia="宋体" w:cs="Times New Roman"/>
          <w:color w:val="auto"/>
          <w:sz w:val="24"/>
          <w:szCs w:val="24"/>
          <w:highlight w:val="none"/>
        </w:rPr>
        <w:t>及其他冶炼装置</w:t>
      </w:r>
      <w:r>
        <w:rPr>
          <w:rFonts w:hint="default" w:ascii="Times New Roman" w:hAnsi="Times New Roman" w:cs="Times New Roman"/>
          <w:b w:val="0"/>
          <w:bCs w:val="0"/>
          <w:color w:val="auto"/>
          <w:kern w:val="0"/>
          <w:sz w:val="24"/>
          <w:highlight w:val="none"/>
          <w:lang w:val="en-US" w:eastAsia="zh-CN"/>
        </w:rPr>
        <w:t>的废气，生产废水，以及产生的冶炼渣、水处理污泥、废酸等固废。</w:t>
      </w:r>
    </w:p>
    <w:p>
      <w:pPr>
        <w:spacing w:line="360" w:lineRule="auto"/>
        <w:ind w:firstLine="482" w:firstLineChars="200"/>
        <w:rPr>
          <w:rFonts w:hint="default" w:ascii="Times New Roman" w:hAnsi="Times New Roman" w:cs="Times New Roman"/>
          <w:b w:val="0"/>
          <w:bCs w:val="0"/>
          <w:color w:val="auto"/>
          <w:kern w:val="0"/>
          <w:sz w:val="24"/>
          <w:highlight w:val="none"/>
          <w:lang w:val="en-US" w:eastAsia="zh-CN"/>
        </w:rPr>
      </w:pPr>
      <w:r>
        <w:rPr>
          <w:rFonts w:hint="default" w:ascii="Times New Roman" w:hAnsi="Times New Roman" w:cs="Times New Roman"/>
          <w:b/>
          <w:bCs/>
          <w:color w:val="auto"/>
          <w:kern w:val="0"/>
          <w:sz w:val="24"/>
          <w:highlight w:val="none"/>
          <w:lang w:val="en-US" w:eastAsia="zh-CN"/>
        </w:rPr>
        <w:t>机械制造：</w:t>
      </w:r>
      <w:r>
        <w:rPr>
          <w:rFonts w:hint="default" w:ascii="Times New Roman" w:hAnsi="Times New Roman" w:cs="Times New Roman"/>
          <w:b w:val="0"/>
          <w:bCs w:val="0"/>
          <w:color w:val="auto"/>
          <w:kern w:val="0"/>
          <w:sz w:val="24"/>
          <w:highlight w:val="none"/>
          <w:lang w:val="en-US" w:eastAsia="zh-CN"/>
        </w:rPr>
        <w:t>主要的污染源有铸造、锻压、焊接、热处理等过程产生的粉尘、锰尘、含氟废气，电镀过程中产生的含重金属废水、切削加工过程中产生的切削液清洗液等，以及熔炼炉渣、浇注废渣、热处理熔渣、焊接废渣、电镀废渣、锻造氧化皮等固废。</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0" w:firstLineChars="0"/>
        <w:textAlignment w:val="auto"/>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bCs/>
          <w:color w:val="auto"/>
          <w:highlight w:val="none"/>
          <w:lang w:val="en-US" w:eastAsia="zh-CN"/>
        </w:rPr>
        <w:t>石化：</w:t>
      </w:r>
      <w:r>
        <w:rPr>
          <w:rFonts w:hint="default" w:ascii="Times New Roman" w:hAnsi="Times New Roman" w:cs="Times New Roman"/>
          <w:b w:val="0"/>
          <w:bCs w:val="0"/>
          <w:color w:val="auto"/>
          <w:highlight w:val="none"/>
          <w:lang w:val="en-US" w:eastAsia="zh-CN"/>
        </w:rPr>
        <w:t>主要的污染源有废气收集处理装置、生产装置逸散、装煤、推焦、息焦、荒焦炉煤气净化和化学产品回收过程中产生的废气，炼化企业含油废水、含硫废水、含碱废水、含酚废水、焦化废水、选煤废水、煤场渗滤水等多种废水，碱渣、含油含重金属污泥、废金属催化剂、废酸、石油精制废白土渣、废催化剂、含油含重金属污泥、焦油渣、水处理污泥、干法脱硫废液沉渣、酸焦油等固废。</w:t>
      </w:r>
    </w:p>
    <w:p>
      <w:pPr>
        <w:spacing w:line="360" w:lineRule="auto"/>
        <w:ind w:firstLine="482" w:firstLineChars="200"/>
        <w:rPr>
          <w:rFonts w:hint="default" w:ascii="Times New Roman" w:hAnsi="Times New Roman" w:cs="Times New Roman"/>
          <w:b w:val="0"/>
          <w:bCs w:val="0"/>
          <w:color w:val="auto"/>
          <w:kern w:val="0"/>
          <w:sz w:val="24"/>
          <w:highlight w:val="none"/>
          <w:lang w:val="en-US" w:eastAsia="zh-CN"/>
        </w:rPr>
      </w:pPr>
      <w:r>
        <w:rPr>
          <w:rFonts w:hint="default" w:ascii="Times New Roman" w:hAnsi="Times New Roman" w:cs="Times New Roman"/>
          <w:b/>
          <w:bCs/>
          <w:color w:val="auto"/>
          <w:kern w:val="0"/>
          <w:sz w:val="24"/>
          <w:highlight w:val="none"/>
          <w:lang w:val="en-US" w:eastAsia="zh-CN"/>
        </w:rPr>
        <w:t>建材：</w:t>
      </w:r>
      <w:r>
        <w:rPr>
          <w:rFonts w:hint="default" w:ascii="Times New Roman" w:hAnsi="Times New Roman" w:cs="Times New Roman"/>
          <w:b w:val="0"/>
          <w:bCs w:val="0"/>
          <w:color w:val="auto"/>
          <w:kern w:val="0"/>
          <w:sz w:val="24"/>
          <w:highlight w:val="none"/>
          <w:lang w:val="en-US" w:eastAsia="zh-CN"/>
        </w:rPr>
        <w:t>主要的污染源有生产过程中产生的工业粉尘、少数砖瓦厂产生的含氟废气，噪声、工业固废。</w:t>
      </w:r>
    </w:p>
    <w:p>
      <w:pPr>
        <w:spacing w:line="360" w:lineRule="auto"/>
        <w:ind w:firstLine="480" w:firstLineChars="200"/>
        <w:rPr>
          <w:rFonts w:hint="default" w:ascii="Times New Roman" w:hAnsi="Times New Roman" w:eastAsia="黑体" w:cs="Times New Roman"/>
          <w:b/>
          <w:color w:val="auto"/>
          <w:sz w:val="24"/>
          <w:highlight w:val="none"/>
          <w:lang w:val="en-US" w:eastAsia="zh-CN"/>
        </w:rPr>
      </w:pPr>
      <w:r>
        <w:rPr>
          <w:rFonts w:hint="default" w:ascii="Times New Roman" w:hAnsi="Times New Roman" w:cs="Times New Roman"/>
          <w:b w:val="0"/>
          <w:bCs w:val="0"/>
          <w:color w:val="auto"/>
          <w:kern w:val="0"/>
          <w:sz w:val="24"/>
          <w:highlight w:val="none"/>
          <w:lang w:val="en-US" w:eastAsia="zh-CN"/>
        </w:rPr>
        <w:t>其中，园区内典型企业包括重点行业企业和已取得排污许可证企业等，涉及的主要污染因子如下表2-2-3：</w:t>
      </w:r>
      <w:r>
        <w:rPr>
          <w:rFonts w:hint="eastAsia" w:cs="Times New Roman"/>
          <w:b w:val="0"/>
          <w:bCs w:val="0"/>
          <w:color w:val="auto"/>
          <w:kern w:val="0"/>
          <w:sz w:val="24"/>
          <w:highlight w:val="none"/>
          <w:lang w:val="en-US" w:eastAsia="zh-CN"/>
        </w:rPr>
        <w:t xml:space="preserve"> </w:t>
      </w:r>
    </w:p>
    <w:p>
      <w:pPr>
        <w:spacing w:line="360" w:lineRule="auto"/>
        <w:jc w:val="center"/>
        <w:rPr>
          <w:rFonts w:hint="default" w:ascii="Times New Roman" w:hAnsi="Times New Roman" w:eastAsia="黑体" w:cs="Times New Roman"/>
          <w:b/>
          <w:color w:val="auto"/>
          <w:sz w:val="24"/>
          <w:highlight w:val="none"/>
          <w:lang w:val="en-US" w:eastAsia="zh-CN"/>
        </w:rPr>
      </w:pPr>
      <w:r>
        <w:rPr>
          <w:rFonts w:hint="default" w:ascii="Times New Roman" w:hAnsi="Times New Roman" w:eastAsia="黑体" w:cs="Times New Roman"/>
          <w:b/>
          <w:color w:val="auto"/>
          <w:sz w:val="24"/>
          <w:highlight w:val="none"/>
          <w:lang w:val="en-US" w:eastAsia="zh-CN"/>
        </w:rPr>
        <w:t>表2-2-3 园区内典型企业污染因子及影响途径</w:t>
      </w:r>
    </w:p>
    <w:tbl>
      <w:tblPr>
        <w:tblStyle w:val="22"/>
        <w:tblW w:w="4982"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2"/>
        <w:gridCol w:w="1324"/>
        <w:gridCol w:w="1591"/>
        <w:gridCol w:w="2045"/>
        <w:gridCol w:w="2087"/>
        <w:gridCol w:w="22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276" w:type="pct"/>
            <w:tcBorders>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编号</w:t>
            </w:r>
          </w:p>
        </w:tc>
        <w:tc>
          <w:tcPr>
            <w:tcW w:w="674" w:type="pct"/>
            <w:tcBorders>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典型企业</w:t>
            </w:r>
          </w:p>
        </w:tc>
        <w:tc>
          <w:tcPr>
            <w:tcW w:w="810" w:type="pct"/>
            <w:tcBorders>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主要行业类别</w:t>
            </w:r>
          </w:p>
        </w:tc>
        <w:tc>
          <w:tcPr>
            <w:tcW w:w="1041" w:type="pct"/>
            <w:tcBorders>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主要污染因子</w:t>
            </w:r>
          </w:p>
        </w:tc>
        <w:tc>
          <w:tcPr>
            <w:tcW w:w="1062" w:type="pct"/>
            <w:tcBorders>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影响环节</w:t>
            </w:r>
          </w:p>
        </w:tc>
        <w:tc>
          <w:tcPr>
            <w:tcW w:w="1134" w:type="pct"/>
            <w:tcBorders>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6" w:type="pct"/>
            <w:tcBorders>
              <w:top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w:t>
            </w:r>
          </w:p>
        </w:tc>
        <w:tc>
          <w:tcPr>
            <w:tcW w:w="674" w:type="pct"/>
            <w:tcBorders>
              <w:top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华新水泥（鄂州）有限公司</w:t>
            </w:r>
          </w:p>
        </w:tc>
        <w:tc>
          <w:tcPr>
            <w:tcW w:w="810" w:type="pct"/>
            <w:tcBorders>
              <w:top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C3011</w:t>
            </w:r>
            <w:r>
              <w:rPr>
                <w:rFonts w:hint="default" w:ascii="Times New Roman" w:hAnsi="Times New Roman" w:cs="Times New Roman"/>
                <w:color w:val="auto"/>
                <w:sz w:val="21"/>
                <w:szCs w:val="21"/>
                <w:highlight w:val="none"/>
                <w:vertAlign w:val="baseline"/>
                <w:lang w:val="en-US" w:eastAsia="zh-CN"/>
              </w:rPr>
              <w:t>水泥制造</w:t>
            </w:r>
          </w:p>
        </w:tc>
        <w:tc>
          <w:tcPr>
            <w:tcW w:w="1041" w:type="pct"/>
            <w:tcBorders>
              <w:top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氮氧化物、二氧化硫、</w:t>
            </w:r>
            <w:r>
              <w:rPr>
                <w:rFonts w:hint="default" w:ascii="Times New Roman" w:hAnsi="Times New Roman" w:cs="Times New Roman"/>
                <w:i w:val="0"/>
                <w:color w:val="auto"/>
                <w:kern w:val="0"/>
                <w:sz w:val="21"/>
                <w:szCs w:val="21"/>
                <w:highlight w:val="none"/>
                <w:u w:val="none"/>
                <w:lang w:val="en-US" w:eastAsia="zh-CN" w:bidi="ar"/>
              </w:rPr>
              <w:t>石油烃（C</w:t>
            </w:r>
            <w:r>
              <w:rPr>
                <w:rFonts w:hint="default" w:ascii="Times New Roman" w:hAnsi="Times New Roman" w:cs="Times New Roman"/>
                <w:i w:val="0"/>
                <w:color w:val="auto"/>
                <w:kern w:val="0"/>
                <w:sz w:val="21"/>
                <w:szCs w:val="21"/>
                <w:highlight w:val="none"/>
                <w:u w:val="none"/>
                <w:vertAlign w:val="subscript"/>
                <w:lang w:val="en-US" w:eastAsia="zh-CN" w:bidi="ar"/>
              </w:rPr>
              <w:t>10</w:t>
            </w:r>
            <w:r>
              <w:rPr>
                <w:rFonts w:hint="default" w:ascii="Times New Roman" w:hAnsi="Times New Roman" w:cs="Times New Roman"/>
                <w:i w:val="0"/>
                <w:color w:val="auto"/>
                <w:kern w:val="0"/>
                <w:sz w:val="21"/>
                <w:szCs w:val="21"/>
                <w:highlight w:val="none"/>
                <w:u w:val="none"/>
                <w:lang w:val="en-US" w:eastAsia="zh-CN" w:bidi="ar"/>
              </w:rPr>
              <w:t>-C</w:t>
            </w:r>
            <w:r>
              <w:rPr>
                <w:rFonts w:hint="default" w:ascii="Times New Roman" w:hAnsi="Times New Roman" w:cs="Times New Roman"/>
                <w:i w:val="0"/>
                <w:color w:val="auto"/>
                <w:kern w:val="0"/>
                <w:sz w:val="21"/>
                <w:szCs w:val="21"/>
                <w:highlight w:val="none"/>
                <w:u w:val="none"/>
                <w:vertAlign w:val="subscript"/>
                <w:lang w:val="en-US" w:eastAsia="zh-CN" w:bidi="ar"/>
              </w:rPr>
              <w:t>40</w:t>
            </w:r>
            <w:r>
              <w:rPr>
                <w:rFonts w:hint="default" w:ascii="Times New Roman" w:hAnsi="Times New Roman" w:cs="Times New Roman"/>
                <w:i w:val="0"/>
                <w:color w:val="auto"/>
                <w:kern w:val="0"/>
                <w:sz w:val="21"/>
                <w:szCs w:val="21"/>
                <w:highlight w:val="none"/>
                <w:u w:val="none"/>
                <w:lang w:val="en-US" w:eastAsia="zh-CN" w:bidi="ar"/>
              </w:rPr>
              <w:t>）</w:t>
            </w:r>
          </w:p>
        </w:tc>
        <w:tc>
          <w:tcPr>
            <w:tcW w:w="1062" w:type="pct"/>
            <w:tcBorders>
              <w:top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废气、废水、固废：原石破碎、原料烘干、原料均化、生料粉磨、煤粉制备、水泥粉磨</w:t>
            </w:r>
          </w:p>
        </w:tc>
        <w:tc>
          <w:tcPr>
            <w:tcW w:w="1134" w:type="pct"/>
            <w:tcBorders>
              <w:top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已取得排污许可证企业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6"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w:t>
            </w:r>
          </w:p>
        </w:tc>
        <w:tc>
          <w:tcPr>
            <w:tcW w:w="67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u w:val="none"/>
                <w:vertAlign w:val="baseline"/>
                <w:lang w:val="en-US" w:eastAsia="zh-CN" w:bidi="ar"/>
              </w:rPr>
            </w:pPr>
            <w:r>
              <w:rPr>
                <w:rFonts w:hint="default" w:ascii="Times New Roman" w:hAnsi="Times New Roman" w:eastAsia="宋体" w:cs="Times New Roman"/>
                <w:i w:val="0"/>
                <w:color w:val="auto"/>
                <w:kern w:val="2"/>
                <w:sz w:val="21"/>
                <w:szCs w:val="21"/>
                <w:highlight w:val="none"/>
                <w:u w:val="none"/>
                <w:lang w:val="en-US" w:eastAsia="zh-CN" w:bidi="ar"/>
              </w:rPr>
              <w:t>湖北宇拓新型墙材有限公司</w:t>
            </w:r>
          </w:p>
        </w:tc>
        <w:tc>
          <w:tcPr>
            <w:tcW w:w="810"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u w:val="none"/>
                <w:vertAlign w:val="baseline"/>
                <w:lang w:val="en-US" w:eastAsia="zh-CN" w:bidi="ar"/>
              </w:rPr>
            </w:pPr>
            <w:r>
              <w:rPr>
                <w:rFonts w:hint="default" w:ascii="Times New Roman" w:hAnsi="Times New Roman" w:cs="Times New Roman"/>
                <w:color w:val="auto"/>
                <w:sz w:val="21"/>
                <w:szCs w:val="21"/>
                <w:highlight w:val="none"/>
                <w:u w:val="none"/>
                <w:vertAlign w:val="baseline"/>
                <w:lang w:val="en-US" w:eastAsia="zh-CN" w:bidi="ar"/>
              </w:rPr>
              <w:t>C3031粘土砖瓦及建筑砌块制造</w:t>
            </w:r>
          </w:p>
        </w:tc>
        <w:tc>
          <w:tcPr>
            <w:tcW w:w="1041"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汞及其化合物、二氧化硫、氟化物</w:t>
            </w:r>
          </w:p>
        </w:tc>
        <w:tc>
          <w:tcPr>
            <w:tcW w:w="1062"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废气、废水：原料燃料破碎及制备成型、人工干燥及焙烧</w:t>
            </w:r>
          </w:p>
        </w:tc>
        <w:tc>
          <w:tcPr>
            <w:tcW w:w="113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已取得排污许可证企业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2" w:hRule="atLeast"/>
        </w:trPr>
        <w:tc>
          <w:tcPr>
            <w:tcW w:w="276"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w:t>
            </w:r>
          </w:p>
        </w:tc>
        <w:tc>
          <w:tcPr>
            <w:tcW w:w="67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i w:val="0"/>
                <w:color w:val="auto"/>
                <w:kern w:val="2"/>
                <w:sz w:val="21"/>
                <w:szCs w:val="21"/>
                <w:highlight w:val="none"/>
                <w:u w:val="none"/>
                <w:lang w:val="en-US" w:eastAsia="zh-CN" w:bidi="ar"/>
              </w:rPr>
              <w:t>鄂州市力兴统领科技有限公司</w:t>
            </w:r>
          </w:p>
        </w:tc>
        <w:tc>
          <w:tcPr>
            <w:tcW w:w="810"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C2661化学试剂和助剂制造</w:t>
            </w:r>
          </w:p>
        </w:tc>
        <w:tc>
          <w:tcPr>
            <w:tcW w:w="1041"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萘、石油烃、砷、</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苯并(a)芘</w:t>
            </w:r>
          </w:p>
        </w:tc>
        <w:tc>
          <w:tcPr>
            <w:tcW w:w="1062"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废气：原料运输、混合过程中挥发</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固废：原料混合产生的废料，粉尘</w:t>
            </w:r>
          </w:p>
        </w:tc>
        <w:tc>
          <w:tcPr>
            <w:tcW w:w="113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重点行业企业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6"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4</w:t>
            </w:r>
          </w:p>
        </w:tc>
        <w:tc>
          <w:tcPr>
            <w:tcW w:w="67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i w:val="0"/>
                <w:color w:val="auto"/>
                <w:kern w:val="0"/>
                <w:sz w:val="21"/>
                <w:szCs w:val="21"/>
                <w:highlight w:val="none"/>
                <w:u w:val="none"/>
                <w:lang w:val="en-US" w:eastAsia="zh-CN" w:bidi="ar"/>
              </w:rPr>
              <w:t>鄂州市国伟建材有限责任公司</w:t>
            </w:r>
          </w:p>
        </w:tc>
        <w:tc>
          <w:tcPr>
            <w:tcW w:w="810"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C3031粘土砖瓦及建筑砌块制造</w:t>
            </w:r>
          </w:p>
        </w:tc>
        <w:tc>
          <w:tcPr>
            <w:tcW w:w="1041"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汞及其化合物、二氧化硫、氟化物</w:t>
            </w:r>
          </w:p>
        </w:tc>
        <w:tc>
          <w:tcPr>
            <w:tcW w:w="1062"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废气、废水：原料燃料破碎及制备成型、人工干燥及焙烧</w:t>
            </w:r>
          </w:p>
        </w:tc>
        <w:tc>
          <w:tcPr>
            <w:tcW w:w="113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已取得排污许可证企业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6"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w:t>
            </w:r>
          </w:p>
        </w:tc>
        <w:tc>
          <w:tcPr>
            <w:tcW w:w="67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湖北丽美药用包装有限公司</w:t>
            </w:r>
          </w:p>
        </w:tc>
        <w:tc>
          <w:tcPr>
            <w:tcW w:w="810"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C3333金属包装容器及材料制造</w:t>
            </w:r>
          </w:p>
        </w:tc>
        <w:tc>
          <w:tcPr>
            <w:tcW w:w="1041"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苯、甲苯、二甲苯</w:t>
            </w:r>
          </w:p>
        </w:tc>
        <w:tc>
          <w:tcPr>
            <w:tcW w:w="1062"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废气：包装印刷过程中产生的废气</w:t>
            </w:r>
          </w:p>
        </w:tc>
        <w:tc>
          <w:tcPr>
            <w:tcW w:w="113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已取得排污许可证企业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6"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6</w:t>
            </w:r>
          </w:p>
        </w:tc>
        <w:tc>
          <w:tcPr>
            <w:tcW w:w="67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鄂州市胜利软管股份有限公司</w:t>
            </w:r>
          </w:p>
        </w:tc>
        <w:tc>
          <w:tcPr>
            <w:tcW w:w="810"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C3333金属日用品制造</w:t>
            </w:r>
          </w:p>
        </w:tc>
        <w:tc>
          <w:tcPr>
            <w:tcW w:w="1041"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苯、甲苯</w:t>
            </w:r>
          </w:p>
        </w:tc>
        <w:tc>
          <w:tcPr>
            <w:tcW w:w="1062"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废气：包装印刷过程中产生的废气</w:t>
            </w:r>
          </w:p>
        </w:tc>
        <w:tc>
          <w:tcPr>
            <w:tcW w:w="113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已取得排污许可证企业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6"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7</w:t>
            </w:r>
          </w:p>
        </w:tc>
        <w:tc>
          <w:tcPr>
            <w:tcW w:w="67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湖北鸿昇矿业有限公司</w:t>
            </w:r>
          </w:p>
        </w:tc>
        <w:tc>
          <w:tcPr>
            <w:tcW w:w="810"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B0810铁矿采选</w:t>
            </w:r>
          </w:p>
        </w:tc>
        <w:tc>
          <w:tcPr>
            <w:tcW w:w="1041"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苯并(a)芘、砷、铝、镁、铜、铅、锌、</w:t>
            </w:r>
            <w:r>
              <w:rPr>
                <w:rFonts w:hint="default" w:ascii="Times New Roman" w:hAnsi="Times New Roman" w:cs="Times New Roman"/>
                <w:i w:val="0"/>
                <w:color w:val="auto"/>
                <w:kern w:val="0"/>
                <w:sz w:val="21"/>
                <w:szCs w:val="21"/>
                <w:highlight w:val="none"/>
                <w:u w:val="none"/>
                <w:lang w:val="en-US" w:eastAsia="zh-CN" w:bidi="ar"/>
              </w:rPr>
              <w:t>石油烃（C</w:t>
            </w:r>
            <w:r>
              <w:rPr>
                <w:rFonts w:hint="default" w:ascii="Times New Roman" w:hAnsi="Times New Roman" w:cs="Times New Roman"/>
                <w:i w:val="0"/>
                <w:color w:val="auto"/>
                <w:kern w:val="0"/>
                <w:sz w:val="21"/>
                <w:szCs w:val="21"/>
                <w:highlight w:val="none"/>
                <w:u w:val="none"/>
                <w:vertAlign w:val="subscript"/>
                <w:lang w:val="en-US" w:eastAsia="zh-CN" w:bidi="ar"/>
              </w:rPr>
              <w:t>10</w:t>
            </w:r>
            <w:r>
              <w:rPr>
                <w:rFonts w:hint="default" w:ascii="Times New Roman" w:hAnsi="Times New Roman" w:cs="Times New Roman"/>
                <w:i w:val="0"/>
                <w:color w:val="auto"/>
                <w:kern w:val="0"/>
                <w:sz w:val="21"/>
                <w:szCs w:val="21"/>
                <w:highlight w:val="none"/>
                <w:u w:val="none"/>
                <w:lang w:val="en-US" w:eastAsia="zh-CN" w:bidi="ar"/>
              </w:rPr>
              <w:t>-C</w:t>
            </w:r>
            <w:r>
              <w:rPr>
                <w:rFonts w:hint="default" w:ascii="Times New Roman" w:hAnsi="Times New Roman" w:cs="Times New Roman"/>
                <w:i w:val="0"/>
                <w:color w:val="auto"/>
                <w:kern w:val="0"/>
                <w:sz w:val="21"/>
                <w:szCs w:val="21"/>
                <w:highlight w:val="none"/>
                <w:u w:val="none"/>
                <w:vertAlign w:val="subscript"/>
                <w:lang w:val="en-US" w:eastAsia="zh-CN" w:bidi="ar"/>
              </w:rPr>
              <w:t>40</w:t>
            </w:r>
            <w:r>
              <w:rPr>
                <w:rFonts w:hint="default" w:ascii="Times New Roman" w:hAnsi="Times New Roman" w:cs="Times New Roman"/>
                <w:i w:val="0"/>
                <w:color w:val="auto"/>
                <w:kern w:val="0"/>
                <w:sz w:val="21"/>
                <w:szCs w:val="21"/>
                <w:highlight w:val="none"/>
                <w:u w:val="none"/>
                <w:lang w:val="en-US" w:eastAsia="zh-CN" w:bidi="ar"/>
              </w:rPr>
              <w:t>）</w:t>
            </w:r>
          </w:p>
        </w:tc>
        <w:tc>
          <w:tcPr>
            <w:tcW w:w="1062"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废气：原料运输、混合过程中产生废气</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废水：磁选过滤产生的废水</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固废：旋流器产生的粉尘</w:t>
            </w:r>
          </w:p>
        </w:tc>
        <w:tc>
          <w:tcPr>
            <w:tcW w:w="113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重点行业企业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76"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8</w:t>
            </w:r>
          </w:p>
        </w:tc>
        <w:tc>
          <w:tcPr>
            <w:tcW w:w="67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湖北交投致远新材料科技有限公司</w:t>
            </w:r>
          </w:p>
        </w:tc>
        <w:tc>
          <w:tcPr>
            <w:tcW w:w="810"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C2661化学试剂和助剂制造</w:t>
            </w:r>
          </w:p>
        </w:tc>
        <w:tc>
          <w:tcPr>
            <w:tcW w:w="1041"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石油类、二噁英、苯并(a)芘、</w:t>
            </w:r>
            <w:r>
              <w:rPr>
                <w:rFonts w:hint="default" w:ascii="Times New Roman" w:hAnsi="Times New Roman" w:cs="Times New Roman"/>
                <w:color w:val="auto"/>
                <w:kern w:val="0"/>
                <w:sz w:val="21"/>
                <w:szCs w:val="21"/>
                <w:highlight w:val="none"/>
                <w:lang w:val="en-US" w:eastAsia="zh-CN"/>
              </w:rPr>
              <w:t>多氯联苯、苯酚、2-甲基苯酚、4-甲基苯酚、二硫化碳、1,2,4-三甲基苯、1,3,5-三甲基苯</w:t>
            </w:r>
            <w:r>
              <w:rPr>
                <w:rFonts w:hint="eastAsia" w:cs="Times New Roman"/>
                <w:color w:val="auto"/>
                <w:kern w:val="0"/>
                <w:sz w:val="21"/>
                <w:szCs w:val="21"/>
                <w:highlight w:val="none"/>
                <w:lang w:val="en-US" w:eastAsia="zh-CN"/>
              </w:rPr>
              <w:t>、</w:t>
            </w:r>
            <w:r>
              <w:rPr>
                <w:rFonts w:hint="default" w:ascii="Times New Roman" w:hAnsi="Times New Roman" w:cs="Times New Roman"/>
                <w:i w:val="0"/>
                <w:color w:val="auto"/>
                <w:kern w:val="0"/>
                <w:sz w:val="21"/>
                <w:szCs w:val="21"/>
                <w:highlight w:val="none"/>
                <w:u w:val="none"/>
                <w:lang w:val="en-US" w:eastAsia="zh-CN" w:bidi="ar"/>
              </w:rPr>
              <w:t>石油烃（C</w:t>
            </w:r>
            <w:r>
              <w:rPr>
                <w:rFonts w:hint="default" w:ascii="Times New Roman" w:hAnsi="Times New Roman" w:cs="Times New Roman"/>
                <w:i w:val="0"/>
                <w:color w:val="auto"/>
                <w:kern w:val="0"/>
                <w:sz w:val="21"/>
                <w:szCs w:val="21"/>
                <w:highlight w:val="none"/>
                <w:u w:val="none"/>
                <w:vertAlign w:val="subscript"/>
                <w:lang w:val="en-US" w:eastAsia="zh-CN" w:bidi="ar"/>
              </w:rPr>
              <w:t>10</w:t>
            </w:r>
            <w:r>
              <w:rPr>
                <w:rFonts w:hint="default" w:ascii="Times New Roman" w:hAnsi="Times New Roman" w:cs="Times New Roman"/>
                <w:i w:val="0"/>
                <w:color w:val="auto"/>
                <w:kern w:val="0"/>
                <w:sz w:val="21"/>
                <w:szCs w:val="21"/>
                <w:highlight w:val="none"/>
                <w:u w:val="none"/>
                <w:lang w:val="en-US" w:eastAsia="zh-CN" w:bidi="ar"/>
              </w:rPr>
              <w:t>-C</w:t>
            </w:r>
            <w:r>
              <w:rPr>
                <w:rFonts w:hint="default" w:ascii="Times New Roman" w:hAnsi="Times New Roman" w:cs="Times New Roman"/>
                <w:i w:val="0"/>
                <w:color w:val="auto"/>
                <w:kern w:val="0"/>
                <w:sz w:val="21"/>
                <w:szCs w:val="21"/>
                <w:highlight w:val="none"/>
                <w:u w:val="none"/>
                <w:vertAlign w:val="subscript"/>
                <w:lang w:val="en-US" w:eastAsia="zh-CN" w:bidi="ar"/>
              </w:rPr>
              <w:t>40</w:t>
            </w:r>
            <w:r>
              <w:rPr>
                <w:rFonts w:hint="default" w:ascii="Times New Roman" w:hAnsi="Times New Roman" w:cs="Times New Roman"/>
                <w:i w:val="0"/>
                <w:color w:val="auto"/>
                <w:kern w:val="0"/>
                <w:sz w:val="21"/>
                <w:szCs w:val="21"/>
                <w:highlight w:val="none"/>
                <w:u w:val="none"/>
                <w:lang w:val="en-US" w:eastAsia="zh-CN" w:bidi="ar"/>
              </w:rPr>
              <w:t>）</w:t>
            </w:r>
          </w:p>
        </w:tc>
        <w:tc>
          <w:tcPr>
            <w:tcW w:w="1062"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废气、废水：沥青改良、乳化</w:t>
            </w:r>
          </w:p>
        </w:tc>
        <w:tc>
          <w:tcPr>
            <w:tcW w:w="1134" w:type="pc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w:t>
            </w:r>
          </w:p>
        </w:tc>
      </w:tr>
    </w:tbl>
    <w:p>
      <w:pPr>
        <w:spacing w:line="360" w:lineRule="auto"/>
        <w:ind w:firstLine="480" w:firstLineChars="200"/>
        <w:rPr>
          <w:rFonts w:hint="default" w:ascii="Times New Roman" w:hAnsi="Times New Roman" w:cs="Times New Roman"/>
          <w:b w:val="0"/>
          <w:bCs w:val="0"/>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综上，</w:t>
      </w:r>
      <w:r>
        <w:rPr>
          <w:rFonts w:hint="default" w:ascii="Times New Roman" w:hAnsi="Times New Roman" w:cs="Times New Roman"/>
          <w:b w:val="0"/>
          <w:bCs w:val="0"/>
          <w:color w:val="auto"/>
          <w:kern w:val="0"/>
          <w:sz w:val="24"/>
          <w:highlight w:val="none"/>
          <w:lang w:val="en-US" w:eastAsia="zh-CN"/>
        </w:rPr>
        <w:t>参考</w:t>
      </w:r>
      <w:r>
        <w:rPr>
          <w:rFonts w:hint="default" w:ascii="Times New Roman" w:hAnsi="Times New Roman" w:eastAsia="宋体" w:cs="Times New Roman"/>
          <w:color w:val="auto"/>
          <w:sz w:val="24"/>
          <w:szCs w:val="24"/>
          <w:highlight w:val="none"/>
          <w:lang w:val="en-US" w:eastAsia="zh-CN" w:bidi="ar"/>
        </w:rPr>
        <w:t>《省级土壤污染状况详查实施方案编制指南》（环办土壤函[2017]1023号）</w:t>
      </w:r>
      <w:r>
        <w:rPr>
          <w:rFonts w:hint="default" w:ascii="Times New Roman" w:hAnsi="Times New Roman" w:cs="Times New Roman"/>
          <w:color w:val="auto"/>
          <w:sz w:val="24"/>
          <w:szCs w:val="24"/>
          <w:highlight w:val="none"/>
          <w:lang w:val="en-US" w:eastAsia="zh-CN" w:bidi="ar"/>
        </w:rPr>
        <w:t>附件</w:t>
      </w:r>
      <w:r>
        <w:rPr>
          <w:rFonts w:hint="default" w:ascii="Times New Roman" w:hAnsi="Times New Roman" w:cs="Times New Roman"/>
          <w:b w:val="0"/>
          <w:bCs w:val="0"/>
          <w:color w:val="auto"/>
          <w:kern w:val="0"/>
          <w:sz w:val="24"/>
          <w:highlight w:val="none"/>
          <w:lang w:val="en-US" w:eastAsia="zh-CN"/>
        </w:rPr>
        <w:t>《</w:t>
      </w:r>
      <w:r>
        <w:rPr>
          <w:rFonts w:hint="default" w:ascii="Times New Roman" w:hAnsi="Times New Roman" w:cs="Times New Roman"/>
          <w:b w:val="0"/>
          <w:bCs w:val="0"/>
          <w:color w:val="auto"/>
          <w:sz w:val="24"/>
          <w:highlight w:val="none"/>
          <w:lang w:eastAsia="zh-CN"/>
        </w:rPr>
        <w:t>全国土壤污染状况详查分析测试项目</w:t>
      </w:r>
      <w:r>
        <w:rPr>
          <w:rFonts w:hint="default" w:ascii="Times New Roman" w:hAnsi="Times New Roman" w:cs="Times New Roman"/>
          <w:b w:val="0"/>
          <w:bCs w:val="0"/>
          <w:color w:val="auto"/>
          <w:kern w:val="0"/>
          <w:sz w:val="24"/>
          <w:highlight w:val="none"/>
          <w:lang w:val="en-US" w:eastAsia="zh-CN"/>
        </w:rPr>
        <w:t>》，根据园区产业定位，主要涉及重金属（铅、砷、镉、铬、汞、镍、钴、钼、锑）、石油烃、氟化物</w:t>
      </w:r>
      <w:r>
        <w:rPr>
          <w:rFonts w:hint="eastAsia" w:cs="Times New Roman"/>
          <w:b w:val="0"/>
          <w:bCs w:val="0"/>
          <w:color w:val="auto"/>
          <w:kern w:val="0"/>
          <w:sz w:val="24"/>
          <w:highlight w:val="none"/>
          <w:lang w:val="en-US" w:eastAsia="zh-CN"/>
        </w:rPr>
        <w:t>，</w:t>
      </w:r>
      <w:r>
        <w:rPr>
          <w:rFonts w:hint="default" w:ascii="Times New Roman" w:hAnsi="Times New Roman" w:cs="Times New Roman"/>
          <w:b w:val="0"/>
          <w:bCs w:val="0"/>
          <w:color w:val="auto"/>
          <w:kern w:val="0"/>
          <w:sz w:val="24"/>
          <w:highlight w:val="none"/>
          <w:lang w:val="en-US" w:eastAsia="zh-CN"/>
        </w:rPr>
        <w:t>苯、甲苯、二甲苯</w:t>
      </w:r>
      <w:r>
        <w:rPr>
          <w:rFonts w:hint="eastAsia" w:cs="Times New Roman"/>
          <w:b w:val="0"/>
          <w:bCs w:val="0"/>
          <w:color w:val="auto"/>
          <w:kern w:val="0"/>
          <w:sz w:val="24"/>
          <w:highlight w:val="none"/>
          <w:lang w:val="en-US" w:eastAsia="zh-CN"/>
        </w:rPr>
        <w:t>等挥发性有机物，</w:t>
      </w:r>
      <w:r>
        <w:rPr>
          <w:rFonts w:hint="default" w:ascii="Times New Roman" w:hAnsi="Times New Roman" w:cs="Times New Roman"/>
          <w:b w:val="0"/>
          <w:bCs w:val="0"/>
          <w:color w:val="auto"/>
          <w:kern w:val="0"/>
          <w:sz w:val="24"/>
          <w:highlight w:val="none"/>
          <w:lang w:val="en-US" w:eastAsia="zh-CN"/>
        </w:rPr>
        <w:t>多环芳烃等</w:t>
      </w:r>
      <w:r>
        <w:rPr>
          <w:rFonts w:hint="eastAsia" w:cs="Times New Roman"/>
          <w:b w:val="0"/>
          <w:bCs w:val="0"/>
          <w:color w:val="auto"/>
          <w:kern w:val="0"/>
          <w:sz w:val="24"/>
          <w:highlight w:val="none"/>
          <w:lang w:val="en-US" w:eastAsia="zh-CN"/>
        </w:rPr>
        <w:t>半挥发性有机物等</w:t>
      </w:r>
      <w:r>
        <w:rPr>
          <w:rFonts w:hint="default" w:ascii="Times New Roman" w:hAnsi="Times New Roman" w:cs="Times New Roman"/>
          <w:b w:val="0"/>
          <w:bCs w:val="0"/>
          <w:color w:val="auto"/>
          <w:kern w:val="0"/>
          <w:sz w:val="24"/>
          <w:highlight w:val="none"/>
          <w:lang w:val="en-US" w:eastAsia="zh-CN"/>
        </w:rPr>
        <w:t>。部分典型企业涉及的污染因子还包括：二噁英</w:t>
      </w:r>
      <w:r>
        <w:rPr>
          <w:rFonts w:hint="default" w:ascii="Times New Roman" w:hAnsi="Times New Roman" w:cs="Times New Roman"/>
          <w:color w:val="auto"/>
          <w:kern w:val="0"/>
          <w:sz w:val="24"/>
          <w:highlight w:val="none"/>
          <w:lang w:val="en-US" w:eastAsia="zh-CN"/>
        </w:rPr>
        <w:t>、苯酚、2-甲基苯酚、4-甲基苯酚、二硫化碳、1,2,4-三甲基苯、1,3,5-三甲基苯</w:t>
      </w:r>
      <w:r>
        <w:rPr>
          <w:rFonts w:hint="default" w:ascii="Times New Roman" w:hAnsi="Times New Roman" w:cs="Times New Roman"/>
          <w:b w:val="0"/>
          <w:bCs w:val="0"/>
          <w:color w:val="auto"/>
          <w:kern w:val="0"/>
          <w:sz w:val="24"/>
          <w:highlight w:val="none"/>
          <w:lang w:val="en-US" w:eastAsia="zh-CN"/>
        </w:rPr>
        <w:t>。</w:t>
      </w:r>
    </w:p>
    <w:p>
      <w:pPr>
        <w:spacing w:line="360" w:lineRule="auto"/>
        <w:ind w:firstLine="480" w:firstLineChars="200"/>
        <w:rPr>
          <w:rFonts w:hint="default" w:ascii="Times New Roman" w:hAnsi="Times New Roman" w:cs="Times New Roman"/>
          <w:b w:val="0"/>
          <w:bCs w:val="0"/>
          <w:color w:val="auto"/>
          <w:kern w:val="0"/>
          <w:sz w:val="24"/>
          <w:highlight w:val="none"/>
          <w:lang w:val="en-US" w:eastAsia="zh-CN"/>
        </w:rPr>
      </w:pPr>
    </w:p>
    <w:p>
      <w:pPr>
        <w:rPr>
          <w:rFonts w:hint="default" w:ascii="Times New Roman" w:hAnsi="Times New Roman" w:eastAsia="宋体" w:cs="Times New Roman"/>
          <w:color w:val="auto"/>
          <w:highlight w:val="none"/>
          <w:lang w:eastAsia="zh-CN"/>
        </w:rPr>
        <w:sectPr>
          <w:headerReference r:id="rId9" w:type="default"/>
          <w:pgSz w:w="11905" w:h="16838"/>
          <w:pgMar w:top="1134" w:right="1134" w:bottom="1134" w:left="1134" w:header="850" w:footer="992" w:gutter="0"/>
          <w:pgBorders>
            <w:top w:val="none" w:sz="0" w:space="0"/>
            <w:left w:val="none" w:sz="0" w:space="0"/>
            <w:bottom w:val="none" w:sz="0" w:space="0"/>
            <w:right w:val="none" w:sz="0" w:space="0"/>
          </w:pgBorders>
          <w:pgNumType w:fmt="numberInDash"/>
          <w:cols w:space="0" w:num="1"/>
          <w:rtlGutter w:val="0"/>
          <w:docGrid w:type="lines" w:linePitch="332" w:charSpace="0"/>
        </w:sectPr>
      </w:pPr>
    </w:p>
    <w:p>
      <w:pPr>
        <w:pStyle w:val="3"/>
        <w:numPr>
          <w:ilvl w:val="0"/>
          <w:numId w:val="1"/>
        </w:numPr>
        <w:tabs>
          <w:tab w:val="clear" w:pos="425"/>
        </w:tabs>
        <w:rPr>
          <w:rFonts w:hint="default" w:ascii="Times New Roman" w:hAnsi="Times New Roman" w:cs="Times New Roman"/>
          <w:color w:val="auto"/>
          <w:highlight w:val="none"/>
        </w:rPr>
      </w:pPr>
      <w:bookmarkStart w:id="24" w:name="_Toc31070"/>
      <w:bookmarkStart w:id="25" w:name="_Toc27256"/>
      <w:r>
        <w:rPr>
          <w:rFonts w:hint="default" w:ascii="Times New Roman" w:hAnsi="Times New Roman" w:cs="Times New Roman"/>
          <w:color w:val="auto"/>
          <w:highlight w:val="none"/>
          <w:lang w:eastAsia="zh-CN"/>
        </w:rPr>
        <w:t>调查工作方案</w:t>
      </w:r>
      <w:bookmarkEnd w:id="24"/>
      <w:bookmarkEnd w:id="25"/>
    </w:p>
    <w:p>
      <w:pPr>
        <w:pStyle w:val="4"/>
        <w:tabs>
          <w:tab w:val="clear" w:pos="425"/>
        </w:tabs>
        <w:rPr>
          <w:rFonts w:hint="default" w:ascii="Times New Roman" w:hAnsi="Times New Roman" w:cs="Times New Roman"/>
          <w:color w:val="auto"/>
          <w:highlight w:val="none"/>
        </w:rPr>
      </w:pPr>
      <w:bookmarkStart w:id="26" w:name="_Toc7849"/>
      <w:bookmarkStart w:id="27" w:name="_Toc55399870"/>
      <w:bookmarkStart w:id="28" w:name="_Toc19824"/>
      <w:r>
        <w:rPr>
          <w:rFonts w:hint="default" w:ascii="Times New Roman" w:hAnsi="Times New Roman" w:cs="Times New Roman"/>
          <w:color w:val="auto"/>
          <w:highlight w:val="none"/>
          <w:lang w:eastAsia="zh-CN"/>
        </w:rPr>
        <w:t>土壤</w:t>
      </w:r>
      <w:r>
        <w:rPr>
          <w:rFonts w:hint="default" w:ascii="Times New Roman" w:hAnsi="Times New Roman" w:cs="Times New Roman"/>
          <w:color w:val="auto"/>
          <w:highlight w:val="none"/>
        </w:rPr>
        <w:t>布点方案</w:t>
      </w:r>
      <w:bookmarkEnd w:id="26"/>
      <w:bookmarkEnd w:id="27"/>
      <w:bookmarkEnd w:id="28"/>
    </w:p>
    <w:p>
      <w:pPr>
        <w:pStyle w:val="5"/>
        <w:tabs>
          <w:tab w:val="left" w:pos="425"/>
        </w:tabs>
        <w:rPr>
          <w:rFonts w:hint="default" w:ascii="Times New Roman" w:hAnsi="Times New Roman" w:cs="Times New Roman"/>
          <w:color w:val="auto"/>
          <w:highlight w:val="none"/>
        </w:rPr>
      </w:pPr>
      <w:r>
        <w:rPr>
          <w:rFonts w:hint="default" w:ascii="Times New Roman" w:hAnsi="Times New Roman" w:cs="Times New Roman"/>
          <w:color w:val="auto"/>
          <w:highlight w:val="none"/>
        </w:rPr>
        <w:t>布点原则</w:t>
      </w:r>
    </w:p>
    <w:p>
      <w:pPr>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园区布点工作参考《关于开展重点区域土壤环境质量监测风险点位布设工作的通知》附件一《重点区域土壤环境质量监测风险点位布设方法》</w:t>
      </w:r>
      <w:r>
        <w:rPr>
          <w:rFonts w:hint="default" w:ascii="Times New Roman" w:hAnsi="Times New Roman" w:cs="Times New Roman"/>
          <w:color w:val="auto"/>
          <w:kern w:val="0"/>
          <w:sz w:val="24"/>
          <w:highlight w:val="none"/>
          <w:lang w:eastAsia="zh-CN"/>
        </w:rPr>
        <w:t>（环办监测函（</w:t>
      </w:r>
      <w:r>
        <w:rPr>
          <w:rFonts w:hint="default" w:ascii="Times New Roman" w:hAnsi="Times New Roman" w:cs="Times New Roman"/>
          <w:color w:val="auto"/>
          <w:kern w:val="0"/>
          <w:sz w:val="24"/>
          <w:highlight w:val="none"/>
          <w:lang w:val="en-US" w:eastAsia="zh-CN"/>
        </w:rPr>
        <w:t>2016</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lang w:val="en-US" w:eastAsia="zh-CN"/>
        </w:rPr>
        <w:t>1号</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lang w:val="en-US" w:eastAsia="zh-CN"/>
        </w:rPr>
        <w:t>和《四川省土壤污染重点监管单位和工业园区周边土壤环境监督性监测工作方案》</w:t>
      </w:r>
      <w:r>
        <w:rPr>
          <w:rFonts w:hint="default" w:ascii="Times New Roman" w:hAnsi="Times New Roman" w:eastAsia="宋体" w:cs="Times New Roman"/>
          <w:i w:val="0"/>
          <w:caps w:val="0"/>
          <w:color w:val="auto"/>
          <w:spacing w:val="0"/>
          <w:sz w:val="24"/>
          <w:szCs w:val="24"/>
          <w:highlight w:val="none"/>
          <w:shd w:val="clear" w:fill="FFFFFF"/>
        </w:rPr>
        <w:t>（川环办函〔2018〕547号）</w:t>
      </w:r>
      <w:r>
        <w:rPr>
          <w:rFonts w:hint="default" w:ascii="Times New Roman" w:hAnsi="Times New Roman" w:cs="Times New Roman"/>
          <w:color w:val="auto"/>
          <w:kern w:val="0"/>
          <w:sz w:val="24"/>
          <w:highlight w:val="none"/>
          <w:lang w:val="en-US" w:eastAsia="zh-CN"/>
        </w:rPr>
        <w:t>，根据《建设用地土壤污染状况调查技术导则》（HJ 25.1-2019）、《建设用地土壤环境调查评估技术指南》（环保部公告2017年第72号）、《建设用地土壤污染风险管控和修复监测技术导则》（HJ 25.2-2019）等相关技术规范，具体布点原则如下：</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b w:val="0"/>
          <w:bCs w:val="0"/>
          <w:color w:val="auto"/>
          <w:kern w:val="0"/>
          <w:sz w:val="24"/>
          <w:highlight w:val="none"/>
          <w:lang w:val="en-US" w:eastAsia="zh-CN"/>
        </w:rPr>
        <w:t>（1）园区周边点位布设：在</w:t>
      </w:r>
      <w:r>
        <w:rPr>
          <w:rFonts w:hint="default" w:ascii="Times New Roman" w:hAnsi="Times New Roman" w:cs="Times New Roman"/>
          <w:color w:val="auto"/>
          <w:kern w:val="0"/>
          <w:sz w:val="24"/>
          <w:highlight w:val="none"/>
          <w:lang w:val="en-US" w:eastAsia="zh-CN"/>
        </w:rPr>
        <w:t>园区主导风向的下风向（</w:t>
      </w:r>
      <w:r>
        <w:rPr>
          <w:rFonts w:hint="default" w:ascii="Times New Roman" w:hAnsi="Times New Roman" w:cs="Times New Roman"/>
          <w:color w:val="auto"/>
          <w:highlight w:val="none"/>
          <w:lang w:val="en-US" w:eastAsia="zh-CN"/>
        </w:rPr>
        <w:t>园区南侧、西侧</w:t>
      </w:r>
      <w:r>
        <w:rPr>
          <w:rFonts w:hint="default" w:ascii="Times New Roman" w:hAnsi="Times New Roman" w:cs="Times New Roman"/>
          <w:color w:val="auto"/>
          <w:kern w:val="0"/>
          <w:sz w:val="24"/>
          <w:highlight w:val="none"/>
          <w:lang w:val="en-US" w:eastAsia="zh-CN"/>
        </w:rPr>
        <w:t>）距园区边界区75m、200m、400m三处裸露土壤布设监测点，并于园区主导风向上风向（</w:t>
      </w:r>
      <w:r>
        <w:rPr>
          <w:rFonts w:hint="default" w:ascii="Times New Roman" w:hAnsi="Times New Roman" w:cs="Times New Roman"/>
          <w:color w:val="auto"/>
          <w:highlight w:val="none"/>
          <w:lang w:val="en-US" w:eastAsia="zh-CN"/>
        </w:rPr>
        <w:t>园区北侧、东侧</w:t>
      </w:r>
      <w:r>
        <w:rPr>
          <w:rFonts w:hint="default" w:ascii="Times New Roman" w:hAnsi="Times New Roman" w:cs="Times New Roman"/>
          <w:color w:val="auto"/>
          <w:kern w:val="0"/>
          <w:sz w:val="24"/>
          <w:highlight w:val="none"/>
          <w:lang w:val="en-US" w:eastAsia="zh-CN"/>
        </w:rPr>
        <w:t>）</w:t>
      </w:r>
      <w:r>
        <w:rPr>
          <w:rFonts w:hint="default" w:ascii="Times New Roman" w:hAnsi="Times New Roman" w:cs="Times New Roman"/>
          <w:highlight w:val="none"/>
          <w:lang w:val="en-US" w:eastAsia="zh-CN"/>
        </w:rPr>
        <w:t>至少设置一个点位</w:t>
      </w:r>
      <w:r>
        <w:rPr>
          <w:rFonts w:hint="eastAsia" w:cs="Times New Roman"/>
          <w:highlight w:val="none"/>
          <w:lang w:val="en-US" w:eastAsia="zh-CN"/>
        </w:rPr>
        <w:t>；</w:t>
      </w:r>
      <w:r>
        <w:rPr>
          <w:rFonts w:hint="default" w:ascii="Times New Roman" w:hAnsi="Times New Roman" w:cs="Times New Roman"/>
          <w:color w:val="000000" w:themeColor="text1"/>
          <w:kern w:val="0"/>
          <w:highlight w:val="none"/>
          <w14:textFill>
            <w14:solidFill>
              <w14:schemeClr w14:val="tx1"/>
            </w14:solidFill>
          </w14:textFill>
        </w:rPr>
        <w:t>对于上风向临江的园区，临江点位设置于江边。</w:t>
      </w:r>
    </w:p>
    <w:p>
      <w:pPr>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（2）园区内已建成企业聚集区点位布设</w:t>
      </w:r>
      <w:r>
        <w:rPr>
          <w:rFonts w:hint="eastAsia" w:cs="Times New Roman"/>
          <w:color w:val="auto"/>
          <w:kern w:val="0"/>
          <w:sz w:val="24"/>
          <w:highlight w:val="none"/>
          <w:lang w:val="en-US" w:eastAsia="zh-CN"/>
        </w:rPr>
        <w:t>：</w:t>
      </w:r>
      <w:r>
        <w:rPr>
          <w:rFonts w:hint="default" w:ascii="Times New Roman" w:hAnsi="Times New Roman" w:cs="Times New Roman"/>
          <w:color w:val="auto"/>
          <w:kern w:val="0"/>
          <w:sz w:val="24"/>
          <w:highlight w:val="none"/>
          <w:lang w:val="en-US" w:eastAsia="zh-CN"/>
        </w:rPr>
        <w:t>在已建成企业聚集区域边界外的裸露土壤处布设监测点，于聚集区外每隔3公里布设一个点位</w:t>
      </w:r>
      <w:r>
        <w:rPr>
          <w:rFonts w:hint="default" w:cs="Times New Roman"/>
          <w:color w:val="auto"/>
          <w:kern w:val="0"/>
          <w:sz w:val="24"/>
          <w:highlight w:val="none"/>
          <w:lang w:eastAsia="zh-CN"/>
        </w:rPr>
        <w:t>；</w:t>
      </w:r>
      <w:r>
        <w:rPr>
          <w:rFonts w:hint="default" w:ascii="Times New Roman" w:hAnsi="Times New Roman" w:cs="Times New Roman"/>
          <w:color w:val="000000" w:themeColor="text1"/>
          <w:kern w:val="0"/>
          <w:highlight w:val="none"/>
          <w:lang w:val="en-US" w:eastAsia="zh-CN"/>
          <w14:textFill>
            <w14:solidFill>
              <w14:schemeClr w14:val="tx1"/>
            </w14:solidFill>
          </w14:textFill>
        </w:rPr>
        <w:t>对于临近园区边界的</w:t>
      </w:r>
      <w:r>
        <w:rPr>
          <w:rFonts w:hint="default" w:ascii="Times New Roman" w:hAnsi="Times New Roman" w:cs="Times New Roman"/>
          <w:color w:val="000000" w:themeColor="text1"/>
          <w:kern w:val="0"/>
          <w:highlight w:val="none"/>
          <w14:textFill>
            <w14:solidFill>
              <w14:schemeClr w14:val="tx1"/>
            </w14:solidFill>
          </w14:textFill>
        </w:rPr>
        <w:t>已建成企业聚集区</w:t>
      </w:r>
      <w:r>
        <w:rPr>
          <w:rFonts w:hint="default" w:ascii="Times New Roman" w:hAnsi="Times New Roman" w:cs="Times New Roman"/>
          <w:color w:val="000000" w:themeColor="text1"/>
          <w:kern w:val="0"/>
          <w:highlight w:val="none"/>
          <w:lang w:val="en-US" w:eastAsia="zh-CN"/>
          <w14:textFill>
            <w14:solidFill>
              <w14:schemeClr w14:val="tx1"/>
            </w14:solidFill>
          </w14:textFill>
        </w:rPr>
        <w:t>，既有园区周边点位附近不另设</w:t>
      </w:r>
      <w:r>
        <w:rPr>
          <w:rFonts w:hint="default" w:ascii="Times New Roman" w:hAnsi="Times New Roman" w:cs="Times New Roman"/>
          <w:color w:val="000000" w:themeColor="text1"/>
          <w:kern w:val="0"/>
          <w:highlight w:val="none"/>
          <w14:textFill>
            <w14:solidFill>
              <w14:schemeClr w14:val="tx1"/>
            </w14:solidFill>
          </w14:textFill>
        </w:rPr>
        <w:t>已建成企业聚集区</w:t>
      </w:r>
      <w:r>
        <w:rPr>
          <w:rFonts w:hint="default" w:ascii="Times New Roman" w:hAnsi="Times New Roman" w:cs="Times New Roman"/>
          <w:color w:val="000000" w:themeColor="text1"/>
          <w:kern w:val="0"/>
          <w:highlight w:val="none"/>
          <w:lang w:val="en-US" w:eastAsia="zh-CN"/>
          <w14:textFill>
            <w14:solidFill>
              <w14:schemeClr w14:val="tx1"/>
            </w14:solidFill>
          </w14:textFill>
        </w:rPr>
        <w:t>点位</w:t>
      </w:r>
      <w:r>
        <w:rPr>
          <w:rFonts w:hint="default" w:ascii="Times New Roman" w:hAnsi="Times New Roman" w:cs="Times New Roman"/>
          <w:color w:val="auto"/>
          <w:kern w:val="0"/>
          <w:sz w:val="24"/>
          <w:highlight w:val="none"/>
          <w:lang w:val="en-US" w:eastAsia="zh-CN"/>
        </w:rPr>
        <w:t>；</w:t>
      </w:r>
      <w:r>
        <w:rPr>
          <w:rFonts w:hint="eastAsia" w:cs="Times New Roman"/>
          <w:color w:val="auto"/>
          <w:kern w:val="0"/>
          <w:sz w:val="24"/>
          <w:highlight w:val="none"/>
          <w:lang w:val="en-US" w:eastAsia="zh-CN"/>
        </w:rPr>
        <w:t>若</w:t>
      </w:r>
      <w:r>
        <w:rPr>
          <w:rFonts w:hint="default" w:cs="Times New Roman"/>
          <w:color w:val="auto"/>
          <w:kern w:val="0"/>
          <w:sz w:val="24"/>
          <w:highlight w:val="none"/>
          <w:lang w:eastAsia="zh-CN"/>
        </w:rPr>
        <w:t>已建成企业聚集区</w:t>
      </w:r>
      <w:r>
        <w:rPr>
          <w:rFonts w:hint="default" w:ascii="Times New Roman" w:hAnsi="Times New Roman" w:cs="Times New Roman"/>
          <w:color w:val="auto"/>
          <w:kern w:val="0"/>
          <w:sz w:val="24"/>
          <w:highlight w:val="none"/>
          <w:lang w:val="en-US" w:eastAsia="zh-CN"/>
        </w:rPr>
        <w:t>边界</w:t>
      </w:r>
      <w:r>
        <w:rPr>
          <w:rFonts w:hint="eastAsia" w:cs="Times New Roman"/>
          <w:color w:val="auto"/>
          <w:kern w:val="0"/>
          <w:sz w:val="24"/>
          <w:highlight w:val="none"/>
          <w:lang w:val="en-US" w:eastAsia="zh-CN"/>
        </w:rPr>
        <w:t>附近涉及典型企业</w:t>
      </w:r>
      <w:r>
        <w:rPr>
          <w:rFonts w:hint="default" w:cs="Times New Roman"/>
          <w:color w:val="auto"/>
          <w:kern w:val="0"/>
          <w:sz w:val="24"/>
          <w:highlight w:val="none"/>
          <w:lang w:eastAsia="zh-CN"/>
        </w:rPr>
        <w:t>，</w:t>
      </w:r>
      <w:r>
        <w:rPr>
          <w:rFonts w:hint="eastAsia" w:cs="Times New Roman"/>
          <w:color w:val="auto"/>
          <w:kern w:val="0"/>
          <w:sz w:val="24"/>
          <w:highlight w:val="none"/>
          <w:lang w:val="en-US" w:eastAsia="zh-CN"/>
        </w:rPr>
        <w:t>需调整监测点位于典型企业周边。</w:t>
      </w:r>
    </w:p>
    <w:p>
      <w:pPr>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（3）每个点位均采集表层（0-0.5m）样品。</w:t>
      </w:r>
    </w:p>
    <w:p>
      <w:pPr>
        <w:pStyle w:val="5"/>
        <w:tabs>
          <w:tab w:val="left" w:pos="425"/>
        </w:tabs>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监测</w:t>
      </w:r>
      <w:r>
        <w:rPr>
          <w:rFonts w:hint="default" w:ascii="Times New Roman" w:hAnsi="Times New Roman" w:cs="Times New Roman"/>
          <w:color w:val="auto"/>
          <w:highlight w:val="none"/>
        </w:rPr>
        <w:t>项目</w:t>
      </w:r>
      <w:r>
        <w:rPr>
          <w:rFonts w:hint="default" w:cs="Times New Roman"/>
          <w:color w:val="auto"/>
          <w:highlight w:val="none"/>
        </w:rPr>
        <w:t xml:space="preserve"> </w:t>
      </w:r>
    </w:p>
    <w:p>
      <w:pPr>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测试项目主要包括基本项目和特征项目。监测项目的确定原则如下：</w:t>
      </w:r>
    </w:p>
    <w:p>
      <w:pPr>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（1）基本项目包括：《土壤环境质量建设用地土壤污染风险管控标准（试行）》（GB36600-2018）（以下简称“GB36600-2018”）表1基本项目45项、《土壤环境质量 农用地土壤污染风险管控标准（试行）》（GB15618-2018）（以下简称“GB15618-2018”）表1基本项目8项和pH；</w:t>
      </w:r>
    </w:p>
    <w:p>
      <w:pPr>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（2）根据园区产业定位，园区增测特征项目：钴、钼、锑、石油烃（C</w:t>
      </w:r>
      <w:r>
        <w:rPr>
          <w:rFonts w:hint="default" w:ascii="Times New Roman" w:hAnsi="Times New Roman" w:cs="Times New Roman"/>
          <w:color w:val="auto"/>
          <w:kern w:val="0"/>
          <w:sz w:val="24"/>
          <w:highlight w:val="none"/>
          <w:vertAlign w:val="subscript"/>
          <w:lang w:val="en-US" w:eastAsia="zh-CN"/>
        </w:rPr>
        <w:t>10</w:t>
      </w:r>
      <w:r>
        <w:rPr>
          <w:rFonts w:hint="default" w:ascii="Times New Roman" w:hAnsi="Times New Roman" w:cs="Times New Roman"/>
          <w:color w:val="auto"/>
          <w:kern w:val="0"/>
          <w:sz w:val="24"/>
          <w:highlight w:val="none"/>
          <w:lang w:val="en-US" w:eastAsia="zh-CN"/>
        </w:rPr>
        <w:t>-C</w:t>
      </w:r>
      <w:r>
        <w:rPr>
          <w:rFonts w:hint="default" w:ascii="Times New Roman" w:hAnsi="Times New Roman" w:cs="Times New Roman"/>
          <w:color w:val="auto"/>
          <w:kern w:val="0"/>
          <w:sz w:val="24"/>
          <w:highlight w:val="none"/>
          <w:vertAlign w:val="subscript"/>
          <w:lang w:val="en-US" w:eastAsia="zh-CN"/>
        </w:rPr>
        <w:t>40</w:t>
      </w:r>
      <w:r>
        <w:rPr>
          <w:rFonts w:hint="default" w:ascii="Times New Roman" w:hAnsi="Times New Roman" w:cs="Times New Roman"/>
          <w:color w:val="auto"/>
          <w:kern w:val="0"/>
          <w:sz w:val="24"/>
          <w:highlight w:val="none"/>
          <w:lang w:val="en-US" w:eastAsia="zh-CN"/>
        </w:rPr>
        <w:t>）、总氟化物；</w:t>
      </w:r>
    </w:p>
    <w:p>
      <w:pPr>
        <w:pStyle w:val="2"/>
        <w:keepNext w:val="0"/>
        <w:keepLines w:val="0"/>
        <w:pageBreakBefore w:val="0"/>
        <w:widowControl w:val="0"/>
        <w:kinsoku/>
        <w:wordWrap/>
        <w:overflowPunct/>
        <w:topLinePunct w:val="0"/>
        <w:autoSpaceDE/>
        <w:autoSpaceDN/>
        <w:bidi w:val="0"/>
        <w:adjustRightInd/>
        <w:snapToGrid/>
        <w:spacing w:after="0"/>
        <w:ind w:firstLine="476" w:firstLineChars="0"/>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（3）考虑到</w:t>
      </w:r>
      <w:r>
        <w:rPr>
          <w:rFonts w:hint="default" w:ascii="Times New Roman" w:hAnsi="Times New Roman" w:eastAsia="宋体" w:cs="Times New Roman"/>
          <w:i w:val="0"/>
          <w:color w:val="auto"/>
          <w:kern w:val="0"/>
          <w:sz w:val="24"/>
          <w:szCs w:val="24"/>
          <w:highlight w:val="none"/>
          <w:u w:val="none"/>
          <w:lang w:val="en-US" w:eastAsia="zh-CN" w:bidi="ar"/>
        </w:rPr>
        <w:t>湖北交投致远新材料科技有限公司</w:t>
      </w:r>
      <w:r>
        <w:rPr>
          <w:rFonts w:hint="default" w:ascii="Times New Roman" w:hAnsi="Times New Roman" w:cs="Times New Roman"/>
          <w:i w:val="0"/>
          <w:color w:val="auto"/>
          <w:kern w:val="0"/>
          <w:sz w:val="24"/>
          <w:szCs w:val="24"/>
          <w:highlight w:val="none"/>
          <w:u w:val="none"/>
          <w:lang w:val="en-US" w:eastAsia="zh-CN" w:bidi="ar"/>
        </w:rPr>
        <w:t>涉及</w:t>
      </w:r>
      <w:r>
        <w:rPr>
          <w:rFonts w:hint="default" w:ascii="Times New Roman" w:hAnsi="Times New Roman" w:cs="Times New Roman"/>
          <w:color w:val="auto"/>
          <w:sz w:val="24"/>
          <w:szCs w:val="24"/>
          <w:highlight w:val="none"/>
          <w:lang w:val="en-US" w:eastAsia="zh-CN"/>
        </w:rPr>
        <w:t>改性沥青、乳化沥青生产、沥青仓储（不含危险化学品）等，</w:t>
      </w:r>
      <w:r>
        <w:rPr>
          <w:rFonts w:hint="default" w:ascii="Times New Roman" w:hAnsi="Times New Roman" w:cs="Times New Roman"/>
          <w:color w:val="auto"/>
          <w:kern w:val="0"/>
          <w:sz w:val="24"/>
          <w:szCs w:val="24"/>
          <w:highlight w:val="none"/>
          <w:lang w:val="en-US" w:eastAsia="zh-CN"/>
        </w:rPr>
        <w:t>因此该企业周边增测特征污染物：二噁英、多氯联苯（总量）、苯酚、2-甲基苯酚、4-甲基苯酚、二硫化碳、1,2,4-三甲基苯、1,3,5-三甲基苯。</w:t>
      </w:r>
    </w:p>
    <w:p>
      <w:pPr>
        <w:spacing w:line="360" w:lineRule="auto"/>
        <w:ind w:firstLine="482"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b/>
          <w:bCs/>
          <w:color w:val="auto"/>
          <w:kern w:val="0"/>
          <w:sz w:val="24"/>
          <w:highlight w:val="none"/>
          <w:lang w:val="en-US" w:eastAsia="zh-CN"/>
        </w:rPr>
        <w:t>综上，污染物测试项目共61项，包括：基本项目48项、特征项目项13项。具体污染物项目如下：</w:t>
      </w:r>
    </w:p>
    <w:p>
      <w:pPr>
        <w:spacing w:line="360" w:lineRule="auto"/>
        <w:ind w:firstLine="482" w:firstLineChars="200"/>
        <w:rPr>
          <w:rFonts w:hint="default" w:ascii="Times New Roman" w:hAnsi="Times New Roman" w:cs="Times New Roman"/>
          <w:b/>
          <w:bCs/>
          <w:color w:val="auto"/>
          <w:kern w:val="0"/>
          <w:sz w:val="24"/>
          <w:highlight w:val="none"/>
          <w:lang w:val="en-US" w:eastAsia="zh-CN"/>
        </w:rPr>
      </w:pPr>
      <w:r>
        <w:rPr>
          <w:rFonts w:hint="default" w:ascii="Times New Roman" w:hAnsi="Times New Roman" w:cs="Times New Roman"/>
          <w:b/>
          <w:bCs/>
          <w:color w:val="auto"/>
          <w:kern w:val="0"/>
          <w:sz w:val="24"/>
          <w:highlight w:val="none"/>
          <w:lang w:val="en-US" w:eastAsia="zh-CN"/>
        </w:rPr>
        <w:t>（1）基本项目（48项）：</w:t>
      </w:r>
    </w:p>
    <w:p>
      <w:pPr>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①pH；</w:t>
      </w:r>
    </w:p>
    <w:p>
      <w:pPr>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②重金属（9项）：砷、镉、铬、铬（六价）、铜、锌、铅、汞、镍；</w:t>
      </w:r>
    </w:p>
    <w:p>
      <w:pPr>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③挥发性有机物（27项）：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w:t>
      </w:r>
    </w:p>
    <w:p>
      <w:pPr>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④半挥发性有机物（11项）：硝基苯、苯胺、2-氯酚、苯并[a]蒽、苯并[a]芘、苯并[b]荧蒽、苯并[k]荧蒽、䓛、二苯并[a,h]蒽、茚并[1,2,3-cd]芘、萘。</w:t>
      </w:r>
    </w:p>
    <w:p>
      <w:pPr>
        <w:spacing w:line="360" w:lineRule="auto"/>
        <w:ind w:firstLine="482" w:firstLineChars="200"/>
        <w:rPr>
          <w:rFonts w:hint="default" w:ascii="Times New Roman" w:hAnsi="Times New Roman" w:cs="Times New Roman"/>
          <w:b/>
          <w:bCs/>
          <w:color w:val="auto"/>
          <w:kern w:val="0"/>
          <w:sz w:val="24"/>
          <w:highlight w:val="none"/>
          <w:lang w:val="en-US" w:eastAsia="zh-CN"/>
        </w:rPr>
      </w:pPr>
      <w:r>
        <w:rPr>
          <w:rFonts w:hint="default" w:ascii="Times New Roman" w:hAnsi="Times New Roman" w:cs="Times New Roman"/>
          <w:b/>
          <w:bCs/>
          <w:color w:val="auto"/>
          <w:kern w:val="0"/>
          <w:sz w:val="24"/>
          <w:highlight w:val="none"/>
          <w:lang w:val="en-US" w:eastAsia="zh-CN"/>
        </w:rPr>
        <w:t>（2）特征项目（13项）：</w:t>
      </w:r>
    </w:p>
    <w:p>
      <w:pPr>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①园区增测项目（5项）：钴、钼、锑、石油烃（C</w:t>
      </w:r>
      <w:r>
        <w:rPr>
          <w:rFonts w:hint="default" w:ascii="Times New Roman" w:hAnsi="Times New Roman" w:cs="Times New Roman"/>
          <w:color w:val="auto"/>
          <w:kern w:val="0"/>
          <w:sz w:val="24"/>
          <w:highlight w:val="none"/>
          <w:vertAlign w:val="subscript"/>
          <w:lang w:val="en-US" w:eastAsia="zh-CN"/>
        </w:rPr>
        <w:t>10</w:t>
      </w:r>
      <w:r>
        <w:rPr>
          <w:rFonts w:hint="default" w:ascii="Times New Roman" w:hAnsi="Times New Roman" w:cs="Times New Roman"/>
          <w:color w:val="auto"/>
          <w:kern w:val="0"/>
          <w:sz w:val="24"/>
          <w:highlight w:val="none"/>
          <w:lang w:val="en-US" w:eastAsia="zh-CN"/>
        </w:rPr>
        <w:t>-C</w:t>
      </w:r>
      <w:r>
        <w:rPr>
          <w:rFonts w:hint="default" w:ascii="Times New Roman" w:hAnsi="Times New Roman" w:cs="Times New Roman"/>
          <w:color w:val="auto"/>
          <w:kern w:val="0"/>
          <w:sz w:val="24"/>
          <w:highlight w:val="none"/>
          <w:vertAlign w:val="subscript"/>
          <w:lang w:val="en-US" w:eastAsia="zh-CN"/>
        </w:rPr>
        <w:t>40</w:t>
      </w:r>
      <w:r>
        <w:rPr>
          <w:rFonts w:hint="default" w:ascii="Times New Roman" w:hAnsi="Times New Roman" w:cs="Times New Roman"/>
          <w:color w:val="auto"/>
          <w:kern w:val="0"/>
          <w:sz w:val="24"/>
          <w:highlight w:val="none"/>
          <w:lang w:val="en-US" w:eastAsia="zh-CN"/>
        </w:rPr>
        <w:t>）、总氟化物；</w:t>
      </w:r>
    </w:p>
    <w:p>
      <w:pPr>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②</w:t>
      </w:r>
      <w:r>
        <w:rPr>
          <w:rFonts w:hint="eastAsia" w:ascii="Times New Roman" w:hAnsi="Times New Roman" w:cs="Times New Roman"/>
          <w:color w:val="auto"/>
          <w:kern w:val="0"/>
          <w:sz w:val="24"/>
          <w:highlight w:val="none"/>
          <w:lang w:val="en-US" w:eastAsia="zh-CN"/>
        </w:rPr>
        <w:t>其它增测项目</w:t>
      </w:r>
      <w:r>
        <w:rPr>
          <w:rFonts w:hint="default" w:ascii="Times New Roman" w:hAnsi="Times New Roman" w:cs="Times New Roman"/>
          <w:color w:val="auto"/>
          <w:kern w:val="0"/>
          <w:sz w:val="24"/>
          <w:highlight w:val="none"/>
          <w:lang w:val="en-US" w:eastAsia="zh-CN"/>
        </w:rPr>
        <w:t>（8项）：二噁英、多氯联苯（总量）、苯酚、2-甲基苯酚、4-甲基苯酚、二硫化碳、1,2,4-三甲基苯、1,3,5-三甲基苯。</w:t>
      </w:r>
    </w:p>
    <w:p>
      <w:pPr>
        <w:pStyle w:val="2"/>
        <w:ind w:firstLine="42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kern w:val="0"/>
          <w:sz w:val="24"/>
          <w:highlight w:val="none"/>
          <w:lang w:val="en-US" w:eastAsia="zh-CN"/>
        </w:rPr>
        <w:t>土壤监测具体布点方案见表3-1-1及附图6</w:t>
      </w:r>
    </w:p>
    <w:p>
      <w:pPr>
        <w:pStyle w:val="5"/>
        <w:tabs>
          <w:tab w:val="left" w:pos="425"/>
        </w:tabs>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布点方案</w:t>
      </w:r>
    </w:p>
    <w:p>
      <w:pPr>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园区内拟布设16个点位，采集16个土壤表层（0-0.5m）样品（不含</w:t>
      </w:r>
      <w:r>
        <w:rPr>
          <w:rFonts w:hint="eastAsia" w:cs="Times New Roman"/>
          <w:color w:val="auto"/>
          <w:kern w:val="0"/>
          <w:sz w:val="24"/>
          <w:highlight w:val="none"/>
          <w:lang w:val="en-US" w:eastAsia="zh-CN"/>
        </w:rPr>
        <w:t>质控样品</w:t>
      </w:r>
      <w:r>
        <w:rPr>
          <w:rFonts w:hint="default" w:ascii="Times New Roman" w:hAnsi="Times New Roman" w:cs="Times New Roman"/>
          <w:color w:val="auto"/>
          <w:kern w:val="0"/>
          <w:sz w:val="24"/>
          <w:highlight w:val="none"/>
          <w:lang w:val="en-US" w:eastAsia="zh-CN"/>
        </w:rPr>
        <w:t>），监测共61项因子，土壤监测具体布点方案见表3-1-1及附图6。</w:t>
      </w:r>
    </w:p>
    <w:p>
      <w:pPr>
        <w:pStyle w:val="2"/>
        <w:ind w:firstLine="420" w:firstLineChars="0"/>
        <w:rPr>
          <w:rFonts w:hint="default" w:ascii="Times New Roman" w:hAnsi="Times New Roman" w:cs="Times New Roman"/>
          <w:color w:val="auto"/>
          <w:highlight w:val="none"/>
          <w:lang w:val="en-US" w:eastAsia="zh-CN"/>
        </w:rPr>
        <w:sectPr>
          <w:headerReference r:id="rId10" w:type="default"/>
          <w:footerReference r:id="rId11" w:type="default"/>
          <w:pgSz w:w="11905" w:h="16838"/>
          <w:pgMar w:top="1134" w:right="1134" w:bottom="1134" w:left="1134" w:header="850" w:footer="992" w:gutter="0"/>
          <w:pgBorders>
            <w:top w:val="none" w:sz="0" w:space="0"/>
            <w:left w:val="none" w:sz="0" w:space="0"/>
            <w:bottom w:val="none" w:sz="0" w:space="0"/>
            <w:right w:val="none" w:sz="0" w:space="0"/>
          </w:pgBorders>
          <w:pgNumType w:fmt="numberInDash"/>
          <w:cols w:space="0" w:num="1"/>
          <w:rtlGutter w:val="0"/>
          <w:docGrid w:type="lines" w:linePitch="332" w:charSpace="0"/>
        </w:sectPr>
      </w:pPr>
    </w:p>
    <w:p>
      <w:pPr>
        <w:keepNext w:val="0"/>
        <w:keepLines w:val="0"/>
        <w:pageBreakBefore w:val="0"/>
        <w:widowControl w:val="0"/>
        <w:kinsoku/>
        <w:wordWrap/>
        <w:overflowPunct/>
        <w:topLinePunct w:val="0"/>
        <w:autoSpaceDE/>
        <w:autoSpaceDN/>
        <w:bidi w:val="0"/>
        <w:adjustRightInd/>
        <w:snapToGrid/>
        <w:spacing w:before="156" w:beforeLines="50" w:line="240" w:lineRule="auto"/>
        <w:jc w:val="center"/>
        <w:textAlignment w:val="auto"/>
        <w:rPr>
          <w:rFonts w:hint="default" w:ascii="Times New Roman" w:hAnsi="Times New Roman" w:cs="Times New Roman"/>
          <w:color w:val="auto"/>
          <w:highlight w:val="none"/>
          <w:lang w:val="en-US" w:eastAsia="zh-CN"/>
        </w:rPr>
      </w:pPr>
      <w:r>
        <w:rPr>
          <w:rFonts w:hint="default" w:ascii="Times New Roman" w:hAnsi="Times New Roman" w:eastAsia="黑体" w:cs="Times New Roman"/>
          <w:b/>
          <w:color w:val="auto"/>
          <w:sz w:val="24"/>
          <w:highlight w:val="none"/>
        </w:rPr>
        <w:t xml:space="preserve">表3-1-1  </w:t>
      </w:r>
      <w:r>
        <w:rPr>
          <w:rFonts w:hint="default" w:ascii="Times New Roman" w:hAnsi="Times New Roman" w:eastAsia="黑体" w:cs="Times New Roman"/>
          <w:b/>
          <w:color w:val="auto"/>
          <w:sz w:val="24"/>
          <w:highlight w:val="none"/>
          <w:lang w:eastAsia="zh-CN"/>
        </w:rPr>
        <w:t>土壤</w:t>
      </w:r>
      <w:r>
        <w:rPr>
          <w:rFonts w:hint="default" w:ascii="Times New Roman" w:hAnsi="Times New Roman" w:eastAsia="黑体" w:cs="Times New Roman"/>
          <w:b/>
          <w:color w:val="auto"/>
          <w:sz w:val="24"/>
          <w:highlight w:val="none"/>
        </w:rPr>
        <w:t>布点方案一览表</w:t>
      </w:r>
    </w:p>
    <w:tbl>
      <w:tblPr>
        <w:tblStyle w:val="21"/>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452"/>
        <w:gridCol w:w="1500"/>
        <w:gridCol w:w="1585"/>
        <w:gridCol w:w="3472"/>
        <w:gridCol w:w="1454"/>
        <w:gridCol w:w="1586"/>
        <w:gridCol w:w="454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57" w:hRule="atLeast"/>
          <w:jc w:val="center"/>
        </w:trPr>
        <w:tc>
          <w:tcPr>
            <w:tcW w:w="243" w:type="pct"/>
            <w:vMerge w:val="restart"/>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序号</w:t>
            </w:r>
          </w:p>
        </w:tc>
        <w:tc>
          <w:tcPr>
            <w:tcW w:w="284" w:type="pct"/>
            <w:vMerge w:val="restart"/>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点位类型</w:t>
            </w:r>
          </w:p>
        </w:tc>
        <w:tc>
          <w:tcPr>
            <w:tcW w:w="715" w:type="pct"/>
            <w:vMerge w:val="restart"/>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检测点位</w:t>
            </w:r>
          </w:p>
        </w:tc>
        <w:tc>
          <w:tcPr>
            <w:tcW w:w="1319" w:type="pct"/>
            <w:vMerge w:val="restart"/>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点位位置</w:t>
            </w:r>
          </w:p>
        </w:tc>
        <w:tc>
          <w:tcPr>
            <w:tcW w:w="1301" w:type="pct"/>
            <w:gridSpan w:val="2"/>
            <w:tcBorders>
              <w:bottom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lang w:eastAsia="zh-CN"/>
              </w:rPr>
            </w:pPr>
            <w:r>
              <w:rPr>
                <w:rFonts w:hint="default" w:ascii="Times New Roman" w:hAnsi="Times New Roman" w:eastAsia="宋体" w:cs="Times New Roman"/>
                <w:b/>
                <w:i w:val="0"/>
                <w:color w:val="auto"/>
                <w:sz w:val="21"/>
                <w:szCs w:val="21"/>
                <w:highlight w:val="none"/>
                <w:u w:val="none"/>
                <w:lang w:eastAsia="zh-CN"/>
              </w:rPr>
              <w:t>坐标</w:t>
            </w:r>
            <w:r>
              <w:rPr>
                <w:rFonts w:hint="default" w:ascii="Times New Roman" w:hAnsi="Times New Roman" w:eastAsia="宋体" w:cs="Times New Roman"/>
                <w:b/>
                <w:i w:val="0"/>
                <w:color w:val="auto"/>
                <w:sz w:val="21"/>
                <w:szCs w:val="21"/>
                <w:highlight w:val="none"/>
                <w:u w:val="none"/>
                <w:vertAlign w:val="superscript"/>
                <w:lang w:eastAsia="zh-CN"/>
              </w:rPr>
              <w:t>①</w:t>
            </w:r>
          </w:p>
        </w:tc>
        <w:tc>
          <w:tcPr>
            <w:tcW w:w="1135" w:type="pct"/>
            <w:vMerge w:val="restart"/>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测试项目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57" w:hRule="atLeast"/>
          <w:jc w:val="center"/>
        </w:trPr>
        <w:tc>
          <w:tcPr>
            <w:tcW w:w="243" w:type="pct"/>
            <w:vMerge w:val="continue"/>
            <w:tcBorders>
              <w:bottom w:val="single" w:color="000000"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highlight w:val="none"/>
              </w:rPr>
            </w:pPr>
          </w:p>
        </w:tc>
        <w:tc>
          <w:tcPr>
            <w:tcW w:w="284" w:type="pct"/>
            <w:vMerge w:val="continue"/>
            <w:tcBorders>
              <w:bottom w:val="single" w:color="000000"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highlight w:val="none"/>
              </w:rPr>
            </w:pPr>
          </w:p>
        </w:tc>
        <w:tc>
          <w:tcPr>
            <w:tcW w:w="715" w:type="pct"/>
            <w:vMerge w:val="continue"/>
            <w:tcBorders>
              <w:bottom w:val="single" w:color="000000"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highlight w:val="none"/>
              </w:rPr>
            </w:pPr>
          </w:p>
        </w:tc>
        <w:tc>
          <w:tcPr>
            <w:tcW w:w="1319" w:type="pct"/>
            <w:vMerge w:val="continue"/>
            <w:tcBorders>
              <w:bottom w:val="single" w:color="000000"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highlight w:val="none"/>
              </w:rPr>
            </w:pPr>
          </w:p>
        </w:tc>
        <w:tc>
          <w:tcPr>
            <w:tcW w:w="628" w:type="pct"/>
            <w:tcBorders>
              <w:top w:val="single" w:color="000000" w:sz="4" w:space="0"/>
              <w:bottom w:val="single" w:color="000000"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kern w:val="2"/>
                <w:sz w:val="21"/>
                <w:szCs w:val="21"/>
                <w:highlight w:val="none"/>
                <w:u w:val="none"/>
                <w:lang w:val="en-US" w:eastAsia="zh-CN" w:bidi="ar-SA"/>
              </w:rPr>
            </w:pPr>
            <w:r>
              <w:rPr>
                <w:rFonts w:hint="default" w:ascii="Times New Roman" w:hAnsi="Times New Roman" w:eastAsia="宋体" w:cs="Times New Roman"/>
                <w:b/>
                <w:i w:val="0"/>
                <w:color w:val="auto"/>
                <w:kern w:val="0"/>
                <w:sz w:val="21"/>
                <w:szCs w:val="21"/>
                <w:highlight w:val="none"/>
                <w:u w:val="none"/>
                <w:lang w:val="en-US" w:eastAsia="zh-CN" w:bidi="ar"/>
              </w:rPr>
              <w:t>经度（°）</w:t>
            </w:r>
          </w:p>
        </w:tc>
        <w:tc>
          <w:tcPr>
            <w:tcW w:w="673" w:type="pct"/>
            <w:tcBorders>
              <w:top w:val="single" w:color="000000" w:sz="4" w:space="0"/>
              <w:bottom w:val="single" w:color="000000"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kern w:val="2"/>
                <w:sz w:val="21"/>
                <w:szCs w:val="21"/>
                <w:highlight w:val="none"/>
                <w:u w:val="none"/>
                <w:lang w:val="en-US" w:eastAsia="zh-CN" w:bidi="ar-SA"/>
              </w:rPr>
            </w:pPr>
            <w:r>
              <w:rPr>
                <w:rFonts w:hint="default" w:ascii="Times New Roman" w:hAnsi="Times New Roman" w:eastAsia="宋体" w:cs="Times New Roman"/>
                <w:b/>
                <w:i w:val="0"/>
                <w:color w:val="auto"/>
                <w:kern w:val="0"/>
                <w:sz w:val="21"/>
                <w:szCs w:val="21"/>
                <w:highlight w:val="none"/>
                <w:u w:val="none"/>
                <w:lang w:val="en-US" w:eastAsia="zh-CN" w:bidi="ar"/>
              </w:rPr>
              <w:t>纬度（°）</w:t>
            </w:r>
          </w:p>
        </w:tc>
        <w:tc>
          <w:tcPr>
            <w:tcW w:w="1135" w:type="pct"/>
            <w:vMerge w:val="continue"/>
            <w:tcBorders>
              <w:bottom w:val="single" w:color="000000"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kern w:val="0"/>
                <w:sz w:val="21"/>
                <w:szCs w:val="21"/>
                <w:highlight w:val="none"/>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243" w:type="pct"/>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284" w:type="pct"/>
            <w:vMerge w:val="restart"/>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工业园周边点位</w:t>
            </w:r>
          </w:p>
        </w:tc>
        <w:tc>
          <w:tcPr>
            <w:tcW w:w="715" w:type="pct"/>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SJG-1-75</w:t>
            </w:r>
          </w:p>
        </w:tc>
        <w:tc>
          <w:tcPr>
            <w:tcW w:w="1319" w:type="pct"/>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园区边界西侧下风向75m</w:t>
            </w:r>
          </w:p>
        </w:tc>
        <w:tc>
          <w:tcPr>
            <w:tcW w:w="628" w:type="pct"/>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114.753141</w:t>
            </w:r>
          </w:p>
        </w:tc>
        <w:tc>
          <w:tcPr>
            <w:tcW w:w="673" w:type="pct"/>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30.520153</w:t>
            </w:r>
          </w:p>
        </w:tc>
        <w:tc>
          <w:tcPr>
            <w:tcW w:w="1135" w:type="pct"/>
            <w:vMerge w:val="restart"/>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①基本项目（48项）</w:t>
            </w:r>
          </w:p>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②园区增测项目（5项）</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8" w:hRule="atLeast"/>
          <w:jc w:val="center"/>
        </w:trPr>
        <w:tc>
          <w:tcPr>
            <w:tcW w:w="24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w:t>
            </w:r>
          </w:p>
        </w:tc>
        <w:tc>
          <w:tcPr>
            <w:tcW w:w="284"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71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SJG-1-200</w:t>
            </w:r>
          </w:p>
        </w:tc>
        <w:tc>
          <w:tcPr>
            <w:tcW w:w="1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园区边界西侧下风向200m</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114.751918</w:t>
            </w:r>
          </w:p>
        </w:tc>
        <w:tc>
          <w:tcPr>
            <w:tcW w:w="67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30.520217</w:t>
            </w:r>
          </w:p>
        </w:tc>
        <w:tc>
          <w:tcPr>
            <w:tcW w:w="1135"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8" w:hRule="atLeast"/>
          <w:jc w:val="center"/>
        </w:trPr>
        <w:tc>
          <w:tcPr>
            <w:tcW w:w="24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w:t>
            </w:r>
          </w:p>
        </w:tc>
        <w:tc>
          <w:tcPr>
            <w:tcW w:w="284"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71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SJG-2-75</w:t>
            </w:r>
          </w:p>
        </w:tc>
        <w:tc>
          <w:tcPr>
            <w:tcW w:w="1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园区边界南侧下风向75m</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114.773698</w:t>
            </w:r>
          </w:p>
        </w:tc>
        <w:tc>
          <w:tcPr>
            <w:tcW w:w="67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30.406757</w:t>
            </w:r>
          </w:p>
        </w:tc>
        <w:tc>
          <w:tcPr>
            <w:tcW w:w="1135"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8" w:hRule="atLeast"/>
          <w:jc w:val="center"/>
        </w:trPr>
        <w:tc>
          <w:tcPr>
            <w:tcW w:w="24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w:t>
            </w:r>
          </w:p>
        </w:tc>
        <w:tc>
          <w:tcPr>
            <w:tcW w:w="284"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71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SJG-2-200</w:t>
            </w:r>
          </w:p>
        </w:tc>
        <w:tc>
          <w:tcPr>
            <w:tcW w:w="1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园区边界南侧下风向200m</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114.773945</w:t>
            </w:r>
          </w:p>
        </w:tc>
        <w:tc>
          <w:tcPr>
            <w:tcW w:w="67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30.405656</w:t>
            </w:r>
          </w:p>
        </w:tc>
        <w:tc>
          <w:tcPr>
            <w:tcW w:w="1135"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8" w:hRule="atLeast"/>
          <w:jc w:val="center"/>
        </w:trPr>
        <w:tc>
          <w:tcPr>
            <w:tcW w:w="24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w:t>
            </w:r>
          </w:p>
        </w:tc>
        <w:tc>
          <w:tcPr>
            <w:tcW w:w="284"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71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SJG-2-400</w:t>
            </w:r>
          </w:p>
        </w:tc>
        <w:tc>
          <w:tcPr>
            <w:tcW w:w="1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园区边界南侧下风向400m</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114.774309</w:t>
            </w:r>
          </w:p>
        </w:tc>
        <w:tc>
          <w:tcPr>
            <w:tcW w:w="67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30.403870</w:t>
            </w:r>
          </w:p>
        </w:tc>
        <w:tc>
          <w:tcPr>
            <w:tcW w:w="1135"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8" w:hRule="atLeast"/>
          <w:jc w:val="center"/>
        </w:trPr>
        <w:tc>
          <w:tcPr>
            <w:tcW w:w="24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w:t>
            </w:r>
          </w:p>
        </w:tc>
        <w:tc>
          <w:tcPr>
            <w:tcW w:w="284"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71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SJG-3</w:t>
            </w:r>
          </w:p>
        </w:tc>
        <w:tc>
          <w:tcPr>
            <w:tcW w:w="1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园区边界东侧上风向</w:t>
            </w:r>
            <w:r>
              <w:rPr>
                <w:rStyle w:val="69"/>
                <w:rFonts w:hint="default" w:ascii="Times New Roman" w:hAnsi="Times New Roman" w:cs="Times New Roman"/>
                <w:color w:val="auto"/>
                <w:sz w:val="21"/>
                <w:szCs w:val="21"/>
                <w:highlight w:val="none"/>
                <w:lang w:val="en-US" w:eastAsia="zh-CN" w:bidi="ar"/>
              </w:rPr>
              <w:t>800</w:t>
            </w:r>
            <w:r>
              <w:rPr>
                <w:rFonts w:hint="default" w:ascii="Times New Roman" w:hAnsi="Times New Roman" w:eastAsia="宋体" w:cs="Times New Roman"/>
                <w:i w:val="0"/>
                <w:color w:val="auto"/>
                <w:kern w:val="0"/>
                <w:sz w:val="21"/>
                <w:szCs w:val="21"/>
                <w:highlight w:val="none"/>
                <w:u w:val="none"/>
                <w:lang w:val="en-US" w:eastAsia="zh-CN" w:bidi="ar"/>
              </w:rPr>
              <w:t>m</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114.829239</w:t>
            </w:r>
          </w:p>
        </w:tc>
        <w:tc>
          <w:tcPr>
            <w:tcW w:w="67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30.524379</w:t>
            </w:r>
          </w:p>
        </w:tc>
        <w:tc>
          <w:tcPr>
            <w:tcW w:w="1135"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8" w:hRule="atLeast"/>
          <w:jc w:val="center"/>
        </w:trPr>
        <w:tc>
          <w:tcPr>
            <w:tcW w:w="24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w:t>
            </w:r>
          </w:p>
        </w:tc>
        <w:tc>
          <w:tcPr>
            <w:tcW w:w="284"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71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SJG-4</w:t>
            </w:r>
          </w:p>
        </w:tc>
        <w:tc>
          <w:tcPr>
            <w:tcW w:w="1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园区边界北侧上风向</w:t>
            </w:r>
            <w:r>
              <w:rPr>
                <w:rStyle w:val="69"/>
                <w:rFonts w:hint="default" w:ascii="Times New Roman" w:hAnsi="Times New Roman" w:cs="Times New Roman"/>
                <w:color w:val="auto"/>
                <w:sz w:val="21"/>
                <w:szCs w:val="21"/>
                <w:highlight w:val="none"/>
                <w:lang w:val="en-US" w:eastAsia="zh-CN" w:bidi="ar"/>
              </w:rPr>
              <w:t>750</w:t>
            </w:r>
            <w:r>
              <w:rPr>
                <w:rFonts w:hint="default" w:ascii="Times New Roman" w:hAnsi="Times New Roman" w:eastAsia="宋体" w:cs="Times New Roman"/>
                <w:i w:val="0"/>
                <w:color w:val="auto"/>
                <w:kern w:val="0"/>
                <w:sz w:val="21"/>
                <w:szCs w:val="21"/>
                <w:highlight w:val="none"/>
                <w:u w:val="none"/>
                <w:lang w:val="en-US" w:eastAsia="zh-CN" w:bidi="ar"/>
              </w:rPr>
              <w:t>m</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114.770114</w:t>
            </w:r>
          </w:p>
        </w:tc>
        <w:tc>
          <w:tcPr>
            <w:tcW w:w="67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30.605912</w:t>
            </w:r>
          </w:p>
        </w:tc>
        <w:tc>
          <w:tcPr>
            <w:tcW w:w="1135"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8" w:hRule="atLeast"/>
          <w:jc w:val="center"/>
        </w:trPr>
        <w:tc>
          <w:tcPr>
            <w:tcW w:w="24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8</w:t>
            </w:r>
          </w:p>
        </w:tc>
        <w:tc>
          <w:tcPr>
            <w:tcW w:w="284"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企业聚集区周边</w:t>
            </w:r>
          </w:p>
        </w:tc>
        <w:tc>
          <w:tcPr>
            <w:tcW w:w="71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SJG-JJ-1</w:t>
            </w:r>
          </w:p>
        </w:tc>
        <w:tc>
          <w:tcPr>
            <w:tcW w:w="1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企业聚集区北侧</w:t>
            </w:r>
            <w:r>
              <w:rPr>
                <w:rFonts w:hint="eastAsia" w:cs="Times New Roman"/>
                <w:i w:val="0"/>
                <w:color w:val="auto"/>
                <w:kern w:val="0"/>
                <w:sz w:val="21"/>
                <w:szCs w:val="21"/>
                <w:highlight w:val="none"/>
                <w:u w:val="none"/>
                <w:lang w:val="en-US" w:eastAsia="zh-CN" w:bidi="ar"/>
              </w:rPr>
              <w:t xml:space="preserve"> </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114.801465</w:t>
            </w:r>
          </w:p>
        </w:tc>
        <w:tc>
          <w:tcPr>
            <w:tcW w:w="67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30.535717</w:t>
            </w:r>
          </w:p>
        </w:tc>
        <w:tc>
          <w:tcPr>
            <w:tcW w:w="1135"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8" w:hRule="atLeast"/>
          <w:jc w:val="center"/>
        </w:trPr>
        <w:tc>
          <w:tcPr>
            <w:tcW w:w="24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w:t>
            </w:r>
          </w:p>
        </w:tc>
        <w:tc>
          <w:tcPr>
            <w:tcW w:w="284"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71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SJG-JJ-2</w:t>
            </w:r>
          </w:p>
        </w:tc>
        <w:tc>
          <w:tcPr>
            <w:tcW w:w="1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企业聚集区北侧</w:t>
            </w:r>
            <w:r>
              <w:rPr>
                <w:rFonts w:hint="eastAsia" w:cs="Times New Roman"/>
                <w:i w:val="0"/>
                <w:color w:val="auto"/>
                <w:kern w:val="0"/>
                <w:sz w:val="21"/>
                <w:szCs w:val="21"/>
                <w:highlight w:val="none"/>
                <w:u w:val="none"/>
                <w:vertAlign w:val="superscript"/>
                <w:lang w:val="en-US" w:eastAsia="zh-CN" w:bidi="ar"/>
              </w:rPr>
              <w:t>②</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114.766308</w:t>
            </w:r>
          </w:p>
        </w:tc>
        <w:tc>
          <w:tcPr>
            <w:tcW w:w="67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30.535210</w:t>
            </w:r>
          </w:p>
        </w:tc>
        <w:tc>
          <w:tcPr>
            <w:tcW w:w="1135"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8" w:hRule="atLeast"/>
          <w:jc w:val="center"/>
        </w:trPr>
        <w:tc>
          <w:tcPr>
            <w:tcW w:w="24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284"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71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SJG-JJ-3</w:t>
            </w:r>
          </w:p>
        </w:tc>
        <w:tc>
          <w:tcPr>
            <w:tcW w:w="1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企业聚集区南侧</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114.800276</w:t>
            </w:r>
          </w:p>
        </w:tc>
        <w:tc>
          <w:tcPr>
            <w:tcW w:w="67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30.530474</w:t>
            </w:r>
          </w:p>
        </w:tc>
        <w:tc>
          <w:tcPr>
            <w:tcW w:w="1135"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8" w:hRule="atLeast"/>
          <w:jc w:val="center"/>
        </w:trPr>
        <w:tc>
          <w:tcPr>
            <w:tcW w:w="24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w:t>
            </w:r>
          </w:p>
        </w:tc>
        <w:tc>
          <w:tcPr>
            <w:tcW w:w="284"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71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SJG-JJ-4</w:t>
            </w:r>
          </w:p>
        </w:tc>
        <w:tc>
          <w:tcPr>
            <w:tcW w:w="1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企业聚集区西侧</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114.764239</w:t>
            </w:r>
          </w:p>
        </w:tc>
        <w:tc>
          <w:tcPr>
            <w:tcW w:w="67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30.525133</w:t>
            </w:r>
          </w:p>
        </w:tc>
        <w:tc>
          <w:tcPr>
            <w:tcW w:w="1135"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8" w:hRule="atLeast"/>
          <w:jc w:val="center"/>
        </w:trPr>
        <w:tc>
          <w:tcPr>
            <w:tcW w:w="24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w:t>
            </w:r>
          </w:p>
        </w:tc>
        <w:tc>
          <w:tcPr>
            <w:tcW w:w="284"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71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SJG-JJ-5</w:t>
            </w:r>
          </w:p>
        </w:tc>
        <w:tc>
          <w:tcPr>
            <w:tcW w:w="1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企业聚集区西侧</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114.819912</w:t>
            </w:r>
          </w:p>
        </w:tc>
        <w:tc>
          <w:tcPr>
            <w:tcW w:w="67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30.512236</w:t>
            </w:r>
          </w:p>
        </w:tc>
        <w:tc>
          <w:tcPr>
            <w:tcW w:w="1135"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24" w:hRule="atLeast"/>
          <w:jc w:val="center"/>
        </w:trPr>
        <w:tc>
          <w:tcPr>
            <w:tcW w:w="24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13</w:t>
            </w:r>
          </w:p>
        </w:tc>
        <w:tc>
          <w:tcPr>
            <w:tcW w:w="284"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71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SJG-JJ-6</w:t>
            </w:r>
          </w:p>
        </w:tc>
        <w:tc>
          <w:tcPr>
            <w:tcW w:w="1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企业聚集区南侧</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114.818145</w:t>
            </w:r>
          </w:p>
        </w:tc>
        <w:tc>
          <w:tcPr>
            <w:tcW w:w="67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30.480023</w:t>
            </w:r>
          </w:p>
        </w:tc>
        <w:tc>
          <w:tcPr>
            <w:tcW w:w="11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①基本项目（48项）</w:t>
            </w:r>
          </w:p>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②园区增测项目（5项）③</w:t>
            </w:r>
            <w:r>
              <w:rPr>
                <w:rFonts w:hint="eastAsia" w:ascii="Times New Roman" w:hAnsi="Times New Roman" w:cs="Times New Roman"/>
                <w:i w:val="0"/>
                <w:color w:val="auto"/>
                <w:kern w:val="0"/>
                <w:sz w:val="21"/>
                <w:szCs w:val="21"/>
                <w:highlight w:val="none"/>
                <w:u w:val="none"/>
                <w:lang w:val="en-US" w:eastAsia="zh-CN" w:bidi="ar"/>
              </w:rPr>
              <w:t>其它增测项目</w:t>
            </w:r>
            <w:r>
              <w:rPr>
                <w:rFonts w:hint="default" w:ascii="Times New Roman" w:hAnsi="Times New Roman" w:eastAsia="宋体" w:cs="Times New Roman"/>
                <w:i w:val="0"/>
                <w:color w:val="auto"/>
                <w:kern w:val="0"/>
                <w:sz w:val="21"/>
                <w:szCs w:val="21"/>
                <w:highlight w:val="none"/>
                <w:u w:val="none"/>
                <w:lang w:val="en-US" w:eastAsia="zh-CN" w:bidi="ar"/>
              </w:rPr>
              <w:t>（8项）</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8" w:hRule="atLeast"/>
          <w:jc w:val="center"/>
        </w:trPr>
        <w:tc>
          <w:tcPr>
            <w:tcW w:w="24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14</w:t>
            </w:r>
          </w:p>
        </w:tc>
        <w:tc>
          <w:tcPr>
            <w:tcW w:w="284"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71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SJG-JJ-7</w:t>
            </w:r>
          </w:p>
        </w:tc>
        <w:tc>
          <w:tcPr>
            <w:tcW w:w="1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企业聚集区北侧</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114.751256</w:t>
            </w:r>
          </w:p>
        </w:tc>
        <w:tc>
          <w:tcPr>
            <w:tcW w:w="67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30.474688</w:t>
            </w:r>
          </w:p>
        </w:tc>
        <w:tc>
          <w:tcPr>
            <w:tcW w:w="1135"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①基本项目（48项）</w:t>
            </w:r>
          </w:p>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②园区增测项目（5项）</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8" w:hRule="atLeast"/>
          <w:jc w:val="center"/>
        </w:trPr>
        <w:tc>
          <w:tcPr>
            <w:tcW w:w="24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w:t>
            </w:r>
          </w:p>
        </w:tc>
        <w:tc>
          <w:tcPr>
            <w:tcW w:w="284"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71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SJG-JJ-8</w:t>
            </w:r>
          </w:p>
        </w:tc>
        <w:tc>
          <w:tcPr>
            <w:tcW w:w="1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企业聚集区北侧</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114.778984</w:t>
            </w:r>
          </w:p>
        </w:tc>
        <w:tc>
          <w:tcPr>
            <w:tcW w:w="67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30.439706</w:t>
            </w:r>
          </w:p>
        </w:tc>
        <w:tc>
          <w:tcPr>
            <w:tcW w:w="1135"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8" w:hRule="atLeast"/>
          <w:jc w:val="center"/>
        </w:trPr>
        <w:tc>
          <w:tcPr>
            <w:tcW w:w="24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16</w:t>
            </w:r>
          </w:p>
        </w:tc>
        <w:tc>
          <w:tcPr>
            <w:tcW w:w="284"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71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SJG-JJ-9</w:t>
            </w:r>
          </w:p>
        </w:tc>
        <w:tc>
          <w:tcPr>
            <w:tcW w:w="1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企业聚集区南侧</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114.823937</w:t>
            </w:r>
          </w:p>
        </w:tc>
        <w:tc>
          <w:tcPr>
            <w:tcW w:w="67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30.504361</w:t>
            </w:r>
          </w:p>
        </w:tc>
        <w:tc>
          <w:tcPr>
            <w:tcW w:w="1135"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bl>
    <w:p>
      <w:pPr>
        <w:bidi w:val="0"/>
        <w:spacing w:line="240" w:lineRule="auto"/>
        <w:rPr>
          <w:rFonts w:hint="eastAsia" w:cs="Times New Roman"/>
          <w:b/>
          <w:bCs/>
          <w:color w:val="auto"/>
          <w:sz w:val="18"/>
          <w:szCs w:val="18"/>
          <w:highlight w:val="none"/>
          <w:lang w:eastAsia="zh-CN"/>
        </w:rPr>
      </w:pPr>
      <w:r>
        <w:rPr>
          <w:rFonts w:hint="default" w:ascii="Times New Roman" w:hAnsi="Times New Roman" w:cs="Times New Roman"/>
          <w:b/>
          <w:bCs/>
          <w:color w:val="auto"/>
          <w:sz w:val="18"/>
          <w:szCs w:val="18"/>
          <w:highlight w:val="none"/>
          <w:lang w:eastAsia="zh-CN"/>
        </w:rPr>
        <w:t>注：①经纬度均使用国测局坐标系 (GCJ-02)</w:t>
      </w:r>
      <w:r>
        <w:rPr>
          <w:rFonts w:hint="eastAsia" w:cs="Times New Roman"/>
          <w:b/>
          <w:bCs/>
          <w:color w:val="auto"/>
          <w:sz w:val="18"/>
          <w:szCs w:val="18"/>
          <w:highlight w:val="none"/>
          <w:lang w:eastAsia="zh-CN"/>
        </w:rPr>
        <w:t>。</w:t>
      </w:r>
    </w:p>
    <w:p>
      <w:pPr>
        <w:pStyle w:val="2"/>
        <w:spacing w:line="240" w:lineRule="auto"/>
        <w:ind w:firstLine="420" w:firstLineChars="0"/>
        <w:rPr>
          <w:rFonts w:hint="default" w:cs="Times New Roman"/>
          <w:b/>
          <w:bCs/>
          <w:color w:val="auto"/>
          <w:sz w:val="18"/>
          <w:szCs w:val="18"/>
          <w:highlight w:val="none"/>
          <w:lang w:val="en-US" w:eastAsia="zh-CN"/>
        </w:rPr>
        <w:sectPr>
          <w:headerReference r:id="rId12" w:type="default"/>
          <w:pgSz w:w="16838" w:h="11905" w:orient="landscape"/>
          <w:pgMar w:top="1134" w:right="1134" w:bottom="1134" w:left="1134" w:header="850" w:footer="992" w:gutter="0"/>
          <w:pgBorders>
            <w:top w:val="none" w:sz="0" w:space="0"/>
            <w:left w:val="none" w:sz="0" w:space="0"/>
            <w:bottom w:val="none" w:sz="0" w:space="0"/>
            <w:right w:val="none" w:sz="0" w:space="0"/>
          </w:pgBorders>
          <w:pgNumType w:fmt="numberInDash"/>
          <w:cols w:space="0" w:num="1"/>
          <w:rtlGutter w:val="0"/>
          <w:docGrid w:type="lines" w:linePitch="332" w:charSpace="0"/>
        </w:sectPr>
      </w:pPr>
      <w:r>
        <w:rPr>
          <w:rFonts w:hint="eastAsia" w:cs="Times New Roman"/>
          <w:b/>
          <w:bCs/>
          <w:color w:val="auto"/>
          <w:sz w:val="18"/>
          <w:szCs w:val="18"/>
          <w:highlight w:val="none"/>
          <w:lang w:val="en-US" w:eastAsia="zh-CN"/>
        </w:rPr>
        <w:t>②华新水泥（鄂州）有限公司、鄂州市胜利软管股份有限公司、湖北鸿晟矿业有限公司、湖北交投致远新材料科技有限公司位于已建成企业聚集区边界附近，周边布设点位分别为SJG-JJ-2、SJG-JJ-3、SJG-JJ-5、SJG-JJ-6。</w:t>
      </w:r>
    </w:p>
    <w:p>
      <w:pPr>
        <w:pStyle w:val="4"/>
        <w:tabs>
          <w:tab w:val="clear" w:pos="425"/>
        </w:tabs>
        <w:rPr>
          <w:rFonts w:hint="default" w:ascii="Times New Roman" w:hAnsi="Times New Roman" w:cs="Times New Roman"/>
          <w:color w:val="auto"/>
          <w:highlight w:val="none"/>
        </w:rPr>
      </w:pPr>
      <w:bookmarkStart w:id="29" w:name="_Toc8068"/>
      <w:bookmarkStart w:id="30" w:name="_Toc16072"/>
      <w:r>
        <w:rPr>
          <w:rFonts w:hint="default" w:ascii="Times New Roman" w:hAnsi="Times New Roman" w:cs="Times New Roman"/>
          <w:color w:val="auto"/>
          <w:highlight w:val="none"/>
          <w:lang w:eastAsia="zh-CN"/>
        </w:rPr>
        <w:t>地下水布点方案</w:t>
      </w:r>
      <w:bookmarkEnd w:id="29"/>
      <w:bookmarkEnd w:id="3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为了解工业园周边地下水环境质量现状，考虑到三江港经济区南北区域主要以未开发利用地为主，中部企业聚集区较多，拟分别位于已建成企业聚集区的北侧和西侧各设置1个地下水监测点位。调查范围内地下水布点方案见表3-2-1和附图6。</w:t>
      </w:r>
    </w:p>
    <w:p>
      <w:pPr>
        <w:keepNext w:val="0"/>
        <w:keepLines w:val="0"/>
        <w:pageBreakBefore w:val="0"/>
        <w:widowControl w:val="0"/>
        <w:kinsoku/>
        <w:wordWrap/>
        <w:overflowPunct/>
        <w:topLinePunct w:val="0"/>
        <w:autoSpaceDE/>
        <w:autoSpaceDN/>
        <w:bidi w:val="0"/>
        <w:adjustRightInd/>
        <w:snapToGrid/>
        <w:spacing w:before="167" w:beforeLines="50" w:line="240" w:lineRule="auto"/>
        <w:jc w:val="center"/>
        <w:textAlignment w:val="auto"/>
        <w:rPr>
          <w:rFonts w:hint="default" w:ascii="Times New Roman" w:hAnsi="Times New Roman" w:eastAsia="黑体" w:cs="Times New Roman"/>
          <w:b/>
          <w:color w:val="auto"/>
          <w:sz w:val="24"/>
          <w:highlight w:val="none"/>
        </w:rPr>
      </w:pPr>
      <w:r>
        <w:rPr>
          <w:rFonts w:hint="default" w:ascii="Times New Roman" w:hAnsi="Times New Roman" w:eastAsia="黑体" w:cs="Times New Roman"/>
          <w:b/>
          <w:color w:val="auto"/>
          <w:sz w:val="24"/>
          <w:highlight w:val="none"/>
        </w:rPr>
        <w:t>表3-</w:t>
      </w:r>
      <w:r>
        <w:rPr>
          <w:rFonts w:hint="default" w:ascii="Times New Roman" w:hAnsi="Times New Roman" w:eastAsia="黑体" w:cs="Times New Roman"/>
          <w:b/>
          <w:color w:val="auto"/>
          <w:sz w:val="24"/>
          <w:highlight w:val="none"/>
          <w:lang w:val="en-US" w:eastAsia="zh-CN"/>
        </w:rPr>
        <w:t>2</w:t>
      </w:r>
      <w:r>
        <w:rPr>
          <w:rFonts w:hint="default" w:ascii="Times New Roman" w:hAnsi="Times New Roman" w:eastAsia="黑体" w:cs="Times New Roman"/>
          <w:b/>
          <w:color w:val="auto"/>
          <w:sz w:val="24"/>
          <w:highlight w:val="none"/>
        </w:rPr>
        <w:t xml:space="preserve">-1  </w:t>
      </w:r>
      <w:r>
        <w:rPr>
          <w:rFonts w:hint="default" w:ascii="Times New Roman" w:hAnsi="Times New Roman" w:eastAsia="黑体" w:cs="Times New Roman"/>
          <w:b/>
          <w:color w:val="auto"/>
          <w:sz w:val="24"/>
          <w:highlight w:val="none"/>
          <w:lang w:eastAsia="zh-CN"/>
        </w:rPr>
        <w:t>地下水</w:t>
      </w:r>
      <w:r>
        <w:rPr>
          <w:rFonts w:hint="default" w:ascii="Times New Roman" w:hAnsi="Times New Roman" w:eastAsia="黑体" w:cs="Times New Roman"/>
          <w:b/>
          <w:color w:val="auto"/>
          <w:sz w:val="24"/>
          <w:highlight w:val="none"/>
        </w:rPr>
        <w:t>布点方案一览表</w:t>
      </w:r>
    </w:p>
    <w:tbl>
      <w:tblPr>
        <w:tblStyle w:val="21"/>
        <w:tblpPr w:leftFromText="180" w:rightFromText="180" w:vertAnchor="text" w:horzAnchor="page" w:tblpX="1060" w:tblpY="96"/>
        <w:tblOverlap w:val="never"/>
        <w:tblW w:w="961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800"/>
        <w:gridCol w:w="2515"/>
        <w:gridCol w:w="2677"/>
        <w:gridCol w:w="26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153" w:hRule="atLeast"/>
          <w:tblHeader/>
        </w:trPr>
        <w:tc>
          <w:tcPr>
            <w:tcW w:w="1800" w:type="dxa"/>
            <w:vMerge w:val="restart"/>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监测点位</w:t>
            </w:r>
          </w:p>
        </w:tc>
        <w:tc>
          <w:tcPr>
            <w:tcW w:w="2515" w:type="dxa"/>
            <w:vMerge w:val="restart"/>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i w:val="0"/>
                <w:color w:val="auto"/>
                <w:kern w:val="0"/>
                <w:sz w:val="21"/>
                <w:szCs w:val="21"/>
                <w:highlight w:val="none"/>
                <w:u w:val="none"/>
                <w:lang w:val="en-US" w:eastAsia="zh-CN" w:bidi="ar"/>
              </w:rPr>
              <w:t>对应</w:t>
            </w:r>
            <w:r>
              <w:rPr>
                <w:rFonts w:hint="default" w:ascii="Times New Roman" w:hAnsi="Times New Roman" w:cs="Times New Roman"/>
                <w:b/>
                <w:bCs/>
                <w:i w:val="0"/>
                <w:color w:val="auto"/>
                <w:kern w:val="0"/>
                <w:sz w:val="21"/>
                <w:szCs w:val="21"/>
                <w:highlight w:val="none"/>
                <w:u w:val="none"/>
                <w:lang w:val="en-US" w:eastAsia="zh-CN" w:bidi="ar"/>
              </w:rPr>
              <w:t>土壤点位</w:t>
            </w:r>
          </w:p>
        </w:tc>
        <w:tc>
          <w:tcPr>
            <w:tcW w:w="5297" w:type="dxa"/>
            <w:gridSpan w:val="2"/>
            <w:tcBorders>
              <w:bottom w:val="single" w:color="auto" w:sz="4" w:space="0"/>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坐标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2" w:hRule="atLeast"/>
          <w:tblHeader/>
        </w:trPr>
        <w:tc>
          <w:tcPr>
            <w:tcW w:w="1800" w:type="dxa"/>
            <w:vMerge w:val="continue"/>
            <w:tcBorders>
              <w:bottom w:val="single" w:color="auto" w:sz="12" w:space="0"/>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lang w:eastAsia="zh-CN"/>
              </w:rPr>
            </w:pPr>
          </w:p>
        </w:tc>
        <w:tc>
          <w:tcPr>
            <w:tcW w:w="2515" w:type="dxa"/>
            <w:vMerge w:val="continue"/>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p>
        </w:tc>
        <w:tc>
          <w:tcPr>
            <w:tcW w:w="2677" w:type="dxa"/>
            <w:tcBorders>
              <w:bottom w:val="single" w:color="auto" w:sz="12" w:space="0"/>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经度（°）</w:t>
            </w:r>
          </w:p>
        </w:tc>
        <w:tc>
          <w:tcPr>
            <w:tcW w:w="2620" w:type="dxa"/>
            <w:tcBorders>
              <w:bottom w:val="single" w:color="auto" w:sz="12" w:space="0"/>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纬度（°）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tblHeader/>
        </w:trPr>
        <w:tc>
          <w:tcPr>
            <w:tcW w:w="1800"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SJG-W1</w:t>
            </w:r>
          </w:p>
        </w:tc>
        <w:tc>
          <w:tcPr>
            <w:tcW w:w="2515"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i w:val="0"/>
                <w:color w:val="auto"/>
                <w:kern w:val="0"/>
                <w:sz w:val="21"/>
                <w:szCs w:val="21"/>
                <w:highlight w:val="none"/>
                <w:u w:val="none"/>
                <w:lang w:val="en-US" w:eastAsia="zh-CN" w:bidi="ar"/>
              </w:rPr>
              <w:t>SJG</w:t>
            </w: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JJ-1</w:t>
            </w:r>
          </w:p>
        </w:tc>
        <w:tc>
          <w:tcPr>
            <w:tcW w:w="2677"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114.801465</w:t>
            </w:r>
          </w:p>
        </w:tc>
        <w:tc>
          <w:tcPr>
            <w:tcW w:w="2620"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30.535717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blHeader/>
        </w:trPr>
        <w:tc>
          <w:tcPr>
            <w:tcW w:w="1800" w:type="dxa"/>
            <w:shd w:val="clear" w:color="auto" w:fill="auto"/>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SJG-W2</w:t>
            </w:r>
          </w:p>
        </w:tc>
        <w:tc>
          <w:tcPr>
            <w:tcW w:w="2515" w:type="dxa"/>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i w:val="0"/>
                <w:color w:val="auto"/>
                <w:kern w:val="0"/>
                <w:sz w:val="21"/>
                <w:szCs w:val="21"/>
                <w:highlight w:val="none"/>
                <w:u w:val="none"/>
                <w:lang w:val="en-US" w:eastAsia="zh-CN" w:bidi="ar"/>
              </w:rPr>
              <w:t>SJG</w:t>
            </w: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1-7</w:t>
            </w:r>
            <w:r>
              <w:rPr>
                <w:rFonts w:hint="default" w:ascii="Times New Roman" w:hAnsi="Times New Roman" w:eastAsia="宋体" w:cs="Times New Roman"/>
                <w:i w:val="0"/>
                <w:color w:val="auto"/>
                <w:kern w:val="0"/>
                <w:sz w:val="21"/>
                <w:szCs w:val="21"/>
                <w:highlight w:val="none"/>
                <w:u w:val="none"/>
                <w:lang w:val="en-US" w:eastAsia="zh-CN" w:bidi="ar"/>
              </w:rPr>
              <w:t>5</w:t>
            </w:r>
          </w:p>
        </w:tc>
        <w:tc>
          <w:tcPr>
            <w:tcW w:w="2677" w:type="dxa"/>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114.753141</w:t>
            </w:r>
          </w:p>
        </w:tc>
        <w:tc>
          <w:tcPr>
            <w:tcW w:w="2620" w:type="dxa"/>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30.520153</w:t>
            </w:r>
          </w:p>
        </w:tc>
      </w:tr>
    </w:tbl>
    <w:p>
      <w:pPr>
        <w:spacing w:line="360" w:lineRule="auto"/>
        <w:ind w:left="1" w:firstLine="480" w:firstLineChars="200"/>
        <w:rPr>
          <w:rFonts w:hint="default" w:ascii="Times New Roman" w:hAnsi="Times New Roman" w:eastAsia="宋体" w:cs="Times New Roman"/>
          <w:color w:val="auto"/>
          <w:sz w:val="24"/>
          <w:highlight w:val="none"/>
          <w:lang w:eastAsia="zh-CN"/>
        </w:rPr>
      </w:pPr>
      <w:r>
        <w:rPr>
          <w:rFonts w:hint="eastAsia" w:cs="Times New Roman"/>
          <w:color w:val="auto"/>
          <w:sz w:val="24"/>
          <w:highlight w:val="none"/>
          <w:lang w:val="en-US" w:eastAsia="zh-CN"/>
        </w:rPr>
        <w:t>参考</w:t>
      </w:r>
      <w:r>
        <w:rPr>
          <w:rFonts w:hint="default" w:ascii="Times New Roman" w:hAnsi="Times New Roman" w:cs="Times New Roman"/>
          <w:color w:val="auto"/>
          <w:sz w:val="24"/>
          <w:highlight w:val="none"/>
          <w:lang w:eastAsia="zh-CN"/>
        </w:rPr>
        <w:t>《地下水质量标准》（GB/T 14848-2017）及《地表水环境质量标准》（GB3838-2002），</w:t>
      </w:r>
      <w:r>
        <w:rPr>
          <w:rFonts w:hint="default" w:ascii="Times New Roman" w:hAnsi="Times New Roman" w:cs="Times New Roman"/>
          <w:color w:val="auto"/>
          <w:sz w:val="24"/>
          <w:highlight w:val="none"/>
        </w:rPr>
        <w:t>监测指标包括无机项目</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14项</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、金属类</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13项</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、有机物类</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5项</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等</w:t>
      </w:r>
      <w:r>
        <w:rPr>
          <w:rFonts w:hint="default" w:ascii="Times New Roman" w:hAnsi="Times New Roman" w:cs="Times New Roman"/>
          <w:color w:val="auto"/>
          <w:sz w:val="24"/>
          <w:highlight w:val="none"/>
          <w:lang w:eastAsia="zh-CN"/>
        </w:rPr>
        <w:t>共</w:t>
      </w:r>
      <w:r>
        <w:rPr>
          <w:rFonts w:hint="default" w:ascii="Times New Roman" w:hAnsi="Times New Roman" w:cs="Times New Roman"/>
          <w:color w:val="auto"/>
          <w:sz w:val="24"/>
          <w:highlight w:val="none"/>
          <w:lang w:val="en-US" w:eastAsia="zh-CN"/>
        </w:rPr>
        <w:t>32</w:t>
      </w:r>
      <w:r>
        <w:rPr>
          <w:rFonts w:hint="default" w:ascii="Times New Roman" w:hAnsi="Times New Roman" w:cs="Times New Roman"/>
          <w:color w:val="auto"/>
          <w:sz w:val="24"/>
          <w:highlight w:val="none"/>
        </w:rPr>
        <w:t>项</w:t>
      </w:r>
      <w:r>
        <w:rPr>
          <w:rFonts w:hint="default" w:ascii="Times New Roman" w:hAnsi="Times New Roman" w:cs="Times New Roman"/>
          <w:color w:val="auto"/>
          <w:sz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lang w:eastAsia="zh-CN"/>
        </w:rPr>
        <w:t>（</w:t>
      </w:r>
      <w:r>
        <w:rPr>
          <w:rFonts w:hint="default" w:ascii="Times New Roman" w:hAnsi="Times New Roman" w:cs="Times New Roman"/>
          <w:b/>
          <w:bCs/>
          <w:color w:val="auto"/>
          <w:sz w:val="24"/>
          <w:highlight w:val="none"/>
          <w:lang w:val="en-US" w:eastAsia="zh-CN"/>
        </w:rPr>
        <w:t>1</w:t>
      </w:r>
      <w:r>
        <w:rPr>
          <w:rFonts w:hint="default" w:ascii="Times New Roman" w:hAnsi="Times New Roman" w:cs="Times New Roman"/>
          <w:b/>
          <w:bCs/>
          <w:color w:val="auto"/>
          <w:sz w:val="24"/>
          <w:highlight w:val="none"/>
          <w:lang w:eastAsia="zh-CN"/>
        </w:rPr>
        <w:t>）</w:t>
      </w:r>
      <w:r>
        <w:rPr>
          <w:rFonts w:hint="default" w:ascii="Times New Roman" w:hAnsi="Times New Roman" w:cs="Times New Roman"/>
          <w:b/>
          <w:bCs/>
          <w:color w:val="auto"/>
          <w:sz w:val="24"/>
          <w:highlight w:val="none"/>
        </w:rPr>
        <w:t>无机项目</w:t>
      </w:r>
      <w:r>
        <w:rPr>
          <w:rFonts w:hint="default" w:ascii="Times New Roman" w:hAnsi="Times New Roman" w:cs="Times New Roman"/>
          <w:b/>
          <w:bCs/>
          <w:color w:val="auto"/>
          <w:sz w:val="24"/>
          <w:highlight w:val="none"/>
          <w:lang w:eastAsia="zh-CN"/>
        </w:rPr>
        <w:t>（</w:t>
      </w:r>
      <w:r>
        <w:rPr>
          <w:rFonts w:hint="default" w:ascii="Times New Roman" w:hAnsi="Times New Roman" w:cs="Times New Roman"/>
          <w:b/>
          <w:bCs/>
          <w:color w:val="auto"/>
          <w:sz w:val="24"/>
          <w:highlight w:val="none"/>
          <w:lang w:val="en-US" w:eastAsia="zh-CN"/>
        </w:rPr>
        <w:t>14项</w:t>
      </w:r>
      <w:r>
        <w:rPr>
          <w:rFonts w:hint="default" w:ascii="Times New Roman" w:hAnsi="Times New Roman" w:cs="Times New Roman"/>
          <w:b/>
          <w:bCs/>
          <w:color w:val="auto"/>
          <w:sz w:val="24"/>
          <w:highlight w:val="none"/>
          <w:lang w:eastAsia="zh-CN"/>
        </w:rPr>
        <w:t>）</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pH、总硬度、溶解性总固体、</w:t>
      </w:r>
      <w:r>
        <w:rPr>
          <w:rFonts w:hint="default" w:ascii="Times New Roman" w:hAnsi="Times New Roman" w:cs="Times New Roman"/>
          <w:color w:val="auto"/>
          <w:sz w:val="24"/>
          <w:highlight w:val="none"/>
          <w:lang w:eastAsia="zh-CN"/>
        </w:rPr>
        <w:t>耗氧量、</w:t>
      </w:r>
      <w:r>
        <w:rPr>
          <w:rFonts w:hint="default" w:ascii="Times New Roman" w:hAnsi="Times New Roman" w:cs="Times New Roman"/>
          <w:color w:val="auto"/>
          <w:sz w:val="24"/>
          <w:highlight w:val="none"/>
        </w:rPr>
        <w:t>硫酸盐、</w:t>
      </w:r>
      <w:r>
        <w:rPr>
          <w:rFonts w:hint="default" w:ascii="Times New Roman" w:hAnsi="Times New Roman" w:cs="Times New Roman"/>
          <w:color w:val="auto"/>
          <w:sz w:val="24"/>
          <w:highlight w:val="none"/>
          <w:lang w:eastAsia="zh-CN"/>
        </w:rPr>
        <w:t>硝酸盐、</w:t>
      </w:r>
      <w:r>
        <w:rPr>
          <w:rFonts w:hint="default" w:ascii="Times New Roman" w:hAnsi="Times New Roman" w:cs="Times New Roman"/>
          <w:color w:val="auto"/>
          <w:sz w:val="24"/>
          <w:highlight w:val="none"/>
        </w:rPr>
        <w:t>氯化物、</w:t>
      </w:r>
      <w:r>
        <w:rPr>
          <w:rFonts w:hint="default" w:ascii="Times New Roman" w:hAnsi="Times New Roman" w:cs="Times New Roman"/>
          <w:color w:val="auto"/>
          <w:sz w:val="24"/>
          <w:highlight w:val="none"/>
          <w:lang w:eastAsia="zh-CN"/>
        </w:rPr>
        <w:t>总氟化物、挥发酚、</w:t>
      </w:r>
      <w:r>
        <w:rPr>
          <w:rFonts w:hint="default" w:ascii="Times New Roman" w:hAnsi="Times New Roman" w:cs="Times New Roman"/>
          <w:color w:val="auto"/>
          <w:sz w:val="24"/>
          <w:highlight w:val="none"/>
        </w:rPr>
        <w:t>阴离子表面活性剂、氨氮、</w:t>
      </w:r>
      <w:r>
        <w:rPr>
          <w:rFonts w:hint="default" w:ascii="Times New Roman" w:hAnsi="Times New Roman" w:cs="Times New Roman"/>
          <w:color w:val="auto"/>
          <w:sz w:val="24"/>
          <w:highlight w:val="none"/>
          <w:lang w:eastAsia="zh-CN"/>
        </w:rPr>
        <w:t>硫化物、</w:t>
      </w:r>
      <w:r>
        <w:rPr>
          <w:rFonts w:hint="default" w:ascii="Times New Roman" w:hAnsi="Times New Roman" w:cs="Times New Roman"/>
          <w:color w:val="auto"/>
          <w:sz w:val="24"/>
          <w:highlight w:val="none"/>
        </w:rPr>
        <w:t>亚硝酸盐、氰化物</w:t>
      </w:r>
      <w:r>
        <w:rPr>
          <w:rFonts w:hint="default" w:ascii="Times New Roman" w:hAnsi="Times New Roman" w:cs="Times New Roman"/>
          <w:color w:val="auto"/>
          <w:sz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rPr>
          <w:rFonts w:hint="default" w:ascii="Times New Roman" w:hAnsi="Times New Roman" w:cs="Times New Roman"/>
          <w:color w:val="auto"/>
          <w:sz w:val="24"/>
          <w:highlight w:val="none"/>
          <w:lang w:eastAsia="zh-CN"/>
        </w:rPr>
      </w:pPr>
      <w:r>
        <w:rPr>
          <w:rFonts w:hint="default" w:ascii="Times New Roman" w:hAnsi="Times New Roman" w:cs="Times New Roman"/>
          <w:b/>
          <w:bCs/>
          <w:color w:val="auto"/>
          <w:sz w:val="24"/>
          <w:highlight w:val="none"/>
          <w:lang w:eastAsia="zh-CN"/>
        </w:rPr>
        <w:t>（</w:t>
      </w:r>
      <w:r>
        <w:rPr>
          <w:rFonts w:hint="default" w:ascii="Times New Roman" w:hAnsi="Times New Roman" w:cs="Times New Roman"/>
          <w:b/>
          <w:bCs/>
          <w:color w:val="auto"/>
          <w:sz w:val="24"/>
          <w:highlight w:val="none"/>
          <w:lang w:val="en-US" w:eastAsia="zh-CN"/>
        </w:rPr>
        <w:t>2</w:t>
      </w:r>
      <w:r>
        <w:rPr>
          <w:rFonts w:hint="default" w:ascii="Times New Roman" w:hAnsi="Times New Roman" w:cs="Times New Roman"/>
          <w:b/>
          <w:bCs/>
          <w:color w:val="auto"/>
          <w:sz w:val="24"/>
          <w:highlight w:val="none"/>
          <w:lang w:eastAsia="zh-CN"/>
        </w:rPr>
        <w:t>）</w:t>
      </w:r>
      <w:r>
        <w:rPr>
          <w:rFonts w:hint="default" w:ascii="Times New Roman" w:hAnsi="Times New Roman" w:cs="Times New Roman"/>
          <w:b/>
          <w:bCs/>
          <w:color w:val="auto"/>
          <w:sz w:val="24"/>
          <w:highlight w:val="none"/>
        </w:rPr>
        <w:t>金属类</w:t>
      </w:r>
      <w:r>
        <w:rPr>
          <w:rFonts w:hint="default" w:ascii="Times New Roman" w:hAnsi="Times New Roman" w:cs="Times New Roman"/>
          <w:b/>
          <w:bCs/>
          <w:color w:val="auto"/>
          <w:sz w:val="24"/>
          <w:highlight w:val="none"/>
          <w:lang w:eastAsia="zh-CN"/>
        </w:rPr>
        <w:t>（</w:t>
      </w:r>
      <w:r>
        <w:rPr>
          <w:rFonts w:hint="default" w:ascii="Times New Roman" w:hAnsi="Times New Roman" w:cs="Times New Roman"/>
          <w:b/>
          <w:bCs/>
          <w:color w:val="auto"/>
          <w:sz w:val="24"/>
          <w:highlight w:val="none"/>
          <w:lang w:val="en-US" w:eastAsia="zh-CN"/>
        </w:rPr>
        <w:t>13项</w:t>
      </w:r>
      <w:r>
        <w:rPr>
          <w:rFonts w:hint="default" w:ascii="Times New Roman" w:hAnsi="Times New Roman" w:cs="Times New Roman"/>
          <w:b/>
          <w:bCs/>
          <w:color w:val="auto"/>
          <w:sz w:val="24"/>
          <w:highlight w:val="none"/>
          <w:lang w:eastAsia="zh-CN"/>
        </w:rPr>
        <w:t>）</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铁、锰、铜、铝、钠、锌、</w:t>
      </w:r>
      <w:r>
        <w:rPr>
          <w:rFonts w:hint="default" w:ascii="Times New Roman" w:hAnsi="Times New Roman" w:cs="Times New Roman"/>
          <w:color w:val="auto"/>
          <w:sz w:val="24"/>
          <w:highlight w:val="none"/>
          <w:lang w:eastAsia="zh-CN"/>
        </w:rPr>
        <w:t>铬</w:t>
      </w:r>
      <w:r>
        <w:rPr>
          <w:rFonts w:hint="default" w:ascii="Times New Roman" w:hAnsi="Times New Roman" w:cs="Times New Roman"/>
          <w:color w:val="auto"/>
          <w:sz w:val="24"/>
          <w:highlight w:val="none"/>
        </w:rPr>
        <w:t>、汞、砷、硒、镉、铬（六价）</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铅</w:t>
      </w:r>
      <w:r>
        <w:rPr>
          <w:rFonts w:hint="default" w:ascii="Times New Roman" w:hAnsi="Times New Roman" w:cs="Times New Roman"/>
          <w:color w:val="auto"/>
          <w:sz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lang w:eastAsia="zh-CN"/>
        </w:rPr>
        <w:t>（</w:t>
      </w:r>
      <w:r>
        <w:rPr>
          <w:rFonts w:hint="default" w:ascii="Times New Roman" w:hAnsi="Times New Roman" w:cs="Times New Roman"/>
          <w:b/>
          <w:bCs/>
          <w:color w:val="auto"/>
          <w:sz w:val="24"/>
          <w:highlight w:val="none"/>
          <w:lang w:val="en-US" w:eastAsia="zh-CN"/>
        </w:rPr>
        <w:t>3</w:t>
      </w:r>
      <w:r>
        <w:rPr>
          <w:rFonts w:hint="default" w:ascii="Times New Roman" w:hAnsi="Times New Roman" w:cs="Times New Roman"/>
          <w:b/>
          <w:bCs/>
          <w:color w:val="auto"/>
          <w:sz w:val="24"/>
          <w:highlight w:val="none"/>
          <w:lang w:eastAsia="zh-CN"/>
        </w:rPr>
        <w:t>）</w:t>
      </w:r>
      <w:r>
        <w:rPr>
          <w:rFonts w:hint="default" w:ascii="Times New Roman" w:hAnsi="Times New Roman" w:cs="Times New Roman"/>
          <w:b/>
          <w:bCs/>
          <w:color w:val="auto"/>
          <w:sz w:val="24"/>
          <w:highlight w:val="none"/>
        </w:rPr>
        <w:t>有机物类</w:t>
      </w:r>
      <w:r>
        <w:rPr>
          <w:rFonts w:hint="default" w:ascii="Times New Roman" w:hAnsi="Times New Roman" w:cs="Times New Roman"/>
          <w:b/>
          <w:bCs/>
          <w:color w:val="auto"/>
          <w:sz w:val="24"/>
          <w:highlight w:val="none"/>
          <w:lang w:eastAsia="zh-CN"/>
        </w:rPr>
        <w:t>（</w:t>
      </w:r>
      <w:r>
        <w:rPr>
          <w:rFonts w:hint="default" w:ascii="Times New Roman" w:hAnsi="Times New Roman" w:cs="Times New Roman"/>
          <w:b/>
          <w:bCs/>
          <w:color w:val="auto"/>
          <w:sz w:val="24"/>
          <w:highlight w:val="none"/>
          <w:lang w:val="en-US" w:eastAsia="zh-CN"/>
        </w:rPr>
        <w:t>5项</w:t>
      </w:r>
      <w:r>
        <w:rPr>
          <w:rFonts w:hint="default" w:ascii="Times New Roman" w:hAnsi="Times New Roman" w:cs="Times New Roman"/>
          <w:b/>
          <w:bCs/>
          <w:color w:val="auto"/>
          <w:sz w:val="24"/>
          <w:highlight w:val="none"/>
          <w:lang w:eastAsia="zh-CN"/>
        </w:rPr>
        <w:t>）</w:t>
      </w:r>
      <w:r>
        <w:rPr>
          <w:rFonts w:hint="default" w:ascii="Times New Roman" w:hAnsi="Times New Roman" w:cs="Times New Roman"/>
          <w:color w:val="auto"/>
          <w:sz w:val="24"/>
          <w:highlight w:val="none"/>
          <w:lang w:eastAsia="zh-CN"/>
        </w:rPr>
        <w:t>：氯仿</w:t>
      </w:r>
      <w:r>
        <w:rPr>
          <w:rFonts w:hint="default" w:ascii="Times New Roman" w:hAnsi="Times New Roman" w:cs="Times New Roman"/>
          <w:color w:val="auto"/>
          <w:sz w:val="24"/>
          <w:highlight w:val="none"/>
        </w:rPr>
        <w:t>、四氯化碳、苯、甲苯、</w:t>
      </w:r>
      <w:r>
        <w:rPr>
          <w:rFonts w:hint="default" w:ascii="Times New Roman" w:hAnsi="Times New Roman" w:cs="Times New Roman"/>
          <w:color w:val="auto"/>
          <w:sz w:val="24"/>
          <w:highlight w:val="none"/>
          <w:lang w:eastAsia="zh-CN"/>
        </w:rPr>
        <w:t>石油类</w:t>
      </w:r>
      <w:r>
        <w:rPr>
          <w:rFonts w:hint="default" w:ascii="Times New Roman" w:hAnsi="Times New Roman" w:cs="Times New Roman"/>
          <w:color w:val="auto"/>
          <w:sz w:val="24"/>
          <w:highlight w:val="none"/>
        </w:rPr>
        <w:t>。</w:t>
      </w:r>
    </w:p>
    <w:p>
      <w:pPr>
        <w:pStyle w:val="4"/>
        <w:tabs>
          <w:tab w:val="clear" w:pos="425"/>
        </w:tabs>
        <w:bidi w:val="0"/>
        <w:rPr>
          <w:rFonts w:hint="default" w:ascii="Times New Roman" w:hAnsi="Times New Roman" w:cs="Times New Roman"/>
          <w:color w:val="auto"/>
          <w:highlight w:val="none"/>
        </w:rPr>
      </w:pPr>
      <w:bookmarkStart w:id="31" w:name="_Toc31108"/>
      <w:bookmarkStart w:id="32" w:name="_Toc5149"/>
      <w:r>
        <w:rPr>
          <w:rFonts w:hint="default" w:ascii="Times New Roman" w:hAnsi="Times New Roman" w:cs="Times New Roman"/>
          <w:color w:val="auto"/>
          <w:highlight w:val="none"/>
          <w:lang w:eastAsia="zh-CN"/>
        </w:rPr>
        <w:t>采样方案</w:t>
      </w:r>
      <w:bookmarkEnd w:id="31"/>
      <w:bookmarkEnd w:id="32"/>
    </w:p>
    <w:p>
      <w:pPr>
        <w:pStyle w:val="5"/>
        <w:tabs>
          <w:tab w:val="left" w:pos="425"/>
        </w:tabs>
        <w:rPr>
          <w:rFonts w:hint="default" w:ascii="Times New Roman" w:hAnsi="Times New Roman" w:cs="Times New Roman"/>
          <w:color w:val="auto"/>
          <w:highlight w:val="none"/>
        </w:rPr>
      </w:pPr>
      <w:r>
        <w:rPr>
          <w:rFonts w:hint="default" w:ascii="Times New Roman" w:hAnsi="Times New Roman" w:cs="Times New Roman"/>
          <w:color w:val="auto"/>
          <w:highlight w:val="none"/>
        </w:rPr>
        <w:t>采样设备及材料</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园区</w:t>
      </w:r>
      <w:r>
        <w:rPr>
          <w:rFonts w:hint="default" w:ascii="Times New Roman" w:hAnsi="Times New Roman" w:cs="Times New Roman"/>
          <w:color w:val="auto"/>
          <w:sz w:val="24"/>
          <w:highlight w:val="none"/>
        </w:rPr>
        <w:t>样品采集过程以及样品保存需使用的设备及材料见表3-2-1。根据现场考察和信息资料调研结果，本</w:t>
      </w:r>
      <w:r>
        <w:rPr>
          <w:rFonts w:hint="default" w:ascii="Times New Roman" w:hAnsi="Times New Roman" w:cs="Times New Roman"/>
          <w:color w:val="auto"/>
          <w:sz w:val="24"/>
          <w:highlight w:val="none"/>
          <w:lang w:eastAsia="zh-CN"/>
        </w:rPr>
        <w:t>园区</w:t>
      </w:r>
      <w:r>
        <w:rPr>
          <w:rFonts w:hint="default" w:ascii="Times New Roman" w:hAnsi="Times New Roman" w:cs="Times New Roman"/>
          <w:color w:val="auto"/>
          <w:sz w:val="24"/>
          <w:highlight w:val="none"/>
        </w:rPr>
        <w:t>调查采样种类包括土壤及</w:t>
      </w:r>
      <w:r>
        <w:rPr>
          <w:rFonts w:hint="default" w:ascii="Times New Roman" w:hAnsi="Times New Roman" w:cs="Times New Roman"/>
          <w:color w:val="auto"/>
          <w:sz w:val="24"/>
          <w:highlight w:val="none"/>
          <w:lang w:eastAsia="zh-CN"/>
        </w:rPr>
        <w:t>地下水</w:t>
      </w:r>
      <w:r>
        <w:rPr>
          <w:rFonts w:hint="default" w:ascii="Times New Roman" w:hAnsi="Times New Roman" w:cs="Times New Roman"/>
          <w:color w:val="auto"/>
          <w:sz w:val="24"/>
          <w:highlight w:val="none"/>
        </w:rPr>
        <w:t>样品。</w:t>
      </w:r>
      <w:r>
        <w:rPr>
          <w:rFonts w:hint="default" w:ascii="Times New Roman" w:hAnsi="Times New Roman" w:cs="Times New Roman"/>
          <w:color w:val="auto"/>
          <w:sz w:val="24"/>
          <w:highlight w:val="none"/>
          <w:lang w:eastAsia="zh-CN"/>
        </w:rPr>
        <w:t>调查范围</w:t>
      </w:r>
      <w:r>
        <w:rPr>
          <w:rFonts w:hint="default" w:ascii="Times New Roman" w:hAnsi="Times New Roman" w:cs="Times New Roman"/>
          <w:color w:val="auto"/>
          <w:sz w:val="24"/>
          <w:highlight w:val="none"/>
        </w:rPr>
        <w:t>样品采集过程以及样品保存需使用的设备及材料见表3-3-1。</w:t>
      </w:r>
    </w:p>
    <w:p>
      <w:pPr>
        <w:pStyle w:val="31"/>
        <w:spacing w:before="62" w:beforeLines="20" w:after="0" w:line="240" w:lineRule="auto"/>
        <w:ind w:firstLine="0" w:firstLineChars="0"/>
        <w:jc w:val="center"/>
        <w:rPr>
          <w:rFonts w:hint="default" w:ascii="Times New Roman" w:hAnsi="Times New Roman" w:eastAsia="黑体" w:cs="Times New Roman"/>
          <w:b/>
          <w:color w:val="auto"/>
          <w:szCs w:val="24"/>
          <w:highlight w:val="none"/>
        </w:rPr>
      </w:pPr>
      <w:r>
        <w:rPr>
          <w:rFonts w:hint="default" w:ascii="Times New Roman" w:hAnsi="Times New Roman" w:eastAsia="黑体" w:cs="Times New Roman"/>
          <w:b/>
          <w:color w:val="auto"/>
          <w:szCs w:val="24"/>
          <w:highlight w:val="none"/>
        </w:rPr>
        <w:t>表3-</w:t>
      </w:r>
      <w:r>
        <w:rPr>
          <w:rFonts w:hint="default" w:ascii="Times New Roman" w:hAnsi="Times New Roman" w:eastAsia="黑体" w:cs="Times New Roman"/>
          <w:b/>
          <w:color w:val="auto"/>
          <w:szCs w:val="24"/>
          <w:highlight w:val="none"/>
          <w:lang w:val="en-US" w:eastAsia="zh-CN"/>
        </w:rPr>
        <w:t>3</w:t>
      </w:r>
      <w:r>
        <w:rPr>
          <w:rFonts w:hint="default" w:ascii="Times New Roman" w:hAnsi="Times New Roman" w:eastAsia="黑体" w:cs="Times New Roman"/>
          <w:b/>
          <w:color w:val="auto"/>
          <w:szCs w:val="24"/>
          <w:highlight w:val="none"/>
        </w:rPr>
        <w:t xml:space="preserve">-1  </w:t>
      </w:r>
      <w:r>
        <w:rPr>
          <w:rFonts w:hint="default" w:ascii="Times New Roman" w:hAnsi="Times New Roman" w:eastAsia="黑体" w:cs="Times New Roman"/>
          <w:b/>
          <w:color w:val="auto"/>
          <w:szCs w:val="24"/>
          <w:highlight w:val="none"/>
          <w:lang w:eastAsia="zh-CN"/>
        </w:rPr>
        <w:t>园区</w:t>
      </w:r>
      <w:r>
        <w:rPr>
          <w:rFonts w:hint="default" w:ascii="Times New Roman" w:hAnsi="Times New Roman" w:eastAsia="黑体" w:cs="Times New Roman"/>
          <w:b/>
          <w:color w:val="auto"/>
          <w:szCs w:val="24"/>
          <w:highlight w:val="none"/>
        </w:rPr>
        <w:t>调查采样及样品保存所需设备及材料</w:t>
      </w:r>
    </w:p>
    <w:tbl>
      <w:tblPr>
        <w:tblStyle w:val="21"/>
        <w:tblW w:w="97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11"/>
        <w:gridCol w:w="76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111" w:type="dxa"/>
            <w:tcBorders>
              <w:bottom w:val="single" w:color="auto" w:sz="12"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类型</w:t>
            </w:r>
          </w:p>
        </w:tc>
        <w:tc>
          <w:tcPr>
            <w:tcW w:w="7687" w:type="dxa"/>
            <w:tcBorders>
              <w:bottom w:val="single" w:color="auto" w:sz="12"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设备及材料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111" w:type="dxa"/>
            <w:tcBorders>
              <w:top w:val="single" w:color="auto" w:sz="12" w:space="0"/>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土壤样品采集</w:t>
            </w:r>
          </w:p>
        </w:tc>
        <w:tc>
          <w:tcPr>
            <w:tcW w:w="7687" w:type="dxa"/>
            <w:tcBorders>
              <w:top w:val="single" w:color="auto" w:sz="12" w:space="0"/>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手工铲</w:t>
            </w:r>
            <w:r>
              <w:rPr>
                <w:rFonts w:hint="default" w:ascii="Times New Roman" w:hAnsi="Times New Roman" w:cs="Times New Roman"/>
                <w:color w:val="auto"/>
                <w:sz w:val="21"/>
                <w:szCs w:val="21"/>
                <w:highlight w:val="none"/>
              </w:rPr>
              <w:t>，</w:t>
            </w:r>
            <w:r>
              <w:rPr>
                <w:rFonts w:hint="default" w:ascii="Times New Roman" w:hAnsi="Times New Roman" w:cs="Times New Roman"/>
                <w:bCs/>
                <w:color w:val="auto"/>
                <w:sz w:val="21"/>
                <w:szCs w:val="21"/>
                <w:highlight w:val="none"/>
              </w:rPr>
              <w:t>封口袋，一次性无菌手套，土样瓶，无扰动采样器等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111"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地下水样品采集</w:t>
            </w:r>
          </w:p>
        </w:tc>
        <w:tc>
          <w:tcPr>
            <w:tcW w:w="7687"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t>履带式钻机，</w:t>
            </w:r>
            <w:r>
              <w:rPr>
                <w:rFonts w:hint="default" w:ascii="Times New Roman" w:hAnsi="Times New Roman" w:cs="Times New Roman"/>
                <w:bCs/>
                <w:color w:val="auto"/>
                <w:sz w:val="21"/>
                <w:szCs w:val="21"/>
                <w:highlight w:val="none"/>
                <w:lang w:eastAsia="zh-CN"/>
              </w:rPr>
              <w:t>地下水</w:t>
            </w:r>
            <w:r>
              <w:rPr>
                <w:rFonts w:hint="default" w:ascii="Times New Roman" w:hAnsi="Times New Roman" w:cs="Times New Roman"/>
                <w:bCs/>
                <w:color w:val="auto"/>
                <w:sz w:val="21"/>
                <w:szCs w:val="21"/>
                <w:highlight w:val="none"/>
              </w:rPr>
              <w:t>监测井井管，建井材料（膨润土、石英砂、水泥等），水位尺，贝勒管，水样瓶等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111"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辅助工具</w:t>
            </w:r>
          </w:p>
        </w:tc>
        <w:tc>
          <w:tcPr>
            <w:tcW w:w="7687"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t>GPS，测距仪，数码相机，采样记录表，白板，记号笔，防护用具，清洗用具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111"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样品保存</w:t>
            </w:r>
          </w:p>
        </w:tc>
        <w:tc>
          <w:tcPr>
            <w:tcW w:w="7687"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t>保温样品箱</w:t>
            </w:r>
          </w:p>
        </w:tc>
      </w:tr>
    </w:tbl>
    <w:p>
      <w:pPr>
        <w:pStyle w:val="5"/>
        <w:tabs>
          <w:tab w:val="left" w:pos="425"/>
        </w:tabs>
        <w:rPr>
          <w:rFonts w:hint="default" w:ascii="Times New Roman" w:hAnsi="Times New Roman" w:cs="Times New Roman"/>
          <w:color w:val="auto"/>
          <w:highlight w:val="none"/>
        </w:rPr>
      </w:pPr>
      <w:r>
        <w:rPr>
          <w:rFonts w:hint="default" w:ascii="Times New Roman" w:hAnsi="Times New Roman" w:cs="Times New Roman"/>
          <w:color w:val="auto"/>
          <w:highlight w:val="none"/>
        </w:rPr>
        <w:t>土壤样品采集</w:t>
      </w:r>
    </w:p>
    <w:p>
      <w:pPr>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土壤样品收集：采用手工铲采集</w:t>
      </w:r>
      <w:r>
        <w:rPr>
          <w:rFonts w:hint="eastAsia" w:cs="Times New Roman"/>
          <w:color w:val="auto"/>
          <w:sz w:val="24"/>
          <w:highlight w:val="none"/>
          <w:lang w:eastAsia="zh-CN"/>
        </w:rPr>
        <w:t>表层（0-0.5m）</w:t>
      </w:r>
      <w:r>
        <w:rPr>
          <w:rFonts w:hint="default" w:ascii="Times New Roman" w:hAnsi="Times New Roman" w:cs="Times New Roman"/>
          <w:color w:val="auto"/>
          <w:sz w:val="24"/>
          <w:highlight w:val="none"/>
          <w:lang w:eastAsia="zh-CN"/>
        </w:rPr>
        <w:t>土壤样品，记录土壤的颜色和气味等信息，根据现场土样的观察结果，筛选出分析检测的土壤样品，送检土样装于一次性封口袋或螺口玻璃采样瓶中。</w:t>
      </w:r>
    </w:p>
    <w:p>
      <w:pPr>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采样根据《土壤环境监测技术规范》（HJ/T 166-2004）严格执行。</w:t>
      </w:r>
      <w:r>
        <w:rPr>
          <w:rFonts w:hint="default" w:ascii="Times New Roman" w:hAnsi="Times New Roman" w:cs="Times New Roman"/>
          <w:color w:val="auto"/>
          <w:sz w:val="24"/>
          <w:highlight w:val="none"/>
          <w:lang w:val="en-US" w:eastAsia="zh-CN"/>
        </w:rPr>
        <w:t>采样时</w:t>
      </w:r>
      <w:r>
        <w:rPr>
          <w:rFonts w:hint="default" w:ascii="Times New Roman" w:hAnsi="Times New Roman" w:cs="Times New Roman"/>
          <w:color w:val="auto"/>
          <w:sz w:val="24"/>
          <w:highlight w:val="none"/>
          <w:lang w:eastAsia="zh-CN"/>
        </w:rPr>
        <w:t>记录土壤地层特性、颜色、气味、夹杂物等信息，观察土壤受污染状况。土壤样品采集后，由技术人员装袋封存，贴好标签，将样品放入保温箱中。及时填写采样记录，注明采样地点、孔号、采样深度、土样名称、采样日期等信息。在采样过程中，为避免交叉污染，均使用一次性手套，并对采样设备进行清洗去污处理。</w:t>
      </w:r>
    </w:p>
    <w:p>
      <w:pPr>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土壤采样过程中应做好人员安全和健康防护，佩戴安全帽和一次性的口罩、手套，严禁用手直接采集土样，使用后废弃的个人防护用品应统一收集处置，采样前后应对采样器进行除污和清洗，不同土壤样品采集应更换手套，避免交叉污染；所有样品存放于保温箱中，随后随样品流转单送往实验室进行分析。现场采样信息记录在标准的土壤采样记录单上。</w:t>
      </w:r>
    </w:p>
    <w:p>
      <w:pPr>
        <w:pStyle w:val="5"/>
        <w:tabs>
          <w:tab w:val="left" w:pos="425"/>
        </w:tabs>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地下水样品采集</w:t>
      </w:r>
    </w:p>
    <w:p>
      <w:pPr>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在监测井洗井稳定24</w:t>
      </w:r>
      <w:r>
        <w:rPr>
          <w:rFonts w:hint="default" w:ascii="Times New Roman" w:hAnsi="Times New Roman" w:cs="Times New Roman"/>
          <w:color w:val="auto"/>
          <w:sz w:val="24"/>
          <w:highlight w:val="none"/>
          <w:lang w:val="en-US" w:eastAsia="zh-CN"/>
        </w:rPr>
        <w:t>h</w:t>
      </w:r>
      <w:r>
        <w:rPr>
          <w:rFonts w:hint="default" w:ascii="Times New Roman" w:hAnsi="Times New Roman" w:cs="Times New Roman"/>
          <w:color w:val="auto"/>
          <w:sz w:val="24"/>
          <w:highlight w:val="none"/>
          <w:lang w:eastAsia="zh-CN"/>
        </w:rPr>
        <w:t>后，采用贝勒管进行地下水样品的采集。为避免监测井中发生混浊，贝勒管放入和提出时应缓慢进行。</w:t>
      </w:r>
    </w:p>
    <w:p>
      <w:pPr>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采样时，所有地下水样品均迅速转入由实验室提供的带有标签以及保护剂的专用样品瓶中并保存在装有冰袋的冷藏箱中，及时送往实验室分析。</w:t>
      </w:r>
    </w:p>
    <w:p>
      <w:pPr>
        <w:pStyle w:val="6"/>
        <w:numPr>
          <w:ilvl w:val="0"/>
          <w:numId w:val="0"/>
        </w:numPr>
        <w:spacing w:before="0" w:after="0" w:line="360" w:lineRule="auto"/>
        <w:ind w:leftChars="0"/>
        <w:jc w:val="left"/>
        <w:rPr>
          <w:rFonts w:hint="default" w:ascii="Times New Roman" w:hAnsi="Times New Roman"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 xml:space="preserve">3.3.3.1 </w:t>
      </w:r>
      <w:r>
        <w:rPr>
          <w:rFonts w:hint="default" w:ascii="Times New Roman" w:hAnsi="Times New Roman" w:eastAsia="宋体" w:cs="Times New Roman"/>
          <w:color w:val="auto"/>
          <w:kern w:val="0"/>
          <w:sz w:val="24"/>
          <w:szCs w:val="24"/>
          <w:highlight w:val="none"/>
        </w:rPr>
        <w:t>监测井设立与洗井</w:t>
      </w:r>
    </w:p>
    <w:tbl>
      <w:tblPr>
        <w:tblStyle w:val="21"/>
        <w:tblpPr w:leftFromText="180" w:rightFromText="180" w:vertAnchor="text" w:horzAnchor="margin" w:tblpXSpec="right" w:tblpY="21"/>
        <w:tblOverlap w:val="never"/>
        <w:tblW w:w="3880" w:type="dxa"/>
        <w:tblInd w:w="0" w:type="dxa"/>
        <w:tblLayout w:type="fixed"/>
        <w:tblCellMar>
          <w:top w:w="0" w:type="dxa"/>
          <w:left w:w="108" w:type="dxa"/>
          <w:bottom w:w="0" w:type="dxa"/>
          <w:right w:w="108" w:type="dxa"/>
        </w:tblCellMar>
      </w:tblPr>
      <w:tblGrid>
        <w:gridCol w:w="3880"/>
      </w:tblGrid>
      <w:tr>
        <w:tblPrEx>
          <w:tblCellMar>
            <w:top w:w="0" w:type="dxa"/>
            <w:left w:w="108" w:type="dxa"/>
            <w:bottom w:w="0" w:type="dxa"/>
            <w:right w:w="108" w:type="dxa"/>
          </w:tblCellMar>
        </w:tblPrEx>
        <w:trPr>
          <w:trHeight w:val="5443" w:hRule="atLeast"/>
        </w:trPr>
        <w:tc>
          <w:tcPr>
            <w:tcW w:w="3880" w:type="dxa"/>
            <w:noWrap w:val="0"/>
            <w:vAlign w:val="top"/>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1926590" cy="3197860"/>
                  <wp:effectExtent l="19050" t="19050" r="35560" b="21590"/>
                  <wp:docPr id="1" name="图片 1" descr="说明: 浅层地下水监测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浅层地下水监测井"/>
                          <pic:cNvPicPr>
                            <a:picLocks noChangeAspect="1"/>
                          </pic:cNvPicPr>
                        </pic:nvPicPr>
                        <pic:blipFill>
                          <a:blip r:embed="rId24"/>
                          <a:stretch>
                            <a:fillRect/>
                          </a:stretch>
                        </pic:blipFill>
                        <pic:spPr>
                          <a:xfrm>
                            <a:off x="0" y="0"/>
                            <a:ext cx="1926590" cy="3197860"/>
                          </a:xfrm>
                          <a:prstGeom prst="rect">
                            <a:avLst/>
                          </a:prstGeom>
                          <a:noFill/>
                          <a:ln w="19050" cmpd="sng">
                            <a:solidFill>
                              <a:schemeClr val="tx1"/>
                            </a:solidFill>
                            <a:prstDash val="solid"/>
                          </a:ln>
                        </pic:spPr>
                      </pic:pic>
                    </a:graphicData>
                  </a:graphic>
                </wp:inline>
              </w:drawing>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b/>
                <w:color w:val="auto"/>
                <w:sz w:val="24"/>
                <w:highlight w:val="none"/>
              </w:rPr>
              <w:t>图3-</w:t>
            </w:r>
            <w:r>
              <w:rPr>
                <w:rFonts w:hint="default" w:ascii="Times New Roman" w:hAnsi="Times New Roman" w:cs="Times New Roman"/>
                <w:b/>
                <w:color w:val="auto"/>
                <w:sz w:val="24"/>
                <w:highlight w:val="none"/>
                <w:lang w:val="en-US" w:eastAsia="zh-CN"/>
              </w:rPr>
              <w:t>3</w:t>
            </w:r>
            <w:r>
              <w:rPr>
                <w:rFonts w:hint="default" w:ascii="Times New Roman" w:hAnsi="Times New Roman" w:cs="Times New Roman"/>
                <w:b/>
                <w:color w:val="auto"/>
                <w:sz w:val="24"/>
                <w:highlight w:val="none"/>
              </w:rPr>
              <w:t>-1 监测井示意图</w:t>
            </w:r>
          </w:p>
        </w:tc>
      </w:tr>
    </w:tbl>
    <w:p>
      <w:pPr>
        <w:spacing w:line="360" w:lineRule="auto"/>
        <w:ind w:left="1"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由于本次土壤采样只采集表层土壤样品，</w:t>
      </w:r>
      <w:r>
        <w:rPr>
          <w:rFonts w:hint="default" w:ascii="Times New Roman" w:hAnsi="Times New Roman" w:cs="Times New Roman"/>
          <w:color w:val="auto"/>
          <w:sz w:val="24"/>
          <w:highlight w:val="none"/>
        </w:rPr>
        <w:t>地下水监测</w:t>
      </w:r>
      <w:r>
        <w:rPr>
          <w:rFonts w:hint="default" w:ascii="Times New Roman" w:hAnsi="Times New Roman" w:cs="Times New Roman"/>
          <w:color w:val="auto"/>
          <w:sz w:val="24"/>
          <w:highlight w:val="none"/>
          <w:lang w:val="en-US" w:eastAsia="zh-CN"/>
        </w:rPr>
        <w:t>井设立与土壤采样分开进行。</w:t>
      </w:r>
    </w:p>
    <w:p>
      <w:pPr>
        <w:spacing w:line="360" w:lineRule="auto"/>
        <w:ind w:left="1"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测井钻探完成后，安装一根封底的内径不小于50mm的硬质PVC井管，硬质PVC井管由底部密闭、管壁可滤水的筛管、上部延伸到地表的实管组成。筛管部分表面含水平细缝，细缝宽为0.25mm。监测井的深度和筛管的安装位置由专业人员根据现场地下水位的相对位置及各监测井的不同监测要求综合考虑后设定。</w:t>
      </w:r>
    </w:p>
    <w:p>
      <w:pPr>
        <w:spacing w:line="360" w:lineRule="auto"/>
        <w:ind w:left="1"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监测井筛管外侧周围用粒径≥0.25mm的清洁石英砂回填作为滤水层，石英砂回填至地下水水位线处，其上部再回填不透水的膨润土至自然地坪处，安装井盖。地下水监测井剖面示意图见图3-</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-1。</w:t>
      </w:r>
    </w:p>
    <w:p>
      <w:pPr>
        <w:pStyle w:val="6"/>
        <w:numPr>
          <w:ilvl w:val="0"/>
          <w:numId w:val="0"/>
        </w:numPr>
        <w:spacing w:before="0" w:after="0" w:line="360" w:lineRule="auto"/>
        <w:ind w:leftChars="0"/>
        <w:jc w:val="left"/>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 xml:space="preserve">3.3.3.2 </w:t>
      </w:r>
      <w:r>
        <w:rPr>
          <w:rFonts w:hint="default" w:ascii="Times New Roman" w:hAnsi="Times New Roman" w:eastAsia="宋体" w:cs="Times New Roman"/>
          <w:color w:val="auto"/>
          <w:kern w:val="0"/>
          <w:sz w:val="24"/>
          <w:szCs w:val="24"/>
          <w:highlight w:val="none"/>
        </w:rPr>
        <w:t>地下水样品采集</w:t>
      </w:r>
    </w:p>
    <w:p>
      <w:pPr>
        <w:spacing w:line="360" w:lineRule="auto"/>
        <w:ind w:left="1"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采样前进行监测井清洗工作，清洗采用贝勒管洗去3</w:t>
      </w:r>
      <w:r>
        <w:rPr>
          <w:rFonts w:hint="eastAsia" w:cs="Times New Roman"/>
          <w:color w:val="auto"/>
          <w:sz w:val="24"/>
          <w:highlight w:val="none"/>
          <w:lang w:val="en-US" w:eastAsia="zh-CN"/>
        </w:rPr>
        <w:t>-5</w:t>
      </w:r>
      <w:r>
        <w:rPr>
          <w:rFonts w:hint="default" w:ascii="Times New Roman" w:hAnsi="Times New Roman" w:cs="Times New Roman"/>
          <w:color w:val="auto"/>
          <w:sz w:val="24"/>
          <w:highlight w:val="none"/>
        </w:rPr>
        <w:t>倍监测井</w:t>
      </w:r>
      <w:r>
        <w:rPr>
          <w:rFonts w:hint="eastAsia" w:cs="Times New Roman"/>
          <w:color w:val="auto"/>
          <w:sz w:val="24"/>
          <w:highlight w:val="none"/>
          <w:lang w:val="en-US" w:eastAsia="zh-CN"/>
        </w:rPr>
        <w:t>总量</w:t>
      </w:r>
      <w:r>
        <w:rPr>
          <w:rFonts w:hint="default" w:ascii="Times New Roman" w:hAnsi="Times New Roman" w:cs="Times New Roman"/>
          <w:color w:val="auto"/>
          <w:sz w:val="24"/>
          <w:highlight w:val="none"/>
        </w:rPr>
        <w:t>的水。洗井完成后</w:t>
      </w:r>
      <w:r>
        <w:rPr>
          <w:rFonts w:hint="default" w:ascii="Times New Roman" w:hAnsi="Times New Roman" w:cs="Times New Roman"/>
          <w:color w:val="auto"/>
          <w:sz w:val="24"/>
          <w:highlight w:val="none"/>
          <w:lang w:val="en-US" w:eastAsia="zh-CN"/>
        </w:rPr>
        <w:t>24h</w:t>
      </w:r>
      <w:r>
        <w:rPr>
          <w:rFonts w:hint="default" w:ascii="Times New Roman" w:hAnsi="Times New Roman" w:cs="Times New Roman"/>
          <w:color w:val="auto"/>
          <w:sz w:val="24"/>
          <w:highlight w:val="none"/>
        </w:rPr>
        <w:t>，待监测井内地下水稳定后，方可进行地下水采集。</w:t>
      </w:r>
    </w:p>
    <w:p>
      <w:pPr>
        <w:spacing w:line="360" w:lineRule="auto"/>
        <w:ind w:left="1"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取样时使用贝勒管采样器采集地下水样品，从每口监测井中采取1组地下水样进行化学分析。每口地下水监测井均配备一套一次性使用的贝勒管采样器防止发生交叉污染。</w:t>
      </w:r>
    </w:p>
    <w:p>
      <w:pPr>
        <w:spacing w:line="360" w:lineRule="auto"/>
        <w:ind w:left="1"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采样时，所有地下水样品均迅速转入由实验室提供的带有标签以及保护剂的专用样品瓶中并保存在装有冰袋的冷藏箱中。</w:t>
      </w:r>
    </w:p>
    <w:p>
      <w:pPr>
        <w:pStyle w:val="5"/>
        <w:tabs>
          <w:tab w:val="clear" w:pos="851"/>
        </w:tabs>
        <w:spacing w:after="0"/>
        <w:jc w:val="left"/>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lang w:eastAsia="zh-CN"/>
        </w:rPr>
        <w:t>现场快速检测</w:t>
      </w:r>
    </w:p>
    <w:p>
      <w:pPr>
        <w:spacing w:line="360" w:lineRule="auto"/>
        <w:ind w:left="1"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为了现场判断采样区可疑情况，帮助确定土壤采样深度，本次调查采用光离子化检测（PID）进行现场快速检测，用于测量挥发性有机物的综合浓度水平。</w:t>
      </w:r>
    </w:p>
    <w:p>
      <w:pPr>
        <w:pStyle w:val="4"/>
        <w:tabs>
          <w:tab w:val="left" w:leader="dot" w:pos="0"/>
          <w:tab w:val="clear" w:pos="425"/>
        </w:tabs>
        <w:rPr>
          <w:rFonts w:hint="default" w:ascii="Times New Roman" w:hAnsi="Times New Roman" w:cs="Times New Roman"/>
          <w:color w:val="auto"/>
          <w:highlight w:val="none"/>
        </w:rPr>
      </w:pPr>
      <w:bookmarkStart w:id="33" w:name="_Toc55399872"/>
      <w:bookmarkStart w:id="34" w:name="_Toc27444"/>
      <w:bookmarkStart w:id="35" w:name="_Toc8839"/>
      <w:bookmarkStart w:id="36" w:name="_Toc22200"/>
      <w:bookmarkStart w:id="37" w:name="_Toc6498459"/>
      <w:bookmarkStart w:id="38" w:name="_Toc7081054"/>
      <w:bookmarkStart w:id="39" w:name="_Toc26697"/>
      <w:bookmarkStart w:id="40" w:name="_Toc15371866"/>
      <w:r>
        <w:rPr>
          <w:rFonts w:hint="default" w:ascii="Times New Roman" w:hAnsi="Times New Roman" w:cs="Times New Roman"/>
          <w:color w:val="auto"/>
          <w:highlight w:val="none"/>
        </w:rPr>
        <w:t>质量保证与质量控制</w:t>
      </w:r>
      <w:bookmarkEnd w:id="33"/>
      <w:bookmarkEnd w:id="34"/>
      <w:bookmarkEnd w:id="35"/>
      <w:bookmarkEnd w:id="36"/>
      <w:bookmarkEnd w:id="37"/>
      <w:bookmarkEnd w:id="38"/>
      <w:bookmarkEnd w:id="39"/>
      <w:bookmarkEnd w:id="40"/>
    </w:p>
    <w:p>
      <w:pPr>
        <w:ind w:left="1" w:firstLine="480" w:firstLineChars="200"/>
        <w:rPr>
          <w:rFonts w:hint="default" w:ascii="Times New Roman" w:hAnsi="Times New Roman" w:cs="Times New Roman"/>
          <w:color w:val="000000"/>
          <w:highlight w:val="none"/>
        </w:rPr>
      </w:pPr>
      <w:r>
        <w:rPr>
          <w:rFonts w:hint="default" w:ascii="Times New Roman" w:hAnsi="Times New Roman" w:cs="Times New Roman"/>
          <w:color w:val="000000"/>
          <w:highlight w:val="none"/>
        </w:rPr>
        <w:t>为了现场判断采样区可疑情况，本次调查采用光离子化检测（PID）进行现场快速检测，用于测量挥发性有机物的综合浓度水平。</w:t>
      </w:r>
    </w:p>
    <w:p>
      <w:pPr>
        <w:pStyle w:val="5"/>
        <w:tabs>
          <w:tab w:val="clear" w:pos="851"/>
        </w:tabs>
        <w:rPr>
          <w:rFonts w:hint="default" w:ascii="Times New Roman" w:hAnsi="Times New Roman" w:cs="Times New Roman"/>
          <w:color w:val="auto"/>
          <w:highlight w:val="none"/>
        </w:rPr>
      </w:pPr>
      <w:r>
        <w:rPr>
          <w:rFonts w:hint="default" w:ascii="Times New Roman" w:hAnsi="Times New Roman" w:cs="Times New Roman"/>
          <w:color w:val="auto"/>
          <w:highlight w:val="none"/>
        </w:rPr>
        <w:t>现场作业质量控制</w:t>
      </w:r>
    </w:p>
    <w:p>
      <w:pPr>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组人员负责调查作业的现场技术支持和质量控制工作。每个作业班组均有一名项目组人员工作跟进，负责对现场调查和取样工作进行作业技术支持和质量控制，包括：现场识别，钻探记录，样品取样装瓶，并据现场实际情况提出作业内容改进调整和建议等工作内容。</w:t>
      </w:r>
    </w:p>
    <w:p>
      <w:pPr>
        <w:pStyle w:val="5"/>
        <w:tabs>
          <w:tab w:val="clear" w:pos="851"/>
        </w:tabs>
        <w:spacing w:after="0"/>
        <w:jc w:val="left"/>
        <w:rPr>
          <w:rFonts w:hint="default" w:ascii="Times New Roman" w:hAnsi="Times New Roman" w:cs="Times New Roman"/>
          <w:color w:val="auto"/>
          <w:szCs w:val="24"/>
          <w:highlight w:val="none"/>
        </w:rPr>
      </w:pPr>
      <w:bookmarkStart w:id="41" w:name="_Toc464822938"/>
      <w:r>
        <w:rPr>
          <w:rFonts w:hint="default" w:ascii="Times New Roman" w:hAnsi="Times New Roman" w:cs="Times New Roman"/>
          <w:color w:val="auto"/>
          <w:szCs w:val="24"/>
          <w:highlight w:val="none"/>
        </w:rPr>
        <w:t>采样过程质量控制</w:t>
      </w:r>
      <w:bookmarkEnd w:id="41"/>
    </w:p>
    <w:p>
      <w:pPr>
        <w:spacing w:line="360" w:lineRule="auto"/>
        <w:ind w:left="1"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为保证在允许误差范围内获得具有代表性的样品，在采样的全过程进行质量控制。实验室分析质量保证和质量控制要求见HJ/T 164和HJ/T 166。采样前制定详细的采样计划（采样方案），采样过程中认真按采样计划进行操作。对采样人员进行专门的培训，采样人员应掌握采样技术、懂得安全操作的有关知识和处理方法。采样时，由2人以上在场进行操作。采样工具、设备保持干燥、清洁。采样过程中要防止待采样品受到污染和发生变质。样品盛入容器后，在容器壁上应随即贴上标签并做好记录。样品运输过程中，应防止样品间的交叉污染。盛样容器不可倒置、倒放，防止破损、浸湿和污染。填写好、保存好采集记录、流转清单等文件。采样全过程由专人负责。</w:t>
      </w:r>
    </w:p>
    <w:p>
      <w:pPr>
        <w:pStyle w:val="3"/>
        <w:numPr>
          <w:ilvl w:val="0"/>
          <w:numId w:val="1"/>
        </w:numPr>
        <w:tabs>
          <w:tab w:val="clear" w:pos="425"/>
        </w:tabs>
        <w:rPr>
          <w:rFonts w:hint="default" w:ascii="Times New Roman" w:hAnsi="Times New Roman" w:cs="Times New Roman"/>
          <w:color w:val="auto"/>
          <w:highlight w:val="none"/>
          <w:lang w:eastAsia="zh-CN"/>
        </w:rPr>
      </w:pPr>
      <w:bookmarkStart w:id="42" w:name="_Toc10707"/>
      <w:bookmarkStart w:id="43" w:name="_Toc32151"/>
      <w:r>
        <w:rPr>
          <w:rFonts w:hint="default" w:ascii="Times New Roman" w:hAnsi="Times New Roman" w:cs="Times New Roman"/>
          <w:color w:val="auto"/>
          <w:highlight w:val="none"/>
          <w:lang w:eastAsia="zh-CN"/>
        </w:rPr>
        <w:t>现场工作及实验室分析</w:t>
      </w:r>
      <w:bookmarkEnd w:id="42"/>
      <w:bookmarkEnd w:id="43"/>
    </w:p>
    <w:p>
      <w:pPr>
        <w:pStyle w:val="31"/>
        <w:spacing w:after="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2020年10月</w:t>
      </w:r>
      <w:r>
        <w:rPr>
          <w:rFonts w:hint="default" w:ascii="Times New Roman" w:hAnsi="Times New Roman" w:cs="Times New Roman"/>
          <w:color w:val="auto"/>
          <w:kern w:val="0"/>
          <w:sz w:val="24"/>
          <w:highlight w:val="none"/>
          <w:lang w:val="en-US" w:eastAsia="zh-CN"/>
        </w:rPr>
        <w:t>20</w:t>
      </w:r>
      <w:r>
        <w:rPr>
          <w:rFonts w:hint="default" w:ascii="Times New Roman" w:hAnsi="Times New Roman" w:cs="Times New Roman"/>
          <w:color w:val="auto"/>
          <w:kern w:val="0"/>
          <w:sz w:val="24"/>
          <w:highlight w:val="none"/>
        </w:rPr>
        <w:t>~30日，我公司与协作单位前往</w:t>
      </w:r>
      <w:r>
        <w:rPr>
          <w:rFonts w:hint="default" w:ascii="Times New Roman" w:hAnsi="Times New Roman" w:cs="Times New Roman"/>
          <w:color w:val="auto"/>
          <w:kern w:val="0"/>
          <w:sz w:val="24"/>
          <w:highlight w:val="none"/>
          <w:lang w:val="en-US" w:eastAsia="zh-CN"/>
        </w:rPr>
        <w:t>三江港经济区开</w:t>
      </w:r>
      <w:r>
        <w:rPr>
          <w:rFonts w:hint="default" w:ascii="Times New Roman" w:hAnsi="Times New Roman" w:cs="Times New Roman"/>
          <w:color w:val="auto"/>
          <w:kern w:val="0"/>
          <w:sz w:val="24"/>
          <w:highlight w:val="none"/>
        </w:rPr>
        <w:t>展了现场定点、土壤</w:t>
      </w:r>
      <w:r>
        <w:rPr>
          <w:rFonts w:hint="default" w:ascii="Times New Roman" w:hAnsi="Times New Roman" w:cs="Times New Roman"/>
          <w:color w:val="auto"/>
          <w:kern w:val="0"/>
          <w:sz w:val="24"/>
          <w:highlight w:val="none"/>
          <w:lang w:val="en-US" w:eastAsia="zh-CN"/>
        </w:rPr>
        <w:t>采集和地下水钻井及采样</w:t>
      </w:r>
      <w:r>
        <w:rPr>
          <w:rFonts w:hint="default" w:ascii="Times New Roman" w:hAnsi="Times New Roman" w:cs="Times New Roman"/>
          <w:color w:val="auto"/>
          <w:kern w:val="0"/>
          <w:sz w:val="24"/>
          <w:highlight w:val="none"/>
        </w:rPr>
        <w:t>工作</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lang w:val="en-US" w:eastAsia="zh-CN"/>
        </w:rPr>
        <w:t>土壤表层（0-0.5m）样品采用手工铲的方式采集，地下水样品</w:t>
      </w:r>
      <w:r>
        <w:rPr>
          <w:rFonts w:hint="default" w:ascii="Times New Roman" w:hAnsi="Times New Roman" w:cs="Times New Roman"/>
          <w:color w:val="auto"/>
          <w:kern w:val="0"/>
          <w:sz w:val="24"/>
          <w:highlight w:val="none"/>
        </w:rPr>
        <w:t>采用XY-150履带式钻机钻取了</w:t>
      </w:r>
      <w:r>
        <w:rPr>
          <w:rFonts w:hint="default" w:ascii="Times New Roman" w:hAnsi="Times New Roman" w:cs="Times New Roman"/>
          <w:color w:val="auto"/>
          <w:kern w:val="0"/>
          <w:sz w:val="24"/>
          <w:highlight w:val="none"/>
          <w:lang w:val="en-US" w:eastAsia="zh-CN"/>
        </w:rPr>
        <w:t>2</w:t>
      </w:r>
      <w:r>
        <w:rPr>
          <w:rFonts w:hint="default" w:ascii="Times New Roman" w:hAnsi="Times New Roman" w:cs="Times New Roman"/>
          <w:color w:val="auto"/>
          <w:kern w:val="0"/>
          <w:sz w:val="24"/>
          <w:highlight w:val="none"/>
        </w:rPr>
        <w:t>口直径为90-130mm的</w:t>
      </w:r>
      <w:r>
        <w:rPr>
          <w:rFonts w:hint="default" w:ascii="Times New Roman" w:hAnsi="Times New Roman" w:cs="Times New Roman"/>
          <w:color w:val="auto"/>
          <w:kern w:val="0"/>
          <w:sz w:val="24"/>
          <w:highlight w:val="none"/>
          <w:lang w:val="en-US" w:eastAsia="zh-CN"/>
        </w:rPr>
        <w:t>土孔并建成地下水井后采集。</w:t>
      </w:r>
      <w:r>
        <w:rPr>
          <w:rFonts w:hint="default" w:ascii="Times New Roman" w:hAnsi="Times New Roman" w:cs="Times New Roman"/>
          <w:color w:val="auto"/>
          <w:kern w:val="0"/>
          <w:sz w:val="24"/>
          <w:highlight w:val="none"/>
        </w:rPr>
        <w:t>本次调查主要工作内容总结如下：</w:t>
      </w:r>
    </w:p>
    <w:p>
      <w:pPr>
        <w:numPr>
          <w:ilvl w:val="0"/>
          <w:numId w:val="8"/>
        </w:numPr>
        <w:ind w:firstLine="420" w:firstLineChars="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lang w:eastAsia="zh-CN"/>
        </w:rPr>
        <w:t>第一阶段采样</w:t>
      </w:r>
      <w:r>
        <w:rPr>
          <w:rFonts w:hint="default" w:ascii="Times New Roman" w:hAnsi="Times New Roman" w:cs="Times New Roman"/>
          <w:color w:val="auto"/>
          <w:szCs w:val="24"/>
          <w:highlight w:val="none"/>
        </w:rPr>
        <w:t>设置土壤采样点</w:t>
      </w:r>
      <w:r>
        <w:rPr>
          <w:rFonts w:hint="default" w:ascii="Times New Roman" w:hAnsi="Times New Roman" w:cs="Times New Roman"/>
          <w:color w:val="auto"/>
          <w:szCs w:val="24"/>
          <w:highlight w:val="none"/>
          <w:lang w:val="en-US" w:eastAsia="zh-CN"/>
        </w:rPr>
        <w:t>16</w:t>
      </w:r>
      <w:r>
        <w:rPr>
          <w:rFonts w:hint="default" w:ascii="Times New Roman" w:hAnsi="Times New Roman" w:cs="Times New Roman"/>
          <w:color w:val="auto"/>
          <w:szCs w:val="24"/>
          <w:highlight w:val="none"/>
        </w:rPr>
        <w:t>个，</w:t>
      </w:r>
      <w:r>
        <w:rPr>
          <w:rFonts w:hint="default" w:ascii="Times New Roman" w:hAnsi="Times New Roman" w:cs="Times New Roman"/>
          <w:color w:val="auto"/>
          <w:szCs w:val="24"/>
          <w:highlight w:val="none"/>
          <w:lang w:eastAsia="zh-CN"/>
        </w:rPr>
        <w:t>共采集土壤样品</w:t>
      </w:r>
      <w:r>
        <w:rPr>
          <w:rFonts w:hint="default" w:ascii="Times New Roman" w:hAnsi="Times New Roman" w:cs="Times New Roman"/>
          <w:color w:val="auto"/>
          <w:szCs w:val="24"/>
          <w:highlight w:val="none"/>
          <w:lang w:val="en-US" w:eastAsia="zh-CN"/>
        </w:rPr>
        <w:t>16个、</w:t>
      </w:r>
      <w:r>
        <w:rPr>
          <w:rFonts w:hint="default" w:ascii="Times New Roman" w:hAnsi="Times New Roman" w:cs="Times New Roman"/>
          <w:color w:val="auto"/>
          <w:highlight w:val="none"/>
          <w:lang w:eastAsia="zh-CN"/>
        </w:rPr>
        <w:t>现场平行盲样</w:t>
      </w:r>
      <w:r>
        <w:rPr>
          <w:rFonts w:hint="default" w:ascii="Times New Roman" w:hAnsi="Times New Roman" w:cs="Times New Roman"/>
          <w:color w:val="auto"/>
          <w:highlight w:val="none"/>
          <w:lang w:val="en-US" w:eastAsia="zh-CN"/>
        </w:rPr>
        <w:t>1个和运输空白样1个，共送检18个样品</w:t>
      </w:r>
      <w:r>
        <w:rPr>
          <w:rFonts w:hint="default" w:ascii="Times New Roman" w:hAnsi="Times New Roman" w:cs="Times New Roman"/>
          <w:color w:val="auto"/>
          <w:szCs w:val="24"/>
          <w:highlight w:val="none"/>
        </w:rPr>
        <w:t>，测试项目包括</w:t>
      </w:r>
      <w:r>
        <w:rPr>
          <w:rFonts w:hint="default" w:ascii="Times New Roman" w:hAnsi="Times New Roman" w:cs="Times New Roman"/>
          <w:color w:val="auto"/>
          <w:highlight w:val="none"/>
        </w:rPr>
        <w:t>pH、重金属、挥发性有机物、半挥发性有机物</w:t>
      </w:r>
      <w:r>
        <w:rPr>
          <w:rFonts w:hint="default" w:ascii="Times New Roman" w:hAnsi="Times New Roman" w:cs="Times New Roman"/>
          <w:color w:val="auto"/>
          <w:highlight w:val="none"/>
          <w:lang w:eastAsia="zh-CN"/>
        </w:rPr>
        <w:t>、</w:t>
      </w:r>
      <w:r>
        <w:rPr>
          <w:rFonts w:hint="default" w:ascii="Times New Roman" w:hAnsi="Times New Roman" w:cs="Times New Roman"/>
          <w:color w:val="auto"/>
          <w:kern w:val="0"/>
          <w:sz w:val="24"/>
          <w:highlight w:val="none"/>
          <w:lang w:val="en-US" w:eastAsia="zh-CN"/>
        </w:rPr>
        <w:t>钴、钼、锑、石油烃（C</w:t>
      </w:r>
      <w:r>
        <w:rPr>
          <w:rFonts w:hint="default" w:ascii="Times New Roman" w:hAnsi="Times New Roman" w:cs="Times New Roman"/>
          <w:color w:val="auto"/>
          <w:kern w:val="0"/>
          <w:sz w:val="24"/>
          <w:highlight w:val="none"/>
          <w:vertAlign w:val="subscript"/>
          <w:lang w:val="en-US" w:eastAsia="zh-CN"/>
        </w:rPr>
        <w:t>10</w:t>
      </w:r>
      <w:r>
        <w:rPr>
          <w:rFonts w:hint="default" w:ascii="Times New Roman" w:hAnsi="Times New Roman" w:cs="Times New Roman"/>
          <w:color w:val="auto"/>
          <w:kern w:val="0"/>
          <w:sz w:val="24"/>
          <w:highlight w:val="none"/>
          <w:lang w:val="en-US" w:eastAsia="zh-CN"/>
        </w:rPr>
        <w:t>-C</w:t>
      </w:r>
      <w:r>
        <w:rPr>
          <w:rFonts w:hint="default" w:ascii="Times New Roman" w:hAnsi="Times New Roman" w:cs="Times New Roman"/>
          <w:color w:val="auto"/>
          <w:kern w:val="0"/>
          <w:sz w:val="24"/>
          <w:highlight w:val="none"/>
          <w:vertAlign w:val="subscript"/>
          <w:lang w:val="en-US" w:eastAsia="zh-CN"/>
        </w:rPr>
        <w:t>40</w:t>
      </w:r>
      <w:r>
        <w:rPr>
          <w:rFonts w:hint="default" w:ascii="Times New Roman" w:hAnsi="Times New Roman" w:cs="Times New Roman"/>
          <w:color w:val="auto"/>
          <w:kern w:val="0"/>
          <w:sz w:val="24"/>
          <w:highlight w:val="none"/>
          <w:lang w:val="en-US" w:eastAsia="zh-CN"/>
        </w:rPr>
        <w:t>）、氟化物、</w:t>
      </w:r>
      <w:r>
        <w:rPr>
          <w:rFonts w:hint="default" w:ascii="Times New Roman" w:hAnsi="Times New Roman" w:cs="Times New Roman"/>
          <w:color w:val="auto"/>
          <w:kern w:val="0"/>
          <w:sz w:val="24"/>
          <w:szCs w:val="24"/>
          <w:highlight w:val="none"/>
          <w:lang w:val="en-US" w:eastAsia="zh-CN"/>
        </w:rPr>
        <w:t>二噁英、多氯联苯（总量）、苯酚、2-甲基苯酚、4-甲基苯酚、二硫化碳、1,2,4-三甲基苯、1,3,5-三甲基苯</w:t>
      </w:r>
      <w:r>
        <w:rPr>
          <w:rFonts w:hint="default" w:ascii="Times New Roman" w:hAnsi="Times New Roman" w:cs="Times New Roman"/>
          <w:color w:val="auto"/>
          <w:highlight w:val="none"/>
        </w:rPr>
        <w:t>共计</w:t>
      </w:r>
      <w:r>
        <w:rPr>
          <w:rFonts w:hint="default" w:ascii="Times New Roman" w:hAnsi="Times New Roman" w:cs="Times New Roman"/>
          <w:color w:val="auto"/>
          <w:highlight w:val="none"/>
          <w:lang w:val="en-US" w:eastAsia="zh-CN"/>
        </w:rPr>
        <w:t>61</w:t>
      </w:r>
      <w:r>
        <w:rPr>
          <w:rFonts w:hint="default" w:ascii="Times New Roman" w:hAnsi="Times New Roman" w:cs="Times New Roman"/>
          <w:color w:val="auto"/>
          <w:highlight w:val="none"/>
        </w:rPr>
        <w:t>项</w:t>
      </w:r>
      <w:r>
        <w:rPr>
          <w:rFonts w:hint="default" w:ascii="Times New Roman" w:hAnsi="Times New Roman" w:cs="Times New Roman"/>
          <w:color w:val="auto"/>
          <w:szCs w:val="24"/>
          <w:highlight w:val="none"/>
        </w:rPr>
        <w:t>；</w:t>
      </w:r>
    </w:p>
    <w:p>
      <w:pPr>
        <w:pStyle w:val="31"/>
        <w:keepNext w:val="0"/>
        <w:keepLines w:val="0"/>
        <w:pageBreakBefore w:val="0"/>
        <w:widowControl w:val="0"/>
        <w:kinsoku/>
        <w:wordWrap/>
        <w:overflowPunct/>
        <w:topLinePunct w:val="0"/>
        <w:autoSpaceDE/>
        <w:autoSpaceDN/>
        <w:bidi w:val="0"/>
        <w:adjustRightInd/>
        <w:snapToGrid/>
        <w:spacing w:after="0"/>
        <w:ind w:firstLine="42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kern w:val="0"/>
          <w:sz w:val="24"/>
          <w:highlight w:val="none"/>
        </w:rPr>
        <w:t>（</w:t>
      </w:r>
      <w:r>
        <w:rPr>
          <w:rFonts w:hint="eastAsia" w:cs="Times New Roman"/>
          <w:color w:val="auto"/>
          <w:kern w:val="0"/>
          <w:sz w:val="24"/>
          <w:highlight w:val="none"/>
          <w:lang w:val="en-US" w:eastAsia="zh-CN"/>
        </w:rPr>
        <w:t>2</w:t>
      </w:r>
      <w:r>
        <w:rPr>
          <w:rFonts w:hint="default" w:ascii="Times New Roman" w:hAnsi="Times New Roman" w:cs="Times New Roman"/>
          <w:color w:val="auto"/>
          <w:kern w:val="0"/>
          <w:sz w:val="24"/>
          <w:highlight w:val="none"/>
        </w:rPr>
        <w:t>）设置地下水</w:t>
      </w:r>
      <w:r>
        <w:rPr>
          <w:rFonts w:hint="default" w:ascii="Times New Roman" w:hAnsi="Times New Roman" w:cs="Times New Roman"/>
          <w:color w:val="auto"/>
          <w:sz w:val="24"/>
          <w:highlight w:val="none"/>
        </w:rPr>
        <w:t>采样点</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个，采集并送检</w:t>
      </w:r>
      <w:r>
        <w:rPr>
          <w:rFonts w:hint="default" w:ascii="Times New Roman" w:hAnsi="Times New Roman" w:cs="Times New Roman"/>
          <w:color w:val="auto"/>
          <w:kern w:val="0"/>
          <w:sz w:val="24"/>
          <w:highlight w:val="none"/>
        </w:rPr>
        <w:t>地下水样品</w:t>
      </w:r>
      <w:r>
        <w:rPr>
          <w:rFonts w:hint="default" w:ascii="Times New Roman" w:hAnsi="Times New Roman" w:cs="Times New Roman"/>
          <w:color w:val="auto"/>
          <w:kern w:val="0"/>
          <w:sz w:val="24"/>
          <w:highlight w:val="none"/>
          <w:lang w:val="en-US" w:eastAsia="zh-CN"/>
        </w:rPr>
        <w:t>2</w:t>
      </w:r>
      <w:r>
        <w:rPr>
          <w:rFonts w:hint="default" w:ascii="Times New Roman" w:hAnsi="Times New Roman" w:cs="Times New Roman"/>
          <w:color w:val="auto"/>
          <w:kern w:val="0"/>
          <w:sz w:val="24"/>
          <w:highlight w:val="none"/>
        </w:rPr>
        <w:t>个，测试项目包括</w:t>
      </w:r>
      <w:r>
        <w:rPr>
          <w:rFonts w:hint="default" w:ascii="Times New Roman" w:hAnsi="Times New Roman" w:cs="Times New Roman"/>
          <w:color w:val="auto"/>
          <w:sz w:val="24"/>
          <w:highlight w:val="none"/>
        </w:rPr>
        <w:t>无机项目（</w:t>
      </w:r>
      <w:r>
        <w:rPr>
          <w:rFonts w:hint="default" w:ascii="Times New Roman" w:hAnsi="Times New Roman" w:cs="Times New Roman"/>
          <w:color w:val="auto"/>
          <w:sz w:val="24"/>
          <w:highlight w:val="none"/>
          <w:lang w:val="en-US" w:eastAsia="zh-CN"/>
        </w:rPr>
        <w:t>14</w:t>
      </w:r>
      <w:r>
        <w:rPr>
          <w:rFonts w:hint="default" w:ascii="Times New Roman" w:hAnsi="Times New Roman" w:cs="Times New Roman"/>
          <w:color w:val="auto"/>
          <w:sz w:val="24"/>
          <w:highlight w:val="none"/>
        </w:rPr>
        <w:t>项）、金属类（</w:t>
      </w:r>
      <w:r>
        <w:rPr>
          <w:rFonts w:hint="default" w:ascii="Times New Roman" w:hAnsi="Times New Roman" w:cs="Times New Roman"/>
          <w:color w:val="auto"/>
          <w:sz w:val="24"/>
          <w:highlight w:val="none"/>
          <w:lang w:val="en-US" w:eastAsia="zh-CN"/>
        </w:rPr>
        <w:t>13</w:t>
      </w:r>
      <w:r>
        <w:rPr>
          <w:rFonts w:hint="default" w:ascii="Times New Roman" w:hAnsi="Times New Roman" w:cs="Times New Roman"/>
          <w:color w:val="auto"/>
          <w:sz w:val="24"/>
          <w:highlight w:val="none"/>
        </w:rPr>
        <w:t>项）、有机类（</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项）等</w:t>
      </w:r>
      <w:r>
        <w:rPr>
          <w:rFonts w:hint="default" w:ascii="Times New Roman" w:hAnsi="Times New Roman" w:cs="Times New Roman"/>
          <w:color w:val="auto"/>
          <w:sz w:val="24"/>
          <w:highlight w:val="none"/>
          <w:lang w:val="en-US" w:eastAsia="zh-CN"/>
        </w:rPr>
        <w:t>32</w:t>
      </w:r>
      <w:r>
        <w:rPr>
          <w:rFonts w:hint="default" w:ascii="Times New Roman" w:hAnsi="Times New Roman" w:cs="Times New Roman"/>
          <w:color w:val="auto"/>
          <w:sz w:val="24"/>
          <w:highlight w:val="none"/>
        </w:rPr>
        <w:t>项。</w:t>
      </w:r>
    </w:p>
    <w:p>
      <w:pPr>
        <w:pStyle w:val="4"/>
        <w:tabs>
          <w:tab w:val="clear" w:pos="425"/>
        </w:tabs>
        <w:rPr>
          <w:rFonts w:hint="default" w:ascii="Times New Roman" w:hAnsi="Times New Roman" w:cs="Times New Roman"/>
          <w:color w:val="auto"/>
          <w:highlight w:val="none"/>
        </w:rPr>
      </w:pPr>
      <w:bookmarkStart w:id="44" w:name="_Toc14511"/>
      <w:bookmarkStart w:id="45" w:name="_Toc30602"/>
      <w:r>
        <w:rPr>
          <w:rFonts w:hint="eastAsia" w:cs="Times New Roman"/>
          <w:color w:val="auto"/>
          <w:highlight w:val="none"/>
          <w:lang w:val="en-US" w:eastAsia="zh-CN"/>
        </w:rPr>
        <w:t xml:space="preserve"> </w:t>
      </w:r>
      <w:r>
        <w:rPr>
          <w:rFonts w:hint="default" w:ascii="Times New Roman" w:hAnsi="Times New Roman" w:cs="Times New Roman"/>
          <w:color w:val="auto"/>
          <w:highlight w:val="none"/>
          <w:lang w:eastAsia="zh-CN"/>
        </w:rPr>
        <w:t>现场定点测绘</w:t>
      </w:r>
      <w:bookmarkEnd w:id="44"/>
      <w:bookmarkEnd w:id="45"/>
    </w:p>
    <w:p>
      <w:pPr>
        <w:pStyle w:val="31"/>
        <w:spacing w:after="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为了进一步明确，统一各采样点位的实际地理坐标，根据采样布点方案，对每个采样点使用GPS进行现场定点。若存在部分点位因</w:t>
      </w:r>
      <w:r>
        <w:rPr>
          <w:rFonts w:hint="default" w:ascii="Times New Roman" w:hAnsi="Times New Roman" w:cs="Times New Roman"/>
          <w:color w:val="auto"/>
          <w:kern w:val="0"/>
          <w:sz w:val="24"/>
          <w:highlight w:val="none"/>
          <w:lang w:eastAsia="zh-CN"/>
        </w:rPr>
        <w:t>园区</w:t>
      </w:r>
      <w:r>
        <w:rPr>
          <w:rFonts w:hint="default" w:ascii="Times New Roman" w:hAnsi="Times New Roman" w:cs="Times New Roman"/>
          <w:color w:val="auto"/>
          <w:kern w:val="0"/>
          <w:sz w:val="24"/>
          <w:highlight w:val="none"/>
        </w:rPr>
        <w:t>实际条件无法采样时，记录调整后的坐标、偏移方位及距离，及时修正点位，并用GPS记录实际采样点坐标。</w:t>
      </w:r>
    </w:p>
    <w:p>
      <w:pPr>
        <w:pStyle w:val="4"/>
        <w:tabs>
          <w:tab w:val="clear" w:pos="425"/>
        </w:tabs>
        <w:rPr>
          <w:rFonts w:hint="default" w:ascii="Times New Roman" w:hAnsi="Times New Roman" w:cs="Times New Roman"/>
          <w:color w:val="auto"/>
          <w:highlight w:val="none"/>
        </w:rPr>
      </w:pPr>
      <w:bookmarkStart w:id="46" w:name="_Toc25534"/>
      <w:bookmarkStart w:id="47" w:name="_Toc17669"/>
      <w:r>
        <w:rPr>
          <w:rFonts w:hint="default" w:ascii="Times New Roman" w:hAnsi="Times New Roman" w:cs="Times New Roman"/>
          <w:color w:val="auto"/>
          <w:highlight w:val="none"/>
          <w:lang w:eastAsia="zh-CN"/>
        </w:rPr>
        <w:t>样品采集</w:t>
      </w:r>
      <w:bookmarkEnd w:id="46"/>
      <w:bookmarkEnd w:id="47"/>
    </w:p>
    <w:p>
      <w:pPr>
        <w:pStyle w:val="5"/>
        <w:tabs>
          <w:tab w:val="left" w:pos="425"/>
        </w:tabs>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土壤</w:t>
      </w:r>
      <w:r>
        <w:rPr>
          <w:rFonts w:hint="default" w:ascii="Times New Roman" w:hAnsi="Times New Roman" w:cs="Times New Roman"/>
          <w:color w:val="auto"/>
          <w:highlight w:val="none"/>
        </w:rPr>
        <w:t>样品采集</w:t>
      </w:r>
    </w:p>
    <w:p>
      <w:pPr>
        <w:spacing w:line="360" w:lineRule="auto"/>
        <w:ind w:firstLine="480" w:firstLineChars="20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sz w:val="24"/>
          <w:highlight w:val="none"/>
          <w:lang w:eastAsia="zh-CN"/>
        </w:rPr>
        <w:t>园区</w:t>
      </w:r>
      <w:r>
        <w:rPr>
          <w:rFonts w:hint="default" w:ascii="Times New Roman" w:hAnsi="Times New Roman" w:cs="Times New Roman"/>
          <w:color w:val="auto"/>
          <w:sz w:val="24"/>
          <w:highlight w:val="none"/>
        </w:rPr>
        <w:t>土壤样品采集工作委托苏伊士环境检测技术（上海）有限公司承担</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现场采样情况说明见附件5。</w:t>
      </w:r>
    </w:p>
    <w:p>
      <w:pPr>
        <w:pStyle w:val="6"/>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142" w:leftChars="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4.2.1.1采集工具和方法</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土壤样品采用</w:t>
      </w:r>
      <w:r>
        <w:rPr>
          <w:rFonts w:hint="default" w:ascii="Times New Roman" w:hAnsi="Times New Roman" w:cs="Times New Roman"/>
          <w:color w:val="auto"/>
          <w:sz w:val="24"/>
          <w:highlight w:val="none"/>
          <w:lang w:eastAsia="zh-CN"/>
        </w:rPr>
        <w:t>手工铲</w:t>
      </w:r>
      <w:r>
        <w:rPr>
          <w:rFonts w:hint="default" w:ascii="Times New Roman" w:hAnsi="Times New Roman" w:cs="Times New Roman"/>
          <w:color w:val="auto"/>
          <w:sz w:val="24"/>
          <w:highlight w:val="none"/>
        </w:rPr>
        <w:t>采集，在技术人员的指导下进行，根据相关技术导则操作。现场采样时，通过辅以样品性状、气味等污染识别方法，取相应深度土壤，专业技术人员戴上一次性的无污染手术用橡胶手套，用</w:t>
      </w:r>
      <w:r>
        <w:rPr>
          <w:rFonts w:hint="default" w:ascii="Times New Roman" w:hAnsi="Times New Roman" w:cs="Times New Roman"/>
          <w:color w:val="auto"/>
          <w:sz w:val="24"/>
          <w:highlight w:val="none"/>
          <w:lang w:eastAsia="zh-CN"/>
        </w:rPr>
        <w:t>手工铲</w:t>
      </w:r>
      <w:r>
        <w:rPr>
          <w:rFonts w:hint="default" w:ascii="Times New Roman" w:hAnsi="Times New Roman" w:cs="Times New Roman"/>
          <w:color w:val="auto"/>
          <w:sz w:val="24"/>
          <w:highlight w:val="none"/>
        </w:rPr>
        <w:t>将取出的土壤装入样品瓶（袋）中，压实密封。用记号笔在每个样品瓶中记录样品名称、编号、采样日期等信息，边采边记，避免遗漏。样品瓶是由负责样品检测单位的实验室提供的、事先准备好带到现场。典型监测点位现场采样及样品照片</w:t>
      </w:r>
      <w:r>
        <w:rPr>
          <w:rFonts w:hint="default" w:ascii="Times New Roman" w:hAnsi="Times New Roman" w:cs="Times New Roman"/>
          <w:color w:val="auto"/>
          <w:sz w:val="24"/>
          <w:highlight w:val="none"/>
          <w:lang w:eastAsia="zh-CN"/>
        </w:rPr>
        <w:t>见下图</w:t>
      </w:r>
      <w:r>
        <w:rPr>
          <w:rFonts w:hint="default" w:ascii="Times New Roman" w:hAnsi="Times New Roman" w:cs="Times New Roman"/>
          <w:color w:val="auto"/>
          <w:sz w:val="24"/>
          <w:highlight w:val="none"/>
        </w:rPr>
        <w:t>。</w:t>
      </w:r>
    </w:p>
    <w:tbl>
      <w:tblPr>
        <w:tblStyle w:val="21"/>
        <w:tblW w:w="97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19"/>
        <w:gridCol w:w="50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4719" w:type="dxa"/>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drawing>
                <wp:inline distT="0" distB="0" distL="114300" distR="114300">
                  <wp:extent cx="2778760" cy="2084070"/>
                  <wp:effectExtent l="0" t="0" r="2540" b="11430"/>
                  <wp:docPr id="12" name="图片 12" descr="IMG_20201021_14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01021_143803"/>
                          <pic:cNvPicPr>
                            <a:picLocks noChangeAspect="1"/>
                          </pic:cNvPicPr>
                        </pic:nvPicPr>
                        <pic:blipFill>
                          <a:blip r:embed="rId25"/>
                          <a:stretch>
                            <a:fillRect/>
                          </a:stretch>
                        </pic:blipFill>
                        <pic:spPr>
                          <a:xfrm>
                            <a:off x="0" y="0"/>
                            <a:ext cx="2778760" cy="2084070"/>
                          </a:xfrm>
                          <a:prstGeom prst="rect">
                            <a:avLst/>
                          </a:prstGeom>
                        </pic:spPr>
                      </pic:pic>
                    </a:graphicData>
                  </a:graphic>
                </wp:inline>
              </w:drawing>
            </w:r>
          </w:p>
        </w:tc>
        <w:tc>
          <w:tcPr>
            <w:tcW w:w="5079" w:type="dxa"/>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b/>
                <w:bCs/>
                <w:color w:val="auto"/>
                <w:highlight w:val="none"/>
                <w:lang w:val="en-US" w:eastAsia="zh-CN"/>
              </w:rPr>
              <w:drawing>
                <wp:inline distT="0" distB="0" distL="114300" distR="114300">
                  <wp:extent cx="2857500" cy="2143125"/>
                  <wp:effectExtent l="0" t="0" r="0" b="9525"/>
                  <wp:docPr id="15" name="图片 15" descr="IMG_20201021_12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01021_122940"/>
                          <pic:cNvPicPr>
                            <a:picLocks noChangeAspect="1"/>
                          </pic:cNvPicPr>
                        </pic:nvPicPr>
                        <pic:blipFill>
                          <a:blip r:embed="rId26"/>
                          <a:stretch>
                            <a:fillRect/>
                          </a:stretch>
                        </pic:blipFill>
                        <pic:spPr>
                          <a:xfrm>
                            <a:off x="0" y="0"/>
                            <a:ext cx="2857500" cy="2143125"/>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719" w:type="dxa"/>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b/>
                <w:bCs/>
                <w:color w:val="auto"/>
                <w:highlight w:val="none"/>
              </w:rPr>
              <w:t>现场采样照片</w:t>
            </w:r>
          </w:p>
        </w:tc>
        <w:tc>
          <w:tcPr>
            <w:tcW w:w="5079" w:type="dxa"/>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b/>
                <w:bCs/>
                <w:color w:val="auto"/>
                <w:highlight w:val="none"/>
              </w:rPr>
              <w:t>现场</w:t>
            </w:r>
            <w:r>
              <w:rPr>
                <w:rFonts w:hint="default" w:ascii="Times New Roman" w:hAnsi="Times New Roman" w:cs="Times New Roman"/>
                <w:b/>
                <w:bCs/>
                <w:color w:val="auto"/>
                <w:highlight w:val="none"/>
                <w:lang w:eastAsia="zh-CN"/>
              </w:rPr>
              <w:t>样品</w:t>
            </w:r>
            <w:r>
              <w:rPr>
                <w:rFonts w:hint="default" w:ascii="Times New Roman" w:hAnsi="Times New Roman" w:cs="Times New Roman"/>
                <w:b/>
                <w:bCs/>
                <w:color w:val="auto"/>
                <w:highlight w:val="none"/>
              </w:rPr>
              <w:t>照片</w:t>
            </w:r>
          </w:p>
        </w:tc>
      </w:tr>
    </w:tbl>
    <w:p>
      <w:pPr>
        <w:spacing w:line="360" w:lineRule="auto"/>
        <w:jc w:val="center"/>
        <w:rPr>
          <w:rFonts w:hint="default" w:ascii="Times New Roman" w:hAnsi="Times New Roman" w:cs="Times New Roman"/>
          <w:color w:val="auto"/>
          <w:highlight w:val="none"/>
        </w:rPr>
      </w:pPr>
      <w:r>
        <w:rPr>
          <w:rFonts w:hint="default" w:ascii="Times New Roman" w:hAnsi="Times New Roman" w:eastAsia="黑体" w:cs="Times New Roman"/>
          <w:b/>
          <w:color w:val="auto"/>
          <w:sz w:val="24"/>
          <w:szCs w:val="20"/>
          <w:highlight w:val="none"/>
        </w:rPr>
        <w:t>图4-2-</w:t>
      </w:r>
      <w:r>
        <w:rPr>
          <w:rFonts w:hint="default" w:ascii="Times New Roman" w:hAnsi="Times New Roman" w:eastAsia="黑体" w:cs="Times New Roman"/>
          <w:b/>
          <w:color w:val="auto"/>
          <w:sz w:val="24"/>
          <w:szCs w:val="20"/>
          <w:highlight w:val="none"/>
          <w:lang w:val="en-US" w:eastAsia="zh-CN"/>
        </w:rPr>
        <w:t>1</w:t>
      </w:r>
      <w:r>
        <w:rPr>
          <w:rFonts w:hint="default" w:ascii="Times New Roman" w:hAnsi="Times New Roman" w:eastAsia="黑体" w:cs="Times New Roman"/>
          <w:b/>
          <w:color w:val="auto"/>
          <w:sz w:val="24"/>
          <w:szCs w:val="20"/>
          <w:highlight w:val="none"/>
        </w:rPr>
        <w:t xml:space="preserve">  典型监测点位现场采样及样品照片</w:t>
      </w:r>
    </w:p>
    <w:p>
      <w:pPr>
        <w:pStyle w:val="6"/>
        <w:numPr>
          <w:ilvl w:val="0"/>
          <w:numId w:val="0"/>
        </w:numPr>
        <w:spacing w:before="0" w:after="0" w:line="360" w:lineRule="auto"/>
        <w:ind w:leftChars="0"/>
        <w:jc w:val="left"/>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4.2.1.2样品现场筛测</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现场技术人员检查和记录土壤的类型，通过目测或嗅闻判断土壤是否有污染痕迹。为了现场判断采样区可疑情况，本次调查采用手持式光离子化检测器（PID）检测土壤中挥发性有机物的含量。同时采集平行样品，用于质量保证和质量控制。现场快速检测典型照片见</w:t>
      </w:r>
      <w:r>
        <w:rPr>
          <w:rFonts w:hint="default" w:ascii="Times New Roman" w:hAnsi="Times New Roman" w:cs="Times New Roman"/>
          <w:color w:val="auto"/>
          <w:sz w:val="24"/>
          <w:highlight w:val="none"/>
          <w:lang w:eastAsia="zh-CN"/>
        </w:rPr>
        <w:t>下图</w:t>
      </w:r>
      <w:r>
        <w:rPr>
          <w:rFonts w:hint="default" w:ascii="Times New Roman" w:hAnsi="Times New Roman" w:cs="Times New Roman"/>
          <w:color w:val="auto"/>
          <w:sz w:val="24"/>
          <w:highlight w:val="none"/>
        </w:rPr>
        <w:t>。</w:t>
      </w:r>
    </w:p>
    <w:tbl>
      <w:tblPr>
        <w:tblStyle w:val="21"/>
        <w:tblW w:w="326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4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3" w:hRule="atLeast"/>
          <w:jc w:val="center"/>
        </w:trPr>
        <w:tc>
          <w:tcPr>
            <w:tcW w:w="5000" w:type="pct"/>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drawing>
                <wp:inline distT="0" distB="0" distL="114300" distR="114300">
                  <wp:extent cx="3849370" cy="2297430"/>
                  <wp:effectExtent l="0" t="0" r="17780" b="7620"/>
                  <wp:docPr id="17" name="图片 1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1"/>
                          <pic:cNvPicPr>
                            <a:picLocks noChangeAspect="1"/>
                          </pic:cNvPicPr>
                        </pic:nvPicPr>
                        <pic:blipFill>
                          <a:blip r:embed="rId27"/>
                          <a:stretch>
                            <a:fillRect/>
                          </a:stretch>
                        </pic:blipFill>
                        <pic:spPr>
                          <a:xfrm>
                            <a:off x="0" y="0"/>
                            <a:ext cx="3849370" cy="2297430"/>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000" w:type="pct"/>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现场PID快速检测</w:t>
            </w:r>
          </w:p>
        </w:tc>
      </w:tr>
    </w:tbl>
    <w:p>
      <w:pPr>
        <w:spacing w:line="360" w:lineRule="auto"/>
        <w:ind w:firstLine="482"/>
        <w:jc w:val="center"/>
        <w:rPr>
          <w:rFonts w:hint="default" w:ascii="Times New Roman" w:hAnsi="Times New Roman" w:eastAsia="黑体" w:cs="Times New Roman"/>
          <w:b/>
          <w:color w:val="auto"/>
          <w:sz w:val="24"/>
          <w:szCs w:val="20"/>
          <w:highlight w:val="none"/>
        </w:rPr>
      </w:pPr>
      <w:r>
        <w:rPr>
          <w:rFonts w:hint="default" w:ascii="Times New Roman" w:hAnsi="Times New Roman" w:eastAsia="黑体" w:cs="Times New Roman"/>
          <w:b/>
          <w:color w:val="auto"/>
          <w:sz w:val="24"/>
          <w:szCs w:val="20"/>
          <w:highlight w:val="none"/>
        </w:rPr>
        <w:t>图4-2-2  典型监测点位现场快速检测照片</w:t>
      </w:r>
    </w:p>
    <w:p>
      <w:pPr>
        <w:pStyle w:val="6"/>
        <w:numPr>
          <w:ilvl w:val="0"/>
          <w:numId w:val="0"/>
        </w:numPr>
        <w:spacing w:before="0" w:after="0" w:line="360" w:lineRule="auto"/>
        <w:ind w:leftChars="0"/>
        <w:jc w:val="left"/>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4.2.1.3样品保存</w:t>
      </w:r>
    </w:p>
    <w:p>
      <w:p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装入土壤样品的样品瓶（袋），需立即放置到冷藏箱中，低温保存。样品采集完成后在样品保存流转时限内送至实验室分析。样品装运前核对采样记录表、样品标签等，如有缺漏项和错误处，将及时补充和修正后方可装运。样品运输过程中严防损失、混淆或玷污。样品送到实验室后，采样人员和实验室样品管理员双方同时清点核实样品，并在样品流转单上签字确认。</w:t>
      </w:r>
    </w:p>
    <w:p>
      <w:pPr>
        <w:pStyle w:val="6"/>
        <w:numPr>
          <w:ilvl w:val="0"/>
          <w:numId w:val="0"/>
        </w:numPr>
        <w:spacing w:before="0" w:after="0" w:line="360" w:lineRule="auto"/>
        <w:ind w:leftChars="0"/>
        <w:jc w:val="left"/>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4.2.1.4样品质量控制</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采样人员均已通过岗前培训、</w:t>
      </w:r>
      <w:r>
        <w:rPr>
          <w:rFonts w:hint="default" w:ascii="Times New Roman" w:hAnsi="Times New Roman" w:cs="Times New Roman"/>
          <w:color w:val="auto"/>
          <w:sz w:val="24"/>
          <w:highlight w:val="none"/>
          <w:lang w:val="en-US" w:eastAsia="zh-CN"/>
        </w:rPr>
        <w:t xml:space="preserve"> </w:t>
      </w:r>
      <w:r>
        <w:rPr>
          <w:rFonts w:hint="default" w:ascii="Times New Roman" w:hAnsi="Times New Roman" w:cs="Times New Roman"/>
          <w:color w:val="auto"/>
          <w:sz w:val="24"/>
          <w:highlight w:val="none"/>
        </w:rPr>
        <w:t>持证上岗，切实掌握土壤、地下水采样技术，熟知采样器具的使用和样品固定、保存、运输条件。样品的质量控制措施严格按照《建设用地土壤污染风险管控和修复监测技术导则》（HJ 25.2-2019）中的技术规范进行操作。</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（1）所有土壤样品采集后立即装入样品瓶中，保证样品中污染物不会挥发出来。所有样品放置在冷藏箱保存并在样品保存流转时限内运送至实验室。</w:t>
      </w:r>
    </w:p>
    <w:p>
      <w:pPr>
        <w:ind w:firstLine="480" w:firstLineChars="200"/>
        <w:rPr>
          <w:rFonts w:hint="default" w:ascii="Times New Roman" w:hAnsi="Times New Roman" w:cs="Times New Roman"/>
          <w:highlight w:val="none"/>
        </w:rPr>
      </w:pPr>
      <w:r>
        <w:rPr>
          <w:rFonts w:hint="default" w:ascii="Times New Roman" w:hAnsi="Times New Roman" w:cs="Times New Roman"/>
          <w:color w:val="000000"/>
          <w:highlight w:val="none"/>
        </w:rPr>
        <w:t>（2）</w:t>
      </w:r>
      <w:r>
        <w:rPr>
          <w:rFonts w:hint="default" w:ascii="Times New Roman" w:hAnsi="Times New Roman" w:cs="Times New Roman"/>
          <w:color w:val="000000"/>
          <w:highlight w:val="none"/>
          <w:lang w:val="en-US" w:eastAsia="zh-CN"/>
        </w:rPr>
        <w:t>本次现场采样</w:t>
      </w:r>
      <w:r>
        <w:rPr>
          <w:rFonts w:hint="default" w:ascii="Times New Roman" w:hAnsi="Times New Roman" w:cs="Times New Roman"/>
          <w:color w:val="000000"/>
          <w:highlight w:val="none"/>
        </w:rPr>
        <w:t>5个园区连续采样，分批次送样，每一批次按10%比例设置现场平行盲样。每批次样品设置一个运输空白样，与样品一起送实验室分析。</w:t>
      </w:r>
    </w:p>
    <w:p>
      <w:pPr>
        <w:pStyle w:val="5"/>
        <w:tabs>
          <w:tab w:val="left" w:pos="425"/>
        </w:tabs>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地下水样品采集</w:t>
      </w:r>
    </w:p>
    <w:p>
      <w:pPr>
        <w:pStyle w:val="6"/>
        <w:numPr>
          <w:ilvl w:val="0"/>
          <w:numId w:val="0"/>
        </w:numPr>
        <w:spacing w:before="0" w:after="0" w:line="360" w:lineRule="auto"/>
        <w:ind w:leftChars="0"/>
        <w:jc w:val="left"/>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4.2.2.1监测井安装</w:t>
      </w:r>
    </w:p>
    <w:p>
      <w:pPr>
        <w:spacing w:line="360" w:lineRule="auto"/>
        <w:ind w:left="1" w:firstLine="480" w:firstLineChars="200"/>
        <w:rPr>
          <w:rFonts w:hint="default" w:ascii="Times New Roman" w:hAnsi="Times New Roman" w:cs="Times New Roman"/>
          <w:color w:val="auto"/>
          <w:highlight w:val="none"/>
        </w:rPr>
      </w:pPr>
      <w:r>
        <w:rPr>
          <w:rFonts w:hint="default" w:ascii="Times New Roman" w:hAnsi="Times New Roman" w:cs="Times New Roman"/>
          <w:color w:val="auto"/>
          <w:sz w:val="24"/>
          <w:highlight w:val="none"/>
        </w:rPr>
        <w:t>监测井钻探完成后，安装一根封底硬质PVC井管，PVC井管由底部密闭、管壁可滤水的筛管、上部延伸到地表的实管组成。监测井的深度和筛管的安装位置由专业人员根据现场水位的相对位置及各监测井的不同监测要求综合考虑设定。监测井筛管外侧周围用粒径大于0.25mm的清洁石英砂回填作为滤水层，石英砂回填至地下水水位线处，其上部再回填膨润土至自然地坪处。</w:t>
      </w:r>
    </w:p>
    <w:p>
      <w:pPr>
        <w:pStyle w:val="6"/>
        <w:numPr>
          <w:ilvl w:val="0"/>
          <w:numId w:val="0"/>
        </w:numPr>
        <w:spacing w:before="0" w:after="0" w:line="360" w:lineRule="auto"/>
        <w:ind w:leftChars="0"/>
        <w:jc w:val="left"/>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4.2.2.2样品采集</w:t>
      </w:r>
    </w:p>
    <w:p>
      <w:pPr>
        <w:ind w:firstLine="480" w:firstLineChars="200"/>
        <w:rPr>
          <w:rFonts w:hint="default" w:ascii="Times New Roman" w:hAnsi="Times New Roman" w:eastAsia="宋体" w:cs="Times New Roman"/>
          <w:highlight w:val="none"/>
          <w:lang w:val="en-US" w:eastAsia="zh-CN"/>
        </w:rPr>
      </w:pPr>
      <w:r>
        <w:rPr>
          <w:rFonts w:hint="default" w:ascii="Times New Roman" w:hAnsi="Times New Roman" w:cs="Times New Roman"/>
          <w:color w:val="000000"/>
          <w:highlight w:val="none"/>
        </w:rPr>
        <w:t>采样前用贝勒管进行洗井。洗井时抽提出来的水量</w:t>
      </w:r>
      <w:r>
        <w:rPr>
          <w:rFonts w:hint="eastAsia" w:cs="Times New Roman"/>
          <w:color w:val="000000"/>
          <w:highlight w:val="none"/>
          <w:lang w:val="en-US" w:eastAsia="zh-CN"/>
        </w:rPr>
        <w:t>为</w:t>
      </w:r>
      <w:r>
        <w:rPr>
          <w:rFonts w:hint="default" w:ascii="Times New Roman" w:hAnsi="Times New Roman" w:cs="Times New Roman"/>
          <w:color w:val="000000"/>
          <w:highlight w:val="none"/>
        </w:rPr>
        <w:t>监测井总量的</w:t>
      </w:r>
      <w:r>
        <w:rPr>
          <w:rFonts w:hint="eastAsia" w:cs="Times New Roman"/>
          <w:color w:val="000000"/>
          <w:highlight w:val="none"/>
          <w:lang w:val="en-US" w:eastAsia="zh-CN"/>
        </w:rPr>
        <w:t>3-5倍</w:t>
      </w:r>
      <w:r>
        <w:rPr>
          <w:rFonts w:hint="default" w:ascii="Times New Roman" w:hAnsi="Times New Roman" w:cs="Times New Roman"/>
          <w:color w:val="000000"/>
          <w:highlight w:val="none"/>
        </w:rPr>
        <w:t>。在监测井洗井稳定24</w:t>
      </w:r>
      <w:r>
        <w:rPr>
          <w:rFonts w:hint="default" w:ascii="Times New Roman" w:hAnsi="Times New Roman" w:cs="Times New Roman"/>
          <w:color w:val="000000"/>
          <w:highlight w:val="none"/>
          <w:lang w:val="en-US" w:eastAsia="zh-CN"/>
        </w:rPr>
        <w:t>h</w:t>
      </w:r>
      <w:r>
        <w:rPr>
          <w:rFonts w:hint="default" w:ascii="Times New Roman" w:hAnsi="Times New Roman" w:cs="Times New Roman"/>
          <w:color w:val="000000"/>
          <w:highlight w:val="none"/>
        </w:rPr>
        <w:t>后，使用贝勒管进行地下水样的采集。为避免监测井中发生浑浊，贝勒管放入和提出时均缓慢进行。采样时，所有地下水样品均迅速转入由实验室提供的专用样品瓶中保存。</w:t>
      </w:r>
      <w:r>
        <w:rPr>
          <w:rFonts w:hint="default" w:ascii="Times New Roman" w:hAnsi="Times New Roman" w:cs="Times New Roman"/>
          <w:highlight w:val="none"/>
        </w:rPr>
        <w:t>调查园区下水监测井成井情况及水样采集照片见图4-2-3。</w:t>
      </w:r>
      <w:r>
        <w:rPr>
          <w:rFonts w:hint="eastAsia" w:cs="Times New Roman"/>
          <w:highlight w:val="none"/>
          <w:lang w:val="en-US" w:eastAsia="zh-CN"/>
        </w:rPr>
        <w:t>地下水监测井洗井记录单见附件6。</w:t>
      </w:r>
    </w:p>
    <w:tbl>
      <w:tblPr>
        <w:tblStyle w:val="21"/>
        <w:tblW w:w="97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02"/>
        <w:gridCol w:w="48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4902"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bCs/>
                <w:color w:val="auto"/>
                <w:sz w:val="18"/>
                <w:szCs w:val="18"/>
                <w:highlight w:val="none"/>
                <w:lang w:eastAsia="zh-CN"/>
              </w:rPr>
            </w:pPr>
            <w:r>
              <w:rPr>
                <w:rFonts w:hint="default" w:ascii="Times New Roman" w:hAnsi="Times New Roman" w:eastAsia="宋体" w:cs="Times New Roman"/>
                <w:bCs/>
                <w:color w:val="auto"/>
                <w:sz w:val="18"/>
                <w:szCs w:val="18"/>
                <w:highlight w:val="none"/>
                <w:lang w:eastAsia="zh-CN"/>
              </w:rPr>
              <w:drawing>
                <wp:inline distT="0" distB="0" distL="114300" distR="114300">
                  <wp:extent cx="1626870" cy="2169160"/>
                  <wp:effectExtent l="0" t="0" r="11430" b="2540"/>
                  <wp:docPr id="30" name="图片 30" descr="IMG_20201022_10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0201022_102343"/>
                          <pic:cNvPicPr>
                            <a:picLocks noChangeAspect="1"/>
                          </pic:cNvPicPr>
                        </pic:nvPicPr>
                        <pic:blipFill>
                          <a:blip r:embed="rId28"/>
                          <a:stretch>
                            <a:fillRect/>
                          </a:stretch>
                        </pic:blipFill>
                        <pic:spPr>
                          <a:xfrm>
                            <a:off x="0" y="0"/>
                            <a:ext cx="1626870" cy="2169160"/>
                          </a:xfrm>
                          <a:prstGeom prst="rect">
                            <a:avLst/>
                          </a:prstGeom>
                        </pic:spPr>
                      </pic:pic>
                    </a:graphicData>
                  </a:graphic>
                </wp:inline>
              </w:drawing>
            </w:r>
          </w:p>
        </w:tc>
        <w:tc>
          <w:tcPr>
            <w:tcW w:w="4896" w:type="dxa"/>
            <w:tcBorders>
              <w:tl2br w:val="nil"/>
              <w:tr2bl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bCs/>
                <w:color w:val="auto"/>
                <w:sz w:val="18"/>
                <w:szCs w:val="18"/>
                <w:highlight w:val="none"/>
                <w:lang w:eastAsia="zh-CN"/>
              </w:rPr>
            </w:pPr>
            <w:r>
              <w:rPr>
                <w:rFonts w:hint="default" w:ascii="Times New Roman" w:hAnsi="Times New Roman" w:eastAsia="宋体" w:cs="Times New Roman"/>
                <w:bCs/>
                <w:color w:val="auto"/>
                <w:sz w:val="18"/>
                <w:szCs w:val="18"/>
                <w:highlight w:val="none"/>
                <w:lang w:eastAsia="zh-CN"/>
              </w:rPr>
              <w:drawing>
                <wp:inline distT="0" distB="0" distL="114300" distR="114300">
                  <wp:extent cx="2879725" cy="2160270"/>
                  <wp:effectExtent l="0" t="0" r="15875" b="11430"/>
                  <wp:docPr id="31" name="图片 31" descr="IMG_20201022_16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0201022_165211"/>
                          <pic:cNvPicPr>
                            <a:picLocks noChangeAspect="1"/>
                          </pic:cNvPicPr>
                        </pic:nvPicPr>
                        <pic:blipFill>
                          <a:blip r:embed="rId29"/>
                          <a:stretch>
                            <a:fillRect/>
                          </a:stretch>
                        </pic:blipFill>
                        <pic:spPr>
                          <a:xfrm>
                            <a:off x="0" y="0"/>
                            <a:ext cx="2879725" cy="2160270"/>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4902"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sz w:val="18"/>
                <w:szCs w:val="18"/>
                <w:highlight w:val="none"/>
                <w:lang w:eastAsia="zh-CN"/>
              </w:rPr>
            </w:pPr>
            <w:r>
              <w:rPr>
                <w:rFonts w:hint="default" w:ascii="Times New Roman" w:hAnsi="Times New Roman" w:cs="Times New Roman"/>
                <w:b/>
                <w:bCs/>
                <w:color w:val="auto"/>
                <w:kern w:val="0"/>
                <w:sz w:val="18"/>
                <w:szCs w:val="18"/>
                <w:highlight w:val="none"/>
                <w:lang w:eastAsia="zh-CN"/>
              </w:rPr>
              <w:t>地下水钻机</w:t>
            </w:r>
          </w:p>
        </w:tc>
        <w:tc>
          <w:tcPr>
            <w:tcW w:w="4896"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地下水成井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902"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kern w:val="0"/>
                <w:sz w:val="18"/>
                <w:szCs w:val="18"/>
                <w:highlight w:val="none"/>
                <w:lang w:eastAsia="zh-CN"/>
              </w:rPr>
            </w:pPr>
            <w:r>
              <w:rPr>
                <w:rFonts w:hint="default" w:ascii="Times New Roman" w:hAnsi="Times New Roman" w:eastAsia="宋体" w:cs="Times New Roman"/>
                <w:bCs/>
                <w:color w:val="auto"/>
                <w:kern w:val="0"/>
                <w:sz w:val="18"/>
                <w:szCs w:val="18"/>
                <w:highlight w:val="none"/>
                <w:lang w:eastAsia="zh-CN"/>
              </w:rPr>
              <w:drawing>
                <wp:inline distT="0" distB="0" distL="114300" distR="114300">
                  <wp:extent cx="2926080" cy="2194560"/>
                  <wp:effectExtent l="0" t="0" r="7620" b="15240"/>
                  <wp:docPr id="18" name="图片 18" descr="IMG_20201023_14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01023_143847"/>
                          <pic:cNvPicPr>
                            <a:picLocks noChangeAspect="1"/>
                          </pic:cNvPicPr>
                        </pic:nvPicPr>
                        <pic:blipFill>
                          <a:blip r:embed="rId30"/>
                          <a:stretch>
                            <a:fillRect/>
                          </a:stretch>
                        </pic:blipFill>
                        <pic:spPr>
                          <a:xfrm>
                            <a:off x="0" y="0"/>
                            <a:ext cx="2926080" cy="2194560"/>
                          </a:xfrm>
                          <a:prstGeom prst="rect">
                            <a:avLst/>
                          </a:prstGeom>
                        </pic:spPr>
                      </pic:pic>
                    </a:graphicData>
                  </a:graphic>
                </wp:inline>
              </w:drawing>
            </w:r>
          </w:p>
        </w:tc>
        <w:tc>
          <w:tcPr>
            <w:tcW w:w="4896"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kern w:val="0"/>
                <w:sz w:val="18"/>
                <w:szCs w:val="18"/>
                <w:highlight w:val="none"/>
                <w:lang w:eastAsia="zh-CN"/>
              </w:rPr>
            </w:pPr>
            <w:r>
              <w:rPr>
                <w:rFonts w:hint="default" w:ascii="Times New Roman" w:hAnsi="Times New Roman" w:eastAsia="宋体" w:cs="Times New Roman"/>
                <w:bCs/>
                <w:color w:val="auto"/>
                <w:kern w:val="0"/>
                <w:sz w:val="18"/>
                <w:szCs w:val="18"/>
                <w:highlight w:val="none"/>
                <w:lang w:eastAsia="zh-CN"/>
              </w:rPr>
              <w:drawing>
                <wp:inline distT="0" distB="0" distL="114300" distR="114300">
                  <wp:extent cx="1600200" cy="2133600"/>
                  <wp:effectExtent l="0" t="0" r="0" b="0"/>
                  <wp:docPr id="2" name="图片 2" descr="IMG_20201027_12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01027_121725"/>
                          <pic:cNvPicPr>
                            <a:picLocks noChangeAspect="1"/>
                          </pic:cNvPicPr>
                        </pic:nvPicPr>
                        <pic:blipFill>
                          <a:blip r:embed="rId31"/>
                          <a:stretch>
                            <a:fillRect/>
                          </a:stretch>
                        </pic:blipFill>
                        <pic:spPr>
                          <a:xfrm>
                            <a:off x="0" y="0"/>
                            <a:ext cx="1600200" cy="2133600"/>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902"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 xml:space="preserve"> 地下水点位钻孔地层分布状况</w:t>
            </w:r>
          </w:p>
        </w:tc>
        <w:tc>
          <w:tcPr>
            <w:tcW w:w="4896"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地下水</w:t>
            </w:r>
            <w:r>
              <w:rPr>
                <w:rFonts w:hint="default" w:ascii="Times New Roman" w:hAnsi="Times New Roman" w:cs="Times New Roman"/>
                <w:b/>
                <w:bCs/>
                <w:color w:val="auto"/>
                <w:kern w:val="0"/>
                <w:sz w:val="18"/>
                <w:szCs w:val="18"/>
                <w:highlight w:val="none"/>
                <w:lang w:eastAsia="zh-CN"/>
              </w:rPr>
              <w:t>样品</w:t>
            </w:r>
          </w:p>
        </w:tc>
      </w:tr>
    </w:tbl>
    <w:p>
      <w:pPr>
        <w:pStyle w:val="34"/>
        <w:spacing w:before="0" w:beforeLines="0"/>
        <w:rPr>
          <w:rFonts w:hint="default" w:ascii="Times New Roman" w:hAnsi="Times New Roman" w:eastAsia="宋体" w:cs="Times New Roman"/>
          <w:color w:val="auto"/>
          <w:kern w:val="0"/>
          <w:szCs w:val="24"/>
          <w:highlight w:val="none"/>
        </w:rPr>
      </w:pPr>
      <w:r>
        <w:rPr>
          <w:rFonts w:hint="default" w:ascii="Times New Roman" w:hAnsi="Times New Roman" w:eastAsia="宋体" w:cs="Times New Roman"/>
          <w:color w:val="auto"/>
          <w:kern w:val="0"/>
          <w:szCs w:val="24"/>
          <w:highlight w:val="none"/>
        </w:rPr>
        <w:t>图4-2-3  典型监测井及地下水取样照片</w:t>
      </w:r>
    </w:p>
    <w:p>
      <w:pPr>
        <w:pStyle w:val="6"/>
        <w:numPr>
          <w:ilvl w:val="0"/>
          <w:numId w:val="0"/>
        </w:numPr>
        <w:spacing w:before="0" w:after="0" w:line="360" w:lineRule="auto"/>
        <w:ind w:leftChars="0"/>
        <w:jc w:val="left"/>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4.2.2.3样品保存</w:t>
      </w:r>
    </w:p>
    <w:p>
      <w:pPr>
        <w:spacing w:line="360" w:lineRule="auto"/>
        <w:ind w:left="1"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样品贮存间置冷藏柜，防水、防盗和保密措施。样品管理员负责保持样品贮存间的清洁、通风、无腐蚀的环境，并对贮存环境条件加以维持和监控。</w:t>
      </w:r>
    </w:p>
    <w:p>
      <w:pPr>
        <w:pStyle w:val="6"/>
        <w:numPr>
          <w:ilvl w:val="0"/>
          <w:numId w:val="0"/>
        </w:numPr>
        <w:spacing w:before="0" w:after="0" w:line="360" w:lineRule="auto"/>
        <w:ind w:leftChars="0"/>
        <w:jc w:val="left"/>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4.2.2.4样品质量控制</w:t>
      </w:r>
    </w:p>
    <w:p>
      <w:pPr>
        <w:spacing w:line="360" w:lineRule="auto"/>
        <w:ind w:left="1"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采样人员均已通过岗前培训、持证上岗，切实掌握土壤、地下水采样技术，熟知采样器具的使用和样品固定、保存、运输条件。同批次水样，加采现场平行样。每次测试结束后，除必要的留存样外，样品容器均及时清洗。</w:t>
      </w:r>
    </w:p>
    <w:p>
      <w:pPr>
        <w:pStyle w:val="4"/>
        <w:tabs>
          <w:tab w:val="clear" w:pos="425"/>
        </w:tabs>
        <w:bidi w:val="0"/>
        <w:rPr>
          <w:rFonts w:hint="default" w:ascii="Times New Roman" w:hAnsi="Times New Roman" w:cs="Times New Roman"/>
          <w:color w:val="auto"/>
          <w:highlight w:val="none"/>
        </w:rPr>
      </w:pPr>
      <w:bookmarkStart w:id="48" w:name="_Toc16343"/>
      <w:bookmarkStart w:id="49" w:name="_Toc24520"/>
      <w:r>
        <w:rPr>
          <w:rFonts w:hint="default" w:ascii="Times New Roman" w:hAnsi="Times New Roman" w:cs="Times New Roman"/>
          <w:color w:val="auto"/>
          <w:highlight w:val="none"/>
        </w:rPr>
        <w:t>现场记录</w:t>
      </w:r>
      <w:bookmarkEnd w:id="48"/>
      <w:bookmarkEnd w:id="49"/>
    </w:p>
    <w:p>
      <w:pPr>
        <w:pStyle w:val="5"/>
        <w:tabs>
          <w:tab w:val="left" w:pos="425"/>
        </w:tabs>
        <w:rPr>
          <w:rFonts w:hint="default" w:ascii="Times New Roman" w:hAnsi="Times New Roman" w:cs="Times New Roman"/>
          <w:color w:val="auto"/>
          <w:highlight w:val="none"/>
          <w:lang w:eastAsia="zh-CN"/>
        </w:rPr>
      </w:pPr>
      <w:r>
        <w:rPr>
          <w:rFonts w:hint="default" w:ascii="Times New Roman" w:hAnsi="Times New Roman" w:eastAsia="宋体" w:cs="Times New Roman"/>
          <w:color w:val="auto"/>
          <w:sz w:val="24"/>
          <w:szCs w:val="20"/>
          <w:highlight w:val="none"/>
          <w:lang w:eastAsia="zh-CN"/>
        </w:rPr>
        <w:t>土壤快速检测</w:t>
      </w:r>
      <w:r>
        <w:rPr>
          <w:rFonts w:hint="default" w:ascii="Times New Roman" w:hAnsi="Times New Roman" w:cs="Times New Roman"/>
          <w:color w:val="auto"/>
          <w:highlight w:val="none"/>
        </w:rPr>
        <w:t>记录</w:t>
      </w:r>
    </w:p>
    <w:p>
      <w:pPr>
        <w:pStyle w:val="31"/>
        <w:adjustRightInd w:val="0"/>
        <w:snapToGrid w:val="0"/>
        <w:spacing w:after="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本次调查期间，采样人员使用手持式光离子化检测器（PID）对位于调查</w:t>
      </w:r>
      <w:r>
        <w:rPr>
          <w:rFonts w:hint="default" w:ascii="Times New Roman" w:hAnsi="Times New Roman" w:cs="Times New Roman"/>
          <w:color w:val="auto"/>
          <w:highlight w:val="none"/>
          <w:lang w:eastAsia="zh-CN"/>
        </w:rPr>
        <w:t>园区</w:t>
      </w:r>
      <w:r>
        <w:rPr>
          <w:rFonts w:hint="default" w:ascii="Times New Roman" w:hAnsi="Times New Roman" w:cs="Times New Roman"/>
          <w:color w:val="auto"/>
          <w:highlight w:val="none"/>
        </w:rPr>
        <w:t>内土壤样品进行了快速检测，共测试</w:t>
      </w:r>
      <w:r>
        <w:rPr>
          <w:rFonts w:hint="default" w:ascii="Times New Roman" w:hAnsi="Times New Roman" w:cs="Times New Roman"/>
          <w:color w:val="auto"/>
          <w:highlight w:val="none"/>
          <w:lang w:val="en-US" w:eastAsia="zh-CN"/>
        </w:rPr>
        <w:t>16</w:t>
      </w:r>
      <w:r>
        <w:rPr>
          <w:rFonts w:hint="default" w:ascii="Times New Roman" w:hAnsi="Times New Roman" w:cs="Times New Roman"/>
          <w:color w:val="auto"/>
          <w:highlight w:val="none"/>
        </w:rPr>
        <w:t>个</w:t>
      </w:r>
      <w:r>
        <w:rPr>
          <w:rFonts w:hint="default" w:ascii="Times New Roman" w:hAnsi="Times New Roman" w:cs="Times New Roman"/>
          <w:color w:val="auto"/>
          <w:highlight w:val="none"/>
          <w:lang w:eastAsia="zh-CN"/>
        </w:rPr>
        <w:t>土壤</w:t>
      </w:r>
      <w:r>
        <w:rPr>
          <w:rFonts w:hint="default" w:ascii="Times New Roman" w:hAnsi="Times New Roman" w:cs="Times New Roman"/>
          <w:color w:val="auto"/>
          <w:highlight w:val="none"/>
        </w:rPr>
        <w:t>样品</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1个</w:t>
      </w:r>
      <w:r>
        <w:rPr>
          <w:rFonts w:hint="default" w:ascii="Times New Roman" w:hAnsi="Times New Roman" w:cs="Times New Roman"/>
          <w:color w:val="auto"/>
          <w:highlight w:val="none"/>
          <w:lang w:eastAsia="zh-CN"/>
        </w:rPr>
        <w:t>平行盲样</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现场记录见附件</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w:t>
      </w:r>
    </w:p>
    <w:p>
      <w:pPr>
        <w:pStyle w:val="5"/>
        <w:keepLines w:val="0"/>
        <w:tabs>
          <w:tab w:val="left" w:pos="425"/>
        </w:tabs>
        <w:spacing w:before="0" w:after="0" w:line="36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工程地质条件</w:t>
      </w:r>
    </w:p>
    <w:p>
      <w:pPr>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rPr>
        <w:t>现场</w:t>
      </w:r>
      <w:r>
        <w:rPr>
          <w:rFonts w:hint="default" w:ascii="Times New Roman" w:hAnsi="Times New Roman" w:cs="Times New Roman"/>
          <w:color w:val="auto"/>
          <w:sz w:val="24"/>
          <w:highlight w:val="none"/>
          <w:lang w:eastAsia="zh-CN"/>
        </w:rPr>
        <w:t>土壤样品主要采集的为表层（0-0.5m）土壤，</w:t>
      </w:r>
      <w:r>
        <w:rPr>
          <w:rFonts w:hint="default" w:ascii="Times New Roman" w:hAnsi="Times New Roman" w:cs="Times New Roman"/>
          <w:color w:val="auto"/>
          <w:sz w:val="24"/>
          <w:highlight w:val="none"/>
          <w:lang w:val="en-US" w:eastAsia="zh-CN"/>
        </w:rPr>
        <w:t>主要为杂填土</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表面</w:t>
      </w:r>
      <w:r>
        <w:rPr>
          <w:rFonts w:hint="default" w:ascii="Times New Roman" w:hAnsi="Times New Roman" w:cs="Times New Roman"/>
          <w:color w:val="auto"/>
          <w:sz w:val="24"/>
          <w:highlight w:val="none"/>
        </w:rPr>
        <w:t>夹杂砖块、碎石</w:t>
      </w:r>
      <w:r>
        <w:rPr>
          <w:rFonts w:hint="default" w:ascii="Times New Roman" w:hAnsi="Times New Roman" w:cs="Times New Roman"/>
          <w:color w:val="auto"/>
          <w:sz w:val="24"/>
          <w:highlight w:val="none"/>
          <w:lang w:eastAsia="zh-CN"/>
        </w:rPr>
        <w:t>、根系等，部分表层样品为素填土、</w:t>
      </w:r>
      <w:r>
        <w:rPr>
          <w:rFonts w:hint="default" w:ascii="Times New Roman" w:hAnsi="Times New Roman" w:cs="Times New Roman"/>
          <w:color w:val="auto"/>
          <w:sz w:val="24"/>
          <w:highlight w:val="none"/>
          <w:lang w:val="en-US" w:eastAsia="zh-CN"/>
        </w:rPr>
        <w:t>耕植土</w:t>
      </w:r>
      <w:r>
        <w:rPr>
          <w:rFonts w:hint="default" w:ascii="Times New Roman" w:hAnsi="Times New Roman" w:cs="Times New Roman"/>
          <w:color w:val="auto"/>
          <w:sz w:val="24"/>
          <w:highlight w:val="none"/>
          <w:lang w:eastAsia="zh-CN"/>
        </w:rPr>
        <w:t>，部分土壤夹杂有少量的铁锰矿物、高岭土。</w:t>
      </w:r>
    </w:p>
    <w:p>
      <w:p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eastAsia="zh-CN"/>
        </w:rPr>
        <w:t>地下水井</w:t>
      </w:r>
      <w:r>
        <w:rPr>
          <w:rFonts w:hint="default" w:ascii="Times New Roman" w:hAnsi="Times New Roman" w:cs="Times New Roman"/>
          <w:color w:val="auto"/>
          <w:sz w:val="24"/>
          <w:highlight w:val="none"/>
        </w:rPr>
        <w:t>钻探期间揭露浅部地层分布状况结构描述</w:t>
      </w:r>
      <w:r>
        <w:rPr>
          <w:rFonts w:hint="default" w:ascii="Times New Roman" w:hAnsi="Times New Roman" w:cs="Times New Roman"/>
          <w:color w:val="auto"/>
          <w:sz w:val="24"/>
          <w:highlight w:val="none"/>
          <w:lang w:eastAsia="zh-CN"/>
        </w:rPr>
        <w:t>见表</w:t>
      </w:r>
      <w:r>
        <w:rPr>
          <w:rFonts w:hint="default" w:ascii="Times New Roman" w:hAnsi="Times New Roman" w:cs="Times New Roman"/>
          <w:color w:val="auto"/>
          <w:sz w:val="24"/>
          <w:highlight w:val="none"/>
          <w:lang w:val="en-US" w:eastAsia="zh-CN"/>
        </w:rPr>
        <w:t>4-3-1。</w:t>
      </w:r>
    </w:p>
    <w:p>
      <w:pPr>
        <w:pStyle w:val="2"/>
        <w:keepNext w:val="0"/>
        <w:keepLines w:val="0"/>
        <w:pageBreakBefore w:val="0"/>
        <w:widowControl w:val="0"/>
        <w:kinsoku/>
        <w:wordWrap/>
        <w:overflowPunct/>
        <w:topLinePunct w:val="0"/>
        <w:autoSpaceDE/>
        <w:autoSpaceDN/>
        <w:bidi w:val="0"/>
        <w:adjustRightInd/>
        <w:snapToGrid/>
        <w:spacing w:before="157" w:beforeLines="50" w:after="0" w:line="240" w:lineRule="auto"/>
        <w:jc w:val="center"/>
        <w:textAlignment w:val="auto"/>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sz w:val="24"/>
          <w:highlight w:val="none"/>
          <w:lang w:val="en-US" w:eastAsia="zh-CN"/>
        </w:rPr>
        <w:t>表4-3-1 地下水点位钻孔地层分布状况</w:t>
      </w:r>
    </w:p>
    <w:tbl>
      <w:tblPr>
        <w:tblStyle w:val="21"/>
        <w:tblW w:w="100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922"/>
        <w:gridCol w:w="900"/>
        <w:gridCol w:w="887"/>
        <w:gridCol w:w="667"/>
        <w:gridCol w:w="865"/>
        <w:gridCol w:w="822"/>
        <w:gridCol w:w="825"/>
        <w:gridCol w:w="41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922"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钻井编号</w:t>
            </w:r>
          </w:p>
        </w:tc>
        <w:tc>
          <w:tcPr>
            <w:tcW w:w="900"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钻井深度</w:t>
            </w:r>
          </w:p>
        </w:tc>
        <w:tc>
          <w:tcPr>
            <w:tcW w:w="887"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土壤类型</w:t>
            </w:r>
          </w:p>
        </w:tc>
        <w:tc>
          <w:tcPr>
            <w:tcW w:w="667"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颜色</w:t>
            </w:r>
          </w:p>
        </w:tc>
        <w:tc>
          <w:tcPr>
            <w:tcW w:w="865"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湿度</w:t>
            </w:r>
          </w:p>
        </w:tc>
        <w:tc>
          <w:tcPr>
            <w:tcW w:w="822"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气味</w:t>
            </w:r>
          </w:p>
        </w:tc>
        <w:tc>
          <w:tcPr>
            <w:tcW w:w="825"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可塑性</w:t>
            </w:r>
          </w:p>
        </w:tc>
        <w:tc>
          <w:tcPr>
            <w:tcW w:w="4130"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夹杂物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922" w:type="dxa"/>
            <w:vMerge w:val="restar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cs="Times New Roman"/>
                <w:i w:val="0"/>
                <w:color w:val="auto"/>
                <w:kern w:val="0"/>
                <w:sz w:val="21"/>
                <w:szCs w:val="21"/>
                <w:highlight w:val="none"/>
                <w:u w:val="none"/>
                <w:lang w:val="en-US" w:eastAsia="zh-CN" w:bidi="ar"/>
              </w:rPr>
              <w:t>SJG</w:t>
            </w:r>
            <w:r>
              <w:rPr>
                <w:rFonts w:hint="default" w:ascii="Times New Roman" w:hAnsi="Times New Roman" w:eastAsia="宋体" w:cs="Times New Roman"/>
                <w:i w:val="0"/>
                <w:color w:val="auto"/>
                <w:kern w:val="0"/>
                <w:sz w:val="21"/>
                <w:szCs w:val="21"/>
                <w:highlight w:val="none"/>
                <w:u w:val="none"/>
                <w:lang w:val="en-US" w:eastAsia="zh-CN" w:bidi="ar"/>
              </w:rPr>
              <w:t>-W1</w:t>
            </w:r>
          </w:p>
        </w:tc>
        <w:tc>
          <w:tcPr>
            <w:tcW w:w="900"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0~0.2</w:t>
            </w:r>
          </w:p>
        </w:tc>
        <w:tc>
          <w:tcPr>
            <w:tcW w:w="887"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耕植土</w:t>
            </w:r>
          </w:p>
        </w:tc>
        <w:tc>
          <w:tcPr>
            <w:tcW w:w="667"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黄褐</w:t>
            </w:r>
          </w:p>
        </w:tc>
        <w:tc>
          <w:tcPr>
            <w:tcW w:w="865"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稍湿</w:t>
            </w:r>
          </w:p>
        </w:tc>
        <w:tc>
          <w:tcPr>
            <w:tcW w:w="822"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无</w:t>
            </w:r>
          </w:p>
        </w:tc>
        <w:tc>
          <w:tcPr>
            <w:tcW w:w="825"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松散</w:t>
            </w:r>
          </w:p>
        </w:tc>
        <w:tc>
          <w:tcPr>
            <w:tcW w:w="4130"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含大量植物根系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922"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9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0.2~7.0</w:t>
            </w:r>
          </w:p>
        </w:tc>
        <w:tc>
          <w:tcPr>
            <w:tcW w:w="8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粘土</w:t>
            </w:r>
          </w:p>
        </w:tc>
        <w:tc>
          <w:tcPr>
            <w:tcW w:w="66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黄褐</w:t>
            </w:r>
          </w:p>
        </w:tc>
        <w:tc>
          <w:tcPr>
            <w:tcW w:w="8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稍湿</w:t>
            </w:r>
          </w:p>
        </w:tc>
        <w:tc>
          <w:tcPr>
            <w:tcW w:w="82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无</w:t>
            </w:r>
          </w:p>
        </w:tc>
        <w:tc>
          <w:tcPr>
            <w:tcW w:w="82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可塑</w:t>
            </w:r>
          </w:p>
        </w:tc>
        <w:tc>
          <w:tcPr>
            <w:tcW w:w="41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局部夹少量灰白色高岭土，含少量氧化物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922"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9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7.0~8.0</w:t>
            </w:r>
          </w:p>
        </w:tc>
        <w:tc>
          <w:tcPr>
            <w:tcW w:w="8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红砂岩</w:t>
            </w:r>
          </w:p>
        </w:tc>
        <w:tc>
          <w:tcPr>
            <w:tcW w:w="66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棕红</w:t>
            </w:r>
          </w:p>
        </w:tc>
        <w:tc>
          <w:tcPr>
            <w:tcW w:w="8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干</w:t>
            </w:r>
          </w:p>
        </w:tc>
        <w:tc>
          <w:tcPr>
            <w:tcW w:w="82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无</w:t>
            </w:r>
          </w:p>
        </w:tc>
        <w:tc>
          <w:tcPr>
            <w:tcW w:w="82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全风化</w:t>
            </w:r>
          </w:p>
        </w:tc>
        <w:tc>
          <w:tcPr>
            <w:tcW w:w="41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粉砂粒状结构，中厚层构造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922" w:type="dxa"/>
            <w:vMerge w:val="restar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SJG</w:t>
            </w:r>
            <w:r>
              <w:rPr>
                <w:rFonts w:hint="default" w:ascii="Times New Roman" w:hAnsi="Times New Roman" w:eastAsia="宋体" w:cs="Times New Roman"/>
                <w:i w:val="0"/>
                <w:color w:val="auto"/>
                <w:sz w:val="21"/>
                <w:szCs w:val="21"/>
                <w:highlight w:val="none"/>
                <w:u w:val="none"/>
                <w:lang w:val="en-US" w:eastAsia="zh-CN"/>
              </w:rPr>
              <w:t>-W2</w:t>
            </w:r>
          </w:p>
        </w:tc>
        <w:tc>
          <w:tcPr>
            <w:tcW w:w="9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0~0.5</w:t>
            </w:r>
          </w:p>
        </w:tc>
        <w:tc>
          <w:tcPr>
            <w:tcW w:w="8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素填土</w:t>
            </w:r>
          </w:p>
        </w:tc>
        <w:tc>
          <w:tcPr>
            <w:tcW w:w="66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棕褐</w:t>
            </w:r>
          </w:p>
        </w:tc>
        <w:tc>
          <w:tcPr>
            <w:tcW w:w="8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干</w:t>
            </w:r>
          </w:p>
        </w:tc>
        <w:tc>
          <w:tcPr>
            <w:tcW w:w="82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无</w:t>
            </w:r>
          </w:p>
        </w:tc>
        <w:tc>
          <w:tcPr>
            <w:tcW w:w="82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松散</w:t>
            </w:r>
          </w:p>
        </w:tc>
        <w:tc>
          <w:tcPr>
            <w:tcW w:w="41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表层夹少量根系，以粉质粘土为主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922"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9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0.5~4.8</w:t>
            </w:r>
          </w:p>
        </w:tc>
        <w:tc>
          <w:tcPr>
            <w:tcW w:w="8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粉质粘土</w:t>
            </w:r>
          </w:p>
        </w:tc>
        <w:tc>
          <w:tcPr>
            <w:tcW w:w="66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棕褐</w:t>
            </w:r>
          </w:p>
        </w:tc>
        <w:tc>
          <w:tcPr>
            <w:tcW w:w="8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干</w:t>
            </w:r>
          </w:p>
        </w:tc>
        <w:tc>
          <w:tcPr>
            <w:tcW w:w="82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无</w:t>
            </w:r>
          </w:p>
        </w:tc>
        <w:tc>
          <w:tcPr>
            <w:tcW w:w="82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可塑</w:t>
            </w:r>
          </w:p>
        </w:tc>
        <w:tc>
          <w:tcPr>
            <w:tcW w:w="41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夹高岭土，铁锰氧化物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922"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9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4.8~8.9</w:t>
            </w:r>
          </w:p>
        </w:tc>
        <w:tc>
          <w:tcPr>
            <w:tcW w:w="8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粘土</w:t>
            </w:r>
          </w:p>
        </w:tc>
        <w:tc>
          <w:tcPr>
            <w:tcW w:w="66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红棕</w:t>
            </w:r>
          </w:p>
        </w:tc>
        <w:tc>
          <w:tcPr>
            <w:tcW w:w="8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干</w:t>
            </w:r>
          </w:p>
        </w:tc>
        <w:tc>
          <w:tcPr>
            <w:tcW w:w="82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无</w:t>
            </w:r>
          </w:p>
        </w:tc>
        <w:tc>
          <w:tcPr>
            <w:tcW w:w="82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硬塑</w:t>
            </w:r>
          </w:p>
        </w:tc>
        <w:tc>
          <w:tcPr>
            <w:tcW w:w="41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夹高岭土，铁锰氧化物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922"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9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8.9~10.7</w:t>
            </w:r>
          </w:p>
        </w:tc>
        <w:tc>
          <w:tcPr>
            <w:tcW w:w="8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粘土</w:t>
            </w:r>
          </w:p>
        </w:tc>
        <w:tc>
          <w:tcPr>
            <w:tcW w:w="66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黄褐</w:t>
            </w:r>
          </w:p>
        </w:tc>
        <w:tc>
          <w:tcPr>
            <w:tcW w:w="8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稍湿</w:t>
            </w:r>
          </w:p>
        </w:tc>
        <w:tc>
          <w:tcPr>
            <w:tcW w:w="82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无</w:t>
            </w:r>
          </w:p>
        </w:tc>
        <w:tc>
          <w:tcPr>
            <w:tcW w:w="82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硬塑</w:t>
            </w:r>
          </w:p>
        </w:tc>
        <w:tc>
          <w:tcPr>
            <w:tcW w:w="41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夹高岭土，铁锰氧化物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922"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9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10.7~11.</w:t>
            </w:r>
            <w:r>
              <w:rPr>
                <w:rFonts w:hint="default" w:ascii="Times New Roman" w:hAnsi="Times New Roman" w:cs="Times New Roman"/>
                <w:i w:val="0"/>
                <w:color w:val="auto"/>
                <w:kern w:val="0"/>
                <w:sz w:val="21"/>
                <w:szCs w:val="21"/>
                <w:highlight w:val="none"/>
                <w:u w:val="none"/>
                <w:lang w:val="en-US" w:eastAsia="zh-CN" w:bidi="ar"/>
              </w:rPr>
              <w:t>0</w:t>
            </w:r>
          </w:p>
        </w:tc>
        <w:tc>
          <w:tcPr>
            <w:tcW w:w="8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风化岩</w:t>
            </w:r>
          </w:p>
        </w:tc>
        <w:tc>
          <w:tcPr>
            <w:tcW w:w="66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灰白</w:t>
            </w:r>
          </w:p>
        </w:tc>
        <w:tc>
          <w:tcPr>
            <w:tcW w:w="8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干</w:t>
            </w:r>
          </w:p>
        </w:tc>
        <w:tc>
          <w:tcPr>
            <w:tcW w:w="82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无</w:t>
            </w:r>
          </w:p>
        </w:tc>
        <w:tc>
          <w:tcPr>
            <w:tcW w:w="82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全风化</w:t>
            </w:r>
          </w:p>
        </w:tc>
        <w:tc>
          <w:tcPr>
            <w:tcW w:w="41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r>
    </w:tbl>
    <w:p>
      <w:pPr>
        <w:pStyle w:val="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水文地质条件</w:t>
      </w:r>
    </w:p>
    <w:p>
      <w:pPr>
        <w:pStyle w:val="31"/>
        <w:adjustRightInd w:val="0"/>
        <w:snapToGrid w:val="0"/>
        <w:spacing w:after="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根据现场情况判断，</w:t>
      </w:r>
      <w:r>
        <w:rPr>
          <w:rFonts w:hint="default" w:ascii="Times New Roman" w:hAnsi="Times New Roman" w:cs="Times New Roman"/>
          <w:color w:val="auto"/>
          <w:highlight w:val="none"/>
          <w:lang w:eastAsia="zh-CN"/>
        </w:rPr>
        <w:t>本次调查钻探的</w:t>
      </w:r>
      <w:r>
        <w:rPr>
          <w:rFonts w:hint="default" w:ascii="Times New Roman" w:hAnsi="Times New Roman" w:cs="Times New Roman"/>
          <w:color w:val="auto"/>
          <w:highlight w:val="none"/>
        </w:rPr>
        <w:t>地下水类型为</w:t>
      </w:r>
      <w:r>
        <w:rPr>
          <w:rFonts w:hint="default" w:ascii="Times New Roman" w:hAnsi="Times New Roman" w:cs="Times New Roman"/>
          <w:color w:val="auto"/>
          <w:highlight w:val="none"/>
          <w:lang w:eastAsia="zh-CN"/>
        </w:rPr>
        <w:t>潜水，</w:t>
      </w:r>
      <w:r>
        <w:rPr>
          <w:rFonts w:hint="default" w:ascii="Times New Roman" w:hAnsi="Times New Roman" w:cs="Times New Roman"/>
          <w:color w:val="auto"/>
          <w:highlight w:val="none"/>
        </w:rPr>
        <w:t>本次调查最大钻探深度为</w:t>
      </w:r>
      <w:r>
        <w:rPr>
          <w:rFonts w:hint="default" w:ascii="Times New Roman" w:hAnsi="Times New Roman" w:cs="Times New Roman"/>
          <w:color w:val="auto"/>
          <w:highlight w:val="none"/>
          <w:lang w:val="en-US" w:eastAsia="zh-CN"/>
        </w:rPr>
        <w:t>11</w:t>
      </w:r>
      <w:r>
        <w:rPr>
          <w:rFonts w:hint="default" w:ascii="Times New Roman" w:hAnsi="Times New Roman" w:cs="Times New Roman"/>
          <w:color w:val="auto"/>
          <w:highlight w:val="none"/>
        </w:rPr>
        <w:t>.0m，现场测得的地下水</w:t>
      </w:r>
      <w:r>
        <w:rPr>
          <w:rFonts w:hint="default" w:ascii="Times New Roman" w:hAnsi="Times New Roman" w:cs="Times New Roman"/>
          <w:color w:val="auto"/>
          <w:highlight w:val="none"/>
          <w:lang w:eastAsia="zh-CN"/>
        </w:rPr>
        <w:t>相关信息</w:t>
      </w:r>
      <w:r>
        <w:rPr>
          <w:rFonts w:hint="default" w:ascii="Times New Roman" w:hAnsi="Times New Roman" w:cs="Times New Roman"/>
          <w:color w:val="auto"/>
          <w:highlight w:val="none"/>
        </w:rPr>
        <w:t>数据见表4-3-</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w:t>
      </w:r>
    </w:p>
    <w:p>
      <w:pPr>
        <w:pStyle w:val="5"/>
        <w:tabs>
          <w:tab w:val="left" w:pos="425"/>
        </w:tabs>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样品质量控制</w:t>
      </w:r>
    </w:p>
    <w:p>
      <w:pPr>
        <w:pStyle w:val="31"/>
        <w:keepNext w:val="0"/>
        <w:keepLines w:val="0"/>
        <w:pageBreakBefore w:val="0"/>
        <w:widowControl w:val="0"/>
        <w:kinsoku/>
        <w:wordWrap/>
        <w:overflowPunct/>
        <w:topLinePunct w:val="0"/>
        <w:autoSpaceDE/>
        <w:autoSpaceDN/>
        <w:bidi w:val="0"/>
        <w:adjustRightInd w:val="0"/>
        <w:snapToGrid w:val="0"/>
        <w:spacing w:after="0"/>
        <w:ind w:firstLine="48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采样人员均已通过岗前培训、持证上岗，切实掌握土壤、地下水采样技术，熟知采样器具的使用和样品固定、保存、运输条件。同批次水样</w:t>
      </w:r>
      <w:r>
        <w:rPr>
          <w:rFonts w:hint="default" w:ascii="Times New Roman" w:hAnsi="Times New Roman" w:cs="Times New Roman"/>
          <w:color w:val="auto"/>
          <w:highlight w:val="none"/>
          <w:lang w:eastAsia="zh-CN"/>
        </w:rPr>
        <w:t>、土样</w:t>
      </w:r>
      <w:r>
        <w:rPr>
          <w:rFonts w:hint="default" w:ascii="Times New Roman" w:hAnsi="Times New Roman" w:cs="Times New Roman"/>
          <w:color w:val="auto"/>
          <w:highlight w:val="none"/>
        </w:rPr>
        <w:t>，加采现场平行样。每次测试结束后，除必要的留存样外，样品容器均及时清洗</w:t>
      </w:r>
      <w:r>
        <w:rPr>
          <w:rFonts w:hint="default" w:ascii="Times New Roman" w:hAnsi="Times New Roman" w:cs="Times New Roman"/>
          <w:color w:val="auto"/>
          <w:highlight w:val="none"/>
          <w:lang w:eastAsia="zh-CN"/>
        </w:rPr>
        <w:t>。</w:t>
      </w:r>
    </w:p>
    <w:p>
      <w:pPr>
        <w:pStyle w:val="31"/>
        <w:keepNext w:val="0"/>
        <w:keepLines w:val="0"/>
        <w:pageBreakBefore w:val="0"/>
        <w:widowControl w:val="0"/>
        <w:kinsoku/>
        <w:wordWrap/>
        <w:overflowPunct/>
        <w:topLinePunct w:val="0"/>
        <w:autoSpaceDE/>
        <w:autoSpaceDN/>
        <w:bidi w:val="0"/>
        <w:adjustRightInd w:val="0"/>
        <w:snapToGrid w:val="0"/>
        <w:spacing w:after="0"/>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本次调查实际共采集</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个</w:t>
      </w:r>
      <w:r>
        <w:rPr>
          <w:rFonts w:hint="default" w:ascii="Times New Roman" w:hAnsi="Times New Roman" w:cs="Times New Roman"/>
          <w:color w:val="auto"/>
          <w:highlight w:val="none"/>
          <w:lang w:eastAsia="zh-CN"/>
        </w:rPr>
        <w:t>土壤</w:t>
      </w:r>
      <w:r>
        <w:rPr>
          <w:rFonts w:hint="default" w:ascii="Times New Roman" w:hAnsi="Times New Roman" w:cs="Times New Roman"/>
          <w:color w:val="auto"/>
          <w:highlight w:val="none"/>
        </w:rPr>
        <w:t>平行</w:t>
      </w:r>
      <w:r>
        <w:rPr>
          <w:rFonts w:hint="default" w:ascii="Times New Roman" w:hAnsi="Times New Roman" w:cs="Times New Roman"/>
          <w:color w:val="auto"/>
          <w:highlight w:val="none"/>
          <w:lang w:eastAsia="zh-CN"/>
        </w:rPr>
        <w:t>盲</w:t>
      </w:r>
      <w:r>
        <w:rPr>
          <w:rFonts w:hint="default" w:ascii="Times New Roman" w:hAnsi="Times New Roman" w:cs="Times New Roman"/>
          <w:color w:val="auto"/>
          <w:highlight w:val="none"/>
        </w:rPr>
        <w:t>样，具体布设情况见表4-</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p>
    <w:p>
      <w:pPr>
        <w:pStyle w:val="34"/>
        <w:keepNext w:val="0"/>
        <w:keepLines w:val="0"/>
        <w:pageBreakBefore w:val="0"/>
        <w:widowControl w:val="0"/>
        <w:kinsoku/>
        <w:wordWrap/>
        <w:overflowPunct/>
        <w:topLinePunct w:val="0"/>
        <w:autoSpaceDE/>
        <w:autoSpaceDN/>
        <w:bidi w:val="0"/>
        <w:adjustRightInd/>
        <w:snapToGrid/>
        <w:spacing w:before="0" w:beforeLines="0" w:line="240" w:lineRule="auto"/>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表4-3-</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 xml:space="preserve">  </w:t>
      </w:r>
      <w:r>
        <w:rPr>
          <w:rFonts w:hint="default" w:ascii="Times New Roman" w:hAnsi="Times New Roman" w:eastAsia="宋体" w:cs="Times New Roman"/>
          <w:color w:val="auto"/>
          <w:highlight w:val="none"/>
          <w:lang w:eastAsia="zh-CN"/>
        </w:rPr>
        <w:t>调查范围内</w:t>
      </w:r>
      <w:r>
        <w:rPr>
          <w:rFonts w:hint="default" w:ascii="Times New Roman" w:hAnsi="Times New Roman" w:eastAsia="宋体" w:cs="Times New Roman"/>
          <w:color w:val="auto"/>
          <w:highlight w:val="none"/>
        </w:rPr>
        <w:t>平行盲样布设情况</w:t>
      </w:r>
    </w:p>
    <w:tbl>
      <w:tblPr>
        <w:tblStyle w:val="21"/>
        <w:tblW w:w="9798"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38"/>
        <w:gridCol w:w="2330"/>
        <w:gridCol w:w="3022"/>
        <w:gridCol w:w="310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tblHeader/>
        </w:trPr>
        <w:tc>
          <w:tcPr>
            <w:tcW w:w="1338" w:type="dxa"/>
            <w:tcBorders>
              <w:bottom w:val="single" w:color="auto" w:sz="12"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序号</w:t>
            </w:r>
          </w:p>
        </w:tc>
        <w:tc>
          <w:tcPr>
            <w:tcW w:w="2330" w:type="dxa"/>
            <w:tcBorders>
              <w:bottom w:val="single" w:color="auto" w:sz="12"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平行盲样编号</w:t>
            </w:r>
          </w:p>
        </w:tc>
        <w:tc>
          <w:tcPr>
            <w:tcW w:w="3022" w:type="dxa"/>
            <w:tcBorders>
              <w:bottom w:val="single" w:color="auto" w:sz="12"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对应采样点位信息</w:t>
            </w:r>
          </w:p>
        </w:tc>
        <w:tc>
          <w:tcPr>
            <w:tcW w:w="3108" w:type="dxa"/>
            <w:tcBorders>
              <w:bottom w:val="single" w:color="auto" w:sz="12"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样品类型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338" w:type="dxa"/>
            <w:tcBorders>
              <w:top w:val="single" w:color="auto" w:sz="12"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w:t>
            </w:r>
          </w:p>
        </w:tc>
        <w:tc>
          <w:tcPr>
            <w:tcW w:w="2330" w:type="dxa"/>
            <w:tcBorders>
              <w:top w:val="single" w:color="auto" w:sz="12"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highlight w:val="none"/>
                <w:lang w:val="en-US"/>
              </w:rPr>
            </w:pPr>
            <w:r>
              <w:rPr>
                <w:rFonts w:hint="default" w:ascii="Times New Roman" w:hAnsi="Times New Roman" w:cs="Times New Roman"/>
                <w:bCs/>
                <w:color w:val="auto"/>
                <w:sz w:val="21"/>
                <w:szCs w:val="21"/>
                <w:highlight w:val="none"/>
              </w:rPr>
              <w:t>QC-</w:t>
            </w:r>
            <w:r>
              <w:rPr>
                <w:rFonts w:hint="default" w:ascii="Times New Roman" w:hAnsi="Times New Roman" w:cs="Times New Roman"/>
                <w:bCs/>
                <w:color w:val="auto"/>
                <w:sz w:val="21"/>
                <w:szCs w:val="21"/>
                <w:highlight w:val="none"/>
                <w:lang w:val="en-US"/>
              </w:rPr>
              <w:t>3</w:t>
            </w:r>
          </w:p>
        </w:tc>
        <w:tc>
          <w:tcPr>
            <w:tcW w:w="3022" w:type="dxa"/>
            <w:tcBorders>
              <w:top w:val="single" w:color="auto" w:sz="12"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SJG-2-75</w:t>
            </w:r>
          </w:p>
        </w:tc>
        <w:tc>
          <w:tcPr>
            <w:tcW w:w="3108" w:type="dxa"/>
            <w:tcBorders>
              <w:top w:val="single" w:color="auto" w:sz="12"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土壤</w:t>
            </w:r>
          </w:p>
        </w:tc>
      </w:tr>
    </w:tbl>
    <w:p>
      <w:pPr>
        <w:pStyle w:val="5"/>
        <w:tabs>
          <w:tab w:val="left" w:pos="425"/>
        </w:tabs>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土壤样品采集</w:t>
      </w:r>
    </w:p>
    <w:p>
      <w:pPr>
        <w:pStyle w:val="31"/>
        <w:adjustRightInd w:val="0"/>
        <w:snapToGrid w:val="0"/>
        <w:spacing w:after="0"/>
        <w:ind w:firstLine="48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结合</w:t>
      </w:r>
      <w:r>
        <w:rPr>
          <w:rFonts w:hint="default" w:ascii="Times New Roman" w:hAnsi="Times New Roman" w:cs="Times New Roman"/>
          <w:color w:val="auto"/>
          <w:highlight w:val="none"/>
          <w:lang w:eastAsia="zh-CN"/>
        </w:rPr>
        <w:t>园区</w:t>
      </w:r>
      <w:r>
        <w:rPr>
          <w:rFonts w:hint="default" w:ascii="Times New Roman" w:hAnsi="Times New Roman" w:cs="Times New Roman"/>
          <w:color w:val="auto"/>
          <w:highlight w:val="none"/>
        </w:rPr>
        <w:t>实际情况，本次调查实际共布设土壤监测点</w:t>
      </w:r>
      <w:r>
        <w:rPr>
          <w:rFonts w:hint="default" w:ascii="Times New Roman" w:hAnsi="Times New Roman" w:cs="Times New Roman"/>
          <w:color w:val="auto"/>
          <w:highlight w:val="none"/>
          <w:lang w:val="en-US" w:eastAsia="zh-CN"/>
        </w:rPr>
        <w:t>16</w:t>
      </w:r>
      <w:r>
        <w:rPr>
          <w:rFonts w:hint="default" w:ascii="Times New Roman" w:hAnsi="Times New Roman" w:cs="Times New Roman"/>
          <w:color w:val="auto"/>
          <w:highlight w:val="none"/>
        </w:rPr>
        <w:t>个，采集土壤样品</w:t>
      </w:r>
      <w:r>
        <w:rPr>
          <w:rFonts w:hint="default" w:ascii="Times New Roman" w:hAnsi="Times New Roman" w:cs="Times New Roman"/>
          <w:color w:val="auto"/>
          <w:highlight w:val="none"/>
          <w:lang w:val="en-US" w:eastAsia="zh-CN"/>
        </w:rPr>
        <w:t>16个，另采集现场平行盲样1个及运输空白样1个</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共</w:t>
      </w:r>
      <w:r>
        <w:rPr>
          <w:rFonts w:hint="default" w:ascii="Times New Roman" w:hAnsi="Times New Roman" w:cs="Times New Roman"/>
          <w:color w:val="auto"/>
          <w:highlight w:val="none"/>
        </w:rPr>
        <w:t>送检土壤样品</w:t>
      </w:r>
      <w:r>
        <w:rPr>
          <w:rFonts w:hint="default" w:ascii="Times New Roman" w:hAnsi="Times New Roman" w:cs="Times New Roman"/>
          <w:color w:val="auto"/>
          <w:highlight w:val="none"/>
          <w:lang w:val="en-US" w:eastAsia="zh-CN"/>
        </w:rPr>
        <w:t>18</w:t>
      </w:r>
      <w:r>
        <w:rPr>
          <w:rFonts w:hint="default" w:ascii="Times New Roman" w:hAnsi="Times New Roman" w:cs="Times New Roman"/>
          <w:color w:val="auto"/>
          <w:highlight w:val="none"/>
        </w:rPr>
        <w:t>个。</w:t>
      </w:r>
      <w:r>
        <w:rPr>
          <w:rFonts w:hint="default" w:ascii="Times New Roman" w:hAnsi="Times New Roman" w:cs="Times New Roman"/>
          <w:color w:val="auto"/>
          <w:highlight w:val="none"/>
          <w:lang w:val="en-US" w:eastAsia="zh-CN"/>
        </w:rPr>
        <w:t>实际采样点位于方案阶段一致，点位位置见表3-1-1</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现场记录见附件</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w:t>
      </w:r>
      <w:r>
        <w:rPr>
          <w:rFonts w:hint="default" w:ascii="Times New Roman" w:hAnsi="Times New Roman" w:cs="Times New Roman"/>
          <w:bCs/>
          <w:caps/>
          <w:color w:val="auto"/>
          <w:szCs w:val="24"/>
          <w:highlight w:val="none"/>
          <w:lang w:val="en-US" w:eastAsia="zh-CN"/>
        </w:rPr>
        <w:t>土壤和地下水实际采样点位分布图见附图6</w:t>
      </w:r>
      <w:r>
        <w:rPr>
          <w:rFonts w:hint="default" w:ascii="Times New Roman" w:hAnsi="Times New Roman" w:cs="Times New Roman"/>
          <w:color w:val="auto"/>
          <w:highlight w:val="none"/>
          <w:lang w:eastAsia="zh-CN"/>
        </w:rPr>
        <w:t>。</w:t>
      </w:r>
    </w:p>
    <w:p>
      <w:pPr>
        <w:pStyle w:val="31"/>
        <w:adjustRightInd w:val="0"/>
        <w:snapToGrid w:val="0"/>
        <w:spacing w:after="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园区</w:t>
      </w:r>
      <w:r>
        <w:rPr>
          <w:rFonts w:hint="default" w:ascii="Times New Roman" w:hAnsi="Times New Roman" w:cs="Times New Roman"/>
          <w:color w:val="auto"/>
          <w:highlight w:val="none"/>
        </w:rPr>
        <w:t>各采样点位土层土壤类型、颜色、湿度、气味、夹杂物情况等性状，以及土壤样品采集情况详见表4-</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p>
    <w:p>
      <w:pPr>
        <w:spacing w:line="240" w:lineRule="auto"/>
        <w:jc w:val="center"/>
        <w:rPr>
          <w:rFonts w:hint="default" w:ascii="Times New Roman" w:hAnsi="Times New Roman" w:eastAsia="黑体" w:cs="Times New Roman"/>
          <w:b/>
          <w:color w:val="auto"/>
          <w:sz w:val="24"/>
          <w:szCs w:val="20"/>
          <w:highlight w:val="none"/>
        </w:rPr>
        <w:sectPr>
          <w:headerReference r:id="rId13" w:type="default"/>
          <w:pgSz w:w="11905" w:h="16838"/>
          <w:pgMar w:top="1134" w:right="1134" w:bottom="1134" w:left="1134" w:header="850" w:footer="992" w:gutter="0"/>
          <w:pgBorders>
            <w:top w:val="none" w:sz="0" w:space="0"/>
            <w:left w:val="none" w:sz="0" w:space="0"/>
            <w:bottom w:val="none" w:sz="0" w:space="0"/>
            <w:right w:val="none" w:sz="0" w:space="0"/>
          </w:pgBorders>
          <w:pgNumType w:fmt="numberInDash"/>
          <w:cols w:space="0" w:num="1"/>
          <w:rtlGutter w:val="0"/>
          <w:docGrid w:type="lines" w:linePitch="332" w:charSpace="0"/>
        </w:sectPr>
      </w:pPr>
    </w:p>
    <w:p>
      <w:pPr>
        <w:spacing w:line="400" w:lineRule="atLeast"/>
        <w:jc w:val="center"/>
        <w:rPr>
          <w:rFonts w:hint="default" w:ascii="Times New Roman" w:hAnsi="Times New Roman" w:cs="Times New Roman"/>
          <w:color w:val="auto"/>
          <w:highlight w:val="none"/>
        </w:rPr>
      </w:pPr>
      <w:r>
        <w:rPr>
          <w:rFonts w:hint="default" w:ascii="Times New Roman" w:hAnsi="Times New Roman" w:eastAsia="黑体" w:cs="Times New Roman"/>
          <w:b/>
          <w:color w:val="auto"/>
          <w:sz w:val="24"/>
          <w:szCs w:val="20"/>
          <w:highlight w:val="none"/>
        </w:rPr>
        <w:t>表4-</w:t>
      </w:r>
      <w:r>
        <w:rPr>
          <w:rFonts w:hint="default" w:ascii="Times New Roman" w:hAnsi="Times New Roman" w:eastAsia="黑体" w:cs="Times New Roman"/>
          <w:b/>
          <w:color w:val="auto"/>
          <w:sz w:val="24"/>
          <w:szCs w:val="20"/>
          <w:highlight w:val="none"/>
          <w:lang w:val="en-US" w:eastAsia="zh-CN"/>
        </w:rPr>
        <w:t>3</w:t>
      </w:r>
      <w:r>
        <w:rPr>
          <w:rFonts w:hint="default" w:ascii="Times New Roman" w:hAnsi="Times New Roman" w:eastAsia="黑体" w:cs="Times New Roman"/>
          <w:b/>
          <w:color w:val="auto"/>
          <w:sz w:val="24"/>
          <w:szCs w:val="20"/>
          <w:highlight w:val="none"/>
        </w:rPr>
        <w:t>-</w:t>
      </w:r>
      <w:r>
        <w:rPr>
          <w:rFonts w:hint="default" w:ascii="Times New Roman" w:hAnsi="Times New Roman" w:eastAsia="黑体" w:cs="Times New Roman"/>
          <w:b/>
          <w:color w:val="auto"/>
          <w:sz w:val="24"/>
          <w:szCs w:val="20"/>
          <w:highlight w:val="none"/>
          <w:lang w:val="en-US" w:eastAsia="zh-CN"/>
        </w:rPr>
        <w:t>3</w:t>
      </w:r>
      <w:r>
        <w:rPr>
          <w:rFonts w:hint="default" w:ascii="Times New Roman" w:hAnsi="Times New Roman" w:eastAsia="黑体" w:cs="Times New Roman"/>
          <w:b/>
          <w:color w:val="auto"/>
          <w:sz w:val="24"/>
          <w:szCs w:val="20"/>
          <w:highlight w:val="none"/>
        </w:rPr>
        <w:t xml:space="preserve">  土壤采样点位现场记录统计表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444"/>
        <w:gridCol w:w="1071"/>
        <w:gridCol w:w="1282"/>
        <w:gridCol w:w="1016"/>
        <w:gridCol w:w="782"/>
        <w:gridCol w:w="1069"/>
        <w:gridCol w:w="739"/>
        <w:gridCol w:w="903"/>
        <w:gridCol w:w="72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151"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auto"/>
                <w:sz w:val="21"/>
                <w:szCs w:val="21"/>
                <w:highlight w:val="none"/>
                <w:u w:val="none"/>
              </w:rPr>
            </w:pPr>
            <w:r>
              <w:rPr>
                <w:rFonts w:hint="default" w:ascii="Times New Roman" w:hAnsi="Times New Roman" w:eastAsia="宋体" w:cs="Times New Roman"/>
                <w:b/>
                <w:bCs w:val="0"/>
                <w:i w:val="0"/>
                <w:color w:val="auto"/>
                <w:kern w:val="0"/>
                <w:sz w:val="21"/>
                <w:szCs w:val="21"/>
                <w:highlight w:val="none"/>
                <w:u w:val="none"/>
                <w:lang w:val="en-US" w:eastAsia="zh-CN" w:bidi="ar"/>
              </w:rPr>
              <w:t>序号</w:t>
            </w:r>
          </w:p>
        </w:tc>
        <w:tc>
          <w:tcPr>
            <w:tcW w:w="366"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
                <w:bCs w:val="0"/>
                <w:i w:val="0"/>
                <w:color w:val="auto"/>
                <w:kern w:val="0"/>
                <w:sz w:val="21"/>
                <w:szCs w:val="21"/>
                <w:highlight w:val="none"/>
                <w:u w:val="none"/>
                <w:lang w:val="en-US" w:eastAsia="zh-CN" w:bidi="ar"/>
              </w:rPr>
            </w:pPr>
            <w:r>
              <w:rPr>
                <w:rFonts w:hint="default" w:ascii="Times New Roman" w:hAnsi="Times New Roman" w:cs="Times New Roman"/>
                <w:b/>
                <w:bCs/>
                <w:color w:val="auto"/>
                <w:sz w:val="21"/>
                <w:szCs w:val="21"/>
                <w:highlight w:val="none"/>
                <w:lang w:val="en-US" w:eastAsia="zh-CN"/>
              </w:rPr>
              <w:t>点位类型</w:t>
            </w:r>
          </w:p>
        </w:tc>
        <w:tc>
          <w:tcPr>
            <w:tcW w:w="439"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b/>
                <w:bCs w:val="0"/>
                <w:i w:val="0"/>
                <w:color w:val="auto"/>
                <w:kern w:val="0"/>
                <w:sz w:val="21"/>
                <w:szCs w:val="21"/>
                <w:highlight w:val="none"/>
                <w:u w:val="none"/>
                <w:lang w:val="en-US" w:eastAsia="zh-CN" w:bidi="ar"/>
              </w:rPr>
            </w:pPr>
            <w:r>
              <w:rPr>
                <w:rFonts w:hint="default" w:ascii="Times New Roman" w:hAnsi="Times New Roman" w:cs="Times New Roman"/>
                <w:b/>
                <w:bCs/>
                <w:color w:val="auto"/>
                <w:sz w:val="21"/>
                <w:szCs w:val="21"/>
                <w:highlight w:val="none"/>
                <w:lang w:val="en-US" w:eastAsia="zh-CN"/>
              </w:rPr>
              <w:t>检测点位</w:t>
            </w:r>
          </w:p>
        </w:tc>
        <w:tc>
          <w:tcPr>
            <w:tcW w:w="348"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auto"/>
                <w:sz w:val="21"/>
                <w:szCs w:val="21"/>
                <w:highlight w:val="none"/>
                <w:u w:val="none"/>
              </w:rPr>
            </w:pPr>
            <w:r>
              <w:rPr>
                <w:rFonts w:hint="default" w:ascii="Times New Roman" w:hAnsi="Times New Roman" w:eastAsia="宋体" w:cs="Times New Roman"/>
                <w:b/>
                <w:bCs w:val="0"/>
                <w:i w:val="0"/>
                <w:color w:val="auto"/>
                <w:kern w:val="0"/>
                <w:sz w:val="21"/>
                <w:szCs w:val="21"/>
                <w:highlight w:val="none"/>
                <w:u w:val="none"/>
                <w:lang w:val="en-US" w:eastAsia="zh-CN" w:bidi="ar"/>
              </w:rPr>
              <w:t>土壤类型</w:t>
            </w:r>
          </w:p>
        </w:tc>
        <w:tc>
          <w:tcPr>
            <w:tcW w:w="268"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auto"/>
                <w:sz w:val="21"/>
                <w:szCs w:val="21"/>
                <w:highlight w:val="none"/>
                <w:u w:val="none"/>
              </w:rPr>
            </w:pPr>
            <w:r>
              <w:rPr>
                <w:rFonts w:hint="default" w:ascii="Times New Roman" w:hAnsi="Times New Roman" w:eastAsia="宋体" w:cs="Times New Roman"/>
                <w:b/>
                <w:bCs w:val="0"/>
                <w:i w:val="0"/>
                <w:color w:val="auto"/>
                <w:kern w:val="0"/>
                <w:sz w:val="21"/>
                <w:szCs w:val="21"/>
                <w:highlight w:val="none"/>
                <w:u w:val="none"/>
                <w:lang w:val="en-US" w:eastAsia="zh-CN" w:bidi="ar"/>
              </w:rPr>
              <w:t>颜色</w:t>
            </w:r>
          </w:p>
        </w:tc>
        <w:tc>
          <w:tcPr>
            <w:tcW w:w="366"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auto"/>
                <w:sz w:val="21"/>
                <w:szCs w:val="21"/>
                <w:highlight w:val="none"/>
                <w:u w:val="none"/>
              </w:rPr>
            </w:pPr>
            <w:r>
              <w:rPr>
                <w:rFonts w:hint="default" w:ascii="Times New Roman" w:hAnsi="Times New Roman" w:eastAsia="宋体" w:cs="Times New Roman"/>
                <w:b/>
                <w:bCs w:val="0"/>
                <w:i w:val="0"/>
                <w:color w:val="auto"/>
                <w:kern w:val="0"/>
                <w:sz w:val="21"/>
                <w:szCs w:val="21"/>
                <w:highlight w:val="none"/>
                <w:u w:val="none"/>
                <w:lang w:val="en-US" w:eastAsia="zh-CN" w:bidi="ar"/>
              </w:rPr>
              <w:t>湿度</w:t>
            </w:r>
          </w:p>
        </w:tc>
        <w:tc>
          <w:tcPr>
            <w:tcW w:w="252"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auto"/>
                <w:sz w:val="21"/>
                <w:szCs w:val="21"/>
                <w:highlight w:val="none"/>
                <w:u w:val="none"/>
              </w:rPr>
            </w:pPr>
            <w:r>
              <w:rPr>
                <w:rFonts w:hint="default" w:ascii="Times New Roman" w:hAnsi="Times New Roman" w:eastAsia="宋体" w:cs="Times New Roman"/>
                <w:b/>
                <w:bCs w:val="0"/>
                <w:i w:val="0"/>
                <w:color w:val="auto"/>
                <w:kern w:val="0"/>
                <w:sz w:val="21"/>
                <w:szCs w:val="21"/>
                <w:highlight w:val="none"/>
                <w:u w:val="none"/>
                <w:lang w:val="en-US" w:eastAsia="zh-CN" w:bidi="ar"/>
              </w:rPr>
              <w:t>气味</w:t>
            </w:r>
          </w:p>
        </w:tc>
        <w:tc>
          <w:tcPr>
            <w:tcW w:w="309"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auto"/>
                <w:sz w:val="21"/>
                <w:szCs w:val="21"/>
                <w:highlight w:val="none"/>
                <w:u w:val="none"/>
              </w:rPr>
            </w:pPr>
            <w:r>
              <w:rPr>
                <w:rFonts w:hint="default" w:ascii="Times New Roman" w:hAnsi="Times New Roman" w:eastAsia="宋体" w:cs="Times New Roman"/>
                <w:b/>
                <w:bCs w:val="0"/>
                <w:i w:val="0"/>
                <w:color w:val="auto"/>
                <w:kern w:val="0"/>
                <w:sz w:val="21"/>
                <w:szCs w:val="21"/>
                <w:highlight w:val="none"/>
                <w:u w:val="none"/>
                <w:lang w:val="en-US" w:eastAsia="zh-CN" w:bidi="ar"/>
              </w:rPr>
              <w:t>可塑性</w:t>
            </w:r>
          </w:p>
        </w:tc>
        <w:tc>
          <w:tcPr>
            <w:tcW w:w="2497"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auto"/>
                <w:sz w:val="21"/>
                <w:szCs w:val="21"/>
                <w:highlight w:val="none"/>
                <w:u w:val="none"/>
              </w:rPr>
            </w:pPr>
            <w:r>
              <w:rPr>
                <w:rFonts w:hint="default" w:ascii="Times New Roman" w:hAnsi="Times New Roman" w:eastAsia="宋体" w:cs="Times New Roman"/>
                <w:b/>
                <w:bCs w:val="0"/>
                <w:i w:val="0"/>
                <w:color w:val="auto"/>
                <w:kern w:val="0"/>
                <w:sz w:val="21"/>
                <w:szCs w:val="21"/>
                <w:highlight w:val="none"/>
                <w:u w:val="none"/>
                <w:lang w:val="en-US" w:eastAsia="zh-CN" w:bidi="ar"/>
              </w:rPr>
              <w:t>夹杂物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1"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366" w:type="pct"/>
            <w:vMerge w:val="restar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工业园周边点位</w:t>
            </w:r>
          </w:p>
        </w:tc>
        <w:tc>
          <w:tcPr>
            <w:tcW w:w="439"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SJG-1-75</w:t>
            </w:r>
          </w:p>
        </w:tc>
        <w:tc>
          <w:tcPr>
            <w:tcW w:w="348"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素填土</w:t>
            </w:r>
          </w:p>
        </w:tc>
        <w:tc>
          <w:tcPr>
            <w:tcW w:w="268"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棕褐色</w:t>
            </w:r>
          </w:p>
        </w:tc>
        <w:tc>
          <w:tcPr>
            <w:tcW w:w="366"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干</w:t>
            </w:r>
          </w:p>
        </w:tc>
        <w:tc>
          <w:tcPr>
            <w:tcW w:w="252"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无</w:t>
            </w:r>
          </w:p>
        </w:tc>
        <w:tc>
          <w:tcPr>
            <w:tcW w:w="309"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松散</w:t>
            </w:r>
          </w:p>
        </w:tc>
        <w:tc>
          <w:tcPr>
            <w:tcW w:w="2497"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表面含根系，含少量砂质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w:t>
            </w:r>
          </w:p>
        </w:tc>
        <w:tc>
          <w:tcPr>
            <w:tcW w:w="366"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4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SJG-1-200</w:t>
            </w:r>
          </w:p>
        </w:tc>
        <w:tc>
          <w:tcPr>
            <w:tcW w:w="3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杂填土</w:t>
            </w:r>
          </w:p>
        </w:tc>
        <w:tc>
          <w:tcPr>
            <w:tcW w:w="2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杂色</w:t>
            </w:r>
          </w:p>
        </w:tc>
        <w:tc>
          <w:tcPr>
            <w:tcW w:w="3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干</w:t>
            </w:r>
          </w:p>
        </w:tc>
        <w:tc>
          <w:tcPr>
            <w:tcW w:w="2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无</w:t>
            </w:r>
          </w:p>
        </w:tc>
        <w:tc>
          <w:tcPr>
            <w:tcW w:w="30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松散</w:t>
            </w:r>
          </w:p>
        </w:tc>
        <w:tc>
          <w:tcPr>
            <w:tcW w:w="24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表面含根系、石块、砂质，下层由粘土组成（原始土）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w:t>
            </w:r>
          </w:p>
        </w:tc>
        <w:tc>
          <w:tcPr>
            <w:tcW w:w="366"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4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SJG-2-75</w:t>
            </w:r>
          </w:p>
        </w:tc>
        <w:tc>
          <w:tcPr>
            <w:tcW w:w="3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素填土</w:t>
            </w:r>
          </w:p>
        </w:tc>
        <w:tc>
          <w:tcPr>
            <w:tcW w:w="2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黄褐色</w:t>
            </w:r>
          </w:p>
        </w:tc>
        <w:tc>
          <w:tcPr>
            <w:tcW w:w="3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稍湿</w:t>
            </w:r>
          </w:p>
        </w:tc>
        <w:tc>
          <w:tcPr>
            <w:tcW w:w="2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无</w:t>
            </w:r>
          </w:p>
        </w:tc>
        <w:tc>
          <w:tcPr>
            <w:tcW w:w="30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松散</w:t>
            </w:r>
          </w:p>
        </w:tc>
        <w:tc>
          <w:tcPr>
            <w:tcW w:w="24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表面含根系、石块，下层主要由粉砂质粘土组成，含氧化物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w:t>
            </w:r>
          </w:p>
        </w:tc>
        <w:tc>
          <w:tcPr>
            <w:tcW w:w="366"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eastAsia="zh-CN"/>
              </w:rPr>
            </w:pPr>
          </w:p>
        </w:tc>
        <w:tc>
          <w:tcPr>
            <w:tcW w:w="4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SJG-2-200</w:t>
            </w:r>
          </w:p>
        </w:tc>
        <w:tc>
          <w:tcPr>
            <w:tcW w:w="3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素填土</w:t>
            </w:r>
          </w:p>
        </w:tc>
        <w:tc>
          <w:tcPr>
            <w:tcW w:w="2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黄褐色</w:t>
            </w:r>
          </w:p>
        </w:tc>
        <w:tc>
          <w:tcPr>
            <w:tcW w:w="3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稍湿</w:t>
            </w:r>
          </w:p>
        </w:tc>
        <w:tc>
          <w:tcPr>
            <w:tcW w:w="2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无</w:t>
            </w:r>
          </w:p>
        </w:tc>
        <w:tc>
          <w:tcPr>
            <w:tcW w:w="30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松散</w:t>
            </w:r>
          </w:p>
        </w:tc>
        <w:tc>
          <w:tcPr>
            <w:tcW w:w="24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表面含根系、石块，含较多腐殖质，下层主要由粘土组成，含高岭土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w:t>
            </w:r>
          </w:p>
        </w:tc>
        <w:tc>
          <w:tcPr>
            <w:tcW w:w="366"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4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SJG-2-400</w:t>
            </w:r>
          </w:p>
        </w:tc>
        <w:tc>
          <w:tcPr>
            <w:tcW w:w="3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杂填土</w:t>
            </w:r>
          </w:p>
        </w:tc>
        <w:tc>
          <w:tcPr>
            <w:tcW w:w="2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杂色</w:t>
            </w:r>
          </w:p>
        </w:tc>
        <w:tc>
          <w:tcPr>
            <w:tcW w:w="3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稍湿</w:t>
            </w:r>
          </w:p>
        </w:tc>
        <w:tc>
          <w:tcPr>
            <w:tcW w:w="2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无</w:t>
            </w:r>
          </w:p>
        </w:tc>
        <w:tc>
          <w:tcPr>
            <w:tcW w:w="30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可塑</w:t>
            </w:r>
          </w:p>
        </w:tc>
        <w:tc>
          <w:tcPr>
            <w:tcW w:w="24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表面含根系、石块，含腐殖质，下层主要由粘土组成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w:t>
            </w:r>
          </w:p>
        </w:tc>
        <w:tc>
          <w:tcPr>
            <w:tcW w:w="366"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4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SJG-3</w:t>
            </w:r>
          </w:p>
        </w:tc>
        <w:tc>
          <w:tcPr>
            <w:tcW w:w="3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素填土</w:t>
            </w:r>
          </w:p>
        </w:tc>
        <w:tc>
          <w:tcPr>
            <w:tcW w:w="2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棕褐色</w:t>
            </w:r>
          </w:p>
        </w:tc>
        <w:tc>
          <w:tcPr>
            <w:tcW w:w="3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潮湿</w:t>
            </w:r>
          </w:p>
        </w:tc>
        <w:tc>
          <w:tcPr>
            <w:tcW w:w="2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无</w:t>
            </w:r>
          </w:p>
        </w:tc>
        <w:tc>
          <w:tcPr>
            <w:tcW w:w="30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松散</w:t>
            </w:r>
          </w:p>
        </w:tc>
        <w:tc>
          <w:tcPr>
            <w:tcW w:w="24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表面含根系、石块，下层主要由粉质粘土组成，含高岭土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w:t>
            </w:r>
          </w:p>
        </w:tc>
        <w:tc>
          <w:tcPr>
            <w:tcW w:w="366"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eastAsia="zh-CN"/>
              </w:rPr>
            </w:pPr>
          </w:p>
        </w:tc>
        <w:tc>
          <w:tcPr>
            <w:tcW w:w="4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SJG-4</w:t>
            </w:r>
          </w:p>
        </w:tc>
        <w:tc>
          <w:tcPr>
            <w:tcW w:w="3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砂土</w:t>
            </w:r>
          </w:p>
        </w:tc>
        <w:tc>
          <w:tcPr>
            <w:tcW w:w="2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灰黑</w:t>
            </w:r>
          </w:p>
        </w:tc>
        <w:tc>
          <w:tcPr>
            <w:tcW w:w="3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稍湿</w:t>
            </w:r>
          </w:p>
        </w:tc>
        <w:tc>
          <w:tcPr>
            <w:tcW w:w="2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无</w:t>
            </w:r>
          </w:p>
        </w:tc>
        <w:tc>
          <w:tcPr>
            <w:tcW w:w="30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松散</w:t>
            </w:r>
          </w:p>
        </w:tc>
        <w:tc>
          <w:tcPr>
            <w:tcW w:w="24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表面含根系，含少量淤泥，夹杂贝类，石英砂，主要由砂土组成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8</w:t>
            </w:r>
          </w:p>
        </w:tc>
        <w:tc>
          <w:tcPr>
            <w:tcW w:w="366" w:type="pct"/>
            <w:vMerge w:val="restart"/>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企业聚集区周边</w:t>
            </w:r>
          </w:p>
        </w:tc>
        <w:tc>
          <w:tcPr>
            <w:tcW w:w="4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SJG-JJ-1</w:t>
            </w:r>
          </w:p>
        </w:tc>
        <w:tc>
          <w:tcPr>
            <w:tcW w:w="3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耕植土</w:t>
            </w:r>
          </w:p>
        </w:tc>
        <w:tc>
          <w:tcPr>
            <w:tcW w:w="2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黄褐色</w:t>
            </w:r>
          </w:p>
        </w:tc>
        <w:tc>
          <w:tcPr>
            <w:tcW w:w="3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稍湿</w:t>
            </w:r>
          </w:p>
        </w:tc>
        <w:tc>
          <w:tcPr>
            <w:tcW w:w="2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无</w:t>
            </w:r>
          </w:p>
        </w:tc>
        <w:tc>
          <w:tcPr>
            <w:tcW w:w="30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松散</w:t>
            </w:r>
          </w:p>
        </w:tc>
        <w:tc>
          <w:tcPr>
            <w:tcW w:w="24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表面含根系、石块，下层主要由粉质粘土组成，含高岭土、黑色铁锰氧化物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w:t>
            </w:r>
          </w:p>
        </w:tc>
        <w:tc>
          <w:tcPr>
            <w:tcW w:w="366"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4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SJG-JJ-2</w:t>
            </w:r>
          </w:p>
        </w:tc>
        <w:tc>
          <w:tcPr>
            <w:tcW w:w="3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杂填土</w:t>
            </w:r>
          </w:p>
        </w:tc>
        <w:tc>
          <w:tcPr>
            <w:tcW w:w="2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杂色</w:t>
            </w:r>
          </w:p>
        </w:tc>
        <w:tc>
          <w:tcPr>
            <w:tcW w:w="3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稍湿</w:t>
            </w:r>
          </w:p>
        </w:tc>
        <w:tc>
          <w:tcPr>
            <w:tcW w:w="2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无</w:t>
            </w:r>
          </w:p>
        </w:tc>
        <w:tc>
          <w:tcPr>
            <w:tcW w:w="30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软塑</w:t>
            </w:r>
          </w:p>
        </w:tc>
        <w:tc>
          <w:tcPr>
            <w:tcW w:w="24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表面含根系、石块，下层主要由粉质粘土组成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366"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eastAsia="zh-CN"/>
              </w:rPr>
            </w:pPr>
          </w:p>
        </w:tc>
        <w:tc>
          <w:tcPr>
            <w:tcW w:w="4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SJG-JJ-3</w:t>
            </w:r>
          </w:p>
        </w:tc>
        <w:tc>
          <w:tcPr>
            <w:tcW w:w="3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杂填土</w:t>
            </w:r>
          </w:p>
        </w:tc>
        <w:tc>
          <w:tcPr>
            <w:tcW w:w="2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杂色</w:t>
            </w:r>
          </w:p>
        </w:tc>
        <w:tc>
          <w:tcPr>
            <w:tcW w:w="3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干</w:t>
            </w:r>
          </w:p>
        </w:tc>
        <w:tc>
          <w:tcPr>
            <w:tcW w:w="2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无</w:t>
            </w:r>
          </w:p>
        </w:tc>
        <w:tc>
          <w:tcPr>
            <w:tcW w:w="30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松散</w:t>
            </w:r>
          </w:p>
        </w:tc>
        <w:tc>
          <w:tcPr>
            <w:tcW w:w="24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表面含根系、石块，含较多砂质，下层主要由粉质粘土组成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w:t>
            </w:r>
          </w:p>
        </w:tc>
        <w:tc>
          <w:tcPr>
            <w:tcW w:w="366"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4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SJG-JJ-4</w:t>
            </w:r>
          </w:p>
        </w:tc>
        <w:tc>
          <w:tcPr>
            <w:tcW w:w="3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素填土</w:t>
            </w:r>
          </w:p>
        </w:tc>
        <w:tc>
          <w:tcPr>
            <w:tcW w:w="2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黄褐色</w:t>
            </w:r>
          </w:p>
        </w:tc>
        <w:tc>
          <w:tcPr>
            <w:tcW w:w="3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稍湿</w:t>
            </w:r>
          </w:p>
        </w:tc>
        <w:tc>
          <w:tcPr>
            <w:tcW w:w="2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无</w:t>
            </w:r>
          </w:p>
        </w:tc>
        <w:tc>
          <w:tcPr>
            <w:tcW w:w="30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松散</w:t>
            </w:r>
          </w:p>
        </w:tc>
        <w:tc>
          <w:tcPr>
            <w:tcW w:w="24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表面含根系、石块，下层主要由粉质粘土组成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w:t>
            </w:r>
          </w:p>
        </w:tc>
        <w:tc>
          <w:tcPr>
            <w:tcW w:w="366"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4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SJG-JJ-5</w:t>
            </w:r>
          </w:p>
        </w:tc>
        <w:tc>
          <w:tcPr>
            <w:tcW w:w="3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杂填土</w:t>
            </w:r>
          </w:p>
        </w:tc>
        <w:tc>
          <w:tcPr>
            <w:tcW w:w="2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杂色</w:t>
            </w:r>
          </w:p>
        </w:tc>
        <w:tc>
          <w:tcPr>
            <w:tcW w:w="3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稍湿</w:t>
            </w:r>
          </w:p>
        </w:tc>
        <w:tc>
          <w:tcPr>
            <w:tcW w:w="2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无</w:t>
            </w:r>
          </w:p>
        </w:tc>
        <w:tc>
          <w:tcPr>
            <w:tcW w:w="30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松散</w:t>
            </w:r>
          </w:p>
        </w:tc>
        <w:tc>
          <w:tcPr>
            <w:tcW w:w="24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表面夹较多碎石、根系、腐殖质，下层为粉质粘土原始土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13</w:t>
            </w:r>
          </w:p>
        </w:tc>
        <w:tc>
          <w:tcPr>
            <w:tcW w:w="366"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p>
        </w:tc>
        <w:tc>
          <w:tcPr>
            <w:tcW w:w="4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SJG-JJ-6</w:t>
            </w:r>
          </w:p>
        </w:tc>
        <w:tc>
          <w:tcPr>
            <w:tcW w:w="3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杂填土</w:t>
            </w:r>
          </w:p>
        </w:tc>
        <w:tc>
          <w:tcPr>
            <w:tcW w:w="2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杂色</w:t>
            </w:r>
          </w:p>
        </w:tc>
        <w:tc>
          <w:tcPr>
            <w:tcW w:w="3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稍湿</w:t>
            </w:r>
          </w:p>
        </w:tc>
        <w:tc>
          <w:tcPr>
            <w:tcW w:w="2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无</w:t>
            </w:r>
          </w:p>
        </w:tc>
        <w:tc>
          <w:tcPr>
            <w:tcW w:w="30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松散</w:t>
            </w:r>
          </w:p>
        </w:tc>
        <w:tc>
          <w:tcPr>
            <w:tcW w:w="24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表面含较多根系、石块，下层主要由粘土组成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14</w:t>
            </w:r>
          </w:p>
        </w:tc>
        <w:tc>
          <w:tcPr>
            <w:tcW w:w="366"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p>
        </w:tc>
        <w:tc>
          <w:tcPr>
            <w:tcW w:w="4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SJG-JJ-7</w:t>
            </w:r>
          </w:p>
        </w:tc>
        <w:tc>
          <w:tcPr>
            <w:tcW w:w="3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杂填土</w:t>
            </w:r>
          </w:p>
        </w:tc>
        <w:tc>
          <w:tcPr>
            <w:tcW w:w="2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杂色</w:t>
            </w:r>
          </w:p>
        </w:tc>
        <w:tc>
          <w:tcPr>
            <w:tcW w:w="3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稍湿</w:t>
            </w:r>
          </w:p>
        </w:tc>
        <w:tc>
          <w:tcPr>
            <w:tcW w:w="2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无</w:t>
            </w:r>
          </w:p>
        </w:tc>
        <w:tc>
          <w:tcPr>
            <w:tcW w:w="30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松散</w:t>
            </w:r>
          </w:p>
        </w:tc>
        <w:tc>
          <w:tcPr>
            <w:tcW w:w="24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表面含根系、树叶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w:t>
            </w:r>
          </w:p>
        </w:tc>
        <w:tc>
          <w:tcPr>
            <w:tcW w:w="366"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eastAsia="zh-CN"/>
              </w:rPr>
            </w:pPr>
          </w:p>
        </w:tc>
        <w:tc>
          <w:tcPr>
            <w:tcW w:w="4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SJG-JJ-8</w:t>
            </w:r>
          </w:p>
        </w:tc>
        <w:tc>
          <w:tcPr>
            <w:tcW w:w="3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杂填土</w:t>
            </w:r>
          </w:p>
        </w:tc>
        <w:tc>
          <w:tcPr>
            <w:tcW w:w="2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杂色</w:t>
            </w:r>
          </w:p>
        </w:tc>
        <w:tc>
          <w:tcPr>
            <w:tcW w:w="3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稍湿</w:t>
            </w:r>
          </w:p>
        </w:tc>
        <w:tc>
          <w:tcPr>
            <w:tcW w:w="2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无</w:t>
            </w:r>
          </w:p>
        </w:tc>
        <w:tc>
          <w:tcPr>
            <w:tcW w:w="30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松散</w:t>
            </w:r>
          </w:p>
        </w:tc>
        <w:tc>
          <w:tcPr>
            <w:tcW w:w="24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表面含根系、砖块、碎石，下层为松散的回填土，含较多砂质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16</w:t>
            </w:r>
          </w:p>
        </w:tc>
        <w:tc>
          <w:tcPr>
            <w:tcW w:w="366"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eastAsia="zh-CN"/>
              </w:rPr>
            </w:pPr>
          </w:p>
        </w:tc>
        <w:tc>
          <w:tcPr>
            <w:tcW w:w="4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SJG-JJ-9</w:t>
            </w:r>
          </w:p>
        </w:tc>
        <w:tc>
          <w:tcPr>
            <w:tcW w:w="3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杂填土</w:t>
            </w:r>
          </w:p>
        </w:tc>
        <w:tc>
          <w:tcPr>
            <w:tcW w:w="2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杂色</w:t>
            </w:r>
          </w:p>
        </w:tc>
        <w:tc>
          <w:tcPr>
            <w:tcW w:w="3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稍湿</w:t>
            </w:r>
          </w:p>
        </w:tc>
        <w:tc>
          <w:tcPr>
            <w:tcW w:w="25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无</w:t>
            </w:r>
          </w:p>
        </w:tc>
        <w:tc>
          <w:tcPr>
            <w:tcW w:w="30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松散</w:t>
            </w:r>
          </w:p>
        </w:tc>
        <w:tc>
          <w:tcPr>
            <w:tcW w:w="24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表面含根系、石块，含较多砂质、腐殖质，下层主要由粘土组成</w:t>
            </w:r>
          </w:p>
        </w:tc>
      </w:tr>
    </w:tbl>
    <w:p>
      <w:pPr>
        <w:pStyle w:val="31"/>
        <w:adjustRightInd w:val="0"/>
        <w:snapToGrid w:val="0"/>
        <w:spacing w:after="0" w:line="240" w:lineRule="auto"/>
        <w:ind w:firstLine="480"/>
        <w:rPr>
          <w:rFonts w:hint="default" w:ascii="Times New Roman" w:hAnsi="Times New Roman" w:cs="Times New Roman"/>
          <w:b/>
          <w:bCs/>
          <w:color w:val="auto"/>
          <w:sz w:val="18"/>
          <w:szCs w:val="18"/>
          <w:highlight w:val="none"/>
          <w:lang w:eastAsia="zh-CN"/>
        </w:rPr>
        <w:sectPr>
          <w:headerReference r:id="rId14" w:type="default"/>
          <w:footerReference r:id="rId15" w:type="default"/>
          <w:pgSz w:w="16838" w:h="11905" w:orient="landscape"/>
          <w:pgMar w:top="1134" w:right="1134" w:bottom="1134" w:left="1134" w:header="850" w:footer="992" w:gutter="0"/>
          <w:pgBorders>
            <w:top w:val="none" w:sz="0" w:space="0"/>
            <w:left w:val="none" w:sz="0" w:space="0"/>
            <w:bottom w:val="none" w:sz="0" w:space="0"/>
            <w:right w:val="none" w:sz="0" w:space="0"/>
          </w:pgBorders>
          <w:pgNumType w:fmt="numberInDash"/>
          <w:cols w:space="0" w:num="1"/>
          <w:rtlGutter w:val="0"/>
          <w:docGrid w:type="lines" w:linePitch="332" w:charSpace="0"/>
        </w:sectPr>
      </w:pPr>
    </w:p>
    <w:p>
      <w:pPr>
        <w:pStyle w:val="5"/>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地下水样品采集</w:t>
      </w:r>
    </w:p>
    <w:p>
      <w:pPr>
        <w:spacing w:line="360" w:lineRule="auto"/>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highlight w:val="none"/>
          <w:lang w:eastAsia="zh-CN"/>
        </w:rPr>
        <w:t>调查范围</w:t>
      </w:r>
      <w:r>
        <w:rPr>
          <w:rFonts w:hint="default" w:ascii="Times New Roman" w:hAnsi="Times New Roman" w:cs="Times New Roman"/>
          <w:color w:val="auto"/>
          <w:sz w:val="24"/>
          <w:highlight w:val="none"/>
        </w:rPr>
        <w:t>内</w:t>
      </w:r>
      <w:r>
        <w:rPr>
          <w:rFonts w:hint="default" w:ascii="Times New Roman" w:hAnsi="Times New Roman" w:cs="Times New Roman"/>
          <w:color w:val="auto"/>
          <w:sz w:val="24"/>
          <w:highlight w:val="none"/>
          <w:lang w:eastAsia="zh-CN"/>
        </w:rPr>
        <w:t>共有</w:t>
      </w:r>
      <w:r>
        <w:rPr>
          <w:rFonts w:hint="default" w:ascii="Times New Roman" w:hAnsi="Times New Roman" w:cs="Times New Roman"/>
          <w:color w:val="auto"/>
          <w:sz w:val="24"/>
          <w:highlight w:val="none"/>
          <w:lang w:val="en-US" w:eastAsia="zh-CN"/>
        </w:rPr>
        <w:t>2个地下水监测井，</w:t>
      </w:r>
      <w:r>
        <w:rPr>
          <w:rFonts w:hint="default" w:ascii="Times New Roman" w:hAnsi="Times New Roman" w:cs="Times New Roman"/>
          <w:color w:val="auto"/>
          <w:sz w:val="24"/>
          <w:highlight w:val="none"/>
        </w:rPr>
        <w:t>每个点位取1个样品，共采集</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个样品调查</w:t>
      </w:r>
      <w:r>
        <w:rPr>
          <w:rFonts w:hint="default" w:ascii="Times New Roman" w:hAnsi="Times New Roman" w:cs="Times New Roman"/>
          <w:color w:val="auto"/>
          <w:sz w:val="24"/>
          <w:highlight w:val="none"/>
          <w:lang w:eastAsia="zh-CN"/>
        </w:rPr>
        <w:t>。</w:t>
      </w:r>
    </w:p>
    <w:p>
      <w:pPr>
        <w:spacing w:line="360" w:lineRule="auto"/>
        <w:ind w:firstLine="420" w:firstLineChars="0"/>
        <w:rPr>
          <w:rFonts w:hint="default" w:ascii="Times New Roman" w:hAnsi="Times New Roman" w:cs="Times New Roman"/>
          <w:color w:val="auto"/>
          <w:highlight w:val="none"/>
          <w:lang w:eastAsia="zh-CN"/>
        </w:rPr>
      </w:pPr>
      <w:r>
        <w:rPr>
          <w:rFonts w:hint="default" w:ascii="Times New Roman" w:hAnsi="Times New Roman" w:cs="Times New Roman"/>
          <w:color w:val="auto"/>
          <w:sz w:val="24"/>
          <w:szCs w:val="24"/>
          <w:highlight w:val="none"/>
          <w:lang w:eastAsia="zh-CN"/>
        </w:rPr>
        <w:t>具体</w:t>
      </w:r>
      <w:r>
        <w:rPr>
          <w:rFonts w:hint="default" w:ascii="Times New Roman" w:hAnsi="Times New Roman" w:cs="Times New Roman"/>
          <w:color w:val="auto"/>
          <w:sz w:val="24"/>
          <w:highlight w:val="none"/>
        </w:rPr>
        <w:t>地下水样采集情况详见表4-3-</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w:t>
      </w:r>
    </w:p>
    <w:p>
      <w:pPr>
        <w:pStyle w:val="34"/>
        <w:spacing w:before="0" w:beforeLine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表4-3-</w:t>
      </w:r>
      <w:r>
        <w:rPr>
          <w:rFonts w:hint="default"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rPr>
        <w:t xml:space="preserve">  地下水现场采样信息统计</w:t>
      </w:r>
    </w:p>
    <w:tbl>
      <w:tblPr>
        <w:tblStyle w:val="2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0"/>
        <w:gridCol w:w="1172"/>
        <w:gridCol w:w="1308"/>
        <w:gridCol w:w="1123"/>
        <w:gridCol w:w="813"/>
        <w:gridCol w:w="1085"/>
        <w:gridCol w:w="1073"/>
        <w:gridCol w:w="1136"/>
        <w:gridCol w:w="11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0" w:type="pct"/>
            <w:vMerge w:val="restar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点位</w:t>
            </w:r>
          </w:p>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编号</w:t>
            </w:r>
          </w:p>
        </w:tc>
        <w:tc>
          <w:tcPr>
            <w:tcW w:w="597" w:type="pct"/>
            <w:vMerge w:val="restar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对应土壤</w:t>
            </w:r>
          </w:p>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点位</w:t>
            </w:r>
          </w:p>
        </w:tc>
        <w:tc>
          <w:tcPr>
            <w:tcW w:w="1238" w:type="pct"/>
            <w:gridSpan w:val="2"/>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坐标</w:t>
            </w:r>
          </w:p>
        </w:tc>
        <w:tc>
          <w:tcPr>
            <w:tcW w:w="392" w:type="pct"/>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井深</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（m）</w:t>
            </w:r>
          </w:p>
        </w:tc>
        <w:tc>
          <w:tcPr>
            <w:tcW w:w="553" w:type="pct"/>
            <w:vMerge w:val="restart"/>
            <w:tcBorders>
              <w:tl2br w:val="nil"/>
              <w:tr2bl w:val="nil"/>
            </w:tcBorders>
            <w:noWrap w:val="0"/>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初见水位</w:t>
            </w:r>
            <w:r>
              <w:rPr>
                <w:rFonts w:hint="default" w:ascii="Times New Roman" w:hAnsi="Times New Roman" w:cs="Times New Roman"/>
                <w:b/>
                <w:bCs/>
                <w:color w:val="auto"/>
                <w:sz w:val="21"/>
                <w:szCs w:val="21"/>
                <w:highlight w:val="none"/>
                <w:vertAlign w:val="superscript"/>
                <w:lang w:eastAsia="zh-CN"/>
              </w:rPr>
              <w:t>①</w:t>
            </w:r>
            <w:r>
              <w:rPr>
                <w:rFonts w:hint="default" w:ascii="Times New Roman" w:hAnsi="Times New Roman" w:cs="Times New Roman"/>
                <w:b/>
                <w:bCs/>
                <w:color w:val="auto"/>
                <w:sz w:val="21"/>
                <w:szCs w:val="21"/>
                <w:highlight w:val="none"/>
              </w:rPr>
              <w:t>（</w:t>
            </w:r>
            <w:r>
              <w:rPr>
                <w:rFonts w:hint="default" w:ascii="Times New Roman" w:hAnsi="Times New Roman" w:cs="Times New Roman"/>
                <w:b/>
                <w:color w:val="auto"/>
                <w:sz w:val="21"/>
                <w:szCs w:val="21"/>
                <w:highlight w:val="none"/>
              </w:rPr>
              <w:t>m</w:t>
            </w:r>
            <w:r>
              <w:rPr>
                <w:rFonts w:hint="default" w:ascii="Times New Roman" w:hAnsi="Times New Roman" w:cs="Times New Roman"/>
                <w:b/>
                <w:bCs/>
                <w:color w:val="auto"/>
                <w:sz w:val="21"/>
                <w:szCs w:val="21"/>
                <w:highlight w:val="none"/>
              </w:rPr>
              <w:t>）</w:t>
            </w:r>
          </w:p>
        </w:tc>
        <w:tc>
          <w:tcPr>
            <w:tcW w:w="547" w:type="pct"/>
            <w:vMerge w:val="restart"/>
            <w:tcBorders>
              <w:tl2br w:val="nil"/>
              <w:tr2bl w:val="nil"/>
            </w:tcBorders>
            <w:noWrap w:val="0"/>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稳定水</w:t>
            </w:r>
            <w:r>
              <w:rPr>
                <w:rFonts w:hint="default" w:ascii="Times New Roman" w:hAnsi="Times New Roman" w:cs="Times New Roman"/>
                <w:b/>
                <w:bCs/>
                <w:color w:val="auto"/>
                <w:sz w:val="21"/>
                <w:szCs w:val="21"/>
                <w:highlight w:val="none"/>
                <w:lang w:val="en-US" w:eastAsia="zh-CN"/>
              </w:rPr>
              <w:t>位</w:t>
            </w:r>
            <w:r>
              <w:rPr>
                <w:rFonts w:hint="default" w:ascii="Times New Roman" w:hAnsi="Times New Roman" w:cs="Times New Roman"/>
                <w:b/>
                <w:color w:val="auto"/>
                <w:kern w:val="0"/>
                <w:sz w:val="18"/>
                <w:szCs w:val="18"/>
                <w:highlight w:val="none"/>
                <w:vertAlign w:val="superscript"/>
              </w:rPr>
              <w:t>①</w:t>
            </w:r>
            <w:r>
              <w:rPr>
                <w:rFonts w:hint="default" w:ascii="Times New Roman" w:hAnsi="Times New Roman" w:cs="Times New Roman"/>
                <w:b/>
                <w:bCs/>
                <w:color w:val="auto"/>
                <w:sz w:val="21"/>
                <w:szCs w:val="21"/>
                <w:highlight w:val="none"/>
              </w:rPr>
              <w:t>（</w:t>
            </w:r>
            <w:r>
              <w:rPr>
                <w:rFonts w:hint="default" w:ascii="Times New Roman" w:hAnsi="Times New Roman" w:cs="Times New Roman"/>
                <w:b/>
                <w:color w:val="auto"/>
                <w:sz w:val="21"/>
                <w:szCs w:val="21"/>
                <w:highlight w:val="none"/>
              </w:rPr>
              <w:t>m</w:t>
            </w:r>
            <w:r>
              <w:rPr>
                <w:rFonts w:hint="default" w:ascii="Times New Roman" w:hAnsi="Times New Roman" w:cs="Times New Roman"/>
                <w:b/>
                <w:bCs/>
                <w:color w:val="auto"/>
                <w:sz w:val="21"/>
                <w:szCs w:val="21"/>
                <w:highlight w:val="none"/>
              </w:rPr>
              <w:t>）</w:t>
            </w:r>
          </w:p>
        </w:tc>
        <w:tc>
          <w:tcPr>
            <w:tcW w:w="579" w:type="pct"/>
            <w:vMerge w:val="restart"/>
            <w:tcBorders>
              <w:tl2br w:val="nil"/>
              <w:tr2bl w:val="nil"/>
            </w:tcBorders>
            <w:noWrap w:val="0"/>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花管埋深（m）</w:t>
            </w:r>
          </w:p>
        </w:tc>
        <w:tc>
          <w:tcPr>
            <w:tcW w:w="579" w:type="pct"/>
            <w:vMerge w:val="restart"/>
            <w:tcBorders>
              <w:tl2br w:val="nil"/>
              <w:tr2bl w:val="nil"/>
            </w:tcBorders>
            <w:noWrap w:val="0"/>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地下水类型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0" w:type="pct"/>
            <w:vMerge w:val="continue"/>
            <w:tcBorders>
              <w:bottom w:val="single" w:color="auto" w:sz="12" w:space="0"/>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color w:val="auto"/>
                <w:kern w:val="0"/>
                <w:sz w:val="21"/>
                <w:szCs w:val="21"/>
                <w:highlight w:val="none"/>
              </w:rPr>
            </w:pPr>
          </w:p>
        </w:tc>
        <w:tc>
          <w:tcPr>
            <w:tcW w:w="597" w:type="pct"/>
            <w:vMerge w:val="continue"/>
            <w:tcBorders>
              <w:bottom w:val="single" w:color="auto" w:sz="12" w:space="0"/>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color w:val="auto"/>
                <w:kern w:val="0"/>
                <w:sz w:val="21"/>
                <w:szCs w:val="21"/>
                <w:highlight w:val="none"/>
              </w:rPr>
            </w:pPr>
          </w:p>
        </w:tc>
        <w:tc>
          <w:tcPr>
            <w:tcW w:w="666" w:type="pct"/>
            <w:tcBorders>
              <w:bottom w:val="single" w:color="auto" w:sz="12" w:space="0"/>
              <w:tl2br w:val="nil"/>
              <w:tr2bl w:val="nil"/>
            </w:tcBorders>
            <w:noWrap w:val="0"/>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sz w:val="21"/>
                <w:szCs w:val="21"/>
                <w:highlight w:val="none"/>
                <w:lang w:val="en-US" w:eastAsia="zh-CN"/>
              </w:rPr>
              <w:t>经度（°）</w:t>
            </w:r>
          </w:p>
        </w:tc>
        <w:tc>
          <w:tcPr>
            <w:tcW w:w="572" w:type="pct"/>
            <w:tcBorders>
              <w:bottom w:val="single" w:color="auto" w:sz="12" w:space="0"/>
              <w:tl2br w:val="nil"/>
              <w:tr2bl w:val="nil"/>
            </w:tcBorders>
            <w:noWrap w:val="0"/>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sz w:val="21"/>
                <w:szCs w:val="21"/>
                <w:highlight w:val="none"/>
                <w:lang w:val="en-US" w:eastAsia="zh-CN"/>
              </w:rPr>
              <w:t>纬度（°）</w:t>
            </w:r>
          </w:p>
        </w:tc>
        <w:tc>
          <w:tcPr>
            <w:tcW w:w="392" w:type="pct"/>
            <w:vMerge w:val="continue"/>
            <w:tcBorders>
              <w:bottom w:val="single" w:color="auto" w:sz="12" w:space="0"/>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kern w:val="0"/>
                <w:sz w:val="21"/>
                <w:szCs w:val="21"/>
                <w:highlight w:val="none"/>
              </w:rPr>
            </w:pPr>
          </w:p>
        </w:tc>
        <w:tc>
          <w:tcPr>
            <w:tcW w:w="553" w:type="pct"/>
            <w:vMerge w:val="continue"/>
            <w:tcBorders>
              <w:bottom w:val="single" w:color="auto" w:sz="12" w:space="0"/>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color w:val="auto"/>
                <w:kern w:val="0"/>
                <w:sz w:val="21"/>
                <w:szCs w:val="21"/>
                <w:highlight w:val="none"/>
              </w:rPr>
            </w:pPr>
          </w:p>
        </w:tc>
        <w:tc>
          <w:tcPr>
            <w:tcW w:w="547" w:type="pct"/>
            <w:vMerge w:val="continue"/>
            <w:tcBorders>
              <w:bottom w:val="single" w:color="auto" w:sz="12" w:space="0"/>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color w:val="auto"/>
                <w:kern w:val="0"/>
                <w:sz w:val="21"/>
                <w:szCs w:val="21"/>
                <w:highlight w:val="none"/>
              </w:rPr>
            </w:pPr>
          </w:p>
        </w:tc>
        <w:tc>
          <w:tcPr>
            <w:tcW w:w="579" w:type="pct"/>
            <w:vMerge w:val="continue"/>
            <w:tcBorders>
              <w:bottom w:val="single" w:color="auto" w:sz="12" w:space="0"/>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color w:val="auto"/>
                <w:kern w:val="0"/>
                <w:sz w:val="21"/>
                <w:szCs w:val="21"/>
                <w:highlight w:val="none"/>
              </w:rPr>
            </w:pPr>
          </w:p>
        </w:tc>
        <w:tc>
          <w:tcPr>
            <w:tcW w:w="579" w:type="pct"/>
            <w:vMerge w:val="continue"/>
            <w:tcBorders>
              <w:bottom w:val="single" w:color="auto" w:sz="12" w:space="0"/>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color w:val="auto"/>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0" w:type="pct"/>
            <w:tcBorders>
              <w:top w:val="single" w:color="auto" w:sz="12"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SJG-</w:t>
            </w:r>
            <w:r>
              <w:rPr>
                <w:rFonts w:hint="default" w:ascii="Times New Roman" w:hAnsi="Times New Roman" w:cs="Times New Roman"/>
                <w:color w:val="auto"/>
                <w:kern w:val="0"/>
                <w:sz w:val="21"/>
                <w:szCs w:val="21"/>
                <w:highlight w:val="none"/>
              </w:rPr>
              <w:t>W1</w:t>
            </w:r>
          </w:p>
        </w:tc>
        <w:tc>
          <w:tcPr>
            <w:tcW w:w="597" w:type="pct"/>
            <w:tcBorders>
              <w:top w:val="single" w:color="auto" w:sz="12" w:space="0"/>
            </w:tcBorders>
            <w:noWrap w:val="0"/>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i w:val="0"/>
                <w:color w:val="auto"/>
                <w:kern w:val="0"/>
                <w:sz w:val="21"/>
                <w:szCs w:val="21"/>
                <w:highlight w:val="none"/>
                <w:u w:val="none"/>
                <w:lang w:val="en-US" w:eastAsia="zh-CN" w:bidi="ar"/>
              </w:rPr>
              <w:t>SJG</w:t>
            </w: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JJ</w:t>
            </w: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1</w:t>
            </w:r>
          </w:p>
        </w:tc>
        <w:tc>
          <w:tcPr>
            <w:tcW w:w="666" w:type="pct"/>
            <w:tcBorders>
              <w:top w:val="single" w:color="auto" w:sz="12" w:space="0"/>
            </w:tcBorders>
            <w:noWrap w:val="0"/>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114.801465</w:t>
            </w:r>
          </w:p>
        </w:tc>
        <w:tc>
          <w:tcPr>
            <w:tcW w:w="572" w:type="pct"/>
            <w:tcBorders>
              <w:top w:val="single" w:color="auto" w:sz="12" w:space="0"/>
            </w:tcBorders>
            <w:noWrap w:val="0"/>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30.535717</w:t>
            </w:r>
          </w:p>
        </w:tc>
        <w:tc>
          <w:tcPr>
            <w:tcW w:w="392" w:type="pct"/>
            <w:tcBorders>
              <w:top w:val="single" w:color="auto" w:sz="12"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8.0</w:t>
            </w:r>
          </w:p>
        </w:tc>
        <w:tc>
          <w:tcPr>
            <w:tcW w:w="553" w:type="pct"/>
            <w:tcBorders>
              <w:top w:val="single" w:color="auto" w:sz="12"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6.0</w:t>
            </w:r>
          </w:p>
        </w:tc>
        <w:tc>
          <w:tcPr>
            <w:tcW w:w="547" w:type="pct"/>
            <w:tcBorders>
              <w:top w:val="single" w:color="auto" w:sz="12"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1.0</w:t>
            </w:r>
          </w:p>
        </w:tc>
        <w:tc>
          <w:tcPr>
            <w:tcW w:w="579" w:type="pct"/>
            <w:tcBorders>
              <w:top w:val="single" w:color="auto" w:sz="12"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4.0-7.5</w:t>
            </w:r>
          </w:p>
        </w:tc>
        <w:tc>
          <w:tcPr>
            <w:tcW w:w="579" w:type="pct"/>
            <w:tcBorders>
              <w:top w:val="single" w:color="auto" w:sz="12"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潜水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0"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val="en-US" w:eastAsia="zh-CN"/>
              </w:rPr>
              <w:t>SJG-</w:t>
            </w:r>
            <w:r>
              <w:rPr>
                <w:rFonts w:hint="default" w:ascii="Times New Roman" w:hAnsi="Times New Roman" w:cs="Times New Roman"/>
                <w:color w:val="auto"/>
                <w:kern w:val="0"/>
                <w:sz w:val="21"/>
                <w:szCs w:val="21"/>
                <w:highlight w:val="none"/>
              </w:rPr>
              <w:t>W2</w:t>
            </w:r>
          </w:p>
        </w:tc>
        <w:tc>
          <w:tcPr>
            <w:tcW w:w="597" w:type="pct"/>
            <w:noWrap w:val="0"/>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i w:val="0"/>
                <w:color w:val="auto"/>
                <w:kern w:val="0"/>
                <w:sz w:val="21"/>
                <w:szCs w:val="21"/>
                <w:highlight w:val="none"/>
                <w:u w:val="none"/>
                <w:lang w:val="en-US" w:eastAsia="zh-CN" w:bidi="ar"/>
              </w:rPr>
              <w:t>SJG</w:t>
            </w: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1-75</w:t>
            </w:r>
          </w:p>
        </w:tc>
        <w:tc>
          <w:tcPr>
            <w:tcW w:w="666" w:type="pct"/>
            <w:noWrap w:val="0"/>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114.753141</w:t>
            </w:r>
          </w:p>
        </w:tc>
        <w:tc>
          <w:tcPr>
            <w:tcW w:w="572" w:type="pct"/>
            <w:noWrap w:val="0"/>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30.520153</w:t>
            </w:r>
          </w:p>
        </w:tc>
        <w:tc>
          <w:tcPr>
            <w:tcW w:w="392"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11.0</w:t>
            </w:r>
          </w:p>
        </w:tc>
        <w:tc>
          <w:tcPr>
            <w:tcW w:w="553"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9.0</w:t>
            </w:r>
          </w:p>
        </w:tc>
        <w:tc>
          <w:tcPr>
            <w:tcW w:w="547"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5.0</w:t>
            </w:r>
          </w:p>
        </w:tc>
        <w:tc>
          <w:tcPr>
            <w:tcW w:w="579"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8.0-10.5</w:t>
            </w:r>
          </w:p>
        </w:tc>
        <w:tc>
          <w:tcPr>
            <w:tcW w:w="579" w:type="pct"/>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eastAsia="zh-CN"/>
              </w:rPr>
              <w:t>潜水</w:t>
            </w:r>
          </w:p>
        </w:tc>
      </w:tr>
    </w:tbl>
    <w:p>
      <w:pPr>
        <w:widowControl/>
        <w:spacing w:line="240" w:lineRule="auto"/>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备注：①初见水位和稳定水位均为距离地面的距离</w:t>
      </w:r>
      <w:r>
        <w:rPr>
          <w:rFonts w:hint="default" w:ascii="Times New Roman" w:hAnsi="Times New Roman" w:cs="Times New Roman"/>
          <w:b/>
          <w:color w:val="auto"/>
          <w:kern w:val="0"/>
          <w:sz w:val="18"/>
          <w:szCs w:val="18"/>
          <w:highlight w:val="none"/>
          <w:lang w:eastAsia="zh-CN"/>
        </w:rPr>
        <w:t>。</w:t>
      </w:r>
    </w:p>
    <w:p>
      <w:pPr>
        <w:pStyle w:val="4"/>
        <w:rPr>
          <w:rFonts w:hint="default" w:ascii="Times New Roman" w:hAnsi="Times New Roman" w:cs="Times New Roman"/>
          <w:highlight w:val="none"/>
        </w:rPr>
      </w:pPr>
      <w:bookmarkStart w:id="50" w:name="_Toc9682"/>
      <w:bookmarkStart w:id="51" w:name="_Toc10149"/>
      <w:r>
        <w:rPr>
          <w:rFonts w:hint="default" w:ascii="Times New Roman" w:hAnsi="Times New Roman" w:cs="Times New Roman"/>
          <w:highlight w:val="none"/>
        </w:rPr>
        <w:t>实验室分析</w:t>
      </w:r>
      <w:bookmarkEnd w:id="50"/>
      <w:bookmarkEnd w:id="51"/>
    </w:p>
    <w:p>
      <w:pPr>
        <w:spacing w:line="360" w:lineRule="auto"/>
        <w:ind w:left="1"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本次调查</w:t>
      </w:r>
      <w:r>
        <w:rPr>
          <w:rFonts w:hint="eastAsia" w:cs="Times New Roman"/>
          <w:color w:val="auto"/>
          <w:sz w:val="24"/>
          <w:highlight w:val="none"/>
          <w:lang w:val="en-US" w:eastAsia="zh-CN"/>
        </w:rPr>
        <w:t>向每家检测单位</w:t>
      </w:r>
      <w:r>
        <w:rPr>
          <w:rFonts w:hint="default" w:ascii="Times New Roman" w:hAnsi="Times New Roman" w:cs="Times New Roman"/>
          <w:color w:val="auto"/>
          <w:sz w:val="24"/>
          <w:highlight w:val="none"/>
        </w:rPr>
        <w:t>送检</w:t>
      </w:r>
      <w:r>
        <w:rPr>
          <w:rFonts w:hint="default" w:ascii="Times New Roman" w:hAnsi="Times New Roman" w:cs="Times New Roman"/>
          <w:color w:val="auto"/>
          <w:sz w:val="24"/>
          <w:highlight w:val="none"/>
          <w:lang w:val="en-US" w:eastAsia="zh-CN"/>
        </w:rPr>
        <w:t>16</w:t>
      </w:r>
      <w:r>
        <w:rPr>
          <w:rFonts w:hint="default" w:ascii="Times New Roman" w:hAnsi="Times New Roman" w:cs="Times New Roman"/>
          <w:color w:val="auto"/>
          <w:sz w:val="24"/>
          <w:highlight w:val="none"/>
        </w:rPr>
        <w:t>个土壤样品</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个平行盲样</w:t>
      </w:r>
      <w:r>
        <w:rPr>
          <w:rFonts w:hint="default" w:ascii="Times New Roman" w:hAnsi="Times New Roman" w:cs="Times New Roman"/>
          <w:color w:val="auto"/>
          <w:sz w:val="24"/>
          <w:highlight w:val="none"/>
          <w:lang w:eastAsia="zh-CN"/>
        </w:rPr>
        <w:t>和</w:t>
      </w:r>
      <w:r>
        <w:rPr>
          <w:rFonts w:hint="default" w:ascii="Times New Roman" w:hAnsi="Times New Roman" w:cs="Times New Roman"/>
          <w:color w:val="auto"/>
          <w:kern w:val="0"/>
          <w:sz w:val="24"/>
          <w:highlight w:val="none"/>
        </w:rPr>
        <w:t>1个运输空白样</w:t>
      </w:r>
      <w:r>
        <w:rPr>
          <w:rFonts w:hint="default" w:ascii="Times New Roman" w:hAnsi="Times New Roman" w:cs="Times New Roman"/>
          <w:color w:val="auto"/>
          <w:sz w:val="24"/>
          <w:highlight w:val="none"/>
        </w:rPr>
        <w:t>，土壤样品</w:t>
      </w:r>
      <w:r>
        <w:rPr>
          <w:rFonts w:hint="default" w:ascii="Times New Roman" w:hAnsi="Times New Roman" w:cs="Times New Roman"/>
          <w:color w:val="auto"/>
          <w:sz w:val="24"/>
          <w:highlight w:val="none"/>
          <w:lang w:eastAsia="zh-CN"/>
        </w:rPr>
        <w:t>中</w:t>
      </w:r>
      <w:r>
        <w:rPr>
          <w:rFonts w:hint="default" w:ascii="Times New Roman" w:hAnsi="Times New Roman" w:cs="Times New Roman"/>
          <w:color w:val="auto"/>
          <w:sz w:val="24"/>
          <w:highlight w:val="none"/>
        </w:rPr>
        <w:t>所有</w:t>
      </w:r>
      <w:r>
        <w:rPr>
          <w:rFonts w:hint="default" w:ascii="Times New Roman" w:hAnsi="Times New Roman" w:cs="Times New Roman"/>
          <w:color w:val="auto"/>
          <w:sz w:val="24"/>
          <w:highlight w:val="none"/>
          <w:lang w:eastAsia="zh-CN"/>
        </w:rPr>
        <w:t>铬（六价）</w:t>
      </w:r>
      <w:r>
        <w:rPr>
          <w:rFonts w:hint="default" w:ascii="Times New Roman" w:hAnsi="Times New Roman" w:cs="Times New Roman"/>
          <w:color w:val="auto"/>
          <w:sz w:val="24"/>
          <w:highlight w:val="none"/>
        </w:rPr>
        <w:t>测试工作委托第三方实验室武汉仲联诚鉴检测技术有限公司承担，</w:t>
      </w:r>
      <w:r>
        <w:rPr>
          <w:rFonts w:hint="default" w:ascii="Times New Roman" w:hAnsi="Times New Roman" w:cs="Times New Roman"/>
          <w:color w:val="auto"/>
          <w:sz w:val="24"/>
          <w:highlight w:val="none"/>
          <w:lang w:eastAsia="zh-CN"/>
        </w:rPr>
        <w:t>二噁英的测试工作委托通标技术服务（上海）有限公司承担，</w:t>
      </w:r>
      <w:r>
        <w:rPr>
          <w:rFonts w:hint="default" w:ascii="Times New Roman" w:hAnsi="Times New Roman" w:cs="Times New Roman"/>
          <w:color w:val="auto"/>
          <w:sz w:val="24"/>
          <w:highlight w:val="none"/>
        </w:rPr>
        <w:t>其余测试项目均委托苏伊士环境检测技术（上海）有限公司</w:t>
      </w:r>
      <w:r>
        <w:rPr>
          <w:rFonts w:hint="default" w:ascii="Times New Roman" w:hAnsi="Times New Roman" w:cs="Times New Roman"/>
          <w:color w:val="auto"/>
          <w:sz w:val="24"/>
          <w:highlight w:val="none"/>
          <w:lang w:eastAsia="zh-CN"/>
        </w:rPr>
        <w:t>北京分公司</w:t>
      </w:r>
      <w:r>
        <w:rPr>
          <w:rFonts w:hint="default" w:ascii="Times New Roman" w:hAnsi="Times New Roman" w:cs="Times New Roman"/>
          <w:color w:val="auto"/>
          <w:sz w:val="24"/>
          <w:highlight w:val="none"/>
        </w:rPr>
        <w:t>承担</w:t>
      </w:r>
      <w:r>
        <w:rPr>
          <w:rFonts w:hint="eastAsia" w:cs="Times New Roman"/>
          <w:color w:val="auto"/>
          <w:sz w:val="24"/>
          <w:highlight w:val="none"/>
          <w:lang w:eastAsia="zh-CN"/>
        </w:rPr>
        <w:t>。</w:t>
      </w:r>
      <w:r>
        <w:rPr>
          <w:rFonts w:hint="eastAsia" w:cs="Times New Roman"/>
          <w:color w:val="auto"/>
          <w:sz w:val="24"/>
          <w:highlight w:val="none"/>
          <w:lang w:val="en-US" w:eastAsia="zh-CN"/>
        </w:rPr>
        <w:t>2个</w:t>
      </w:r>
      <w:r>
        <w:rPr>
          <w:rFonts w:hint="default" w:ascii="Times New Roman" w:hAnsi="Times New Roman" w:cs="Times New Roman"/>
          <w:color w:val="auto"/>
          <w:sz w:val="24"/>
          <w:highlight w:val="none"/>
          <w:lang w:eastAsia="zh-CN"/>
        </w:rPr>
        <w:t>地下水样品均委托</w:t>
      </w:r>
      <w:r>
        <w:rPr>
          <w:rFonts w:hint="default" w:ascii="Times New Roman" w:hAnsi="Times New Roman" w:cs="Times New Roman"/>
          <w:color w:val="auto"/>
          <w:sz w:val="24"/>
          <w:highlight w:val="none"/>
        </w:rPr>
        <w:t>武汉仲联诚鉴检测技术有限公司承担</w:t>
      </w:r>
      <w:r>
        <w:rPr>
          <w:rFonts w:hint="default" w:ascii="Times New Roman" w:hAnsi="Times New Roman" w:cs="Times New Roman"/>
          <w:color w:val="auto"/>
          <w:sz w:val="24"/>
          <w:highlight w:val="none"/>
          <w:lang w:eastAsia="zh-CN"/>
        </w:rPr>
        <w:t>。</w:t>
      </w:r>
    </w:p>
    <w:p>
      <w:pPr>
        <w:pStyle w:val="5"/>
        <w:tabs>
          <w:tab w:val="left" w:pos="425"/>
        </w:tabs>
        <w:spacing w:before="120"/>
        <w:rPr>
          <w:rFonts w:hint="default" w:ascii="Times New Roman" w:hAnsi="Times New Roman" w:cs="Times New Roman"/>
          <w:bCs w:val="0"/>
          <w:color w:val="auto"/>
          <w:highlight w:val="none"/>
        </w:rPr>
      </w:pPr>
      <w:r>
        <w:rPr>
          <w:rFonts w:hint="default" w:ascii="Times New Roman" w:hAnsi="Times New Roman" w:cs="Times New Roman"/>
          <w:bCs w:val="0"/>
          <w:color w:val="auto"/>
          <w:highlight w:val="none"/>
        </w:rPr>
        <w:t>检测单位介绍</w:t>
      </w:r>
    </w:p>
    <w:p>
      <w:pPr>
        <w:spacing w:line="360" w:lineRule="auto"/>
        <w:ind w:left="1"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委托开展样品测试的第三方检测单位（苏伊士环境检测技术（上海）有限公司北京分公司、武汉仲联诚鉴检测技术有限公司</w:t>
      </w:r>
      <w:r>
        <w:rPr>
          <w:rFonts w:hint="default" w:ascii="Times New Roman" w:hAnsi="Times New Roman" w:cs="Times New Roman"/>
          <w:color w:val="auto"/>
          <w:sz w:val="24"/>
          <w:highlight w:val="none"/>
          <w:lang w:eastAsia="zh-CN"/>
        </w:rPr>
        <w:t>、通标技术服务（上海）有限公司</w:t>
      </w:r>
      <w:r>
        <w:rPr>
          <w:rFonts w:hint="default" w:ascii="Times New Roman" w:hAnsi="Times New Roman" w:cs="Times New Roman"/>
          <w:color w:val="auto"/>
          <w:sz w:val="24"/>
          <w:highlight w:val="none"/>
        </w:rPr>
        <w:t>）均具有CMA计量认证，可提供现场采样以及现场监测服务。</w:t>
      </w:r>
    </w:p>
    <w:p>
      <w:pPr>
        <w:spacing w:line="360" w:lineRule="auto"/>
        <w:ind w:left="1"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检测单位资质证书见附件2。</w:t>
      </w:r>
    </w:p>
    <w:p>
      <w:pPr>
        <w:pStyle w:val="5"/>
        <w:tabs>
          <w:tab w:val="left" w:pos="425"/>
        </w:tabs>
        <w:spacing w:before="120"/>
        <w:rPr>
          <w:rFonts w:hint="default" w:ascii="Times New Roman" w:hAnsi="Times New Roman" w:cs="Times New Roman"/>
          <w:color w:val="auto"/>
          <w:highlight w:val="none"/>
        </w:rPr>
      </w:pPr>
      <w:r>
        <w:rPr>
          <w:rFonts w:hint="default" w:ascii="Times New Roman" w:hAnsi="Times New Roman" w:cs="Times New Roman"/>
          <w:color w:val="auto"/>
          <w:highlight w:val="none"/>
        </w:rPr>
        <w:t>监测分析方法</w:t>
      </w:r>
    </w:p>
    <w:p>
      <w:pPr>
        <w:spacing w:line="360" w:lineRule="auto"/>
        <w:ind w:left="1"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土壤样品</w:t>
      </w:r>
      <w:r>
        <w:rPr>
          <w:rFonts w:hint="default" w:ascii="Times New Roman" w:hAnsi="Times New Roman" w:cs="Times New Roman"/>
          <w:color w:val="auto"/>
          <w:sz w:val="24"/>
          <w:highlight w:val="none"/>
        </w:rPr>
        <w:t>各检测指标检测方法和检出限详见表4-</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-1。</w:t>
      </w:r>
    </w:p>
    <w:p>
      <w:pPr>
        <w:spacing w:line="360" w:lineRule="auto"/>
        <w:ind w:left="1" w:firstLine="480" w:firstLineChars="200"/>
        <w:rPr>
          <w:rFonts w:hint="default" w:ascii="Times New Roman" w:hAnsi="Times New Roman" w:cs="Times New Roman"/>
          <w:color w:val="auto"/>
          <w:highlight w:val="none"/>
        </w:rPr>
      </w:pPr>
      <w:r>
        <w:rPr>
          <w:rFonts w:hint="default" w:ascii="Times New Roman" w:hAnsi="Times New Roman" w:cs="Times New Roman"/>
          <w:color w:val="auto"/>
          <w:sz w:val="24"/>
          <w:highlight w:val="none"/>
          <w:lang w:eastAsia="zh-CN"/>
        </w:rPr>
        <w:t>地下水样品</w:t>
      </w:r>
      <w:r>
        <w:rPr>
          <w:rFonts w:hint="default" w:ascii="Times New Roman" w:hAnsi="Times New Roman" w:cs="Times New Roman"/>
          <w:color w:val="auto"/>
          <w:sz w:val="24"/>
          <w:highlight w:val="none"/>
        </w:rPr>
        <w:t>各检测指标检测方法和检出限详见表4-</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w:t>
      </w:r>
    </w:p>
    <w:p>
      <w:pPr>
        <w:spacing w:before="156" w:beforeLines="50" w:line="240" w:lineRule="auto"/>
        <w:jc w:val="center"/>
        <w:rPr>
          <w:rFonts w:hint="default" w:ascii="Times New Roman" w:hAnsi="Times New Roman" w:eastAsia="黑体" w:cs="Times New Roman"/>
          <w:b/>
          <w:bCs/>
          <w:color w:val="auto"/>
          <w:sz w:val="24"/>
          <w:highlight w:val="none"/>
        </w:rPr>
      </w:pPr>
      <w:r>
        <w:rPr>
          <w:rFonts w:hint="default" w:ascii="Times New Roman" w:hAnsi="Times New Roman" w:eastAsia="黑体" w:cs="Times New Roman"/>
          <w:b/>
          <w:bCs/>
          <w:color w:val="auto"/>
          <w:sz w:val="24"/>
          <w:highlight w:val="none"/>
        </w:rPr>
        <w:t>表4-</w:t>
      </w:r>
      <w:r>
        <w:rPr>
          <w:rFonts w:hint="default" w:ascii="Times New Roman" w:hAnsi="Times New Roman" w:eastAsia="黑体" w:cs="Times New Roman"/>
          <w:b/>
          <w:bCs/>
          <w:color w:val="auto"/>
          <w:sz w:val="24"/>
          <w:highlight w:val="none"/>
          <w:lang w:val="en-US" w:eastAsia="zh-CN"/>
        </w:rPr>
        <w:t>4</w:t>
      </w:r>
      <w:r>
        <w:rPr>
          <w:rFonts w:hint="default" w:ascii="Times New Roman" w:hAnsi="Times New Roman" w:eastAsia="黑体" w:cs="Times New Roman"/>
          <w:b/>
          <w:bCs/>
          <w:color w:val="auto"/>
          <w:sz w:val="24"/>
          <w:highlight w:val="none"/>
        </w:rPr>
        <w:t>-1  土壤监测分析方法及检出限汇总</w:t>
      </w:r>
    </w:p>
    <w:tbl>
      <w:tblPr>
        <w:tblStyle w:val="21"/>
        <w:tblW w:w="5000" w:type="pct"/>
        <w:jc w:val="center"/>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901"/>
        <w:gridCol w:w="1817"/>
        <w:gridCol w:w="3714"/>
        <w:gridCol w:w="1358"/>
        <w:gridCol w:w="1438"/>
      </w:tblGrid>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625" w:type="dxa"/>
            <w:tcBorders>
              <w:top w:val="single" w:color="auto" w:sz="12" w:space="0"/>
              <w:left w:val="nil"/>
              <w:bottom w:val="single" w:color="auto" w:sz="12"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类型</w:t>
            </w:r>
          </w:p>
        </w:tc>
        <w:tc>
          <w:tcPr>
            <w:tcW w:w="2718" w:type="dxa"/>
            <w:gridSpan w:val="2"/>
            <w:tcBorders>
              <w:top w:val="single" w:color="auto" w:sz="12" w:space="0"/>
              <w:left w:val="single" w:color="auto" w:sz="4" w:space="0"/>
              <w:bottom w:val="single" w:color="auto" w:sz="12"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b/>
                <w:color w:val="auto"/>
                <w:sz w:val="21"/>
                <w:szCs w:val="21"/>
                <w:highlight w:val="none"/>
                <w:lang w:eastAsia="zh-CN"/>
              </w:rPr>
            </w:pPr>
            <w:r>
              <w:rPr>
                <w:rFonts w:hint="default" w:ascii="Times New Roman" w:hAnsi="Times New Roman" w:cs="Times New Roman"/>
                <w:b/>
                <w:color w:val="auto"/>
                <w:sz w:val="21"/>
                <w:szCs w:val="21"/>
                <w:highlight w:val="none"/>
              </w:rPr>
              <w:t>监测</w:t>
            </w:r>
            <w:r>
              <w:rPr>
                <w:rFonts w:hint="default" w:ascii="Times New Roman" w:hAnsi="Times New Roman" w:cs="Times New Roman"/>
                <w:b/>
                <w:color w:val="auto"/>
                <w:sz w:val="21"/>
                <w:szCs w:val="21"/>
                <w:highlight w:val="none"/>
                <w:lang w:eastAsia="zh-CN"/>
              </w:rPr>
              <w:t>污染指标</w:t>
            </w:r>
          </w:p>
        </w:tc>
        <w:tc>
          <w:tcPr>
            <w:tcW w:w="3714" w:type="dxa"/>
            <w:tcBorders>
              <w:top w:val="single" w:color="auto" w:sz="12" w:space="0"/>
              <w:left w:val="single" w:color="auto" w:sz="4" w:space="0"/>
              <w:bottom w:val="single" w:color="auto" w:sz="12"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分析方法及依据</w:t>
            </w:r>
          </w:p>
        </w:tc>
        <w:tc>
          <w:tcPr>
            <w:tcW w:w="1358" w:type="dxa"/>
            <w:tcBorders>
              <w:top w:val="single" w:color="auto" w:sz="12" w:space="0"/>
              <w:left w:val="single" w:color="auto" w:sz="4" w:space="0"/>
              <w:bottom w:val="single" w:color="auto" w:sz="12"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标准编号</w:t>
            </w:r>
          </w:p>
        </w:tc>
        <w:tc>
          <w:tcPr>
            <w:tcW w:w="1438" w:type="dxa"/>
            <w:tcBorders>
              <w:top w:val="single" w:color="auto" w:sz="12" w:space="0"/>
              <w:left w:val="single" w:color="auto" w:sz="4" w:space="0"/>
              <w:bottom w:val="single" w:color="auto" w:sz="12"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检出限</w:t>
            </w:r>
            <w:r>
              <w:rPr>
                <w:rFonts w:hint="default" w:ascii="Times New Roman" w:hAnsi="Times New Roman" w:cs="Times New Roman"/>
                <w:b/>
                <w:color w:val="auto"/>
                <w:sz w:val="21"/>
                <w:szCs w:val="21"/>
                <w:highlight w:val="none"/>
                <w:vertAlign w:val="superscript"/>
                <w:lang w:val="en-US" w:eastAsia="zh-CN"/>
              </w:rPr>
              <w:t>①</w:t>
            </w:r>
            <w:r>
              <w:rPr>
                <w:rFonts w:hint="default" w:ascii="Times New Roman" w:hAnsi="Times New Roman" w:cs="Times New Roman"/>
                <w:b/>
                <w:color w:val="auto"/>
                <w:kern w:val="0"/>
                <w:sz w:val="21"/>
                <w:szCs w:val="21"/>
                <w:highlight w:val="none"/>
              </w:rPr>
              <w:t>（mg/kg）</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restart"/>
            <w:tcBorders>
              <w:top w:val="single" w:color="auto" w:sz="12" w:space="0"/>
              <w:left w:val="nil"/>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土壤</w:t>
            </w:r>
          </w:p>
        </w:tc>
        <w:tc>
          <w:tcPr>
            <w:tcW w:w="2718" w:type="dxa"/>
            <w:gridSpan w:val="2"/>
            <w:tcBorders>
              <w:top w:val="single" w:color="auto" w:sz="12"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pH值</w:t>
            </w:r>
          </w:p>
        </w:tc>
        <w:tc>
          <w:tcPr>
            <w:tcW w:w="3714"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土壤 pH值的测定 电位法</w:t>
            </w:r>
          </w:p>
        </w:tc>
        <w:tc>
          <w:tcPr>
            <w:tcW w:w="1358"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HJ 962-2018</w:t>
            </w:r>
          </w:p>
        </w:tc>
        <w:tc>
          <w:tcPr>
            <w:tcW w:w="1438" w:type="dxa"/>
            <w:tcBorders>
              <w:top w:val="single" w:color="auto" w:sz="12"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0.01（无量纲）</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left w:val="nil"/>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p>
        </w:tc>
        <w:tc>
          <w:tcPr>
            <w:tcW w:w="271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总氟化物</w:t>
            </w:r>
          </w:p>
        </w:tc>
        <w:tc>
          <w:tcPr>
            <w:tcW w:w="3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 w:val="21"/>
                <w:szCs w:val="21"/>
                <w:highlight w:val="none"/>
              </w:rPr>
              <w:t>土壤 水溶性氟化物和总氟化物的测定 离子选择电极法</w:t>
            </w:r>
          </w:p>
        </w:tc>
        <w:tc>
          <w:tcPr>
            <w:tcW w:w="13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 w:val="21"/>
                <w:szCs w:val="21"/>
                <w:highlight w:val="none"/>
              </w:rPr>
              <w:t>HJ 873-2017</w:t>
            </w: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63</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271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铬（六价）</w:t>
            </w:r>
          </w:p>
        </w:tc>
        <w:tc>
          <w:tcPr>
            <w:tcW w:w="3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 xml:space="preserve">土壤和沉积物 </w:t>
            </w:r>
            <w:r>
              <w:rPr>
                <w:rFonts w:hint="default" w:ascii="Times New Roman" w:hAnsi="Times New Roman" w:cs="Times New Roman"/>
                <w:color w:val="auto"/>
                <w:kern w:val="0"/>
                <w:sz w:val="21"/>
                <w:szCs w:val="21"/>
                <w:highlight w:val="none"/>
                <w:lang w:eastAsia="zh-CN"/>
              </w:rPr>
              <w:t>铬（六价）</w:t>
            </w:r>
            <w:r>
              <w:rPr>
                <w:rFonts w:hint="default" w:ascii="Times New Roman" w:hAnsi="Times New Roman" w:cs="Times New Roman"/>
                <w:color w:val="auto"/>
                <w:kern w:val="0"/>
                <w:sz w:val="21"/>
                <w:szCs w:val="21"/>
                <w:highlight w:val="none"/>
              </w:rPr>
              <w:t>的测定 碱溶液提取-火焰原子吸收分光光度法</w:t>
            </w:r>
          </w:p>
        </w:tc>
        <w:tc>
          <w:tcPr>
            <w:tcW w:w="13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 xml:space="preserve">HJ 1082-2019 </w:t>
            </w: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12"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2718" w:type="dxa"/>
            <w:gridSpan w:val="2"/>
            <w:tcBorders>
              <w:top w:val="single" w:color="auto" w:sz="4" w:space="0"/>
              <w:left w:val="single" w:color="auto" w:sz="4" w:space="0"/>
              <w:bottom w:val="single" w:color="auto" w:sz="12"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铅</w:t>
            </w:r>
          </w:p>
        </w:tc>
        <w:tc>
          <w:tcPr>
            <w:tcW w:w="3714" w:type="dxa"/>
            <w:vMerge w:val="restart"/>
            <w:tcBorders>
              <w:top w:val="single" w:color="auto" w:sz="4" w:space="0"/>
              <w:left w:val="single" w:color="auto" w:sz="4" w:space="0"/>
              <w:bottom w:val="single" w:color="auto" w:sz="12"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土壤质量 铅、镉的测定 石墨炉原子吸收分光光度法</w:t>
            </w:r>
          </w:p>
        </w:tc>
        <w:tc>
          <w:tcPr>
            <w:tcW w:w="1358"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GB/T 17141-1997</w:t>
            </w:r>
          </w:p>
        </w:tc>
        <w:tc>
          <w:tcPr>
            <w:tcW w:w="1438" w:type="dxa"/>
            <w:tcBorders>
              <w:top w:val="single" w:color="auto" w:sz="4" w:space="0"/>
              <w:left w:val="single" w:color="auto" w:sz="4" w:space="0"/>
              <w:bottom w:val="single" w:color="auto" w:sz="12"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12"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2718" w:type="dxa"/>
            <w:gridSpan w:val="2"/>
            <w:tcBorders>
              <w:top w:val="single" w:color="auto" w:sz="12"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镉</w:t>
            </w:r>
          </w:p>
        </w:tc>
        <w:tc>
          <w:tcPr>
            <w:tcW w:w="3714" w:type="dxa"/>
            <w:vMerge w:val="continue"/>
            <w:tcBorders>
              <w:top w:val="single" w:color="auto" w:sz="12"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highlight w:val="none"/>
              </w:rPr>
            </w:pPr>
          </w:p>
        </w:tc>
        <w:tc>
          <w:tcPr>
            <w:tcW w:w="1358"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GB/T 17141-1997</w:t>
            </w:r>
          </w:p>
        </w:tc>
        <w:tc>
          <w:tcPr>
            <w:tcW w:w="1438" w:type="dxa"/>
            <w:tcBorders>
              <w:top w:val="single" w:color="auto" w:sz="12"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0.01</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271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铜</w:t>
            </w:r>
          </w:p>
        </w:tc>
        <w:tc>
          <w:tcPr>
            <w:tcW w:w="3714"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土壤和沉积物 铜、锌、铅、镍、铬的测定 火焰原子吸收分光光度法</w:t>
            </w:r>
          </w:p>
        </w:tc>
        <w:tc>
          <w:tcPr>
            <w:tcW w:w="1358"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HJ 491-2019</w:t>
            </w: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271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铬</w:t>
            </w:r>
          </w:p>
        </w:tc>
        <w:tc>
          <w:tcPr>
            <w:tcW w:w="371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p>
        </w:tc>
        <w:tc>
          <w:tcPr>
            <w:tcW w:w="1358" w:type="dxa"/>
            <w:vMerge w:val="continue"/>
            <w:tcBorders>
              <w:left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271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锌</w:t>
            </w:r>
          </w:p>
        </w:tc>
        <w:tc>
          <w:tcPr>
            <w:tcW w:w="371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p>
        </w:tc>
        <w:tc>
          <w:tcPr>
            <w:tcW w:w="1358" w:type="dxa"/>
            <w:vMerge w:val="continue"/>
            <w:tcBorders>
              <w:left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271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镍</w:t>
            </w:r>
          </w:p>
        </w:tc>
        <w:tc>
          <w:tcPr>
            <w:tcW w:w="371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p>
        </w:tc>
        <w:tc>
          <w:tcPr>
            <w:tcW w:w="135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271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汞</w:t>
            </w:r>
          </w:p>
        </w:tc>
        <w:tc>
          <w:tcPr>
            <w:tcW w:w="3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土壤质量 总汞的测定 </w:t>
            </w:r>
          </w:p>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冷原子吸收分光光度法</w:t>
            </w:r>
          </w:p>
        </w:tc>
        <w:tc>
          <w:tcPr>
            <w:tcW w:w="13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GB/T 17136-1997</w:t>
            </w: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271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砷</w:t>
            </w:r>
          </w:p>
        </w:tc>
        <w:tc>
          <w:tcPr>
            <w:tcW w:w="3714" w:type="dxa"/>
            <w:vMerge w:val="restart"/>
            <w:tcBorders>
              <w:top w:val="single" w:color="auto" w:sz="4" w:space="0"/>
              <w:left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土壤和沉积物 12种金属元素的测定 王水提取-电感耦合等离子体质谱法</w:t>
            </w:r>
          </w:p>
        </w:tc>
        <w:tc>
          <w:tcPr>
            <w:tcW w:w="1358" w:type="dxa"/>
            <w:vMerge w:val="restart"/>
            <w:tcBorders>
              <w:top w:val="single" w:color="auto" w:sz="4" w:space="0"/>
              <w:left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HJ 803-2016</w:t>
            </w: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0.6</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2718" w:type="dxa"/>
            <w:gridSpan w:val="2"/>
            <w:tcBorders>
              <w:top w:val="single" w:color="auto" w:sz="4" w:space="0"/>
              <w:left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钴</w:t>
            </w:r>
          </w:p>
        </w:tc>
        <w:tc>
          <w:tcPr>
            <w:tcW w:w="3714" w:type="dxa"/>
            <w:vMerge w:val="continue"/>
            <w:tcBorders>
              <w:left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kern w:val="0"/>
                <w:sz w:val="21"/>
                <w:szCs w:val="21"/>
                <w:highlight w:val="none"/>
              </w:rPr>
            </w:pPr>
          </w:p>
        </w:tc>
        <w:tc>
          <w:tcPr>
            <w:tcW w:w="1358" w:type="dxa"/>
            <w:vMerge w:val="continue"/>
            <w:tcBorders>
              <w:left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0.03</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2718" w:type="dxa"/>
            <w:gridSpan w:val="2"/>
            <w:tcBorders>
              <w:top w:val="single" w:color="auto" w:sz="4" w:space="0"/>
              <w:left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钼</w:t>
            </w:r>
          </w:p>
        </w:tc>
        <w:tc>
          <w:tcPr>
            <w:tcW w:w="3714" w:type="dxa"/>
            <w:vMerge w:val="continue"/>
            <w:tcBorders>
              <w:left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kern w:val="0"/>
                <w:sz w:val="21"/>
                <w:szCs w:val="21"/>
                <w:highlight w:val="none"/>
              </w:rPr>
            </w:pPr>
          </w:p>
        </w:tc>
        <w:tc>
          <w:tcPr>
            <w:tcW w:w="1358" w:type="dxa"/>
            <w:vMerge w:val="continue"/>
            <w:tcBorders>
              <w:left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2718" w:type="dxa"/>
            <w:gridSpan w:val="2"/>
            <w:tcBorders>
              <w:top w:val="single" w:color="auto" w:sz="4" w:space="0"/>
              <w:left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锑</w:t>
            </w:r>
          </w:p>
        </w:tc>
        <w:tc>
          <w:tcPr>
            <w:tcW w:w="3714" w:type="dxa"/>
            <w:vMerge w:val="continue"/>
            <w:tcBorders>
              <w:left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kern w:val="0"/>
                <w:sz w:val="21"/>
                <w:szCs w:val="21"/>
                <w:highlight w:val="none"/>
              </w:rPr>
            </w:pPr>
          </w:p>
        </w:tc>
        <w:tc>
          <w:tcPr>
            <w:tcW w:w="1358" w:type="dxa"/>
            <w:vMerge w:val="continue"/>
            <w:tcBorders>
              <w:left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271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石油烃（</w:t>
            </w:r>
            <w:r>
              <w:rPr>
                <w:rFonts w:hint="default" w:ascii="Times New Roman" w:hAnsi="Times New Roman" w:cs="Times New Roman"/>
                <w:color w:val="000000"/>
                <w:sz w:val="21"/>
                <w:szCs w:val="21"/>
                <w:highlight w:val="none"/>
                <w:lang w:eastAsia="zh-CN"/>
              </w:rPr>
              <w:t>C</w:t>
            </w:r>
            <w:r>
              <w:rPr>
                <w:rFonts w:hint="default" w:ascii="Times New Roman" w:hAnsi="Times New Roman" w:cs="Times New Roman"/>
                <w:color w:val="auto"/>
                <w:sz w:val="21"/>
                <w:szCs w:val="21"/>
                <w:highlight w:val="none"/>
                <w:vertAlign w:val="subscript"/>
                <w:lang w:eastAsia="zh-CN"/>
              </w:rPr>
              <w:t>10</w:t>
            </w:r>
            <w:r>
              <w:rPr>
                <w:rFonts w:hint="default" w:ascii="Times New Roman" w:hAnsi="Times New Roman" w:cs="Times New Roman"/>
                <w:color w:val="000000"/>
                <w:sz w:val="21"/>
                <w:szCs w:val="21"/>
                <w:highlight w:val="none"/>
                <w:lang w:eastAsia="zh-CN"/>
              </w:rPr>
              <w:t>-C</w:t>
            </w:r>
            <w:r>
              <w:rPr>
                <w:rFonts w:hint="default" w:ascii="Times New Roman" w:hAnsi="Times New Roman" w:cs="Times New Roman"/>
                <w:color w:val="auto"/>
                <w:sz w:val="21"/>
                <w:szCs w:val="21"/>
                <w:highlight w:val="none"/>
                <w:vertAlign w:val="subscript"/>
                <w:lang w:eastAsia="zh-CN"/>
              </w:rPr>
              <w:t>40</w:t>
            </w:r>
            <w:r>
              <w:rPr>
                <w:rFonts w:hint="default" w:ascii="Times New Roman" w:hAnsi="Times New Roman" w:cs="Times New Roman"/>
                <w:color w:val="auto"/>
                <w:sz w:val="21"/>
                <w:szCs w:val="21"/>
                <w:highlight w:val="none"/>
                <w:lang w:eastAsia="zh-CN"/>
              </w:rPr>
              <w:t>）</w:t>
            </w:r>
          </w:p>
        </w:tc>
        <w:tc>
          <w:tcPr>
            <w:tcW w:w="3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土壤和沉积物 挥发性有机物的测定 </w:t>
            </w:r>
          </w:p>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sz w:val="21"/>
                <w:szCs w:val="21"/>
                <w:highlight w:val="none"/>
              </w:rPr>
              <w:t>吹扫捕集/气相色谱-质谱法</w:t>
            </w:r>
          </w:p>
        </w:tc>
        <w:tc>
          <w:tcPr>
            <w:tcW w:w="13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HJ 605-2011</w:t>
            </w: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01"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挥发性有机物</w:t>
            </w:r>
          </w:p>
        </w:tc>
        <w:tc>
          <w:tcPr>
            <w:tcW w:w="18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苯</w:t>
            </w:r>
          </w:p>
        </w:tc>
        <w:tc>
          <w:tcPr>
            <w:tcW w:w="3714"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 xml:space="preserve">土壤和沉积物 挥发性有机物的测定 </w:t>
            </w:r>
          </w:p>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吹扫捕集/气相色谱-质谱法</w:t>
            </w:r>
          </w:p>
        </w:tc>
        <w:tc>
          <w:tcPr>
            <w:tcW w:w="1358"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HJ 605-2011</w:t>
            </w: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0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甲苯</w:t>
            </w:r>
          </w:p>
        </w:tc>
        <w:tc>
          <w:tcPr>
            <w:tcW w:w="371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0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乙苯</w:t>
            </w:r>
          </w:p>
        </w:tc>
        <w:tc>
          <w:tcPr>
            <w:tcW w:w="371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0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间-二甲苯和对-二甲苯</w:t>
            </w:r>
          </w:p>
        </w:tc>
        <w:tc>
          <w:tcPr>
            <w:tcW w:w="371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0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邻-二甲苯</w:t>
            </w:r>
          </w:p>
        </w:tc>
        <w:tc>
          <w:tcPr>
            <w:tcW w:w="371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0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苯乙烯</w:t>
            </w:r>
          </w:p>
        </w:tc>
        <w:tc>
          <w:tcPr>
            <w:tcW w:w="371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0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氯甲烷</w:t>
            </w:r>
          </w:p>
        </w:tc>
        <w:tc>
          <w:tcPr>
            <w:tcW w:w="371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0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氯乙烯</w:t>
            </w:r>
          </w:p>
        </w:tc>
        <w:tc>
          <w:tcPr>
            <w:tcW w:w="371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0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1,1-二氯乙烯</w:t>
            </w:r>
          </w:p>
        </w:tc>
        <w:tc>
          <w:tcPr>
            <w:tcW w:w="371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0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二氯甲烷</w:t>
            </w:r>
          </w:p>
        </w:tc>
        <w:tc>
          <w:tcPr>
            <w:tcW w:w="371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0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反式-1,2-二氯乙烯</w:t>
            </w:r>
          </w:p>
        </w:tc>
        <w:tc>
          <w:tcPr>
            <w:tcW w:w="371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0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1,1-二氯乙烷</w:t>
            </w:r>
          </w:p>
        </w:tc>
        <w:tc>
          <w:tcPr>
            <w:tcW w:w="371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0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顺式-1,2-二氯乙烯</w:t>
            </w:r>
          </w:p>
        </w:tc>
        <w:tc>
          <w:tcPr>
            <w:tcW w:w="371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0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1,1,1-三氯乙烷</w:t>
            </w:r>
          </w:p>
        </w:tc>
        <w:tc>
          <w:tcPr>
            <w:tcW w:w="371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0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四氯化碳</w:t>
            </w:r>
          </w:p>
        </w:tc>
        <w:tc>
          <w:tcPr>
            <w:tcW w:w="371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0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1,2-二氯乙烷</w:t>
            </w:r>
          </w:p>
        </w:tc>
        <w:tc>
          <w:tcPr>
            <w:tcW w:w="371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0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三氯乙烯</w:t>
            </w:r>
          </w:p>
        </w:tc>
        <w:tc>
          <w:tcPr>
            <w:tcW w:w="371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0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1,2-二氯丙烷</w:t>
            </w:r>
          </w:p>
        </w:tc>
        <w:tc>
          <w:tcPr>
            <w:tcW w:w="371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0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1,1,2-三氯乙烷</w:t>
            </w:r>
          </w:p>
        </w:tc>
        <w:tc>
          <w:tcPr>
            <w:tcW w:w="371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0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四氯乙烯</w:t>
            </w:r>
          </w:p>
        </w:tc>
        <w:tc>
          <w:tcPr>
            <w:tcW w:w="371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0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1,1,1,2-四氯乙烷</w:t>
            </w:r>
          </w:p>
        </w:tc>
        <w:tc>
          <w:tcPr>
            <w:tcW w:w="371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0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1,1,2,2-四氯乙烷</w:t>
            </w:r>
          </w:p>
        </w:tc>
        <w:tc>
          <w:tcPr>
            <w:tcW w:w="371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12"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01" w:type="dxa"/>
            <w:vMerge w:val="continue"/>
            <w:tcBorders>
              <w:top w:val="single" w:color="auto" w:sz="4" w:space="0"/>
              <w:left w:val="single" w:color="auto" w:sz="4" w:space="0"/>
              <w:bottom w:val="single" w:color="auto" w:sz="12"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kern w:val="0"/>
                <w:sz w:val="21"/>
                <w:szCs w:val="21"/>
                <w:highlight w:val="none"/>
                <w:lang w:val="en-US" w:eastAsia="zh-CN"/>
              </w:rPr>
              <w:t>1,3,5-三甲基苯</w:t>
            </w:r>
          </w:p>
        </w:tc>
        <w:tc>
          <w:tcPr>
            <w:tcW w:w="3714" w:type="dxa"/>
            <w:vMerge w:val="continue"/>
            <w:tcBorders>
              <w:top w:val="single" w:color="auto" w:sz="4" w:space="0"/>
              <w:left w:val="single" w:color="auto" w:sz="4" w:space="0"/>
              <w:bottom w:val="single" w:color="auto" w:sz="12"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op w:val="single" w:color="auto" w:sz="4" w:space="0"/>
              <w:left w:val="single" w:color="auto" w:sz="4" w:space="0"/>
              <w:bottom w:val="single" w:color="auto" w:sz="12"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op w:val="single" w:color="auto" w:sz="4" w:space="0"/>
              <w:left w:val="single" w:color="auto" w:sz="4" w:space="0"/>
              <w:bottom w:val="single" w:color="auto" w:sz="12"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12"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01" w:type="dxa"/>
            <w:vMerge w:val="continue"/>
            <w:tcBorders>
              <w:top w:val="single" w:color="auto" w:sz="12"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21"/>
                <w:szCs w:val="21"/>
                <w:highlight w:val="none"/>
                <w:lang w:val="en-US" w:eastAsia="zh-CN"/>
              </w:rPr>
              <w:t>1,2,4-三甲基苯</w:t>
            </w:r>
          </w:p>
        </w:tc>
        <w:tc>
          <w:tcPr>
            <w:tcW w:w="3714" w:type="dxa"/>
            <w:vMerge w:val="continue"/>
            <w:tcBorders>
              <w:top w:val="single" w:color="auto" w:sz="12"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op w:val="single" w:color="auto" w:sz="12"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op w:val="single" w:color="auto" w:sz="12"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0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1,2,3-三氯丙烷</w:t>
            </w:r>
          </w:p>
        </w:tc>
        <w:tc>
          <w:tcPr>
            <w:tcW w:w="371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0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氯苯</w:t>
            </w:r>
          </w:p>
        </w:tc>
        <w:tc>
          <w:tcPr>
            <w:tcW w:w="371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0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1,4-二氯苯</w:t>
            </w:r>
          </w:p>
        </w:tc>
        <w:tc>
          <w:tcPr>
            <w:tcW w:w="371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0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1,2-二氯苯</w:t>
            </w:r>
          </w:p>
        </w:tc>
        <w:tc>
          <w:tcPr>
            <w:tcW w:w="371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0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氯仿</w:t>
            </w:r>
          </w:p>
        </w:tc>
        <w:tc>
          <w:tcPr>
            <w:tcW w:w="371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01"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半挥发性有机物</w:t>
            </w:r>
          </w:p>
        </w:tc>
        <w:tc>
          <w:tcPr>
            <w:tcW w:w="18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2-氯酚</w:t>
            </w:r>
          </w:p>
        </w:tc>
        <w:tc>
          <w:tcPr>
            <w:tcW w:w="3714"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土壤和沉积物 半挥发性有机物的测定 气相色谱-质谱法</w:t>
            </w:r>
          </w:p>
        </w:tc>
        <w:tc>
          <w:tcPr>
            <w:tcW w:w="1358"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HJ 834-2017</w:t>
            </w: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0.06</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0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苯酚</w:t>
            </w:r>
          </w:p>
        </w:tc>
        <w:tc>
          <w:tcPr>
            <w:tcW w:w="371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0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2-甲基苯酚</w:t>
            </w:r>
          </w:p>
        </w:tc>
        <w:tc>
          <w:tcPr>
            <w:tcW w:w="371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0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4-甲基苯酚</w:t>
            </w:r>
          </w:p>
        </w:tc>
        <w:tc>
          <w:tcPr>
            <w:tcW w:w="371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0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萘</w:t>
            </w:r>
          </w:p>
        </w:tc>
        <w:tc>
          <w:tcPr>
            <w:tcW w:w="371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0.09</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0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苯并(a)蒽</w:t>
            </w:r>
          </w:p>
        </w:tc>
        <w:tc>
          <w:tcPr>
            <w:tcW w:w="371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0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䓛</w:t>
            </w:r>
          </w:p>
        </w:tc>
        <w:tc>
          <w:tcPr>
            <w:tcW w:w="371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0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苯并(b)荧蒽</w:t>
            </w:r>
          </w:p>
        </w:tc>
        <w:tc>
          <w:tcPr>
            <w:tcW w:w="371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0.2</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0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苯并(k)荧蒽</w:t>
            </w:r>
          </w:p>
        </w:tc>
        <w:tc>
          <w:tcPr>
            <w:tcW w:w="371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0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苯并(a)芘</w:t>
            </w:r>
          </w:p>
        </w:tc>
        <w:tc>
          <w:tcPr>
            <w:tcW w:w="371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0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茚并(1,2,3-cd)芘</w:t>
            </w:r>
          </w:p>
        </w:tc>
        <w:tc>
          <w:tcPr>
            <w:tcW w:w="371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0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二苯并(a,h)蒽</w:t>
            </w:r>
          </w:p>
        </w:tc>
        <w:tc>
          <w:tcPr>
            <w:tcW w:w="371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0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硝基苯</w:t>
            </w:r>
          </w:p>
        </w:tc>
        <w:tc>
          <w:tcPr>
            <w:tcW w:w="371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35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0.09</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0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苯胺</w:t>
            </w:r>
          </w:p>
        </w:tc>
        <w:tc>
          <w:tcPr>
            <w:tcW w:w="3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半挥发性有机化合物的测定 气</w:t>
            </w:r>
            <w:r>
              <w:rPr>
                <w:rFonts w:hint="default" w:ascii="Times New Roman" w:hAnsi="Times New Roman" w:cs="Times New Roman"/>
                <w:color w:val="auto"/>
                <w:sz w:val="21"/>
                <w:szCs w:val="21"/>
                <w:highlight w:val="none"/>
                <w:lang w:eastAsia="zh-CN"/>
              </w:rPr>
              <w:t>相</w:t>
            </w:r>
            <w:r>
              <w:rPr>
                <w:rFonts w:hint="default" w:ascii="Times New Roman" w:hAnsi="Times New Roman" w:cs="Times New Roman"/>
                <w:color w:val="auto"/>
                <w:sz w:val="21"/>
                <w:szCs w:val="21"/>
                <w:highlight w:val="none"/>
              </w:rPr>
              <w:t>色谱-质谱法</w:t>
            </w:r>
          </w:p>
        </w:tc>
        <w:tc>
          <w:tcPr>
            <w:tcW w:w="13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USEPA 8270E Rev.6 (2017.2)</w:t>
            </w: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restar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01"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其他项目</w:t>
            </w:r>
          </w:p>
        </w:tc>
        <w:tc>
          <w:tcPr>
            <w:tcW w:w="18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二噁英</w:t>
            </w:r>
          </w:p>
        </w:tc>
        <w:tc>
          <w:tcPr>
            <w:tcW w:w="3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土壤和沉积物 二噁英类的测定 同位素稀释高分辨气相 色谱-高分辨率质谱法</w:t>
            </w:r>
          </w:p>
        </w:tc>
        <w:tc>
          <w:tcPr>
            <w:tcW w:w="13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HJ 77.4-2008</w:t>
            </w:r>
          </w:p>
        </w:tc>
        <w:tc>
          <w:tcPr>
            <w:tcW w:w="1438" w:type="dxa"/>
            <w:tcBorders>
              <w:top w:val="single" w:color="auto" w:sz="4" w:space="0"/>
              <w:left w:val="single" w:color="auto" w:sz="4" w:space="0"/>
              <w:bottom w:val="single" w:color="auto" w:sz="4"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vertAlign w:val="superscript"/>
                <w:lang w:val="en-US" w:eastAsia="zh-CN"/>
              </w:rPr>
              <w:t>②</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5" w:type="dxa"/>
            <w:vMerge w:val="continue"/>
            <w:tcBorders>
              <w:top w:val="single" w:color="auto" w:sz="4" w:space="0"/>
              <w:left w:val="nil"/>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901" w:type="dxa"/>
            <w:vMerge w:val="continue"/>
            <w:tcBorders>
              <w:top w:val="single" w:color="auto" w:sz="4" w:space="0"/>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1817"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多氯联苯类</w:t>
            </w:r>
          </w:p>
        </w:tc>
        <w:tc>
          <w:tcPr>
            <w:tcW w:w="3714"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土壤和沉积物</w:t>
            </w:r>
            <w:r>
              <w:rPr>
                <w:rFonts w:hint="default" w:ascii="Times New Roman" w:hAnsi="Times New Roman" w:cs="Times New Roman"/>
                <w:color w:val="auto"/>
                <w:sz w:val="21"/>
                <w:szCs w:val="21"/>
                <w:highlight w:val="none"/>
                <w:lang w:val="en-US" w:eastAsia="zh-CN"/>
              </w:rPr>
              <w:t xml:space="preserve"> 多氯联苯的测定 气相色谱-质谱法</w:t>
            </w:r>
          </w:p>
        </w:tc>
        <w:tc>
          <w:tcPr>
            <w:tcW w:w="1358"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HJ 743-2015</w:t>
            </w:r>
          </w:p>
        </w:tc>
        <w:tc>
          <w:tcPr>
            <w:tcW w:w="1438" w:type="dxa"/>
            <w:tcBorders>
              <w:top w:val="single" w:color="auto" w:sz="4" w:space="0"/>
              <w:left w:val="single" w:color="auto" w:sz="4" w:space="0"/>
              <w:bottom w:val="single" w:color="auto" w:sz="12" w:space="0"/>
              <w:right w:val="nil"/>
            </w:tcBorders>
            <w:noWrap w:val="0"/>
            <w:vAlign w:val="center"/>
          </w:tcPr>
          <w:p>
            <w:pPr>
              <w:keepNext w:val="0"/>
              <w:keepLines w:val="0"/>
              <w:suppressLineNumbers w:val="0"/>
              <w:overflowPunct w:val="0"/>
              <w:autoSpaceDE w:val="0"/>
              <w:autoSpaceDN w:val="0"/>
              <w:adjustRightIn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w:t>
            </w:r>
          </w:p>
        </w:tc>
      </w:tr>
    </w:tbl>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sz w:val="18"/>
          <w:szCs w:val="18"/>
          <w:highlight w:val="none"/>
          <w:lang w:eastAsia="zh-CN"/>
        </w:rPr>
      </w:pPr>
      <w:r>
        <w:rPr>
          <w:rFonts w:hint="default" w:ascii="Times New Roman" w:hAnsi="Times New Roman" w:cs="Times New Roman"/>
          <w:b/>
          <w:bCs/>
          <w:color w:val="auto"/>
          <w:sz w:val="18"/>
          <w:szCs w:val="18"/>
          <w:highlight w:val="none"/>
          <w:lang w:eastAsia="zh-CN"/>
        </w:rPr>
        <w:t>注：①检出限均为检测单位给出的报告限，下同。</w:t>
      </w:r>
    </w:p>
    <w:p>
      <w:pPr>
        <w:pStyle w:val="2"/>
        <w:keepNext w:val="0"/>
        <w:keepLines w:val="0"/>
        <w:pageBreakBefore w:val="0"/>
        <w:widowControl w:val="0"/>
        <w:kinsoku/>
        <w:wordWrap/>
        <w:overflowPunct/>
        <w:topLinePunct w:val="0"/>
        <w:autoSpaceDE/>
        <w:autoSpaceDN/>
        <w:bidi w:val="0"/>
        <w:adjustRightInd/>
        <w:snapToGrid/>
        <w:spacing w:after="0" w:line="240" w:lineRule="auto"/>
        <w:ind w:firstLine="420" w:firstLineChars="0"/>
        <w:textAlignment w:val="auto"/>
        <w:rPr>
          <w:rFonts w:hint="default" w:ascii="Times New Roman" w:hAnsi="Times New Roman" w:cs="Times New Roman"/>
          <w:color w:val="auto"/>
          <w:highlight w:val="none"/>
          <w:lang w:eastAsia="zh-CN"/>
        </w:rPr>
      </w:pPr>
      <w:r>
        <w:rPr>
          <w:rFonts w:hint="default" w:ascii="Times New Roman" w:hAnsi="Times New Roman" w:cs="Times New Roman"/>
          <w:b/>
          <w:bCs/>
          <w:color w:val="auto"/>
          <w:sz w:val="18"/>
          <w:szCs w:val="18"/>
          <w:highlight w:val="none"/>
          <w:lang w:eastAsia="zh-CN"/>
        </w:rPr>
        <w:t>②“</w:t>
      </w:r>
      <w:r>
        <w:rPr>
          <w:rFonts w:hint="default" w:ascii="Times New Roman" w:hAnsi="Times New Roman" w:cs="Times New Roman"/>
          <w:b/>
          <w:bCs/>
          <w:color w:val="auto"/>
          <w:sz w:val="18"/>
          <w:szCs w:val="18"/>
          <w:highlight w:val="none"/>
          <w:lang w:val="en-US" w:eastAsia="zh-CN"/>
        </w:rPr>
        <w:t>/</w:t>
      </w:r>
      <w:r>
        <w:rPr>
          <w:rFonts w:hint="default" w:ascii="Times New Roman" w:hAnsi="Times New Roman" w:cs="Times New Roman"/>
          <w:b/>
          <w:bCs/>
          <w:color w:val="auto"/>
          <w:sz w:val="18"/>
          <w:szCs w:val="18"/>
          <w:highlight w:val="none"/>
          <w:lang w:eastAsia="zh-CN"/>
        </w:rPr>
        <w:t>”代表方法未给出检出限。根据“</w:t>
      </w:r>
      <w:r>
        <w:rPr>
          <w:rFonts w:hint="default" w:ascii="Times New Roman" w:hAnsi="Times New Roman" w:cs="Times New Roman"/>
          <w:b/>
          <w:bCs/>
          <w:color w:val="auto"/>
          <w:sz w:val="18"/>
          <w:szCs w:val="18"/>
          <w:highlight w:val="none"/>
          <w:lang w:val="en-US" w:eastAsia="zh-CN"/>
        </w:rPr>
        <w:t>HJ77.4-2008</w:t>
      </w:r>
      <w:r>
        <w:rPr>
          <w:rFonts w:hint="default" w:ascii="Times New Roman" w:hAnsi="Times New Roman" w:cs="Times New Roman"/>
          <w:b/>
          <w:bCs/>
          <w:color w:val="auto"/>
          <w:sz w:val="18"/>
          <w:szCs w:val="18"/>
          <w:highlight w:val="none"/>
          <w:lang w:eastAsia="zh-CN"/>
        </w:rPr>
        <w:t>”二噁英为一类物质的总称，单项指标有多种同分异构体，故其进行评价时应计算参考总毒性当量，故不给出检出限。</w:t>
      </w:r>
    </w:p>
    <w:p>
      <w:pPr>
        <w:bidi w:val="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表4-</w:t>
      </w:r>
      <w:r>
        <w:rPr>
          <w:rFonts w:hint="default" w:ascii="Times New Roman" w:hAnsi="Times New Roman" w:cs="Times New Roman"/>
          <w:b/>
          <w:bCs/>
          <w:color w:val="auto"/>
          <w:sz w:val="24"/>
          <w:szCs w:val="24"/>
          <w:highlight w:val="none"/>
          <w:lang w:val="en-US" w:eastAsia="zh-CN"/>
        </w:rPr>
        <w:t>4</w:t>
      </w:r>
      <w:r>
        <w:rPr>
          <w:rFonts w:hint="default" w:ascii="Times New Roman" w:hAnsi="Times New Roman" w:cs="Times New Roman"/>
          <w:b/>
          <w:bCs/>
          <w:color w:val="auto"/>
          <w:sz w:val="24"/>
          <w:szCs w:val="24"/>
          <w:highlight w:val="none"/>
        </w:rPr>
        <w:t>-</w:t>
      </w:r>
      <w:r>
        <w:rPr>
          <w:rFonts w:hint="default" w:ascii="Times New Roman" w:hAnsi="Times New Roman" w:cs="Times New Roman"/>
          <w:b/>
          <w:bCs/>
          <w:color w:val="auto"/>
          <w:sz w:val="24"/>
          <w:szCs w:val="24"/>
          <w:highlight w:val="none"/>
          <w:lang w:val="en-US" w:eastAsia="zh-CN"/>
        </w:rPr>
        <w:t>2</w:t>
      </w:r>
      <w:r>
        <w:rPr>
          <w:rFonts w:hint="default" w:ascii="Times New Roman" w:hAnsi="Times New Roman" w:cs="Times New Roman"/>
          <w:b/>
          <w:bCs/>
          <w:color w:val="auto"/>
          <w:sz w:val="24"/>
          <w:szCs w:val="24"/>
          <w:highlight w:val="none"/>
        </w:rPr>
        <w:t xml:space="preserve">  </w:t>
      </w:r>
      <w:r>
        <w:rPr>
          <w:rFonts w:hint="default" w:ascii="Times New Roman" w:hAnsi="Times New Roman" w:cs="Times New Roman"/>
          <w:b/>
          <w:bCs/>
          <w:color w:val="auto"/>
          <w:sz w:val="24"/>
          <w:szCs w:val="24"/>
          <w:highlight w:val="none"/>
          <w:lang w:eastAsia="zh-CN"/>
        </w:rPr>
        <w:t>地下水</w:t>
      </w:r>
      <w:r>
        <w:rPr>
          <w:rFonts w:hint="default" w:ascii="Times New Roman" w:hAnsi="Times New Roman" w:cs="Times New Roman"/>
          <w:b/>
          <w:bCs/>
          <w:color w:val="auto"/>
          <w:sz w:val="24"/>
          <w:szCs w:val="24"/>
          <w:highlight w:val="none"/>
        </w:rPr>
        <w:t>监测分析方法及检出限汇总</w:t>
      </w:r>
    </w:p>
    <w:tbl>
      <w:tblPr>
        <w:tblStyle w:val="21"/>
        <w:tblW w:w="961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038"/>
        <w:gridCol w:w="1407"/>
        <w:gridCol w:w="3609"/>
        <w:gridCol w:w="2336"/>
        <w:gridCol w:w="12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tblHeader/>
          <w:jc w:val="center"/>
        </w:trPr>
        <w:tc>
          <w:tcPr>
            <w:tcW w:w="1038" w:type="dxa"/>
            <w:tcBorders>
              <w:bottom w:val="single" w:color="auto" w:sz="12"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样品类型</w:t>
            </w:r>
          </w:p>
        </w:tc>
        <w:tc>
          <w:tcPr>
            <w:tcW w:w="1407" w:type="dxa"/>
            <w:tcBorders>
              <w:bottom w:val="single" w:color="auto" w:sz="12"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检测项目</w:t>
            </w:r>
          </w:p>
        </w:tc>
        <w:tc>
          <w:tcPr>
            <w:tcW w:w="3609" w:type="dxa"/>
            <w:tcBorders>
              <w:bottom w:val="single" w:color="auto" w:sz="12"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分析方法及依据</w:t>
            </w:r>
          </w:p>
        </w:tc>
        <w:tc>
          <w:tcPr>
            <w:tcW w:w="2336"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标准编号</w:t>
            </w:r>
          </w:p>
        </w:tc>
        <w:tc>
          <w:tcPr>
            <w:tcW w:w="1222" w:type="dxa"/>
            <w:tcBorders>
              <w:bottom w:val="single" w:color="auto" w:sz="12"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restart"/>
            <w:tcBorders>
              <w:top w:val="single" w:color="auto" w:sz="12" w:space="0"/>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地下水</w:t>
            </w:r>
          </w:p>
        </w:tc>
        <w:tc>
          <w:tcPr>
            <w:tcW w:w="1407" w:type="dxa"/>
            <w:tcBorders>
              <w:top w:val="single" w:color="auto" w:sz="12" w:space="0"/>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pH值</w:t>
            </w:r>
          </w:p>
        </w:tc>
        <w:tc>
          <w:tcPr>
            <w:tcW w:w="3609" w:type="dxa"/>
            <w:tcBorders>
              <w:top w:val="single" w:color="auto" w:sz="12" w:space="0"/>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水质 pH 值的测定 玻璃电极法</w:t>
            </w:r>
          </w:p>
        </w:tc>
        <w:tc>
          <w:tcPr>
            <w:tcW w:w="2336"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GB 6920-1986</w:t>
            </w:r>
          </w:p>
        </w:tc>
        <w:tc>
          <w:tcPr>
            <w:tcW w:w="1222" w:type="dxa"/>
            <w:tcBorders>
              <w:top w:val="single" w:color="auto" w:sz="12" w:space="0"/>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总硬度</w:t>
            </w:r>
          </w:p>
        </w:tc>
        <w:tc>
          <w:tcPr>
            <w:tcW w:w="360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生活饮用水标准检验方法 感官性状</w:t>
            </w:r>
            <w:r>
              <w:rPr>
                <w:rFonts w:hint="default" w:ascii="Times New Roman" w:hAnsi="Times New Roman" w:eastAsia="宋体" w:cs="Times New Roman"/>
                <w:i w:val="0"/>
                <w:color w:val="auto"/>
                <w:kern w:val="0"/>
                <w:sz w:val="21"/>
                <w:szCs w:val="21"/>
                <w:highlight w:val="none"/>
                <w:u w:val="none"/>
                <w:lang w:val="en-US" w:eastAsia="zh-CN" w:bidi="ar"/>
              </w:rPr>
              <w:br w:type="textWrapping"/>
            </w:r>
            <w:r>
              <w:rPr>
                <w:rFonts w:hint="default" w:ascii="Times New Roman" w:hAnsi="Times New Roman" w:eastAsia="宋体" w:cs="Times New Roman"/>
                <w:i w:val="0"/>
                <w:color w:val="auto"/>
                <w:kern w:val="0"/>
                <w:sz w:val="21"/>
                <w:szCs w:val="21"/>
                <w:highlight w:val="none"/>
                <w:u w:val="none"/>
                <w:lang w:val="en-US" w:eastAsia="zh-CN" w:bidi="ar"/>
              </w:rPr>
              <w:t>和物理指标 乙二胺四乙酸二钠滴定法</w:t>
            </w:r>
          </w:p>
        </w:tc>
        <w:tc>
          <w:tcPr>
            <w:tcW w:w="23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GB/T 5750.4-2006</w:t>
            </w: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溶解性总固体</w:t>
            </w:r>
          </w:p>
        </w:tc>
        <w:tc>
          <w:tcPr>
            <w:tcW w:w="360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生活饮用水标准检验方法 感观性状</w:t>
            </w:r>
            <w:r>
              <w:rPr>
                <w:rFonts w:hint="default" w:ascii="Times New Roman" w:hAnsi="Times New Roman" w:eastAsia="宋体" w:cs="Times New Roman"/>
                <w:i w:val="0"/>
                <w:color w:val="auto"/>
                <w:kern w:val="0"/>
                <w:sz w:val="21"/>
                <w:szCs w:val="21"/>
                <w:highlight w:val="none"/>
                <w:u w:val="none"/>
                <w:lang w:val="en-US" w:eastAsia="zh-CN" w:bidi="ar"/>
              </w:rPr>
              <w:br w:type="textWrapping"/>
            </w:r>
            <w:r>
              <w:rPr>
                <w:rFonts w:hint="default" w:ascii="Times New Roman" w:hAnsi="Times New Roman" w:eastAsia="宋体" w:cs="Times New Roman"/>
                <w:i w:val="0"/>
                <w:color w:val="auto"/>
                <w:kern w:val="0"/>
                <w:sz w:val="21"/>
                <w:szCs w:val="21"/>
                <w:highlight w:val="none"/>
                <w:u w:val="none"/>
                <w:lang w:val="en-US" w:eastAsia="zh-CN" w:bidi="ar"/>
              </w:rPr>
              <w:t>和物理指标 称量法 称量法</w:t>
            </w:r>
          </w:p>
        </w:tc>
        <w:tc>
          <w:tcPr>
            <w:tcW w:w="23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GB/T 5750.4-2006</w:t>
            </w: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耗氧量</w:t>
            </w:r>
          </w:p>
        </w:tc>
        <w:tc>
          <w:tcPr>
            <w:tcW w:w="360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水质 </w:t>
            </w:r>
            <w:r>
              <w:rPr>
                <w:rFonts w:hint="default" w:ascii="Times New Roman" w:hAnsi="Times New Roman" w:cs="Times New Roman"/>
                <w:i w:val="0"/>
                <w:color w:val="auto"/>
                <w:kern w:val="0"/>
                <w:sz w:val="21"/>
                <w:szCs w:val="21"/>
                <w:highlight w:val="none"/>
                <w:u w:val="none"/>
                <w:lang w:val="en-US" w:eastAsia="zh-CN" w:bidi="ar"/>
              </w:rPr>
              <w:t>耗氧量</w:t>
            </w:r>
            <w:r>
              <w:rPr>
                <w:rFonts w:hint="default" w:ascii="Times New Roman" w:hAnsi="Times New Roman" w:eastAsia="宋体" w:cs="Times New Roman"/>
                <w:i w:val="0"/>
                <w:color w:val="auto"/>
                <w:kern w:val="0"/>
                <w:sz w:val="21"/>
                <w:szCs w:val="21"/>
                <w:highlight w:val="none"/>
                <w:u w:val="none"/>
                <w:lang w:val="en-US" w:eastAsia="zh-CN" w:bidi="ar"/>
              </w:rPr>
              <w:t>的测定</w:t>
            </w:r>
          </w:p>
        </w:tc>
        <w:tc>
          <w:tcPr>
            <w:tcW w:w="23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GB 11892-1989</w:t>
            </w: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0.125mg/L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硫酸盐</w:t>
            </w:r>
          </w:p>
        </w:tc>
        <w:tc>
          <w:tcPr>
            <w:tcW w:w="3609"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bottom"/>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水质 </w:t>
            </w:r>
            <w:r>
              <w:rPr>
                <w:rStyle w:val="61"/>
                <w:rFonts w:hint="default" w:ascii="Times New Roman" w:hAnsi="Times New Roman" w:cs="Times New Roman"/>
                <w:color w:val="auto"/>
                <w:sz w:val="21"/>
                <w:szCs w:val="21"/>
                <w:highlight w:val="none"/>
                <w:lang w:val="en-US" w:eastAsia="zh-CN" w:bidi="ar"/>
              </w:rPr>
              <w:t>无机阴离子</w:t>
            </w:r>
            <w:r>
              <w:rPr>
                <w:rStyle w:val="61"/>
                <w:rFonts w:hint="default" w:ascii="Times New Roman" w:hAnsi="Times New Roman" w:cs="Times New Roman"/>
                <w:sz w:val="21"/>
                <w:szCs w:val="21"/>
                <w:highlight w:val="none"/>
                <w:lang w:bidi="ar"/>
              </w:rPr>
              <w:t>（</w:t>
            </w:r>
            <w:r>
              <w:rPr>
                <w:rFonts w:hint="default" w:ascii="Times New Roman" w:hAnsi="Times New Roman" w:cs="Times New Roman"/>
                <w:color w:val="000000"/>
                <w:kern w:val="0"/>
                <w:sz w:val="21"/>
                <w:szCs w:val="21"/>
                <w:highlight w:val="none"/>
                <w:lang w:bidi="ar"/>
              </w:rPr>
              <w:t>F</w:t>
            </w:r>
            <w:r>
              <w:rPr>
                <w:rFonts w:hint="default" w:ascii="Times New Roman" w:hAnsi="Times New Roman" w:cs="Times New Roman"/>
                <w:color w:val="000000"/>
                <w:kern w:val="0"/>
                <w:sz w:val="21"/>
                <w:szCs w:val="21"/>
                <w:highlight w:val="none"/>
                <w:vertAlign w:val="superscript"/>
                <w:lang w:bidi="ar"/>
              </w:rPr>
              <w:t>-</w:t>
            </w:r>
            <w:r>
              <w:rPr>
                <w:rStyle w:val="61"/>
                <w:rFonts w:hint="default" w:ascii="Times New Roman" w:hAnsi="Times New Roman" w:cs="Times New Roman"/>
                <w:sz w:val="21"/>
                <w:szCs w:val="21"/>
                <w:highlight w:val="none"/>
                <w:lang w:bidi="ar"/>
              </w:rPr>
              <w:t>、</w:t>
            </w:r>
            <w:r>
              <w:rPr>
                <w:rFonts w:hint="default" w:ascii="Times New Roman" w:hAnsi="Times New Roman" w:cs="Times New Roman"/>
                <w:color w:val="000000"/>
                <w:kern w:val="0"/>
                <w:sz w:val="21"/>
                <w:szCs w:val="21"/>
                <w:highlight w:val="none"/>
                <w:lang w:bidi="ar"/>
              </w:rPr>
              <w:t>Cl</w:t>
            </w:r>
            <w:r>
              <w:rPr>
                <w:rFonts w:hint="default" w:ascii="Times New Roman" w:hAnsi="Times New Roman" w:cs="Times New Roman"/>
                <w:color w:val="000000"/>
                <w:kern w:val="0"/>
                <w:sz w:val="21"/>
                <w:szCs w:val="21"/>
                <w:highlight w:val="none"/>
                <w:vertAlign w:val="superscript"/>
                <w:lang w:bidi="ar"/>
              </w:rPr>
              <w:t>-</w:t>
            </w:r>
            <w:r>
              <w:rPr>
                <w:rStyle w:val="61"/>
                <w:rFonts w:hint="default" w:ascii="Times New Roman" w:hAnsi="Times New Roman" w:cs="Times New Roman"/>
                <w:sz w:val="21"/>
                <w:szCs w:val="21"/>
                <w:highlight w:val="none"/>
                <w:lang w:bidi="ar"/>
              </w:rPr>
              <w:t>、</w:t>
            </w:r>
            <w:r>
              <w:rPr>
                <w:rFonts w:hint="default" w:ascii="Times New Roman" w:hAnsi="Times New Roman" w:cs="Times New Roman"/>
                <w:color w:val="000000"/>
                <w:kern w:val="0"/>
                <w:sz w:val="21"/>
                <w:szCs w:val="21"/>
                <w:highlight w:val="none"/>
                <w:lang w:bidi="ar"/>
              </w:rPr>
              <w:t>Br</w:t>
            </w:r>
            <w:r>
              <w:rPr>
                <w:rFonts w:hint="default" w:ascii="Times New Roman" w:hAnsi="Times New Roman" w:cs="Times New Roman"/>
                <w:color w:val="000000"/>
                <w:kern w:val="0"/>
                <w:sz w:val="21"/>
                <w:szCs w:val="21"/>
                <w:highlight w:val="none"/>
                <w:vertAlign w:val="superscript"/>
                <w:lang w:bidi="ar"/>
              </w:rPr>
              <w:t>-</w:t>
            </w:r>
            <w:r>
              <w:rPr>
                <w:rStyle w:val="61"/>
                <w:rFonts w:hint="default" w:ascii="Times New Roman" w:hAnsi="Times New Roman" w:cs="Times New Roman"/>
                <w:sz w:val="21"/>
                <w:szCs w:val="21"/>
                <w:highlight w:val="none"/>
                <w:lang w:bidi="ar"/>
              </w:rPr>
              <w:t>、</w:t>
            </w:r>
            <w:r>
              <w:rPr>
                <w:rFonts w:hint="default" w:ascii="Times New Roman" w:hAnsi="Times New Roman" w:cs="Times New Roman"/>
                <w:color w:val="000000"/>
                <w:kern w:val="0"/>
                <w:sz w:val="21"/>
                <w:szCs w:val="21"/>
                <w:highlight w:val="none"/>
                <w:lang w:bidi="ar"/>
              </w:rPr>
              <w:t>NO</w:t>
            </w:r>
            <w:r>
              <w:rPr>
                <w:rFonts w:hint="default" w:ascii="Times New Roman" w:hAnsi="Times New Roman" w:cs="Times New Roman"/>
                <w:color w:val="000000"/>
                <w:kern w:val="0"/>
                <w:sz w:val="21"/>
                <w:szCs w:val="21"/>
                <w:highlight w:val="none"/>
                <w:vertAlign w:val="subscript"/>
                <w:lang w:bidi="ar"/>
              </w:rPr>
              <w:t>2</w:t>
            </w:r>
            <w:r>
              <w:rPr>
                <w:rFonts w:hint="default" w:ascii="Times New Roman" w:hAnsi="Times New Roman" w:cs="Times New Roman"/>
                <w:color w:val="000000"/>
                <w:kern w:val="0"/>
                <w:sz w:val="21"/>
                <w:szCs w:val="21"/>
                <w:highlight w:val="none"/>
                <w:vertAlign w:val="superscript"/>
                <w:lang w:bidi="ar"/>
              </w:rPr>
              <w:t>-</w:t>
            </w:r>
            <w:r>
              <w:rPr>
                <w:rStyle w:val="61"/>
                <w:rFonts w:hint="default" w:ascii="Times New Roman" w:hAnsi="Times New Roman" w:cs="Times New Roman"/>
                <w:sz w:val="21"/>
                <w:szCs w:val="21"/>
                <w:highlight w:val="none"/>
                <w:lang w:bidi="ar"/>
              </w:rPr>
              <w:t>、</w:t>
            </w:r>
            <w:r>
              <w:rPr>
                <w:rFonts w:hint="default" w:ascii="Times New Roman" w:hAnsi="Times New Roman" w:cs="Times New Roman"/>
                <w:color w:val="000000"/>
                <w:kern w:val="0"/>
                <w:sz w:val="21"/>
                <w:szCs w:val="21"/>
                <w:highlight w:val="none"/>
                <w:lang w:bidi="ar"/>
              </w:rPr>
              <w:t>NO</w:t>
            </w:r>
            <w:r>
              <w:rPr>
                <w:rFonts w:hint="default" w:ascii="Times New Roman" w:hAnsi="Times New Roman" w:cs="Times New Roman"/>
                <w:color w:val="000000"/>
                <w:kern w:val="0"/>
                <w:sz w:val="21"/>
                <w:szCs w:val="21"/>
                <w:highlight w:val="none"/>
                <w:vertAlign w:val="subscript"/>
                <w:lang w:bidi="ar"/>
              </w:rPr>
              <w:t>3</w:t>
            </w:r>
            <w:r>
              <w:rPr>
                <w:rFonts w:hint="default" w:ascii="Times New Roman" w:hAnsi="Times New Roman" w:cs="Times New Roman"/>
                <w:color w:val="000000"/>
                <w:kern w:val="0"/>
                <w:sz w:val="21"/>
                <w:szCs w:val="21"/>
                <w:highlight w:val="none"/>
                <w:vertAlign w:val="superscript"/>
                <w:lang w:bidi="ar"/>
              </w:rPr>
              <w:t>-</w:t>
            </w:r>
            <w:r>
              <w:rPr>
                <w:rStyle w:val="61"/>
                <w:rFonts w:hint="default" w:ascii="Times New Roman" w:hAnsi="Times New Roman" w:cs="Times New Roman"/>
                <w:sz w:val="21"/>
                <w:szCs w:val="21"/>
                <w:highlight w:val="none"/>
                <w:lang w:bidi="ar"/>
              </w:rPr>
              <w:t>、</w:t>
            </w:r>
            <w:r>
              <w:rPr>
                <w:rFonts w:hint="default" w:ascii="Times New Roman" w:hAnsi="Times New Roman" w:cs="Times New Roman"/>
                <w:color w:val="000000"/>
                <w:kern w:val="0"/>
                <w:sz w:val="21"/>
                <w:szCs w:val="21"/>
                <w:highlight w:val="none"/>
                <w:lang w:bidi="ar"/>
              </w:rPr>
              <w:t>PO</w:t>
            </w:r>
            <w:r>
              <w:rPr>
                <w:rFonts w:hint="default" w:ascii="Times New Roman" w:hAnsi="Times New Roman" w:cs="Times New Roman"/>
                <w:color w:val="000000"/>
                <w:kern w:val="0"/>
                <w:sz w:val="21"/>
                <w:szCs w:val="21"/>
                <w:highlight w:val="none"/>
                <w:vertAlign w:val="subscript"/>
                <w:lang w:bidi="ar"/>
              </w:rPr>
              <w:t>4</w:t>
            </w:r>
            <w:r>
              <w:rPr>
                <w:rFonts w:hint="default" w:ascii="Times New Roman" w:hAnsi="Times New Roman" w:cs="Times New Roman"/>
                <w:color w:val="000000"/>
                <w:kern w:val="0"/>
                <w:sz w:val="21"/>
                <w:szCs w:val="21"/>
                <w:highlight w:val="none"/>
                <w:vertAlign w:val="superscript"/>
                <w:lang w:bidi="ar"/>
              </w:rPr>
              <w:t>3-</w:t>
            </w:r>
            <w:r>
              <w:rPr>
                <w:rStyle w:val="61"/>
                <w:rFonts w:hint="default" w:ascii="Times New Roman" w:hAnsi="Times New Roman" w:cs="Times New Roman"/>
                <w:sz w:val="21"/>
                <w:szCs w:val="21"/>
                <w:highlight w:val="none"/>
                <w:lang w:bidi="ar"/>
              </w:rPr>
              <w:t>、</w:t>
            </w:r>
            <w:r>
              <w:rPr>
                <w:rFonts w:hint="default" w:ascii="Times New Roman" w:hAnsi="Times New Roman" w:cs="Times New Roman"/>
                <w:color w:val="000000"/>
                <w:kern w:val="0"/>
                <w:sz w:val="21"/>
                <w:szCs w:val="21"/>
                <w:highlight w:val="none"/>
                <w:lang w:bidi="ar"/>
              </w:rPr>
              <w:t>SO</w:t>
            </w:r>
            <w:r>
              <w:rPr>
                <w:rFonts w:hint="default" w:ascii="Times New Roman" w:hAnsi="Times New Roman" w:cs="Times New Roman"/>
                <w:color w:val="000000"/>
                <w:kern w:val="0"/>
                <w:sz w:val="21"/>
                <w:szCs w:val="21"/>
                <w:highlight w:val="none"/>
                <w:vertAlign w:val="subscript"/>
                <w:lang w:bidi="ar"/>
              </w:rPr>
              <w:t>3</w:t>
            </w:r>
            <w:r>
              <w:rPr>
                <w:rFonts w:hint="default" w:ascii="Times New Roman" w:hAnsi="Times New Roman" w:cs="Times New Roman"/>
                <w:color w:val="000000"/>
                <w:kern w:val="0"/>
                <w:sz w:val="21"/>
                <w:szCs w:val="21"/>
                <w:highlight w:val="none"/>
                <w:vertAlign w:val="superscript"/>
                <w:lang w:bidi="ar"/>
              </w:rPr>
              <w:t>2-</w:t>
            </w:r>
            <w:r>
              <w:rPr>
                <w:rStyle w:val="61"/>
                <w:rFonts w:hint="default" w:ascii="Times New Roman" w:hAnsi="Times New Roman" w:cs="Times New Roman"/>
                <w:sz w:val="21"/>
                <w:szCs w:val="21"/>
                <w:highlight w:val="none"/>
                <w:lang w:bidi="ar"/>
              </w:rPr>
              <w:t>、</w:t>
            </w:r>
            <w:r>
              <w:rPr>
                <w:rFonts w:hint="default" w:ascii="Times New Roman" w:hAnsi="Times New Roman" w:cs="Times New Roman"/>
                <w:color w:val="000000"/>
                <w:kern w:val="0"/>
                <w:sz w:val="21"/>
                <w:szCs w:val="21"/>
                <w:highlight w:val="none"/>
                <w:lang w:bidi="ar"/>
              </w:rPr>
              <w:t>SO</w:t>
            </w:r>
            <w:r>
              <w:rPr>
                <w:rFonts w:hint="default" w:ascii="Times New Roman" w:hAnsi="Times New Roman" w:cs="Times New Roman"/>
                <w:color w:val="000000"/>
                <w:kern w:val="0"/>
                <w:sz w:val="21"/>
                <w:szCs w:val="21"/>
                <w:highlight w:val="none"/>
                <w:vertAlign w:val="subscript"/>
                <w:lang w:bidi="ar"/>
              </w:rPr>
              <w:t>4</w:t>
            </w:r>
            <w:r>
              <w:rPr>
                <w:rFonts w:hint="default" w:ascii="Times New Roman" w:hAnsi="Times New Roman" w:cs="Times New Roman"/>
                <w:color w:val="000000"/>
                <w:kern w:val="0"/>
                <w:sz w:val="21"/>
                <w:szCs w:val="21"/>
                <w:highlight w:val="none"/>
                <w:vertAlign w:val="superscript"/>
                <w:lang w:bidi="ar"/>
              </w:rPr>
              <w:t>2-</w:t>
            </w:r>
            <w:r>
              <w:rPr>
                <w:rStyle w:val="61"/>
                <w:rFonts w:hint="default" w:ascii="Times New Roman" w:hAnsi="Times New Roman" w:cs="Times New Roman"/>
                <w:sz w:val="21"/>
                <w:szCs w:val="21"/>
                <w:highlight w:val="none"/>
                <w:lang w:bidi="ar"/>
              </w:rPr>
              <w:t>）</w:t>
            </w:r>
            <w:r>
              <w:rPr>
                <w:rStyle w:val="61"/>
                <w:rFonts w:hint="default" w:ascii="Times New Roman" w:hAnsi="Times New Roman" w:cs="Times New Roman"/>
                <w:color w:val="auto"/>
                <w:sz w:val="21"/>
                <w:szCs w:val="21"/>
                <w:highlight w:val="none"/>
                <w:lang w:val="en-US" w:eastAsia="zh-CN" w:bidi="ar"/>
              </w:rPr>
              <w:t>的测定离子色谱法</w:t>
            </w:r>
          </w:p>
        </w:tc>
        <w:tc>
          <w:tcPr>
            <w:tcW w:w="2336"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HJ 84-2016</w:t>
            </w: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0.018mg/L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硝酸盐</w:t>
            </w:r>
            <w:r>
              <w:rPr>
                <w:rFonts w:hint="default" w:ascii="Times New Roman" w:hAnsi="Times New Roman" w:eastAsia="宋体" w:cs="Times New Roman"/>
                <w:i w:val="0"/>
                <w:color w:val="auto"/>
                <w:kern w:val="0"/>
                <w:sz w:val="21"/>
                <w:szCs w:val="21"/>
                <w:highlight w:val="none"/>
                <w:u w:val="none"/>
                <w:lang w:val="en-US" w:eastAsia="zh-CN" w:bidi="ar"/>
              </w:rPr>
              <w:br w:type="textWrapping"/>
            </w:r>
            <w:r>
              <w:rPr>
                <w:rFonts w:hint="default" w:ascii="Times New Roman" w:hAnsi="Times New Roman" w:eastAsia="宋体" w:cs="Times New Roman"/>
                <w:i w:val="0"/>
                <w:color w:val="auto"/>
                <w:kern w:val="0"/>
                <w:sz w:val="21"/>
                <w:szCs w:val="21"/>
                <w:highlight w:val="none"/>
                <w:u w:val="none"/>
                <w:lang w:val="en-US" w:eastAsia="zh-CN" w:bidi="ar"/>
              </w:rPr>
              <w:t>(以氮计)</w:t>
            </w:r>
          </w:p>
        </w:tc>
        <w:tc>
          <w:tcPr>
            <w:tcW w:w="3609"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336"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color w:val="auto"/>
                <w:sz w:val="21"/>
                <w:szCs w:val="21"/>
                <w:highlight w:val="none"/>
                <w:u w:val="none"/>
              </w:rPr>
            </w:pP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0.004mg/L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氯化物</w:t>
            </w:r>
          </w:p>
        </w:tc>
        <w:tc>
          <w:tcPr>
            <w:tcW w:w="3609"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336"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color w:val="auto"/>
                <w:sz w:val="21"/>
                <w:szCs w:val="21"/>
                <w:highlight w:val="none"/>
                <w:u w:val="none"/>
              </w:rPr>
            </w:pP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0.007mg/L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氟化物</w:t>
            </w:r>
          </w:p>
        </w:tc>
        <w:tc>
          <w:tcPr>
            <w:tcW w:w="3609"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336"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color w:val="auto"/>
                <w:sz w:val="21"/>
                <w:szCs w:val="21"/>
                <w:highlight w:val="none"/>
                <w:u w:val="none"/>
              </w:rPr>
            </w:pP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0.006mg/L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挥发酚</w:t>
            </w:r>
          </w:p>
        </w:tc>
        <w:tc>
          <w:tcPr>
            <w:tcW w:w="360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水质 挥发酚的测定 4-氨基安替比林分光光度法</w:t>
            </w:r>
          </w:p>
        </w:tc>
        <w:tc>
          <w:tcPr>
            <w:tcW w:w="23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HJ 503-2009</w:t>
            </w: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0.0003mg/L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阴离子表</w:t>
            </w:r>
            <w:r>
              <w:rPr>
                <w:rFonts w:hint="default" w:ascii="Times New Roman" w:hAnsi="Times New Roman" w:eastAsia="宋体" w:cs="Times New Roman"/>
                <w:i w:val="0"/>
                <w:color w:val="auto"/>
                <w:kern w:val="0"/>
                <w:sz w:val="21"/>
                <w:szCs w:val="21"/>
                <w:highlight w:val="none"/>
                <w:u w:val="none"/>
                <w:lang w:val="en-US" w:eastAsia="zh-CN" w:bidi="ar"/>
              </w:rPr>
              <w:br w:type="textWrapping"/>
            </w:r>
            <w:r>
              <w:rPr>
                <w:rFonts w:hint="default" w:ascii="Times New Roman" w:hAnsi="Times New Roman" w:eastAsia="宋体" w:cs="Times New Roman"/>
                <w:i w:val="0"/>
                <w:color w:val="auto"/>
                <w:kern w:val="0"/>
                <w:sz w:val="21"/>
                <w:szCs w:val="21"/>
                <w:highlight w:val="none"/>
                <w:u w:val="none"/>
                <w:lang w:val="en-US" w:eastAsia="zh-CN" w:bidi="ar"/>
              </w:rPr>
              <w:t>面活性剂</w:t>
            </w:r>
          </w:p>
        </w:tc>
        <w:tc>
          <w:tcPr>
            <w:tcW w:w="360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水质 阴离子表面活性剂的测定</w:t>
            </w:r>
            <w:r>
              <w:rPr>
                <w:rFonts w:hint="default" w:ascii="Times New Roman" w:hAnsi="Times New Roman" w:eastAsia="宋体" w:cs="Times New Roman"/>
                <w:i w:val="0"/>
                <w:color w:val="auto"/>
                <w:kern w:val="0"/>
                <w:sz w:val="21"/>
                <w:szCs w:val="21"/>
                <w:highlight w:val="none"/>
                <w:u w:val="none"/>
                <w:lang w:val="en-US" w:eastAsia="zh-CN" w:bidi="ar"/>
              </w:rPr>
              <w:br w:type="textWrapping"/>
            </w:r>
            <w:r>
              <w:rPr>
                <w:rFonts w:hint="default" w:ascii="Times New Roman" w:hAnsi="Times New Roman" w:eastAsia="宋体" w:cs="Times New Roman"/>
                <w:i w:val="0"/>
                <w:color w:val="auto"/>
                <w:kern w:val="0"/>
                <w:sz w:val="21"/>
                <w:szCs w:val="21"/>
                <w:highlight w:val="none"/>
                <w:u w:val="none"/>
                <w:lang w:val="en-US" w:eastAsia="zh-CN" w:bidi="ar"/>
              </w:rPr>
              <w:t>亚甲蓝分光光度法</w:t>
            </w:r>
          </w:p>
        </w:tc>
        <w:tc>
          <w:tcPr>
            <w:tcW w:w="23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GB 7494-1987</w:t>
            </w: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氨氮</w:t>
            </w:r>
          </w:p>
        </w:tc>
        <w:tc>
          <w:tcPr>
            <w:tcW w:w="360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生活饮用水标准检验方法 无机非金</w:t>
            </w:r>
            <w:r>
              <w:rPr>
                <w:rFonts w:hint="default" w:ascii="Times New Roman" w:hAnsi="Times New Roman" w:eastAsia="宋体" w:cs="Times New Roman"/>
                <w:i w:val="0"/>
                <w:color w:val="auto"/>
                <w:kern w:val="0"/>
                <w:sz w:val="21"/>
                <w:szCs w:val="21"/>
                <w:highlight w:val="none"/>
                <w:u w:val="none"/>
                <w:lang w:val="en-US" w:eastAsia="zh-CN" w:bidi="ar"/>
              </w:rPr>
              <w:br w:type="textWrapping"/>
            </w:r>
            <w:r>
              <w:rPr>
                <w:rFonts w:hint="default" w:ascii="Times New Roman" w:hAnsi="Times New Roman" w:eastAsia="宋体" w:cs="Times New Roman"/>
                <w:i w:val="0"/>
                <w:color w:val="auto"/>
                <w:kern w:val="0"/>
                <w:sz w:val="21"/>
                <w:szCs w:val="21"/>
                <w:highlight w:val="none"/>
                <w:u w:val="none"/>
                <w:lang w:val="en-US" w:eastAsia="zh-CN" w:bidi="ar"/>
              </w:rPr>
              <w:t>属指标 纳氏试剂分光光度法</w:t>
            </w:r>
          </w:p>
        </w:tc>
        <w:tc>
          <w:tcPr>
            <w:tcW w:w="23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GB/T 5750.5-2006</w:t>
            </w: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0.02mg/L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硫化物</w:t>
            </w:r>
          </w:p>
        </w:tc>
        <w:tc>
          <w:tcPr>
            <w:tcW w:w="360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水质 硫化物的测定 亚甲基蓝分光光度法</w:t>
            </w:r>
          </w:p>
        </w:tc>
        <w:tc>
          <w:tcPr>
            <w:tcW w:w="23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GB/T 16489-1996</w:t>
            </w: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亚硝酸盐氮</w:t>
            </w:r>
          </w:p>
        </w:tc>
        <w:tc>
          <w:tcPr>
            <w:tcW w:w="360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生活饮用水标准检验方法 </w:t>
            </w:r>
          </w:p>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无机非金属指标 重氮偶合分光光度法</w:t>
            </w:r>
          </w:p>
        </w:tc>
        <w:tc>
          <w:tcPr>
            <w:tcW w:w="233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GB/T 5750.5-2006</w:t>
            </w: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0.001mg/L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氰化物</w:t>
            </w:r>
          </w:p>
        </w:tc>
        <w:tc>
          <w:tcPr>
            <w:tcW w:w="360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生活饮用水标准检验方法 </w:t>
            </w:r>
          </w:p>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无机非金属指标</w:t>
            </w:r>
            <w:r>
              <w:rPr>
                <w:rFonts w:hint="default" w:ascii="Times New Roman" w:hAnsi="Times New Roman" w:cs="Times New Roman"/>
                <w:i w:val="0"/>
                <w:color w:val="auto"/>
                <w:kern w:val="0"/>
                <w:sz w:val="21"/>
                <w:szCs w:val="21"/>
                <w:highlight w:val="none"/>
                <w:u w:val="none"/>
                <w:lang w:val="en-US" w:eastAsia="zh-CN" w:bidi="ar"/>
              </w:rPr>
              <w:t xml:space="preserve"> </w:t>
            </w:r>
            <w:r>
              <w:rPr>
                <w:rFonts w:hint="default" w:ascii="Times New Roman" w:hAnsi="Times New Roman" w:eastAsia="宋体" w:cs="Times New Roman"/>
                <w:i w:val="0"/>
                <w:color w:val="auto"/>
                <w:kern w:val="0"/>
                <w:sz w:val="21"/>
                <w:szCs w:val="21"/>
                <w:highlight w:val="none"/>
                <w:u w:val="none"/>
                <w:lang w:val="en-US" w:eastAsia="zh-CN" w:bidi="ar"/>
              </w:rPr>
              <w:t>异烟酸-吡唑酮分光光度法</w:t>
            </w:r>
          </w:p>
        </w:tc>
        <w:tc>
          <w:tcPr>
            <w:tcW w:w="233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GB/T 5750.5-2006</w:t>
            </w: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0.002mg/L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铁</w:t>
            </w:r>
          </w:p>
        </w:tc>
        <w:tc>
          <w:tcPr>
            <w:tcW w:w="3609"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bottom"/>
              <w:rPr>
                <w:rStyle w:val="61"/>
                <w:rFonts w:hint="default" w:ascii="Times New Roman" w:hAnsi="Times New Roman" w:cs="Times New Roman"/>
                <w:color w:val="auto"/>
                <w:sz w:val="21"/>
                <w:szCs w:val="21"/>
                <w:highlight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生活饮用水标准检验方法 </w:t>
            </w:r>
            <w:r>
              <w:rPr>
                <w:rStyle w:val="61"/>
                <w:rFonts w:hint="default" w:ascii="Times New Roman" w:hAnsi="Times New Roman" w:cs="Times New Roman"/>
                <w:color w:val="auto"/>
                <w:sz w:val="21"/>
                <w:szCs w:val="21"/>
                <w:highlight w:val="none"/>
                <w:lang w:val="en-US" w:eastAsia="zh-CN" w:bidi="ar"/>
              </w:rPr>
              <w:t>金属指标</w:t>
            </w:r>
          </w:p>
          <w:p>
            <w:pPr>
              <w:keepNext w:val="0"/>
              <w:keepLines w:val="0"/>
              <w:widowControl/>
              <w:suppressLineNumbers w:val="0"/>
              <w:spacing w:before="0" w:beforeAutospacing="0" w:after="0" w:afterAutospacing="0" w:line="240" w:lineRule="auto"/>
              <w:ind w:left="0" w:right="0"/>
              <w:jc w:val="center"/>
              <w:textAlignment w:val="bottom"/>
              <w:rPr>
                <w:rFonts w:hint="default" w:ascii="Times New Roman" w:hAnsi="Times New Roman" w:eastAsia="宋体" w:cs="Times New Roman"/>
                <w:i w:val="0"/>
                <w:color w:val="auto"/>
                <w:sz w:val="21"/>
                <w:szCs w:val="21"/>
                <w:highlight w:val="none"/>
                <w:u w:val="none"/>
              </w:rPr>
            </w:pPr>
            <w:r>
              <w:rPr>
                <w:rStyle w:val="61"/>
                <w:rFonts w:hint="default" w:ascii="Times New Roman" w:hAnsi="Times New Roman" w:cs="Times New Roman"/>
                <w:color w:val="auto"/>
                <w:sz w:val="21"/>
                <w:szCs w:val="21"/>
                <w:highlight w:val="none"/>
                <w:lang w:val="en-US" w:eastAsia="zh-CN" w:bidi="ar"/>
              </w:rPr>
              <w:t>电感耦合等离子体发射光谱法</w:t>
            </w:r>
          </w:p>
        </w:tc>
        <w:tc>
          <w:tcPr>
            <w:tcW w:w="233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GB/T 5750.6-2006</w:t>
            </w: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0.0045mg/L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锰</w:t>
            </w:r>
          </w:p>
        </w:tc>
        <w:tc>
          <w:tcPr>
            <w:tcW w:w="3609"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336"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color w:val="auto"/>
                <w:sz w:val="21"/>
                <w:szCs w:val="21"/>
                <w:highlight w:val="none"/>
                <w:u w:val="none"/>
              </w:rPr>
            </w:pP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铜</w:t>
            </w:r>
          </w:p>
        </w:tc>
        <w:tc>
          <w:tcPr>
            <w:tcW w:w="3609"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336"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color w:val="auto"/>
                <w:sz w:val="21"/>
                <w:szCs w:val="21"/>
                <w:highlight w:val="none"/>
                <w:u w:val="none"/>
              </w:rPr>
            </w:pP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0.009mg/L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铝</w:t>
            </w:r>
          </w:p>
        </w:tc>
        <w:tc>
          <w:tcPr>
            <w:tcW w:w="3609"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336"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color w:val="auto"/>
                <w:sz w:val="21"/>
                <w:szCs w:val="21"/>
                <w:highlight w:val="none"/>
                <w:u w:val="none"/>
              </w:rPr>
            </w:pP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0.040mg/L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钠</w:t>
            </w:r>
          </w:p>
        </w:tc>
        <w:tc>
          <w:tcPr>
            <w:tcW w:w="3609"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336"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color w:val="auto"/>
                <w:sz w:val="21"/>
                <w:szCs w:val="21"/>
                <w:highlight w:val="none"/>
                <w:u w:val="none"/>
              </w:rPr>
            </w:pP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锌</w:t>
            </w:r>
          </w:p>
        </w:tc>
        <w:tc>
          <w:tcPr>
            <w:tcW w:w="3609"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336"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color w:val="auto"/>
                <w:sz w:val="21"/>
                <w:szCs w:val="21"/>
                <w:highlight w:val="none"/>
                <w:u w:val="none"/>
              </w:rPr>
            </w:pP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0.001mg/L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铬</w:t>
            </w:r>
          </w:p>
        </w:tc>
        <w:tc>
          <w:tcPr>
            <w:tcW w:w="3609"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336"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color w:val="auto"/>
                <w:sz w:val="21"/>
                <w:szCs w:val="21"/>
                <w:highlight w:val="none"/>
                <w:u w:val="none"/>
              </w:rPr>
            </w:pP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0.019mg/L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汞</w:t>
            </w:r>
          </w:p>
        </w:tc>
        <w:tc>
          <w:tcPr>
            <w:tcW w:w="3609"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bottom"/>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水质 </w:t>
            </w:r>
            <w:r>
              <w:rPr>
                <w:rStyle w:val="61"/>
                <w:rFonts w:hint="default" w:ascii="Times New Roman" w:hAnsi="Times New Roman" w:cs="Times New Roman"/>
                <w:color w:val="auto"/>
                <w:sz w:val="21"/>
                <w:szCs w:val="21"/>
                <w:highlight w:val="none"/>
                <w:lang w:val="en-US" w:eastAsia="zh-CN" w:bidi="ar"/>
              </w:rPr>
              <w:t>汞、砷、硒、铋和锑的测定</w:t>
            </w:r>
            <w:r>
              <w:rPr>
                <w:rFonts w:hint="default" w:ascii="Times New Roman" w:hAnsi="Times New Roman" w:eastAsia="宋体" w:cs="Times New Roman"/>
                <w:i w:val="0"/>
                <w:color w:val="auto"/>
                <w:kern w:val="0"/>
                <w:sz w:val="21"/>
                <w:szCs w:val="21"/>
                <w:highlight w:val="none"/>
                <w:u w:val="none"/>
                <w:lang w:val="en-US" w:eastAsia="zh-CN" w:bidi="ar"/>
              </w:rPr>
              <w:t xml:space="preserve"> </w:t>
            </w:r>
          </w:p>
          <w:p>
            <w:pPr>
              <w:keepNext w:val="0"/>
              <w:keepLines w:val="0"/>
              <w:widowControl/>
              <w:suppressLineNumbers w:val="0"/>
              <w:spacing w:before="0" w:beforeAutospacing="0" w:after="0" w:afterAutospacing="0" w:line="240" w:lineRule="auto"/>
              <w:ind w:left="0" w:right="0"/>
              <w:jc w:val="center"/>
              <w:textAlignment w:val="bottom"/>
              <w:rPr>
                <w:rFonts w:hint="default" w:ascii="Times New Roman" w:hAnsi="Times New Roman" w:eastAsia="宋体" w:cs="Times New Roman"/>
                <w:i w:val="0"/>
                <w:color w:val="auto"/>
                <w:sz w:val="21"/>
                <w:szCs w:val="21"/>
                <w:highlight w:val="none"/>
                <w:u w:val="none"/>
              </w:rPr>
            </w:pPr>
            <w:r>
              <w:rPr>
                <w:rStyle w:val="61"/>
                <w:rFonts w:hint="default" w:ascii="Times New Roman" w:hAnsi="Times New Roman" w:cs="Times New Roman"/>
                <w:color w:val="auto"/>
                <w:sz w:val="21"/>
                <w:szCs w:val="21"/>
                <w:highlight w:val="none"/>
                <w:lang w:val="en-US" w:eastAsia="zh-CN" w:bidi="ar"/>
              </w:rPr>
              <w:t>原子荧光法</w:t>
            </w:r>
          </w:p>
        </w:tc>
        <w:tc>
          <w:tcPr>
            <w:tcW w:w="2336"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HJ 694-2014</w:t>
            </w: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0.00004mg/L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砷</w:t>
            </w:r>
          </w:p>
        </w:tc>
        <w:tc>
          <w:tcPr>
            <w:tcW w:w="3609"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336"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color w:val="auto"/>
                <w:sz w:val="21"/>
                <w:szCs w:val="21"/>
                <w:highlight w:val="none"/>
                <w:u w:val="none"/>
              </w:rPr>
            </w:pP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0.0003mg/L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硒</w:t>
            </w:r>
          </w:p>
        </w:tc>
        <w:tc>
          <w:tcPr>
            <w:tcW w:w="3609"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336"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color w:val="auto"/>
                <w:sz w:val="21"/>
                <w:szCs w:val="21"/>
                <w:highlight w:val="none"/>
                <w:u w:val="none"/>
              </w:rPr>
            </w:pP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0.0004mg/L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铅</w:t>
            </w:r>
          </w:p>
        </w:tc>
        <w:tc>
          <w:tcPr>
            <w:tcW w:w="360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生活饮用水标准检验方法 金属指标</w:t>
            </w:r>
            <w:r>
              <w:rPr>
                <w:rFonts w:hint="default" w:ascii="Times New Roman" w:hAnsi="Times New Roman" w:eastAsia="宋体" w:cs="Times New Roman"/>
                <w:i w:val="0"/>
                <w:color w:val="auto"/>
                <w:kern w:val="0"/>
                <w:sz w:val="21"/>
                <w:szCs w:val="21"/>
                <w:highlight w:val="none"/>
                <w:u w:val="none"/>
                <w:lang w:val="en-US" w:eastAsia="zh-CN" w:bidi="ar"/>
              </w:rPr>
              <w:br w:type="textWrapping"/>
            </w:r>
            <w:r>
              <w:rPr>
                <w:rFonts w:hint="default" w:ascii="Times New Roman" w:hAnsi="Times New Roman" w:eastAsia="宋体" w:cs="Times New Roman"/>
                <w:i w:val="0"/>
                <w:color w:val="auto"/>
                <w:kern w:val="0"/>
                <w:sz w:val="21"/>
                <w:szCs w:val="21"/>
                <w:highlight w:val="none"/>
                <w:u w:val="none"/>
                <w:lang w:val="en-US" w:eastAsia="zh-CN" w:bidi="ar"/>
              </w:rPr>
              <w:t>无火焰原子吸收分光光度法</w:t>
            </w:r>
          </w:p>
        </w:tc>
        <w:tc>
          <w:tcPr>
            <w:tcW w:w="2336" w:type="dxa"/>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GB/T 5750.6-2006</w:t>
            </w: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0.0025mg/L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镉</w:t>
            </w:r>
          </w:p>
        </w:tc>
        <w:tc>
          <w:tcPr>
            <w:tcW w:w="360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生活饮用水标准检验方法 金属指标</w:t>
            </w:r>
            <w:r>
              <w:rPr>
                <w:rFonts w:hint="default" w:ascii="Times New Roman" w:hAnsi="Times New Roman" w:eastAsia="宋体" w:cs="Times New Roman"/>
                <w:i w:val="0"/>
                <w:color w:val="auto"/>
                <w:kern w:val="0"/>
                <w:sz w:val="21"/>
                <w:szCs w:val="21"/>
                <w:highlight w:val="none"/>
                <w:u w:val="none"/>
                <w:lang w:val="en-US" w:eastAsia="zh-CN" w:bidi="ar"/>
              </w:rPr>
              <w:br w:type="textWrapping"/>
            </w:r>
            <w:r>
              <w:rPr>
                <w:rFonts w:hint="default" w:ascii="Times New Roman" w:hAnsi="Times New Roman" w:eastAsia="宋体" w:cs="Times New Roman"/>
                <w:i w:val="0"/>
                <w:color w:val="auto"/>
                <w:kern w:val="0"/>
                <w:sz w:val="21"/>
                <w:szCs w:val="21"/>
                <w:highlight w:val="none"/>
                <w:u w:val="none"/>
                <w:lang w:val="en-US" w:eastAsia="zh-CN" w:bidi="ar"/>
              </w:rPr>
              <w:t>无火焰原子吸收分光光度法</w:t>
            </w:r>
          </w:p>
        </w:tc>
        <w:tc>
          <w:tcPr>
            <w:tcW w:w="233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GB/T 5750.6-2006</w:t>
            </w: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铬（六价）</w:t>
            </w:r>
          </w:p>
        </w:tc>
        <w:tc>
          <w:tcPr>
            <w:tcW w:w="360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生活饮用水标准检验方法 金属指标</w:t>
            </w:r>
            <w:r>
              <w:rPr>
                <w:rFonts w:hint="default" w:ascii="Times New Roman" w:hAnsi="Times New Roman" w:eastAsia="宋体" w:cs="Times New Roman"/>
                <w:i w:val="0"/>
                <w:color w:val="auto"/>
                <w:kern w:val="0"/>
                <w:sz w:val="21"/>
                <w:szCs w:val="21"/>
                <w:highlight w:val="none"/>
                <w:u w:val="none"/>
                <w:lang w:val="en-US" w:eastAsia="zh-CN" w:bidi="ar"/>
              </w:rPr>
              <w:br w:type="textWrapping"/>
            </w:r>
            <w:r>
              <w:rPr>
                <w:rFonts w:hint="default" w:ascii="Times New Roman" w:hAnsi="Times New Roman" w:eastAsia="宋体" w:cs="Times New Roman"/>
                <w:i w:val="0"/>
                <w:color w:val="auto"/>
                <w:kern w:val="0"/>
                <w:sz w:val="21"/>
                <w:szCs w:val="21"/>
                <w:highlight w:val="none"/>
                <w:u w:val="none"/>
                <w:lang w:val="en-US" w:eastAsia="zh-CN" w:bidi="ar"/>
              </w:rPr>
              <w:t>二苯碳酰二肼分光光度法</w:t>
            </w:r>
          </w:p>
        </w:tc>
        <w:tc>
          <w:tcPr>
            <w:tcW w:w="23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GB/T 5750.6-2006</w:t>
            </w: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0.004mg/L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石油类</w:t>
            </w:r>
          </w:p>
        </w:tc>
        <w:tc>
          <w:tcPr>
            <w:tcW w:w="360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水质 石油类的测定 紫外分光光度法</w:t>
            </w:r>
          </w:p>
        </w:tc>
        <w:tc>
          <w:tcPr>
            <w:tcW w:w="23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HJ 970-2018</w:t>
            </w: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0.01mg/L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氯仿</w:t>
            </w:r>
          </w:p>
        </w:tc>
        <w:tc>
          <w:tcPr>
            <w:tcW w:w="3609"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bottom"/>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水质 </w:t>
            </w:r>
            <w:r>
              <w:rPr>
                <w:rStyle w:val="61"/>
                <w:rFonts w:hint="default" w:ascii="Times New Roman" w:hAnsi="Times New Roman" w:eastAsia="宋体" w:cs="Times New Roman"/>
                <w:color w:val="auto"/>
                <w:sz w:val="21"/>
                <w:szCs w:val="21"/>
                <w:highlight w:val="none"/>
                <w:lang w:val="en-US" w:eastAsia="zh-CN" w:bidi="ar"/>
              </w:rPr>
              <w:t>挥发性有机物的测定</w:t>
            </w:r>
          </w:p>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r>
              <w:rPr>
                <w:rStyle w:val="61"/>
                <w:rFonts w:hint="default" w:ascii="Times New Roman" w:hAnsi="Times New Roman" w:eastAsia="宋体" w:cs="Times New Roman"/>
                <w:color w:val="auto"/>
                <w:sz w:val="21"/>
                <w:szCs w:val="21"/>
                <w:highlight w:val="none"/>
                <w:lang w:val="en-US" w:eastAsia="zh-CN" w:bidi="ar"/>
              </w:rPr>
              <w:t>吹扫捕集</w:t>
            </w:r>
            <w:r>
              <w:rPr>
                <w:rFonts w:hint="default" w:ascii="Times New Roman" w:hAnsi="Times New Roman" w:eastAsia="宋体" w:cs="Times New Roman"/>
                <w:i w:val="0"/>
                <w:color w:val="auto"/>
                <w:kern w:val="0"/>
                <w:sz w:val="21"/>
                <w:szCs w:val="21"/>
                <w:highlight w:val="none"/>
                <w:u w:val="none"/>
                <w:lang w:val="en-US" w:eastAsia="zh-CN" w:bidi="ar"/>
              </w:rPr>
              <w:t xml:space="preserve">/ </w:t>
            </w:r>
            <w:r>
              <w:rPr>
                <w:rStyle w:val="61"/>
                <w:rFonts w:hint="default" w:ascii="Times New Roman" w:hAnsi="Times New Roman" w:eastAsia="宋体" w:cs="Times New Roman"/>
                <w:color w:val="auto"/>
                <w:sz w:val="21"/>
                <w:szCs w:val="21"/>
                <w:highlight w:val="none"/>
                <w:lang w:val="en-US" w:eastAsia="zh-CN" w:bidi="ar"/>
              </w:rPr>
              <w:t>气相色谱</w:t>
            </w:r>
            <w:r>
              <w:rPr>
                <w:rFonts w:hint="default" w:ascii="Times New Roman" w:hAnsi="Times New Roman" w:eastAsia="宋体" w:cs="Times New Roman"/>
                <w:i w:val="0"/>
                <w:color w:val="auto"/>
                <w:kern w:val="0"/>
                <w:sz w:val="21"/>
                <w:szCs w:val="21"/>
                <w:highlight w:val="none"/>
                <w:u w:val="none"/>
                <w:lang w:val="en-US" w:eastAsia="zh-CN" w:bidi="ar"/>
              </w:rPr>
              <w:t>-</w:t>
            </w:r>
            <w:r>
              <w:rPr>
                <w:rStyle w:val="61"/>
                <w:rFonts w:hint="default" w:ascii="Times New Roman" w:hAnsi="Times New Roman" w:eastAsia="宋体" w:cs="Times New Roman"/>
                <w:color w:val="auto"/>
                <w:sz w:val="21"/>
                <w:szCs w:val="21"/>
                <w:highlight w:val="none"/>
                <w:lang w:val="en-US" w:eastAsia="zh-CN" w:bidi="ar"/>
              </w:rPr>
              <w:t>质谱法</w:t>
            </w:r>
          </w:p>
        </w:tc>
        <w:tc>
          <w:tcPr>
            <w:tcW w:w="2336" w:type="dxa"/>
            <w:vMerge w:val="restar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HJ 639-2012</w:t>
            </w: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0.0014mg/L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四氯化碳</w:t>
            </w:r>
          </w:p>
        </w:tc>
        <w:tc>
          <w:tcPr>
            <w:tcW w:w="3609"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336"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0.0015mg/L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苯</w:t>
            </w:r>
          </w:p>
        </w:tc>
        <w:tc>
          <w:tcPr>
            <w:tcW w:w="3609"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336"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0.0014mg/L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1038"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40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甲苯</w:t>
            </w:r>
          </w:p>
        </w:tc>
        <w:tc>
          <w:tcPr>
            <w:tcW w:w="3609" w:type="dxa"/>
            <w:vMerge w:val="continue"/>
            <w:tcBorders>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336"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22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0.0014mg/L</w:t>
            </w:r>
          </w:p>
        </w:tc>
      </w:tr>
    </w:tbl>
    <w:p>
      <w:pPr>
        <w:pStyle w:val="4"/>
        <w:tabs>
          <w:tab w:val="left" w:leader="dot" w:pos="0"/>
          <w:tab w:val="clear" w:pos="425"/>
        </w:tabs>
        <w:rPr>
          <w:rFonts w:hint="default" w:ascii="Times New Roman" w:hAnsi="Times New Roman" w:cs="Times New Roman"/>
          <w:color w:val="auto"/>
          <w:highlight w:val="none"/>
        </w:rPr>
      </w:pPr>
      <w:bookmarkStart w:id="52" w:name="_Toc25163"/>
      <w:bookmarkStart w:id="53" w:name="_Toc3773"/>
      <w:r>
        <w:rPr>
          <w:rFonts w:hint="default" w:ascii="Times New Roman" w:hAnsi="Times New Roman" w:cs="Times New Roman"/>
          <w:color w:val="auto"/>
          <w:highlight w:val="none"/>
          <w:lang w:eastAsia="zh-CN"/>
        </w:rPr>
        <w:t>现场</w:t>
      </w:r>
      <w:r>
        <w:rPr>
          <w:rFonts w:hint="default" w:ascii="Times New Roman" w:hAnsi="Times New Roman" w:cs="Times New Roman"/>
          <w:color w:val="auto"/>
          <w:highlight w:val="none"/>
        </w:rPr>
        <w:t>质量控制</w:t>
      </w:r>
      <w:bookmarkEnd w:id="52"/>
      <w:bookmarkEnd w:id="53"/>
    </w:p>
    <w:p>
      <w:pPr>
        <w:pStyle w:val="5"/>
        <w:tabs>
          <w:tab w:val="clear" w:pos="851"/>
        </w:tabs>
        <w:rPr>
          <w:rFonts w:hint="default" w:ascii="Times New Roman" w:hAnsi="Times New Roman" w:cs="Times New Roman"/>
          <w:color w:val="auto"/>
          <w:highlight w:val="none"/>
        </w:rPr>
      </w:pPr>
      <w:r>
        <w:rPr>
          <w:rFonts w:hint="default" w:ascii="Times New Roman" w:hAnsi="Times New Roman" w:cs="Times New Roman"/>
          <w:color w:val="auto"/>
          <w:highlight w:val="none"/>
        </w:rPr>
        <w:t>现场运输空白</w:t>
      </w:r>
    </w:p>
    <w:p>
      <w:pPr>
        <w:spacing w:line="360" w:lineRule="auto"/>
        <w:ind w:left="1" w:firstLine="480" w:firstLineChars="200"/>
        <w:rPr>
          <w:rFonts w:hint="default" w:ascii="Times New Roman" w:hAnsi="Times New Roman" w:cs="Times New Roman"/>
          <w:snapToGrid w:val="0"/>
          <w:color w:val="auto"/>
          <w:kern w:val="0"/>
          <w:sz w:val="24"/>
          <w:highlight w:val="none"/>
        </w:rPr>
      </w:pPr>
      <w:r>
        <w:rPr>
          <w:rFonts w:hint="default" w:ascii="Times New Roman" w:hAnsi="Times New Roman" w:cs="Times New Roman"/>
          <w:snapToGrid w:val="0"/>
          <w:color w:val="auto"/>
          <w:kern w:val="0"/>
          <w:sz w:val="24"/>
          <w:highlight w:val="none"/>
        </w:rPr>
        <w:t>按照《</w:t>
      </w:r>
      <w:r>
        <w:rPr>
          <w:rFonts w:hint="eastAsia" w:cs="Times New Roman"/>
          <w:snapToGrid w:val="0"/>
          <w:color w:val="auto"/>
          <w:kern w:val="0"/>
          <w:sz w:val="24"/>
          <w:highlight w:val="none"/>
          <w:lang w:eastAsia="zh-CN"/>
        </w:rPr>
        <w:t>地块</w:t>
      </w:r>
      <w:r>
        <w:rPr>
          <w:rFonts w:hint="default" w:ascii="Times New Roman" w:hAnsi="Times New Roman" w:cs="Times New Roman"/>
          <w:snapToGrid w:val="0"/>
          <w:color w:val="auto"/>
          <w:kern w:val="0"/>
          <w:sz w:val="24"/>
          <w:highlight w:val="none"/>
        </w:rPr>
        <w:t>土壤和地下水中挥发性有机物采样技术导则》（HJ1019-2019）相关要求，采集了1个运输空白样（TB），样品和运输空白样品的27项挥发性有机物的检测结果均低于检出限（检测数据详见报告编号为</w:t>
      </w:r>
      <w:r>
        <w:rPr>
          <w:rFonts w:hint="default" w:ascii="Times New Roman" w:hAnsi="Times New Roman" w:cs="Times New Roman"/>
          <w:snapToGrid w:val="0"/>
          <w:color w:val="auto"/>
          <w:kern w:val="0"/>
          <w:sz w:val="24"/>
          <w:highlight w:val="none"/>
          <w:lang w:eastAsia="zh-CN"/>
        </w:rPr>
        <w:t>BJ20A0692</w:t>
      </w:r>
      <w:r>
        <w:rPr>
          <w:rFonts w:hint="default" w:ascii="Times New Roman" w:hAnsi="Times New Roman" w:cs="Times New Roman"/>
          <w:snapToGrid w:val="0"/>
          <w:color w:val="auto"/>
          <w:kern w:val="0"/>
          <w:sz w:val="24"/>
          <w:highlight w:val="none"/>
        </w:rPr>
        <w:t>和</w:t>
      </w:r>
      <w:r>
        <w:rPr>
          <w:rFonts w:hint="default" w:ascii="Times New Roman" w:hAnsi="Times New Roman" w:cs="Times New Roman"/>
          <w:snapToGrid w:val="0"/>
          <w:color w:val="auto"/>
          <w:kern w:val="0"/>
          <w:sz w:val="24"/>
          <w:highlight w:val="none"/>
          <w:lang w:eastAsia="zh-CN"/>
        </w:rPr>
        <w:t>BJ20A0770</w:t>
      </w:r>
      <w:r>
        <w:rPr>
          <w:rFonts w:hint="default" w:ascii="Times New Roman" w:hAnsi="Times New Roman" w:cs="Times New Roman"/>
          <w:snapToGrid w:val="0"/>
          <w:color w:val="auto"/>
          <w:kern w:val="0"/>
          <w:sz w:val="24"/>
          <w:highlight w:val="none"/>
        </w:rPr>
        <w:t>检测报告），表明待测样品运输过程中未引入污染。</w:t>
      </w:r>
    </w:p>
    <w:p>
      <w:pPr>
        <w:pStyle w:val="5"/>
        <w:tabs>
          <w:tab w:val="clear" w:pos="851"/>
        </w:tabs>
        <w:spacing w:after="0"/>
        <w:rPr>
          <w:rFonts w:hint="default" w:ascii="Times New Roman" w:hAnsi="Times New Roman" w:eastAsia="宋体" w:cs="Times New Roman"/>
          <w:snapToGrid w:val="0"/>
          <w:color w:val="auto"/>
          <w:kern w:val="0"/>
          <w:sz w:val="24"/>
          <w:highlight w:val="none"/>
          <w:lang w:eastAsia="zh-CN"/>
        </w:rPr>
      </w:pPr>
      <w:r>
        <w:rPr>
          <w:rFonts w:hint="default" w:ascii="Times New Roman" w:hAnsi="Times New Roman" w:cs="Times New Roman"/>
          <w:color w:val="auto"/>
          <w:highlight w:val="none"/>
          <w:lang w:eastAsia="zh-CN"/>
        </w:rPr>
        <w:t>土壤</w:t>
      </w:r>
      <w:r>
        <w:rPr>
          <w:rFonts w:hint="default" w:ascii="Times New Roman" w:hAnsi="Times New Roman" w:cs="Times New Roman"/>
          <w:color w:val="auto"/>
          <w:highlight w:val="none"/>
        </w:rPr>
        <w:t>平行盲样质量控制</w:t>
      </w:r>
    </w:p>
    <w:p>
      <w:pPr>
        <w:spacing w:line="360" w:lineRule="auto"/>
        <w:ind w:left="1" w:firstLine="480" w:firstLineChars="200"/>
        <w:rPr>
          <w:rFonts w:hint="default" w:ascii="Times New Roman" w:hAnsi="Times New Roman" w:cs="Times New Roman"/>
          <w:color w:val="auto"/>
          <w:sz w:val="24"/>
          <w:highlight w:val="none"/>
        </w:rPr>
      </w:pPr>
      <w:r>
        <w:rPr>
          <w:rFonts w:hint="default" w:ascii="Times New Roman" w:hAnsi="Times New Roman" w:cs="Times New Roman"/>
          <w:snapToGrid w:val="0"/>
          <w:color w:val="auto"/>
          <w:kern w:val="0"/>
          <w:sz w:val="24"/>
          <w:highlight w:val="none"/>
        </w:rPr>
        <w:t>样品现场采集过程中，采集了</w:t>
      </w:r>
      <w:r>
        <w:rPr>
          <w:rFonts w:hint="default" w:ascii="Times New Roman" w:hAnsi="Times New Roman" w:cs="Times New Roman"/>
          <w:snapToGrid w:val="0"/>
          <w:color w:val="auto"/>
          <w:kern w:val="0"/>
          <w:sz w:val="24"/>
          <w:highlight w:val="none"/>
          <w:lang w:val="en-US" w:eastAsia="zh-CN"/>
        </w:rPr>
        <w:t>1</w:t>
      </w:r>
      <w:r>
        <w:rPr>
          <w:rFonts w:hint="default" w:ascii="Times New Roman" w:hAnsi="Times New Roman" w:cs="Times New Roman"/>
          <w:snapToGrid w:val="0"/>
          <w:color w:val="auto"/>
          <w:kern w:val="0"/>
          <w:sz w:val="24"/>
          <w:highlight w:val="none"/>
        </w:rPr>
        <w:t>个土壤平行盲样（QC-</w:t>
      </w:r>
      <w:r>
        <w:rPr>
          <w:rFonts w:hint="default" w:ascii="Times New Roman" w:hAnsi="Times New Roman" w:cs="Times New Roman"/>
          <w:snapToGrid w:val="0"/>
          <w:color w:val="auto"/>
          <w:kern w:val="0"/>
          <w:sz w:val="24"/>
          <w:highlight w:val="none"/>
          <w:lang w:val="en-US" w:eastAsia="zh-CN"/>
        </w:rPr>
        <w:t>3</w:t>
      </w:r>
      <w:r>
        <w:rPr>
          <w:rFonts w:hint="default" w:ascii="Times New Roman" w:hAnsi="Times New Roman" w:cs="Times New Roman"/>
          <w:snapToGrid w:val="0"/>
          <w:color w:val="auto"/>
          <w:kern w:val="0"/>
          <w:sz w:val="24"/>
          <w:highlight w:val="none"/>
        </w:rPr>
        <w:t>）送往苏伊士环境检测技术（上海）有限公司北京分公司和</w:t>
      </w:r>
      <w:r>
        <w:rPr>
          <w:rFonts w:hint="default" w:ascii="Times New Roman" w:hAnsi="Times New Roman" w:cs="Times New Roman"/>
          <w:color w:val="auto"/>
          <w:sz w:val="24"/>
          <w:highlight w:val="none"/>
        </w:rPr>
        <w:t>武汉仲联诚鉴检测技术有限公司</w:t>
      </w:r>
      <w:r>
        <w:rPr>
          <w:rFonts w:hint="default" w:ascii="Times New Roman" w:hAnsi="Times New Roman" w:cs="Times New Roman"/>
          <w:snapToGrid w:val="0"/>
          <w:color w:val="auto"/>
          <w:kern w:val="0"/>
          <w:sz w:val="24"/>
          <w:highlight w:val="none"/>
        </w:rPr>
        <w:t>进行检测。</w:t>
      </w:r>
      <w:r>
        <w:rPr>
          <w:rFonts w:hint="default" w:ascii="Times New Roman" w:hAnsi="Times New Roman" w:cs="Times New Roman"/>
          <w:color w:val="auto"/>
          <w:sz w:val="24"/>
          <w:highlight w:val="none"/>
        </w:rPr>
        <w:t>本次土壤平行盲样测试项目中重金属</w:t>
      </w:r>
      <w:r>
        <w:rPr>
          <w:rFonts w:hint="default" w:ascii="Times New Roman" w:hAnsi="Times New Roman" w:cs="Times New Roman"/>
          <w:color w:val="auto"/>
          <w:sz w:val="24"/>
          <w:highlight w:val="none"/>
          <w:lang w:eastAsia="zh-CN"/>
        </w:rPr>
        <w:t>镉、铬（六价）、挥发性</w:t>
      </w:r>
      <w:r>
        <w:rPr>
          <w:rFonts w:hint="default" w:ascii="Times New Roman" w:hAnsi="Times New Roman" w:cs="Times New Roman"/>
          <w:color w:val="auto"/>
          <w:sz w:val="24"/>
          <w:highlight w:val="none"/>
        </w:rPr>
        <w:t>有机物</w:t>
      </w:r>
      <w:r>
        <w:rPr>
          <w:rFonts w:hint="default" w:ascii="Times New Roman" w:hAnsi="Times New Roman" w:cs="Times New Roman"/>
          <w:color w:val="auto"/>
          <w:sz w:val="24"/>
          <w:highlight w:val="none"/>
          <w:lang w:eastAsia="zh-CN"/>
        </w:rPr>
        <w:t>、半挥发性有机物、石油烃（</w:t>
      </w:r>
      <w:r>
        <w:rPr>
          <w:rFonts w:hint="default" w:ascii="Times New Roman" w:hAnsi="Times New Roman" w:cs="Times New Roman"/>
          <w:color w:val="auto"/>
          <w:sz w:val="24"/>
          <w:highlight w:val="none"/>
          <w:lang w:val="en-US" w:eastAsia="zh-CN"/>
        </w:rPr>
        <w:t>C</w:t>
      </w:r>
      <w:r>
        <w:rPr>
          <w:rFonts w:hint="default" w:ascii="Times New Roman" w:hAnsi="Times New Roman" w:cs="Times New Roman"/>
          <w:color w:val="auto"/>
          <w:sz w:val="24"/>
          <w:highlight w:val="none"/>
          <w:vertAlign w:val="subscript"/>
          <w:lang w:val="en-US" w:eastAsia="zh-CN"/>
        </w:rPr>
        <w:t>10</w:t>
      </w:r>
      <w:r>
        <w:rPr>
          <w:rFonts w:hint="default" w:ascii="Times New Roman" w:hAnsi="Times New Roman" w:cs="Times New Roman"/>
          <w:color w:val="auto"/>
          <w:sz w:val="24"/>
          <w:highlight w:val="none"/>
          <w:lang w:val="en-US" w:eastAsia="zh-CN"/>
        </w:rPr>
        <w:t>-C</w:t>
      </w:r>
      <w:r>
        <w:rPr>
          <w:rFonts w:hint="default" w:ascii="Times New Roman" w:hAnsi="Times New Roman" w:cs="Times New Roman"/>
          <w:color w:val="auto"/>
          <w:sz w:val="24"/>
          <w:highlight w:val="none"/>
          <w:vertAlign w:val="subscript"/>
          <w:lang w:val="en-US" w:eastAsia="zh-CN"/>
        </w:rPr>
        <w:t>40</w:t>
      </w:r>
      <w:r>
        <w:rPr>
          <w:rFonts w:hint="default" w:ascii="Times New Roman" w:hAnsi="Times New Roman" w:cs="Times New Roman"/>
          <w:color w:val="auto"/>
          <w:sz w:val="24"/>
          <w:highlight w:val="none"/>
          <w:lang w:eastAsia="zh-CN"/>
        </w:rPr>
        <w:t>）污染物</w:t>
      </w:r>
      <w:r>
        <w:rPr>
          <w:rFonts w:hint="default" w:ascii="Times New Roman" w:hAnsi="Times New Roman" w:cs="Times New Roman"/>
          <w:color w:val="auto"/>
          <w:sz w:val="24"/>
          <w:highlight w:val="none"/>
        </w:rPr>
        <w:t>指标均未检出，因此不进行相对偏差的分析</w:t>
      </w:r>
      <w:r>
        <w:rPr>
          <w:rFonts w:hint="default" w:ascii="Times New Roman" w:hAnsi="Times New Roman" w:cs="Times New Roman"/>
          <w:color w:val="auto"/>
          <w:sz w:val="24"/>
          <w:highlight w:val="none"/>
          <w:lang w:eastAsia="zh-CN"/>
        </w:rPr>
        <w:t>。可</w:t>
      </w:r>
      <w:r>
        <w:rPr>
          <w:rFonts w:hint="default" w:ascii="Times New Roman" w:hAnsi="Times New Roman" w:cs="Times New Roman"/>
          <w:color w:val="auto"/>
          <w:sz w:val="24"/>
          <w:highlight w:val="none"/>
        </w:rPr>
        <w:t>检出</w:t>
      </w:r>
      <w:r>
        <w:rPr>
          <w:rFonts w:hint="default" w:ascii="Times New Roman" w:hAnsi="Times New Roman" w:cs="Times New Roman"/>
          <w:color w:val="auto"/>
          <w:sz w:val="24"/>
          <w:highlight w:val="none"/>
          <w:lang w:eastAsia="zh-CN"/>
        </w:rPr>
        <w:t>指标的</w:t>
      </w:r>
      <w:r>
        <w:rPr>
          <w:rFonts w:hint="default" w:ascii="Times New Roman" w:hAnsi="Times New Roman" w:cs="Times New Roman"/>
          <w:color w:val="auto"/>
          <w:sz w:val="24"/>
          <w:highlight w:val="none"/>
        </w:rPr>
        <w:t>相对偏差在0%~</w:t>
      </w:r>
      <w:r>
        <w:rPr>
          <w:rFonts w:hint="default" w:ascii="Times New Roman" w:hAnsi="Times New Roman" w:cs="Times New Roman"/>
          <w:color w:val="auto"/>
          <w:sz w:val="24"/>
          <w:highlight w:val="none"/>
          <w:lang w:val="en-US" w:eastAsia="zh-CN"/>
        </w:rPr>
        <w:t>15.29</w:t>
      </w:r>
      <w:r>
        <w:rPr>
          <w:rFonts w:hint="default" w:ascii="Times New Roman" w:hAnsi="Times New Roman" w:cs="Times New Roman"/>
          <w:color w:val="auto"/>
          <w:sz w:val="24"/>
          <w:highlight w:val="none"/>
        </w:rPr>
        <w:t>%，在允许范围内，具体质控结果见表</w:t>
      </w:r>
      <w:r>
        <w:rPr>
          <w:rFonts w:hint="default" w:ascii="Times New Roman" w:hAnsi="Times New Roman" w:cs="Times New Roman"/>
          <w:color w:val="auto"/>
          <w:sz w:val="24"/>
          <w:highlight w:val="none"/>
          <w:lang w:eastAsia="zh-CN"/>
        </w:rPr>
        <w:t>4-5</w:t>
      </w:r>
      <w:r>
        <w:rPr>
          <w:rFonts w:hint="default" w:ascii="Times New Roman" w:hAnsi="Times New Roman" w:cs="Times New Roman"/>
          <w:color w:val="auto"/>
          <w:sz w:val="24"/>
          <w:highlight w:val="none"/>
        </w:rPr>
        <w:t>-1。</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b/>
          <w:bCs/>
          <w:color w:val="auto"/>
          <w:sz w:val="24"/>
          <w:highlight w:val="none"/>
          <w:lang w:eastAsia="zh-CN"/>
        </w:rPr>
      </w:pPr>
      <w:r>
        <w:rPr>
          <w:rFonts w:hint="default" w:ascii="Times New Roman" w:hAnsi="Times New Roman" w:eastAsia="黑体" w:cs="Times New Roman"/>
          <w:b/>
          <w:bCs/>
          <w:color w:val="auto"/>
          <w:sz w:val="24"/>
          <w:highlight w:val="none"/>
        </w:rPr>
        <w:t>表</w:t>
      </w:r>
      <w:r>
        <w:rPr>
          <w:rFonts w:hint="default" w:ascii="Times New Roman" w:hAnsi="Times New Roman" w:eastAsia="黑体" w:cs="Times New Roman"/>
          <w:b/>
          <w:bCs/>
          <w:color w:val="auto"/>
          <w:sz w:val="24"/>
          <w:highlight w:val="none"/>
          <w:lang w:eastAsia="zh-CN"/>
        </w:rPr>
        <w:t>4-5</w:t>
      </w:r>
      <w:r>
        <w:rPr>
          <w:rFonts w:hint="default" w:ascii="Times New Roman" w:hAnsi="Times New Roman" w:eastAsia="黑体" w:cs="Times New Roman"/>
          <w:b/>
          <w:bCs/>
          <w:color w:val="auto"/>
          <w:sz w:val="24"/>
          <w:highlight w:val="none"/>
        </w:rPr>
        <w:t>-1 土壤平行盲样质控结果分析</w:t>
      </w:r>
      <w:r>
        <w:rPr>
          <w:rFonts w:hint="default" w:ascii="Times New Roman" w:hAnsi="Times New Roman" w:eastAsia="黑体" w:cs="Times New Roman"/>
          <w:b/>
          <w:bCs/>
          <w:color w:val="auto"/>
          <w:sz w:val="24"/>
          <w:highlight w:val="none"/>
          <w:lang w:eastAsia="zh-CN"/>
        </w:rPr>
        <w:t>（</w:t>
      </w:r>
      <w:r>
        <w:rPr>
          <w:rFonts w:hint="default" w:ascii="Times New Roman" w:hAnsi="Times New Roman" w:eastAsia="黑体" w:cs="Times New Roman"/>
          <w:b/>
          <w:bCs/>
          <w:color w:val="auto"/>
          <w:sz w:val="24"/>
          <w:highlight w:val="none"/>
          <w:lang w:val="en-US" w:eastAsia="zh-CN"/>
        </w:rPr>
        <w:t>QC-</w:t>
      </w:r>
      <w:r>
        <w:rPr>
          <w:rFonts w:hint="eastAsia" w:eastAsia="黑体" w:cs="Times New Roman"/>
          <w:b/>
          <w:bCs/>
          <w:color w:val="auto"/>
          <w:sz w:val="24"/>
          <w:highlight w:val="none"/>
          <w:lang w:val="en-US" w:eastAsia="zh-CN"/>
        </w:rPr>
        <w:t>3</w:t>
      </w:r>
      <w:r>
        <w:rPr>
          <w:rFonts w:hint="default" w:ascii="Times New Roman" w:hAnsi="Times New Roman" w:eastAsia="黑体" w:cs="Times New Roman"/>
          <w:b/>
          <w:bCs/>
          <w:color w:val="auto"/>
          <w:sz w:val="24"/>
          <w:highlight w:val="none"/>
          <w:lang w:eastAsia="zh-CN"/>
        </w:rPr>
        <w:t>）</w:t>
      </w:r>
    </w:p>
    <w:tbl>
      <w:tblPr>
        <w:tblStyle w:val="21"/>
        <w:tblW w:w="961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080"/>
        <w:gridCol w:w="1845"/>
        <w:gridCol w:w="1355"/>
        <w:gridCol w:w="1355"/>
        <w:gridCol w:w="1817"/>
        <w:gridCol w:w="1080"/>
        <w:gridCol w:w="10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27" w:hRule="atLeast"/>
          <w:tblHeader/>
          <w:jc w:val="center"/>
        </w:trPr>
        <w:tc>
          <w:tcPr>
            <w:tcW w:w="1080" w:type="dxa"/>
            <w:vMerge w:val="restart"/>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样品类型</w:t>
            </w:r>
          </w:p>
        </w:tc>
        <w:tc>
          <w:tcPr>
            <w:tcW w:w="1845" w:type="dxa"/>
            <w:vMerge w:val="restart"/>
            <w:tcBorders>
              <w:bottom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监测项目</w:t>
            </w:r>
          </w:p>
        </w:tc>
        <w:tc>
          <w:tcPr>
            <w:tcW w:w="2710" w:type="dxa"/>
            <w:gridSpan w:val="2"/>
            <w:tcBorders>
              <w:bottom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测试结果</w:t>
            </w:r>
          </w:p>
        </w:tc>
        <w:tc>
          <w:tcPr>
            <w:tcW w:w="1817" w:type="dxa"/>
            <w:vMerge w:val="restart"/>
            <w:tcBorders>
              <w:bottom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相对偏差</w:t>
            </w:r>
          </w:p>
        </w:tc>
        <w:tc>
          <w:tcPr>
            <w:tcW w:w="1080" w:type="dxa"/>
            <w:vMerge w:val="restart"/>
            <w:tcBorders>
              <w:bottom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质控要求</w:t>
            </w:r>
            <w:r>
              <w:rPr>
                <w:rFonts w:hint="default" w:ascii="Times New Roman" w:hAnsi="Times New Roman" w:cs="Times New Roman"/>
                <w:b/>
                <w:bCs/>
                <w:color w:val="auto"/>
                <w:sz w:val="21"/>
                <w:szCs w:val="21"/>
                <w:highlight w:val="none"/>
                <w:vertAlign w:val="superscript"/>
              </w:rPr>
              <w:t>①</w:t>
            </w:r>
          </w:p>
        </w:tc>
        <w:tc>
          <w:tcPr>
            <w:tcW w:w="1080" w:type="dxa"/>
            <w:vMerge w:val="restart"/>
            <w:tcBorders>
              <w:bottom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结果判定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1080" w:type="dxa"/>
            <w:vMerge w:val="continue"/>
            <w:tcBorders>
              <w:bottom w:val="single" w:color="auto" w:sz="12"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vMerge w:val="continue"/>
            <w:tcBorders>
              <w:top w:val="single" w:color="auto" w:sz="4" w:space="0"/>
              <w:bottom w:val="single" w:color="auto" w:sz="12" w:space="0"/>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355" w:type="dxa"/>
            <w:tcBorders>
              <w:top w:val="single" w:color="auto" w:sz="4" w:space="0"/>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QC-</w:t>
            </w:r>
            <w:r>
              <w:rPr>
                <w:rFonts w:hint="default" w:ascii="Times New Roman" w:hAnsi="Times New Roman" w:cs="Times New Roman"/>
                <w:i w:val="0"/>
                <w:color w:val="auto"/>
                <w:kern w:val="0"/>
                <w:sz w:val="21"/>
                <w:szCs w:val="21"/>
                <w:highlight w:val="none"/>
                <w:u w:val="none"/>
                <w:lang w:val="en-US" w:eastAsia="zh-CN" w:bidi="ar"/>
              </w:rPr>
              <w:t>3</w:t>
            </w:r>
          </w:p>
        </w:tc>
        <w:tc>
          <w:tcPr>
            <w:tcW w:w="1355" w:type="dxa"/>
            <w:tcBorders>
              <w:top w:val="single" w:color="auto" w:sz="4" w:space="0"/>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cs="Times New Roman"/>
                <w:i w:val="0"/>
                <w:color w:val="auto"/>
                <w:kern w:val="0"/>
                <w:sz w:val="21"/>
                <w:szCs w:val="21"/>
                <w:highlight w:val="none"/>
                <w:u w:val="none"/>
                <w:lang w:val="en-US" w:eastAsia="zh-CN" w:bidi="ar"/>
              </w:rPr>
              <w:t>SJG</w:t>
            </w:r>
            <w:r>
              <w:rPr>
                <w:rFonts w:hint="default" w:ascii="Times New Roman" w:hAnsi="Times New Roman" w:eastAsia="宋体" w:cs="Times New Roman"/>
                <w:i w:val="0"/>
                <w:color w:val="auto"/>
                <w:kern w:val="0"/>
                <w:sz w:val="21"/>
                <w:szCs w:val="21"/>
                <w:highlight w:val="none"/>
                <w:u w:val="none"/>
                <w:lang w:val="en-US" w:eastAsia="zh-CN" w:bidi="ar"/>
              </w:rPr>
              <w:t>-1-</w:t>
            </w:r>
            <w:r>
              <w:rPr>
                <w:rFonts w:hint="default" w:ascii="Times New Roman" w:hAnsi="Times New Roman" w:cs="Times New Roman"/>
                <w:i w:val="0"/>
                <w:color w:val="auto"/>
                <w:kern w:val="0"/>
                <w:sz w:val="21"/>
                <w:szCs w:val="21"/>
                <w:highlight w:val="none"/>
                <w:u w:val="none"/>
                <w:lang w:val="en-US" w:eastAsia="zh-CN" w:bidi="ar"/>
              </w:rPr>
              <w:t>75</w:t>
            </w:r>
          </w:p>
        </w:tc>
        <w:tc>
          <w:tcPr>
            <w:tcW w:w="1817" w:type="dxa"/>
            <w:vMerge w:val="continue"/>
            <w:tcBorders>
              <w:top w:val="single" w:color="auto" w:sz="4" w:space="0"/>
              <w:bottom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080" w:type="dxa"/>
            <w:vMerge w:val="continue"/>
            <w:tcBorders>
              <w:top w:val="single" w:color="auto" w:sz="4" w:space="0"/>
              <w:bottom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080" w:type="dxa"/>
            <w:vMerge w:val="continue"/>
            <w:tcBorders>
              <w:top w:val="single" w:color="auto" w:sz="4" w:space="0"/>
              <w:bottom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1080" w:type="dxa"/>
            <w:vMerge w:val="restar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i w:val="0"/>
                <w:color w:val="auto"/>
                <w:sz w:val="21"/>
                <w:szCs w:val="21"/>
                <w:highlight w:val="none"/>
                <w:u w:val="none"/>
                <w:lang w:val="en-US" w:eastAsia="zh-CN"/>
              </w:rPr>
            </w:pPr>
            <w:r>
              <w:rPr>
                <w:rFonts w:hint="eastAsia" w:cs="Times New Roman"/>
                <w:i w:val="0"/>
                <w:color w:val="auto"/>
                <w:sz w:val="21"/>
                <w:szCs w:val="21"/>
                <w:highlight w:val="none"/>
                <w:u w:val="none"/>
                <w:lang w:val="en-US" w:eastAsia="zh-CN"/>
              </w:rPr>
              <w:t>土壤</w:t>
            </w: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总氟化物</w:t>
            </w:r>
          </w:p>
        </w:tc>
        <w:tc>
          <w:tcPr>
            <w:tcW w:w="13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604</w:t>
            </w:r>
          </w:p>
        </w:tc>
        <w:tc>
          <w:tcPr>
            <w:tcW w:w="13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599</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0.42%</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铅</w:t>
            </w:r>
          </w:p>
        </w:tc>
        <w:tc>
          <w:tcPr>
            <w:tcW w:w="13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18.8</w:t>
            </w:r>
          </w:p>
        </w:tc>
        <w:tc>
          <w:tcPr>
            <w:tcW w:w="13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18.8</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汞</w:t>
            </w:r>
          </w:p>
        </w:tc>
        <w:tc>
          <w:tcPr>
            <w:tcW w:w="13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0.07</w:t>
            </w:r>
          </w:p>
        </w:tc>
        <w:tc>
          <w:tcPr>
            <w:tcW w:w="13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0.07</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≤35%</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钴</w:t>
            </w:r>
          </w:p>
        </w:tc>
        <w:tc>
          <w:tcPr>
            <w:tcW w:w="13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7.74</w:t>
            </w:r>
          </w:p>
        </w:tc>
        <w:tc>
          <w:tcPr>
            <w:tcW w:w="13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7.82</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0.51%</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铜</w:t>
            </w:r>
          </w:p>
        </w:tc>
        <w:tc>
          <w:tcPr>
            <w:tcW w:w="13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24</w:t>
            </w:r>
          </w:p>
        </w:tc>
        <w:tc>
          <w:tcPr>
            <w:tcW w:w="13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23</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2.13%</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镍</w:t>
            </w:r>
          </w:p>
        </w:tc>
        <w:tc>
          <w:tcPr>
            <w:tcW w:w="13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36</w:t>
            </w:r>
          </w:p>
        </w:tc>
        <w:tc>
          <w:tcPr>
            <w:tcW w:w="13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49</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15.29%</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铬</w:t>
            </w:r>
          </w:p>
        </w:tc>
        <w:tc>
          <w:tcPr>
            <w:tcW w:w="13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100</w:t>
            </w:r>
          </w:p>
        </w:tc>
        <w:tc>
          <w:tcPr>
            <w:tcW w:w="13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100</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锌</w:t>
            </w:r>
          </w:p>
        </w:tc>
        <w:tc>
          <w:tcPr>
            <w:tcW w:w="13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64</w:t>
            </w:r>
          </w:p>
        </w:tc>
        <w:tc>
          <w:tcPr>
            <w:tcW w:w="13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62</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1.59%</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砷</w:t>
            </w:r>
          </w:p>
        </w:tc>
        <w:tc>
          <w:tcPr>
            <w:tcW w:w="13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9.4</w:t>
            </w:r>
          </w:p>
        </w:tc>
        <w:tc>
          <w:tcPr>
            <w:tcW w:w="13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9.4</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钼</w:t>
            </w:r>
          </w:p>
        </w:tc>
        <w:tc>
          <w:tcPr>
            <w:tcW w:w="13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0.4</w:t>
            </w:r>
          </w:p>
        </w:tc>
        <w:tc>
          <w:tcPr>
            <w:tcW w:w="13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0.3</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14.29%</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184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锑</w:t>
            </w:r>
          </w:p>
        </w:tc>
        <w:tc>
          <w:tcPr>
            <w:tcW w:w="13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0.6</w:t>
            </w:r>
          </w:p>
        </w:tc>
        <w:tc>
          <w:tcPr>
            <w:tcW w:w="13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0.6</w:t>
            </w:r>
          </w:p>
        </w:tc>
        <w:tc>
          <w:tcPr>
            <w:tcW w:w="18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bl>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color w:val="auto"/>
          <w:sz w:val="18"/>
          <w:szCs w:val="18"/>
          <w:highlight w:val="none"/>
          <w:lang w:eastAsia="zh-CN"/>
        </w:rPr>
      </w:pPr>
      <w:r>
        <w:rPr>
          <w:rFonts w:hint="default" w:ascii="Times New Roman" w:hAnsi="Times New Roman" w:cs="Times New Roman"/>
          <w:b/>
          <w:color w:val="auto"/>
          <w:sz w:val="18"/>
          <w:szCs w:val="18"/>
          <w:highlight w:val="none"/>
        </w:rPr>
        <w:t>注：①其中</w:t>
      </w:r>
      <w:r>
        <w:rPr>
          <w:rFonts w:hint="default" w:ascii="Times New Roman" w:hAnsi="Times New Roman" w:cs="Times New Roman"/>
          <w:b/>
          <w:color w:val="auto"/>
          <w:sz w:val="18"/>
          <w:szCs w:val="18"/>
          <w:highlight w:val="none"/>
          <w:lang w:eastAsia="zh-CN"/>
        </w:rPr>
        <w:t>：</w:t>
      </w:r>
      <w:r>
        <w:rPr>
          <w:rFonts w:hint="default" w:ascii="Times New Roman" w:hAnsi="Times New Roman" w:cs="Times New Roman"/>
          <w:b/>
          <w:color w:val="auto"/>
          <w:sz w:val="18"/>
          <w:szCs w:val="18"/>
          <w:highlight w:val="none"/>
        </w:rPr>
        <w:t>“铜</w:t>
      </w:r>
      <w:r>
        <w:rPr>
          <w:rFonts w:hint="default" w:ascii="Times New Roman" w:hAnsi="Times New Roman" w:cs="Times New Roman"/>
          <w:b/>
          <w:color w:val="auto"/>
          <w:sz w:val="18"/>
          <w:szCs w:val="18"/>
          <w:highlight w:val="none"/>
          <w:lang w:eastAsia="zh-CN"/>
        </w:rPr>
        <w:t>、铬</w:t>
      </w:r>
      <w:r>
        <w:rPr>
          <w:rFonts w:hint="default" w:ascii="Times New Roman" w:hAnsi="Times New Roman" w:cs="Times New Roman"/>
          <w:b/>
          <w:color w:val="auto"/>
          <w:sz w:val="18"/>
          <w:szCs w:val="18"/>
          <w:highlight w:val="none"/>
        </w:rPr>
        <w:t>、镍</w:t>
      </w:r>
      <w:r>
        <w:rPr>
          <w:rFonts w:hint="default" w:ascii="Times New Roman" w:hAnsi="Times New Roman" w:cs="Times New Roman"/>
          <w:b/>
          <w:color w:val="auto"/>
          <w:sz w:val="18"/>
          <w:szCs w:val="18"/>
          <w:highlight w:val="none"/>
          <w:lang w:eastAsia="zh-CN"/>
        </w:rPr>
        <w:t>、锌</w:t>
      </w:r>
      <w:r>
        <w:rPr>
          <w:rFonts w:hint="default" w:ascii="Times New Roman" w:hAnsi="Times New Roman" w:cs="Times New Roman"/>
          <w:b/>
          <w:color w:val="auto"/>
          <w:sz w:val="18"/>
          <w:szCs w:val="18"/>
          <w:highlight w:val="none"/>
        </w:rPr>
        <w:t>”质控要求按照“HJ 491-2019”确定</w:t>
      </w:r>
      <w:r>
        <w:rPr>
          <w:rFonts w:hint="default" w:ascii="Times New Roman" w:hAnsi="Times New Roman" w:cs="Times New Roman"/>
          <w:b/>
          <w:color w:val="auto"/>
          <w:sz w:val="18"/>
          <w:szCs w:val="18"/>
          <w:highlight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361" w:firstLineChars="200"/>
        <w:textAlignment w:val="auto"/>
        <w:rPr>
          <w:rFonts w:hint="default" w:ascii="Times New Roman" w:hAnsi="Times New Roman" w:cs="Times New Roman"/>
          <w:b/>
          <w:color w:val="auto"/>
          <w:sz w:val="18"/>
          <w:szCs w:val="18"/>
          <w:highlight w:val="none"/>
          <w:lang w:eastAsia="zh-CN"/>
        </w:rPr>
      </w:pPr>
      <w:r>
        <w:rPr>
          <w:rFonts w:hint="default" w:ascii="Times New Roman" w:hAnsi="Times New Roman" w:cs="Times New Roman"/>
          <w:b/>
          <w:color w:val="auto"/>
          <w:sz w:val="18"/>
          <w:szCs w:val="18"/>
          <w:highlight w:val="none"/>
        </w:rPr>
        <w:t>“砷</w:t>
      </w:r>
      <w:r>
        <w:rPr>
          <w:rFonts w:hint="default" w:ascii="Times New Roman" w:hAnsi="Times New Roman" w:cs="Times New Roman"/>
          <w:b/>
          <w:color w:val="auto"/>
          <w:sz w:val="18"/>
          <w:szCs w:val="18"/>
          <w:highlight w:val="none"/>
          <w:lang w:eastAsia="zh-CN"/>
        </w:rPr>
        <w:t>、钴、锑、钼</w:t>
      </w:r>
      <w:r>
        <w:rPr>
          <w:rFonts w:hint="default" w:ascii="Times New Roman" w:hAnsi="Times New Roman" w:cs="Times New Roman"/>
          <w:b/>
          <w:color w:val="auto"/>
          <w:sz w:val="18"/>
          <w:szCs w:val="18"/>
          <w:highlight w:val="none"/>
        </w:rPr>
        <w:t>”质控要求按照“HJ 803-2016”确定</w:t>
      </w:r>
      <w:r>
        <w:rPr>
          <w:rFonts w:hint="default" w:ascii="Times New Roman" w:hAnsi="Times New Roman" w:cs="Times New Roman"/>
          <w:b/>
          <w:color w:val="auto"/>
          <w:sz w:val="18"/>
          <w:szCs w:val="18"/>
          <w:highlight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361" w:firstLineChars="200"/>
        <w:textAlignment w:val="auto"/>
        <w:rPr>
          <w:rFonts w:hint="default" w:ascii="Times New Roman" w:hAnsi="Times New Roman" w:cs="Times New Roman"/>
          <w:b/>
          <w:color w:val="auto"/>
          <w:sz w:val="18"/>
          <w:szCs w:val="18"/>
          <w:highlight w:val="none"/>
          <w:lang w:eastAsia="zh-CN"/>
        </w:rPr>
      </w:pPr>
      <w:r>
        <w:rPr>
          <w:rFonts w:hint="default" w:ascii="Times New Roman" w:hAnsi="Times New Roman" w:cs="Times New Roman"/>
          <w:b/>
          <w:color w:val="auto"/>
          <w:sz w:val="18"/>
          <w:szCs w:val="18"/>
          <w:highlight w:val="none"/>
          <w:lang w:eastAsia="zh-CN"/>
        </w:rPr>
        <w:t>“总氟化物”质控要求按照“</w:t>
      </w:r>
      <w:r>
        <w:rPr>
          <w:rFonts w:hint="default" w:ascii="Times New Roman" w:hAnsi="Times New Roman" w:cs="Times New Roman"/>
          <w:b/>
          <w:color w:val="auto"/>
          <w:sz w:val="18"/>
          <w:szCs w:val="18"/>
          <w:highlight w:val="none"/>
          <w:lang w:val="en-US" w:eastAsia="zh-CN"/>
        </w:rPr>
        <w:t>H873-2017</w:t>
      </w:r>
      <w:r>
        <w:rPr>
          <w:rFonts w:hint="default" w:ascii="Times New Roman" w:hAnsi="Times New Roman" w:cs="Times New Roman"/>
          <w:b/>
          <w:color w:val="auto"/>
          <w:sz w:val="18"/>
          <w:szCs w:val="18"/>
          <w:highlight w:val="none"/>
          <w:lang w:eastAsia="zh-CN"/>
        </w:rPr>
        <w:t>”确定；</w:t>
      </w:r>
    </w:p>
    <w:p>
      <w:pPr>
        <w:keepNext w:val="0"/>
        <w:keepLines w:val="0"/>
        <w:pageBreakBefore w:val="0"/>
        <w:widowControl w:val="0"/>
        <w:kinsoku/>
        <w:wordWrap/>
        <w:overflowPunct/>
        <w:topLinePunct w:val="0"/>
        <w:autoSpaceDE/>
        <w:autoSpaceDN/>
        <w:bidi w:val="0"/>
        <w:adjustRightInd/>
        <w:snapToGrid/>
        <w:spacing w:line="240" w:lineRule="auto"/>
        <w:ind w:firstLine="361" w:firstLineChars="200"/>
        <w:textAlignment w:val="auto"/>
        <w:rPr>
          <w:rFonts w:hint="default" w:ascii="Times New Roman" w:hAnsi="Times New Roman" w:cs="Times New Roman"/>
          <w:b/>
          <w:color w:val="auto"/>
          <w:sz w:val="18"/>
          <w:szCs w:val="18"/>
          <w:highlight w:val="none"/>
          <w:lang w:eastAsia="zh-CN"/>
        </w:rPr>
      </w:pPr>
      <w:r>
        <w:rPr>
          <w:rFonts w:hint="default" w:ascii="Times New Roman" w:hAnsi="Times New Roman" w:cs="Times New Roman"/>
          <w:b/>
          <w:color w:val="auto"/>
          <w:sz w:val="18"/>
          <w:szCs w:val="18"/>
          <w:highlight w:val="none"/>
          <w:lang w:eastAsia="zh-CN"/>
        </w:rPr>
        <w:t>“石油烃（C</w:t>
      </w:r>
      <w:r>
        <w:rPr>
          <w:rFonts w:hint="default" w:ascii="Times New Roman" w:hAnsi="Times New Roman" w:cs="Times New Roman"/>
          <w:b/>
          <w:color w:val="auto"/>
          <w:sz w:val="18"/>
          <w:szCs w:val="18"/>
          <w:highlight w:val="none"/>
          <w:vertAlign w:val="subscript"/>
          <w:lang w:eastAsia="zh-CN"/>
        </w:rPr>
        <w:t>10</w:t>
      </w:r>
      <w:r>
        <w:rPr>
          <w:rFonts w:hint="default" w:ascii="Times New Roman" w:hAnsi="Times New Roman" w:cs="Times New Roman"/>
          <w:b/>
          <w:color w:val="auto"/>
          <w:sz w:val="18"/>
          <w:szCs w:val="18"/>
          <w:highlight w:val="none"/>
          <w:lang w:eastAsia="zh-CN"/>
        </w:rPr>
        <w:t>-C</w:t>
      </w:r>
      <w:r>
        <w:rPr>
          <w:rFonts w:hint="default" w:ascii="Times New Roman" w:hAnsi="Times New Roman" w:cs="Times New Roman"/>
          <w:b/>
          <w:color w:val="auto"/>
          <w:sz w:val="18"/>
          <w:szCs w:val="18"/>
          <w:highlight w:val="none"/>
          <w:vertAlign w:val="subscript"/>
          <w:lang w:eastAsia="zh-CN"/>
        </w:rPr>
        <w:t>40</w:t>
      </w:r>
      <w:r>
        <w:rPr>
          <w:rFonts w:hint="default" w:ascii="Times New Roman" w:hAnsi="Times New Roman" w:cs="Times New Roman"/>
          <w:b/>
          <w:color w:val="auto"/>
          <w:sz w:val="18"/>
          <w:szCs w:val="18"/>
          <w:highlight w:val="none"/>
          <w:lang w:eastAsia="zh-CN"/>
        </w:rPr>
        <w:t>）”质控要求按照“</w:t>
      </w:r>
      <w:r>
        <w:rPr>
          <w:rFonts w:hint="default" w:ascii="Times New Roman" w:hAnsi="Times New Roman" w:cs="Times New Roman"/>
          <w:b/>
          <w:color w:val="auto"/>
          <w:sz w:val="18"/>
          <w:szCs w:val="18"/>
          <w:highlight w:val="none"/>
          <w:lang w:val="en-US" w:eastAsia="zh-CN"/>
        </w:rPr>
        <w:t>H1021-2019</w:t>
      </w:r>
      <w:r>
        <w:rPr>
          <w:rFonts w:hint="default" w:ascii="Times New Roman" w:hAnsi="Times New Roman" w:cs="Times New Roman"/>
          <w:b/>
          <w:color w:val="auto"/>
          <w:sz w:val="18"/>
          <w:szCs w:val="18"/>
          <w:highlight w:val="none"/>
          <w:lang w:eastAsia="zh-CN"/>
        </w:rPr>
        <w:t>”确定；</w:t>
      </w:r>
    </w:p>
    <w:p>
      <w:pPr>
        <w:keepNext w:val="0"/>
        <w:keepLines w:val="0"/>
        <w:pageBreakBefore w:val="0"/>
        <w:widowControl w:val="0"/>
        <w:kinsoku/>
        <w:wordWrap/>
        <w:overflowPunct/>
        <w:topLinePunct w:val="0"/>
        <w:autoSpaceDE/>
        <w:autoSpaceDN/>
        <w:bidi w:val="0"/>
        <w:adjustRightInd/>
        <w:snapToGrid/>
        <w:spacing w:line="240" w:lineRule="auto"/>
        <w:ind w:firstLine="361" w:firstLineChars="200"/>
        <w:textAlignment w:val="auto"/>
        <w:rPr>
          <w:rFonts w:hint="default" w:ascii="Times New Roman" w:hAnsi="Times New Roman" w:eastAsia="宋体" w:cs="Times New Roman"/>
          <w:b/>
          <w:color w:val="auto"/>
          <w:sz w:val="18"/>
          <w:szCs w:val="18"/>
          <w:highlight w:val="none"/>
          <w:lang w:eastAsia="zh-CN"/>
        </w:rPr>
      </w:pPr>
      <w:r>
        <w:rPr>
          <w:rFonts w:hint="default" w:ascii="Times New Roman" w:hAnsi="Times New Roman" w:cs="Times New Roman"/>
          <w:b/>
          <w:color w:val="auto"/>
          <w:sz w:val="18"/>
          <w:szCs w:val="18"/>
          <w:highlight w:val="none"/>
        </w:rPr>
        <w:t>其余标准中未做规定的指标质控要求依据测试结果数据范围按照“HJ/T166-2004”确定</w:t>
      </w:r>
      <w:r>
        <w:rPr>
          <w:rFonts w:hint="default" w:ascii="Times New Roman" w:hAnsi="Times New Roman" w:cs="Times New Roman"/>
          <w:b/>
          <w:color w:val="auto"/>
          <w:sz w:val="18"/>
          <w:szCs w:val="18"/>
          <w:highlight w:val="none"/>
          <w:lang w:eastAsia="zh-CN"/>
        </w:rPr>
        <w:t>。</w:t>
      </w:r>
    </w:p>
    <w:p>
      <w:pPr>
        <w:pStyle w:val="5"/>
        <w:tabs>
          <w:tab w:val="left" w:pos="425"/>
        </w:tabs>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地下水</w:t>
      </w:r>
      <w:r>
        <w:rPr>
          <w:rFonts w:hint="default" w:ascii="Times New Roman" w:hAnsi="Times New Roman" w:cs="Times New Roman"/>
          <w:color w:val="auto"/>
          <w:highlight w:val="none"/>
        </w:rPr>
        <w:t>平行盲样质量控制</w:t>
      </w:r>
    </w:p>
    <w:p>
      <w:pPr>
        <w:spacing w:line="360" w:lineRule="auto"/>
        <w:ind w:left="1" w:firstLine="480" w:firstLineChars="200"/>
        <w:rPr>
          <w:rFonts w:hint="default" w:ascii="Times New Roman" w:hAnsi="Times New Roman" w:cs="Times New Roman"/>
          <w:snapToGrid w:val="0"/>
          <w:color w:val="auto"/>
          <w:kern w:val="0"/>
          <w:sz w:val="24"/>
          <w:highlight w:val="none"/>
          <w:lang w:val="en-US" w:eastAsia="zh-CN"/>
        </w:rPr>
      </w:pPr>
      <w:r>
        <w:rPr>
          <w:rFonts w:hint="default" w:ascii="Times New Roman" w:hAnsi="Times New Roman" w:cs="Times New Roman"/>
          <w:snapToGrid w:val="0"/>
          <w:color w:val="auto"/>
          <w:kern w:val="0"/>
          <w:sz w:val="24"/>
          <w:highlight w:val="none"/>
        </w:rPr>
        <w:t>样品现场采集过程中，</w:t>
      </w:r>
      <w:r>
        <w:rPr>
          <w:rFonts w:hint="default" w:ascii="Times New Roman" w:hAnsi="Times New Roman" w:cs="Times New Roman"/>
          <w:snapToGrid w:val="0"/>
          <w:color w:val="auto"/>
          <w:kern w:val="0"/>
          <w:sz w:val="24"/>
          <w:highlight w:val="none"/>
          <w:lang w:eastAsia="zh-CN"/>
        </w:rPr>
        <w:t>五个工业园区（即华容创业园、</w:t>
      </w:r>
      <w:r>
        <w:rPr>
          <w:rFonts w:hint="default" w:ascii="Times New Roman" w:hAnsi="Times New Roman" w:cs="Times New Roman"/>
          <w:snapToGrid w:val="0"/>
          <w:color w:val="auto"/>
          <w:kern w:val="0"/>
          <w:sz w:val="24"/>
          <w:highlight w:val="none"/>
          <w:lang w:val="en-US" w:eastAsia="zh-CN"/>
        </w:rPr>
        <w:t>三江港经济区</w:t>
      </w:r>
      <w:r>
        <w:rPr>
          <w:rFonts w:hint="default" w:ascii="Times New Roman" w:hAnsi="Times New Roman" w:cs="Times New Roman"/>
          <w:snapToGrid w:val="0"/>
          <w:color w:val="auto"/>
          <w:kern w:val="0"/>
          <w:sz w:val="24"/>
          <w:highlight w:val="none"/>
          <w:lang w:eastAsia="zh-CN"/>
        </w:rPr>
        <w:t>、城东产业园（鄂城新区）、鄂州经济开发区、花湖</w:t>
      </w:r>
      <w:r>
        <w:rPr>
          <w:rFonts w:hint="default" w:ascii="Times New Roman" w:hAnsi="Times New Roman" w:cs="Times New Roman"/>
          <w:snapToGrid w:val="0"/>
          <w:color w:val="auto"/>
          <w:kern w:val="0"/>
          <w:sz w:val="24"/>
          <w:highlight w:val="none"/>
          <w:lang w:val="en-US" w:eastAsia="zh-CN"/>
        </w:rPr>
        <w:t>开发区</w:t>
      </w:r>
      <w:r>
        <w:rPr>
          <w:rFonts w:hint="default" w:ascii="Times New Roman" w:hAnsi="Times New Roman" w:cs="Times New Roman"/>
          <w:snapToGrid w:val="0"/>
          <w:color w:val="auto"/>
          <w:kern w:val="0"/>
          <w:sz w:val="24"/>
          <w:highlight w:val="none"/>
          <w:lang w:eastAsia="zh-CN"/>
        </w:rPr>
        <w:t>）共</w:t>
      </w:r>
      <w:r>
        <w:rPr>
          <w:rFonts w:hint="default" w:ascii="Times New Roman" w:hAnsi="Times New Roman" w:cs="Times New Roman"/>
          <w:snapToGrid w:val="0"/>
          <w:color w:val="auto"/>
          <w:kern w:val="0"/>
          <w:sz w:val="24"/>
          <w:highlight w:val="none"/>
          <w:lang w:val="en-US" w:eastAsia="zh-CN"/>
        </w:rPr>
        <w:t>10个地下水点位均于2020年10月28日同批次采集和送检</w:t>
      </w:r>
      <w:r>
        <w:rPr>
          <w:rFonts w:hint="default" w:ascii="Times New Roman" w:hAnsi="Times New Roman" w:cs="Times New Roman"/>
          <w:snapToGrid w:val="0"/>
          <w:color w:val="auto"/>
          <w:kern w:val="0"/>
          <w:sz w:val="24"/>
          <w:highlight w:val="none"/>
        </w:rPr>
        <w:t>。</w:t>
      </w:r>
      <w:r>
        <w:rPr>
          <w:rFonts w:hint="default" w:ascii="Times New Roman" w:hAnsi="Times New Roman" w:cs="Times New Roman"/>
          <w:snapToGrid w:val="0"/>
          <w:color w:val="auto"/>
          <w:kern w:val="0"/>
          <w:sz w:val="24"/>
          <w:highlight w:val="none"/>
          <w:lang w:eastAsia="zh-CN"/>
        </w:rPr>
        <w:t>根据《地下水环境监测技术</w:t>
      </w:r>
      <w:r>
        <w:rPr>
          <w:rFonts w:hint="default" w:ascii="Times New Roman" w:hAnsi="Times New Roman" w:cs="Times New Roman"/>
          <w:snapToGrid w:val="0"/>
          <w:color w:val="auto"/>
          <w:kern w:val="0"/>
          <w:sz w:val="24"/>
          <w:highlight w:val="none"/>
          <w:lang w:val="en-US" w:eastAsia="zh-CN"/>
        </w:rPr>
        <w:t>规范（HJT 164-2004）》要求，采集了1个地下水平行样。因此，本报告地下水平行样质量控制引用《鄂州市工业园区周边土壤质量调查评估报告（2020年）——鄂州经济开发区》中内容。</w:t>
      </w:r>
    </w:p>
    <w:p>
      <w:pPr>
        <w:spacing w:line="360" w:lineRule="auto"/>
        <w:ind w:left="1"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本次</w:t>
      </w:r>
      <w:r>
        <w:rPr>
          <w:rFonts w:hint="default" w:ascii="Times New Roman" w:hAnsi="Times New Roman" w:cs="Times New Roman"/>
          <w:color w:val="auto"/>
          <w:sz w:val="24"/>
          <w:highlight w:val="none"/>
          <w:lang w:eastAsia="zh-CN"/>
        </w:rPr>
        <w:t>地下水</w:t>
      </w:r>
      <w:r>
        <w:rPr>
          <w:rFonts w:hint="default" w:ascii="Times New Roman" w:hAnsi="Times New Roman" w:cs="Times New Roman"/>
          <w:color w:val="auto"/>
          <w:sz w:val="24"/>
          <w:highlight w:val="none"/>
        </w:rPr>
        <w:t>盲样测试项目中</w:t>
      </w:r>
      <w:r>
        <w:rPr>
          <w:rFonts w:hint="default" w:ascii="Times New Roman" w:hAnsi="Times New Roman" w:cs="Times New Roman"/>
          <w:color w:val="auto"/>
          <w:sz w:val="24"/>
          <w:highlight w:val="none"/>
          <w:lang w:eastAsia="zh-CN"/>
        </w:rPr>
        <w:t>未检出项目包括：铜、铝、锌、铬、汞、砷、硒、铅、镉、铬（六价）、氰化物、挥发酚、硫化物、氯仿、四氯化碳、苯、甲苯，</w:t>
      </w:r>
      <w:r>
        <w:rPr>
          <w:rFonts w:hint="default" w:ascii="Times New Roman" w:hAnsi="Times New Roman" w:cs="Times New Roman"/>
          <w:color w:val="auto"/>
          <w:sz w:val="24"/>
          <w:highlight w:val="none"/>
        </w:rPr>
        <w:t>因此</w:t>
      </w:r>
      <w:r>
        <w:rPr>
          <w:rFonts w:hint="default" w:ascii="Times New Roman" w:hAnsi="Times New Roman" w:cs="Times New Roman"/>
          <w:color w:val="auto"/>
          <w:sz w:val="24"/>
          <w:highlight w:val="none"/>
          <w:lang w:eastAsia="zh-CN"/>
        </w:rPr>
        <w:t>以上指标</w:t>
      </w:r>
      <w:r>
        <w:rPr>
          <w:rFonts w:hint="default" w:ascii="Times New Roman" w:hAnsi="Times New Roman" w:cs="Times New Roman"/>
          <w:color w:val="auto"/>
          <w:sz w:val="24"/>
          <w:highlight w:val="none"/>
        </w:rPr>
        <w:t>不进行相对偏差的分析</w:t>
      </w:r>
      <w:r>
        <w:rPr>
          <w:rFonts w:hint="default" w:ascii="Times New Roman" w:hAnsi="Times New Roman" w:cs="Times New Roman"/>
          <w:color w:val="auto"/>
          <w:sz w:val="24"/>
          <w:highlight w:val="none"/>
          <w:lang w:eastAsia="zh-CN"/>
        </w:rPr>
        <w:t>。可</w:t>
      </w:r>
      <w:r>
        <w:rPr>
          <w:rFonts w:hint="default" w:ascii="Times New Roman" w:hAnsi="Times New Roman" w:cs="Times New Roman"/>
          <w:color w:val="auto"/>
          <w:sz w:val="24"/>
          <w:highlight w:val="none"/>
        </w:rPr>
        <w:t>检出</w:t>
      </w:r>
      <w:r>
        <w:rPr>
          <w:rFonts w:hint="default" w:ascii="Times New Roman" w:hAnsi="Times New Roman" w:cs="Times New Roman"/>
          <w:color w:val="auto"/>
          <w:sz w:val="24"/>
          <w:highlight w:val="none"/>
          <w:lang w:eastAsia="zh-CN"/>
        </w:rPr>
        <w:t>指标的</w:t>
      </w:r>
      <w:r>
        <w:rPr>
          <w:rFonts w:hint="default" w:ascii="Times New Roman" w:hAnsi="Times New Roman" w:cs="Times New Roman"/>
          <w:color w:val="auto"/>
          <w:sz w:val="24"/>
          <w:highlight w:val="none"/>
        </w:rPr>
        <w:t>相对偏差在0%~</w:t>
      </w:r>
      <w:r>
        <w:rPr>
          <w:rFonts w:hint="default" w:ascii="Times New Roman" w:hAnsi="Times New Roman" w:cs="Times New Roman"/>
          <w:color w:val="auto"/>
          <w:sz w:val="24"/>
          <w:highlight w:val="none"/>
          <w:lang w:val="en-US" w:eastAsia="zh-CN"/>
        </w:rPr>
        <w:t>5.88</w:t>
      </w:r>
      <w:r>
        <w:rPr>
          <w:rFonts w:hint="default" w:ascii="Times New Roman" w:hAnsi="Times New Roman" w:cs="Times New Roman"/>
          <w:color w:val="auto"/>
          <w:sz w:val="24"/>
          <w:highlight w:val="none"/>
        </w:rPr>
        <w:t>%，在允许范围内，具体质控结果见表</w:t>
      </w:r>
      <w:r>
        <w:rPr>
          <w:rFonts w:hint="default" w:ascii="Times New Roman" w:hAnsi="Times New Roman" w:cs="Times New Roman"/>
          <w:color w:val="auto"/>
          <w:sz w:val="24"/>
          <w:highlight w:val="none"/>
          <w:lang w:eastAsia="zh-CN"/>
        </w:rPr>
        <w:t>4-5</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w:t>
      </w:r>
    </w:p>
    <w:p>
      <w:pPr>
        <w:keepNext w:val="0"/>
        <w:keepLines w:val="0"/>
        <w:pageBreakBefore w:val="0"/>
        <w:widowControl w:val="0"/>
        <w:kinsoku/>
        <w:wordWrap/>
        <w:overflowPunct/>
        <w:topLinePunct w:val="0"/>
        <w:autoSpaceDE/>
        <w:autoSpaceDN/>
        <w:bidi w:val="0"/>
        <w:adjustRightInd/>
        <w:snapToGrid/>
        <w:spacing w:before="167" w:beforeLines="50" w:line="240" w:lineRule="auto"/>
        <w:jc w:val="center"/>
        <w:textAlignment w:val="auto"/>
        <w:rPr>
          <w:rFonts w:hint="default" w:ascii="Times New Roman" w:hAnsi="Times New Roman" w:cs="Times New Roman"/>
          <w:color w:val="auto"/>
          <w:highlight w:val="none"/>
        </w:rPr>
      </w:pPr>
      <w:r>
        <w:rPr>
          <w:rFonts w:hint="default" w:ascii="Times New Roman" w:hAnsi="Times New Roman" w:eastAsia="黑体" w:cs="Times New Roman"/>
          <w:b/>
          <w:bCs/>
          <w:color w:val="auto"/>
          <w:sz w:val="24"/>
          <w:highlight w:val="none"/>
        </w:rPr>
        <w:t>表</w:t>
      </w:r>
      <w:r>
        <w:rPr>
          <w:rFonts w:hint="default" w:ascii="Times New Roman" w:hAnsi="Times New Roman" w:eastAsia="黑体" w:cs="Times New Roman"/>
          <w:b/>
          <w:bCs/>
          <w:color w:val="auto"/>
          <w:sz w:val="24"/>
          <w:highlight w:val="none"/>
          <w:lang w:eastAsia="zh-CN"/>
        </w:rPr>
        <w:t>4-5</w:t>
      </w:r>
      <w:r>
        <w:rPr>
          <w:rFonts w:hint="default" w:ascii="Times New Roman" w:hAnsi="Times New Roman" w:eastAsia="黑体" w:cs="Times New Roman"/>
          <w:b/>
          <w:bCs/>
          <w:color w:val="auto"/>
          <w:sz w:val="24"/>
          <w:highlight w:val="none"/>
        </w:rPr>
        <w:t>-</w:t>
      </w:r>
      <w:r>
        <w:rPr>
          <w:rFonts w:hint="default" w:ascii="Times New Roman" w:hAnsi="Times New Roman" w:eastAsia="黑体" w:cs="Times New Roman"/>
          <w:b/>
          <w:bCs/>
          <w:color w:val="auto"/>
          <w:sz w:val="24"/>
          <w:highlight w:val="none"/>
          <w:lang w:val="en-US" w:eastAsia="zh-CN"/>
        </w:rPr>
        <w:t>2 地下水</w:t>
      </w:r>
      <w:r>
        <w:rPr>
          <w:rFonts w:hint="default" w:ascii="Times New Roman" w:hAnsi="Times New Roman" w:eastAsia="黑体" w:cs="Times New Roman"/>
          <w:b/>
          <w:bCs/>
          <w:color w:val="auto"/>
          <w:sz w:val="24"/>
          <w:highlight w:val="none"/>
        </w:rPr>
        <w:t>平行盲样质控结果分析</w:t>
      </w:r>
    </w:p>
    <w:tbl>
      <w:tblPr>
        <w:tblStyle w:val="21"/>
        <w:tblW w:w="961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080"/>
        <w:gridCol w:w="2035"/>
        <w:gridCol w:w="1411"/>
        <w:gridCol w:w="1411"/>
        <w:gridCol w:w="1515"/>
        <w:gridCol w:w="1080"/>
        <w:gridCol w:w="10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tblHeader/>
        </w:trPr>
        <w:tc>
          <w:tcPr>
            <w:tcW w:w="1080" w:type="dxa"/>
            <w:vMerge w:val="restar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样品类型</w:t>
            </w:r>
          </w:p>
        </w:tc>
        <w:tc>
          <w:tcPr>
            <w:tcW w:w="2035" w:type="dxa"/>
            <w:vMerge w:val="restar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监测项目</w:t>
            </w:r>
          </w:p>
        </w:tc>
        <w:tc>
          <w:tcPr>
            <w:tcW w:w="2822" w:type="dxa"/>
            <w:gridSpan w:val="2"/>
            <w:tcBorders>
              <w:bottom w:val="single" w:color="auto"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监测结果</w:t>
            </w:r>
          </w:p>
        </w:tc>
        <w:tc>
          <w:tcPr>
            <w:tcW w:w="1515" w:type="dxa"/>
            <w:vMerge w:val="restar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相对偏差</w:t>
            </w:r>
          </w:p>
        </w:tc>
        <w:tc>
          <w:tcPr>
            <w:tcW w:w="1080" w:type="dxa"/>
            <w:vMerge w:val="restar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质控要求</w:t>
            </w:r>
            <w:r>
              <w:rPr>
                <w:rFonts w:hint="default" w:ascii="Times New Roman" w:hAnsi="Times New Roman" w:cs="Times New Roman"/>
                <w:b/>
                <w:i w:val="0"/>
                <w:color w:val="auto"/>
                <w:kern w:val="0"/>
                <w:sz w:val="21"/>
                <w:szCs w:val="21"/>
                <w:highlight w:val="none"/>
                <w:u w:val="none"/>
                <w:vertAlign w:val="superscript"/>
                <w:lang w:val="en-US" w:eastAsia="zh-CN" w:bidi="ar"/>
              </w:rPr>
              <w:t>①</w:t>
            </w:r>
          </w:p>
        </w:tc>
        <w:tc>
          <w:tcPr>
            <w:tcW w:w="1080" w:type="dxa"/>
            <w:vMerge w:val="restar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结果判定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tblHeader/>
        </w:trPr>
        <w:tc>
          <w:tcPr>
            <w:tcW w:w="1080" w:type="dxa"/>
            <w:vMerge w:val="continue"/>
            <w:tcBorders>
              <w:top w:val="single" w:color="auto" w:sz="12" w:space="0"/>
              <w:bottom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i w:val="0"/>
                <w:color w:val="auto"/>
                <w:sz w:val="21"/>
                <w:szCs w:val="21"/>
                <w:highlight w:val="none"/>
                <w:u w:val="none"/>
              </w:rPr>
            </w:pPr>
          </w:p>
        </w:tc>
        <w:tc>
          <w:tcPr>
            <w:tcW w:w="2035" w:type="dxa"/>
            <w:vMerge w:val="continue"/>
            <w:tcBorders>
              <w:top w:val="single" w:color="auto" w:sz="12" w:space="0"/>
              <w:bottom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i w:val="0"/>
                <w:color w:val="auto"/>
                <w:sz w:val="21"/>
                <w:szCs w:val="21"/>
                <w:highlight w:val="none"/>
                <w:u w:val="none"/>
              </w:rPr>
            </w:pPr>
          </w:p>
        </w:tc>
        <w:tc>
          <w:tcPr>
            <w:tcW w:w="1411" w:type="dxa"/>
            <w:tcBorders>
              <w:top w:val="single" w:color="auto" w:sz="4" w:space="0"/>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cs="Times New Roman"/>
                <w:b/>
                <w:i w:val="0"/>
                <w:color w:val="auto"/>
                <w:sz w:val="21"/>
                <w:szCs w:val="21"/>
                <w:highlight w:val="none"/>
                <w:u w:val="none"/>
                <w:lang w:val="en-US" w:eastAsia="zh-CN"/>
              </w:rPr>
              <w:t>EJK-W2</w:t>
            </w:r>
          </w:p>
        </w:tc>
        <w:tc>
          <w:tcPr>
            <w:tcW w:w="1411" w:type="dxa"/>
            <w:tcBorders>
              <w:top w:val="single" w:color="auto" w:sz="4" w:space="0"/>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kern w:val="0"/>
                <w:sz w:val="21"/>
                <w:szCs w:val="21"/>
                <w:highlight w:val="none"/>
                <w:u w:val="none"/>
                <w:lang w:val="en-US" w:eastAsia="zh-CN" w:bidi="ar"/>
              </w:rPr>
            </w:pPr>
            <w:r>
              <w:rPr>
                <w:rFonts w:hint="default" w:ascii="Times New Roman" w:hAnsi="Times New Roman" w:eastAsia="宋体" w:cs="Times New Roman"/>
                <w:b/>
                <w:i w:val="0"/>
                <w:color w:val="auto"/>
                <w:kern w:val="0"/>
                <w:sz w:val="21"/>
                <w:szCs w:val="21"/>
                <w:highlight w:val="none"/>
                <w:u w:val="none"/>
                <w:lang w:val="en-US" w:eastAsia="zh-CN" w:bidi="ar"/>
              </w:rPr>
              <w:t>EJK-W2</w:t>
            </w:r>
            <w:r>
              <w:rPr>
                <w:rFonts w:hint="default" w:ascii="Times New Roman" w:hAnsi="Times New Roman" w:cs="Times New Roman"/>
                <w:b/>
                <w:i w:val="0"/>
                <w:color w:val="auto"/>
                <w:sz w:val="21"/>
                <w:szCs w:val="21"/>
                <w:highlight w:val="none"/>
                <w:u w:val="none"/>
                <w:lang w:val="en-US" w:eastAsia="zh-CN"/>
              </w:rPr>
              <w:t>-px</w:t>
            </w:r>
          </w:p>
        </w:tc>
        <w:tc>
          <w:tcPr>
            <w:tcW w:w="1515" w:type="dxa"/>
            <w:vMerge w:val="continue"/>
            <w:tcBorders>
              <w:top w:val="single" w:color="auto" w:sz="12" w:space="0"/>
              <w:bottom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i w:val="0"/>
                <w:color w:val="auto"/>
                <w:sz w:val="21"/>
                <w:szCs w:val="21"/>
                <w:highlight w:val="none"/>
                <w:u w:val="none"/>
              </w:rPr>
            </w:pPr>
          </w:p>
        </w:tc>
        <w:tc>
          <w:tcPr>
            <w:tcW w:w="1080" w:type="dxa"/>
            <w:vMerge w:val="continue"/>
            <w:tcBorders>
              <w:top w:val="single" w:color="auto" w:sz="12" w:space="0"/>
              <w:bottom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i w:val="0"/>
                <w:color w:val="auto"/>
                <w:sz w:val="21"/>
                <w:szCs w:val="21"/>
                <w:highlight w:val="none"/>
                <w:u w:val="none"/>
              </w:rPr>
            </w:pPr>
          </w:p>
        </w:tc>
        <w:tc>
          <w:tcPr>
            <w:tcW w:w="1080" w:type="dxa"/>
            <w:vMerge w:val="continue"/>
            <w:tcBorders>
              <w:top w:val="single" w:color="auto" w:sz="12" w:space="0"/>
              <w:bottom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tblHeader/>
        </w:trPr>
        <w:tc>
          <w:tcPr>
            <w:tcW w:w="1080" w:type="dxa"/>
            <w:vMerge w:val="restart"/>
            <w:tcBorders>
              <w:top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地下水</w:t>
            </w:r>
          </w:p>
        </w:tc>
        <w:tc>
          <w:tcPr>
            <w:tcW w:w="2035" w:type="dxa"/>
            <w:tcBorders>
              <w:top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总硬度</w:t>
            </w:r>
          </w:p>
        </w:tc>
        <w:tc>
          <w:tcPr>
            <w:tcW w:w="1411" w:type="dxa"/>
            <w:tcBorders>
              <w:top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671</w:t>
            </w:r>
          </w:p>
        </w:tc>
        <w:tc>
          <w:tcPr>
            <w:tcW w:w="1411" w:type="dxa"/>
            <w:tcBorders>
              <w:top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676</w:t>
            </w:r>
          </w:p>
        </w:tc>
        <w:tc>
          <w:tcPr>
            <w:tcW w:w="1515" w:type="dxa"/>
            <w:tcBorders>
              <w:top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0.37%</w:t>
            </w:r>
          </w:p>
        </w:tc>
        <w:tc>
          <w:tcPr>
            <w:tcW w:w="1080" w:type="dxa"/>
            <w:tcBorders>
              <w:top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1080" w:type="dxa"/>
            <w:tcBorders>
              <w:top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tblHead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溶解性总固体</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908</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903</w:t>
            </w:r>
          </w:p>
        </w:tc>
        <w:tc>
          <w:tcPr>
            <w:tcW w:w="15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0.28%</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tblHead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耗氧量</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4.62</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4.7</w:t>
            </w:r>
          </w:p>
        </w:tc>
        <w:tc>
          <w:tcPr>
            <w:tcW w:w="15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0.86%</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tblHead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硫酸盐</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1.22</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1.22</w:t>
            </w:r>
          </w:p>
        </w:tc>
        <w:tc>
          <w:tcPr>
            <w:tcW w:w="15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tblHead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硝酸盐(以氮计)</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0.78</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0.813</w:t>
            </w:r>
          </w:p>
        </w:tc>
        <w:tc>
          <w:tcPr>
            <w:tcW w:w="15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2.07%</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tblHead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氯化物</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13.2</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13.3</w:t>
            </w:r>
          </w:p>
        </w:tc>
        <w:tc>
          <w:tcPr>
            <w:tcW w:w="15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0.38%</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tblHead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总氟化物</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0.166</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0.168</w:t>
            </w:r>
          </w:p>
        </w:tc>
        <w:tc>
          <w:tcPr>
            <w:tcW w:w="15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0.60%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tblHead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阴离子表面活性剂</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0.056</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0.058</w:t>
            </w:r>
          </w:p>
        </w:tc>
        <w:tc>
          <w:tcPr>
            <w:tcW w:w="15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1.75%</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tblHead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氨氮</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0.08</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0.09</w:t>
            </w:r>
          </w:p>
        </w:tc>
        <w:tc>
          <w:tcPr>
            <w:tcW w:w="15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5.88%</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tblHead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亚硝酸盐氮</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0.001</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0.001</w:t>
            </w:r>
          </w:p>
        </w:tc>
        <w:tc>
          <w:tcPr>
            <w:tcW w:w="15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tblHead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铁</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0.061</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0.06</w:t>
            </w:r>
          </w:p>
        </w:tc>
        <w:tc>
          <w:tcPr>
            <w:tcW w:w="15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0.83%</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tblHead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锰</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1.84</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1.85</w:t>
            </w:r>
          </w:p>
        </w:tc>
        <w:tc>
          <w:tcPr>
            <w:tcW w:w="15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0.27%</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tblHead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钠</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49.4</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49.1</w:t>
            </w:r>
          </w:p>
        </w:tc>
        <w:tc>
          <w:tcPr>
            <w:tcW w:w="15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0.30%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tblHead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砷</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0.0232</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0.0242</w:t>
            </w:r>
          </w:p>
        </w:tc>
        <w:tc>
          <w:tcPr>
            <w:tcW w:w="15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2.11%</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tblHeader/>
        </w:trPr>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c>
          <w:tcPr>
            <w:tcW w:w="20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石油类</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0.03</w:t>
            </w:r>
          </w:p>
        </w:tc>
        <w:tc>
          <w:tcPr>
            <w:tcW w:w="141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0.03</w:t>
            </w:r>
          </w:p>
        </w:tc>
        <w:tc>
          <w:tcPr>
            <w:tcW w:w="151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w:t>
            </w:r>
          </w:p>
        </w:tc>
        <w:tc>
          <w:tcPr>
            <w:tcW w:w="10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合格</w:t>
            </w:r>
          </w:p>
        </w:tc>
      </w:tr>
    </w:tbl>
    <w:p>
      <w:pPr>
        <w:rPr>
          <w:rFonts w:hint="default" w:ascii="Times New Roman" w:hAnsi="Times New Roman" w:cs="Times New Roman"/>
          <w:b/>
          <w:bCs/>
          <w:sz w:val="18"/>
          <w:szCs w:val="18"/>
          <w:highlight w:val="none"/>
        </w:rPr>
      </w:pPr>
      <w:r>
        <w:rPr>
          <w:rFonts w:hint="default" w:ascii="Times New Roman" w:hAnsi="Times New Roman" w:cs="Times New Roman"/>
          <w:b/>
          <w:bCs/>
          <w:sz w:val="18"/>
          <w:szCs w:val="18"/>
          <w:highlight w:val="none"/>
        </w:rPr>
        <w:t>注：①地下水监测项目的质控要求来源为实验室监测报告中给出的质控要求，较该指标分析测试方法规定的质控要求更严。</w:t>
      </w:r>
    </w:p>
    <w:p>
      <w:pPr>
        <w:pStyle w:val="5"/>
        <w:tabs>
          <w:tab w:val="left" w:pos="425"/>
        </w:tabs>
        <w:rPr>
          <w:rFonts w:hint="default" w:ascii="Times New Roman" w:hAnsi="Times New Roman" w:cs="Times New Roman"/>
          <w:color w:val="auto"/>
          <w:highlight w:val="none"/>
        </w:rPr>
      </w:pPr>
      <w:r>
        <w:rPr>
          <w:rFonts w:hint="default" w:ascii="Times New Roman" w:hAnsi="Times New Roman" w:cs="Times New Roman"/>
          <w:color w:val="auto"/>
          <w:highlight w:val="none"/>
        </w:rPr>
        <w:t>样品的保存和运输</w:t>
      </w:r>
    </w:p>
    <w:p>
      <w:pPr>
        <w:spacing w:line="360" w:lineRule="auto"/>
        <w:ind w:firstLine="480" w:firstLineChars="200"/>
        <w:rPr>
          <w:rFonts w:hint="default" w:ascii="Times New Roman" w:hAnsi="Times New Roman" w:cs="Times New Roman"/>
          <w:snapToGrid w:val="0"/>
          <w:color w:val="auto"/>
          <w:kern w:val="0"/>
          <w:sz w:val="24"/>
          <w:highlight w:val="none"/>
        </w:rPr>
      </w:pPr>
      <w:r>
        <w:rPr>
          <w:rFonts w:hint="default" w:ascii="Times New Roman" w:hAnsi="Times New Roman" w:cs="Times New Roman"/>
          <w:snapToGrid w:val="0"/>
          <w:color w:val="auto"/>
          <w:kern w:val="0"/>
          <w:sz w:val="24"/>
          <w:highlight w:val="none"/>
        </w:rPr>
        <w:t>在土壤样品标签上注明样品编号、采样日期等信息。在样品制备完成后低温保存，并及时送至实验室分析。</w:t>
      </w:r>
    </w:p>
    <w:p>
      <w:pPr>
        <w:spacing w:line="360" w:lineRule="auto"/>
        <w:ind w:firstLine="480" w:firstLineChars="200"/>
        <w:rPr>
          <w:rFonts w:hint="default" w:ascii="Times New Roman" w:hAnsi="Times New Roman" w:cs="Times New Roman"/>
          <w:snapToGrid w:val="0"/>
          <w:color w:val="auto"/>
          <w:kern w:val="0"/>
          <w:sz w:val="24"/>
          <w:highlight w:val="none"/>
        </w:rPr>
      </w:pPr>
      <w:r>
        <w:rPr>
          <w:rFonts w:hint="default" w:ascii="Times New Roman" w:hAnsi="Times New Roman" w:cs="Times New Roman"/>
          <w:snapToGrid w:val="0"/>
          <w:color w:val="auto"/>
          <w:kern w:val="0"/>
          <w:sz w:val="24"/>
          <w:highlight w:val="none"/>
        </w:rPr>
        <w:t>样品发货前重复核对采样记录表、样品标签等信息。样品送到实验室后，双方人员同时清点核实样品，并在样品流转单上签字确认。</w:t>
      </w:r>
    </w:p>
    <w:p>
      <w:pPr>
        <w:pStyle w:val="4"/>
        <w:keepNext/>
        <w:keepLines/>
        <w:pageBreakBefore w:val="0"/>
        <w:widowControl w:val="0"/>
        <w:kinsoku/>
        <w:wordWrap/>
        <w:overflowPunct/>
        <w:topLinePunct w:val="0"/>
        <w:autoSpaceDE/>
        <w:autoSpaceDN/>
        <w:bidi w:val="0"/>
        <w:adjustRightInd/>
        <w:snapToGrid/>
        <w:ind w:left="567" w:hanging="567"/>
        <w:textAlignment w:val="auto"/>
        <w:rPr>
          <w:rFonts w:hint="default" w:ascii="Times New Roman" w:hAnsi="Times New Roman" w:cs="Times New Roman"/>
          <w:color w:val="auto"/>
          <w:highlight w:val="none"/>
        </w:rPr>
      </w:pPr>
      <w:bookmarkStart w:id="54" w:name="_Toc26843"/>
      <w:bookmarkStart w:id="55" w:name="_Toc26899"/>
      <w:r>
        <w:rPr>
          <w:rFonts w:hint="default" w:ascii="Times New Roman" w:hAnsi="Times New Roman" w:cs="Times New Roman"/>
          <w:color w:val="auto"/>
          <w:highlight w:val="none"/>
        </w:rPr>
        <w:t>实验室质量控制</w:t>
      </w:r>
      <w:bookmarkEnd w:id="54"/>
      <w:bookmarkEnd w:id="55"/>
    </w:p>
    <w:p>
      <w:pPr>
        <w:spacing w:line="360" w:lineRule="auto"/>
        <w:ind w:firstLine="480" w:firstLineChars="200"/>
        <w:rPr>
          <w:rFonts w:hint="default" w:ascii="Times New Roman" w:hAnsi="Times New Roman" w:cs="Times New Roman"/>
          <w:snapToGrid w:val="0"/>
          <w:color w:val="auto"/>
          <w:kern w:val="0"/>
          <w:sz w:val="24"/>
          <w:highlight w:val="none"/>
        </w:rPr>
      </w:pPr>
      <w:r>
        <w:rPr>
          <w:rFonts w:hint="default" w:ascii="Times New Roman" w:hAnsi="Times New Roman" w:cs="Times New Roman"/>
          <w:snapToGrid w:val="0"/>
          <w:color w:val="auto"/>
          <w:kern w:val="0"/>
          <w:sz w:val="24"/>
          <w:highlight w:val="none"/>
        </w:rPr>
        <w:t>项目样品分析选择拥有中国计量认证资质证书（CMA）的第三方实验室进行样品的监测，实验室拥有健全的环境监测设备以及专业的管理人员和技术人员。实验室对送入实验室的样品首先核对采样单、容器编号、包装情况、保存条件及有效期等，符合要求的样品方可开展分析监测，并按照规范采用标准流程分析样品。</w:t>
      </w:r>
    </w:p>
    <w:p>
      <w:pPr>
        <w:spacing w:line="360" w:lineRule="auto"/>
        <w:ind w:left="1"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实验室样品分析质量控制主要为内部质量控制，由实验室自主实施。通过各项质控措施以及相应的质控指标体系来保证实验室分析流程质量可控，检测结果准确可靠。</w:t>
      </w:r>
    </w:p>
    <w:p>
      <w:pPr>
        <w:pStyle w:val="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实验室空白</w:t>
      </w:r>
    </w:p>
    <w:p>
      <w:pPr>
        <w:spacing w:line="360" w:lineRule="auto"/>
        <w:ind w:left="1"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检测实验室对所有检测项目均进行了实验室空白样品检测分析，据质控报告</w:t>
      </w:r>
      <w:r>
        <w:rPr>
          <w:rFonts w:hint="default" w:ascii="Times New Roman" w:hAnsi="Times New Roman" w:cs="Times New Roman"/>
          <w:snapToGrid w:val="0"/>
          <w:color w:val="auto"/>
          <w:kern w:val="0"/>
          <w:sz w:val="24"/>
          <w:highlight w:val="none"/>
          <w:lang w:eastAsia="zh-CN"/>
        </w:rPr>
        <w:t>BJ20A0692</w:t>
      </w:r>
      <w:r>
        <w:rPr>
          <w:rFonts w:hint="default" w:ascii="Times New Roman" w:hAnsi="Times New Roman" w:cs="Times New Roman"/>
          <w:snapToGrid w:val="0"/>
          <w:color w:val="auto"/>
          <w:kern w:val="0"/>
          <w:sz w:val="24"/>
          <w:highlight w:val="none"/>
        </w:rPr>
        <w:t>和</w:t>
      </w:r>
      <w:r>
        <w:rPr>
          <w:rFonts w:hint="default" w:ascii="Times New Roman" w:hAnsi="Times New Roman" w:cs="Times New Roman"/>
          <w:snapToGrid w:val="0"/>
          <w:color w:val="auto"/>
          <w:kern w:val="0"/>
          <w:sz w:val="24"/>
          <w:highlight w:val="none"/>
          <w:lang w:eastAsia="zh-CN"/>
        </w:rPr>
        <w:t>BJ20A0770</w:t>
      </w:r>
      <w:r>
        <w:rPr>
          <w:rFonts w:hint="default" w:ascii="Times New Roman" w:hAnsi="Times New Roman" w:cs="Times New Roman"/>
          <w:color w:val="auto"/>
          <w:sz w:val="24"/>
          <w:highlight w:val="none"/>
        </w:rPr>
        <w:t>检测结果，实验室空白样品检测结果均低于报告检出限，表明分析过程中未引入污染物。</w:t>
      </w:r>
    </w:p>
    <w:p>
      <w:pPr>
        <w:pStyle w:val="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精密度控制</w:t>
      </w:r>
    </w:p>
    <w:p>
      <w:pPr>
        <w:spacing w:line="360" w:lineRule="auto"/>
        <w:ind w:left="1"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本次土壤样品检测实验室内精密度平行双样测试样品中有机污染物指标</w:t>
      </w:r>
      <w:r>
        <w:rPr>
          <w:rFonts w:hint="default" w:ascii="Times New Roman" w:hAnsi="Times New Roman" w:cs="Times New Roman"/>
          <w:color w:val="auto"/>
          <w:sz w:val="24"/>
          <w:highlight w:val="none"/>
          <w:lang w:eastAsia="zh-CN"/>
        </w:rPr>
        <w:t>、石油烃（</w:t>
      </w:r>
      <w:r>
        <w:rPr>
          <w:rFonts w:hint="default" w:ascii="Times New Roman" w:hAnsi="Times New Roman" w:cs="Times New Roman"/>
          <w:color w:val="auto"/>
          <w:sz w:val="24"/>
          <w:highlight w:val="none"/>
          <w:lang w:val="en-US" w:eastAsia="zh-CN"/>
        </w:rPr>
        <w:t>C</w:t>
      </w:r>
      <w:r>
        <w:rPr>
          <w:rFonts w:hint="default" w:ascii="Times New Roman" w:hAnsi="Times New Roman" w:cs="Times New Roman"/>
          <w:color w:val="auto"/>
          <w:sz w:val="24"/>
          <w:highlight w:val="none"/>
          <w:vertAlign w:val="subscript"/>
          <w:lang w:val="en-US" w:eastAsia="zh-CN"/>
        </w:rPr>
        <w:t>10</w:t>
      </w:r>
      <w:r>
        <w:rPr>
          <w:rFonts w:hint="default" w:ascii="Times New Roman" w:hAnsi="Times New Roman" w:cs="Times New Roman"/>
          <w:color w:val="auto"/>
          <w:sz w:val="24"/>
          <w:highlight w:val="none"/>
          <w:lang w:val="en-US" w:eastAsia="zh-CN"/>
        </w:rPr>
        <w:t>-C</w:t>
      </w:r>
      <w:r>
        <w:rPr>
          <w:rFonts w:hint="default" w:ascii="Times New Roman" w:hAnsi="Times New Roman" w:cs="Times New Roman"/>
          <w:color w:val="auto"/>
          <w:sz w:val="24"/>
          <w:highlight w:val="none"/>
          <w:vertAlign w:val="subscript"/>
          <w:lang w:val="en-US" w:eastAsia="zh-CN"/>
        </w:rPr>
        <w:t>40</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，重金属</w:t>
      </w:r>
      <w:r>
        <w:rPr>
          <w:rFonts w:hint="default" w:ascii="Times New Roman" w:hAnsi="Times New Roman" w:cs="Times New Roman"/>
          <w:color w:val="auto"/>
          <w:sz w:val="24"/>
          <w:highlight w:val="none"/>
          <w:lang w:eastAsia="zh-CN"/>
        </w:rPr>
        <w:t>铬（六价）</w:t>
      </w:r>
      <w:r>
        <w:rPr>
          <w:rFonts w:hint="default" w:ascii="Times New Roman" w:hAnsi="Times New Roman" w:cs="Times New Roman"/>
          <w:color w:val="auto"/>
          <w:sz w:val="24"/>
          <w:highlight w:val="none"/>
        </w:rPr>
        <w:t>均未检出，因此不进行偏差分析。根据质控报告</w:t>
      </w:r>
      <w:r>
        <w:rPr>
          <w:rFonts w:hint="default" w:ascii="Times New Roman" w:hAnsi="Times New Roman" w:cs="Times New Roman"/>
          <w:snapToGrid w:val="0"/>
          <w:color w:val="auto"/>
          <w:kern w:val="0"/>
          <w:sz w:val="24"/>
          <w:highlight w:val="none"/>
          <w:lang w:eastAsia="zh-CN"/>
        </w:rPr>
        <w:t>BJ20A0692</w:t>
      </w:r>
      <w:r>
        <w:rPr>
          <w:rFonts w:hint="default" w:ascii="Times New Roman" w:hAnsi="Times New Roman" w:cs="Times New Roman"/>
          <w:snapToGrid w:val="0"/>
          <w:color w:val="auto"/>
          <w:kern w:val="0"/>
          <w:sz w:val="24"/>
          <w:highlight w:val="none"/>
        </w:rPr>
        <w:t>和</w:t>
      </w:r>
      <w:r>
        <w:rPr>
          <w:rFonts w:hint="default" w:ascii="Times New Roman" w:hAnsi="Times New Roman" w:cs="Times New Roman"/>
          <w:snapToGrid w:val="0"/>
          <w:color w:val="auto"/>
          <w:kern w:val="0"/>
          <w:sz w:val="24"/>
          <w:highlight w:val="none"/>
          <w:lang w:eastAsia="zh-CN"/>
        </w:rPr>
        <w:t>BJ20A0770</w:t>
      </w:r>
      <w:r>
        <w:rPr>
          <w:rFonts w:hint="default" w:ascii="Times New Roman" w:hAnsi="Times New Roman" w:cs="Times New Roman"/>
          <w:snapToGrid w:val="0"/>
          <w:color w:val="auto"/>
          <w:kern w:val="0"/>
          <w:sz w:val="24"/>
          <w:highlight w:val="none"/>
        </w:rPr>
        <w:t>，土壤pH值实验室平行样相对偏差为0，</w:t>
      </w:r>
      <w:r>
        <w:rPr>
          <w:rFonts w:hint="default" w:ascii="Times New Roman" w:hAnsi="Times New Roman" w:cs="Times New Roman"/>
          <w:snapToGrid w:val="0"/>
          <w:color w:val="auto"/>
          <w:kern w:val="0"/>
          <w:sz w:val="24"/>
          <w:highlight w:val="none"/>
          <w:lang w:eastAsia="zh-CN"/>
        </w:rPr>
        <w:t>总氟化物实验室平行样相对偏差为</w:t>
      </w:r>
      <w:r>
        <w:rPr>
          <w:rFonts w:hint="default" w:ascii="Times New Roman" w:hAnsi="Times New Roman" w:cs="Times New Roman"/>
          <w:snapToGrid w:val="0"/>
          <w:color w:val="auto"/>
          <w:kern w:val="0"/>
          <w:sz w:val="24"/>
          <w:highlight w:val="none"/>
          <w:lang w:val="en-US" w:eastAsia="zh-CN"/>
        </w:rPr>
        <w:t>0.6%，</w:t>
      </w:r>
      <w:r>
        <w:rPr>
          <w:rFonts w:hint="default" w:ascii="Times New Roman" w:hAnsi="Times New Roman" w:cs="Times New Roman"/>
          <w:color w:val="auto"/>
          <w:sz w:val="24"/>
          <w:highlight w:val="none"/>
        </w:rPr>
        <w:t>土壤重金属室内平行样相对偏差范围为 0.0%~</w:t>
      </w:r>
      <w:r>
        <w:rPr>
          <w:rFonts w:hint="default" w:ascii="Times New Roman" w:hAnsi="Times New Roman" w:cs="Times New Roman"/>
          <w:color w:val="auto"/>
          <w:sz w:val="24"/>
          <w:highlight w:val="none"/>
          <w:lang w:val="en-US" w:eastAsia="zh-CN"/>
        </w:rPr>
        <w:t>5.3</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均</w:t>
      </w:r>
      <w:r>
        <w:rPr>
          <w:rFonts w:hint="default" w:ascii="Times New Roman" w:hAnsi="Times New Roman" w:cs="Times New Roman"/>
          <w:color w:val="auto"/>
          <w:sz w:val="24"/>
          <w:highlight w:val="none"/>
        </w:rPr>
        <w:t>在允许质控要求范围内</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质控测试数据详见质控报告</w:t>
      </w:r>
      <w:r>
        <w:rPr>
          <w:rFonts w:hint="default" w:ascii="Times New Roman" w:hAnsi="Times New Roman" w:cs="Times New Roman"/>
          <w:color w:val="auto"/>
          <w:sz w:val="24"/>
          <w:highlight w:val="none"/>
          <w:lang w:eastAsia="zh-CN"/>
        </w:rPr>
        <w:t>。</w:t>
      </w:r>
    </w:p>
    <w:p>
      <w:pPr>
        <w:pStyle w:val="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准确度控制</w:t>
      </w:r>
    </w:p>
    <w:p>
      <w:pPr>
        <w:numPr>
          <w:ilvl w:val="0"/>
          <w:numId w:val="0"/>
        </w:numPr>
        <w:spacing w:line="360" w:lineRule="auto"/>
        <w:ind w:left="481" w:leftChars="0"/>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lang w:eastAsia="zh-CN"/>
        </w:rPr>
        <w:t>（</w:t>
      </w:r>
      <w:r>
        <w:rPr>
          <w:rFonts w:hint="default" w:ascii="Times New Roman" w:hAnsi="Times New Roman" w:cs="Times New Roman"/>
          <w:b/>
          <w:bCs/>
          <w:color w:val="auto"/>
          <w:kern w:val="0"/>
          <w:sz w:val="24"/>
          <w:highlight w:val="none"/>
          <w:lang w:val="en-US" w:eastAsia="zh-CN"/>
        </w:rPr>
        <w:t>1</w:t>
      </w:r>
      <w:r>
        <w:rPr>
          <w:rFonts w:hint="default" w:ascii="Times New Roman" w:hAnsi="Times New Roman" w:cs="Times New Roman"/>
          <w:b/>
          <w:bCs/>
          <w:color w:val="auto"/>
          <w:kern w:val="0"/>
          <w:sz w:val="24"/>
          <w:highlight w:val="none"/>
          <w:lang w:eastAsia="zh-CN"/>
        </w:rPr>
        <w:t>）</w:t>
      </w:r>
      <w:r>
        <w:rPr>
          <w:rFonts w:hint="default" w:ascii="Times New Roman" w:hAnsi="Times New Roman" w:cs="Times New Roman"/>
          <w:b/>
          <w:bCs/>
          <w:color w:val="auto"/>
          <w:kern w:val="0"/>
          <w:sz w:val="24"/>
          <w:highlight w:val="none"/>
        </w:rPr>
        <w:t>有证标准物质质控</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按照《土壤和沉积物</w:t>
      </w:r>
      <w:r>
        <w:rPr>
          <w:rFonts w:hint="default" w:ascii="Times New Roman" w:hAnsi="Times New Roman" w:cs="Times New Roman"/>
          <w:color w:val="auto"/>
          <w:sz w:val="24"/>
          <w:highlight w:val="none"/>
          <w:lang w:val="en-US" w:eastAsia="zh-CN"/>
        </w:rPr>
        <w:t xml:space="preserve"> </w:t>
      </w:r>
      <w:r>
        <w:rPr>
          <w:rFonts w:hint="default" w:ascii="Times New Roman" w:hAnsi="Times New Roman" w:cs="Times New Roman"/>
          <w:color w:val="auto"/>
          <w:sz w:val="24"/>
          <w:highlight w:val="none"/>
        </w:rPr>
        <w:t>铜、锌、铅、镍、铬的测定 火焰原子吸收分光光度法》（HJ 491-2019）测试方法中质量保证与质量控制要求，检测实验室</w:t>
      </w:r>
      <w:r>
        <w:rPr>
          <w:rFonts w:hint="default" w:ascii="Times New Roman" w:hAnsi="Times New Roman" w:cs="Times New Roman"/>
          <w:color w:val="auto"/>
          <w:sz w:val="24"/>
          <w:highlight w:val="none"/>
          <w:lang w:eastAsia="zh-CN"/>
        </w:rPr>
        <w:t>对总氟化物同步测定了</w:t>
      </w:r>
      <w:r>
        <w:rPr>
          <w:rFonts w:hint="default" w:ascii="Times New Roman" w:hAnsi="Times New Roman" w:cs="Times New Roman"/>
          <w:color w:val="auto"/>
          <w:sz w:val="24"/>
          <w:highlight w:val="none"/>
          <w:lang w:val="en-US" w:eastAsia="zh-CN"/>
        </w:rPr>
        <w:t>2个有证标准样品，</w:t>
      </w:r>
      <w:r>
        <w:rPr>
          <w:rFonts w:hint="default" w:ascii="Times New Roman" w:hAnsi="Times New Roman" w:cs="Times New Roman"/>
          <w:color w:val="auto"/>
          <w:sz w:val="24"/>
          <w:highlight w:val="none"/>
        </w:rPr>
        <w:t>对重金属指标铜</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镍</w:t>
      </w:r>
      <w:r>
        <w:rPr>
          <w:rFonts w:hint="default" w:ascii="Times New Roman" w:hAnsi="Times New Roman" w:cs="Times New Roman"/>
          <w:color w:val="auto"/>
          <w:sz w:val="24"/>
          <w:highlight w:val="none"/>
          <w:lang w:eastAsia="zh-CN"/>
        </w:rPr>
        <w:t>、铬、锌</w:t>
      </w:r>
      <w:r>
        <w:rPr>
          <w:rFonts w:hint="default" w:ascii="Times New Roman" w:hAnsi="Times New Roman" w:cs="Times New Roman"/>
          <w:color w:val="auto"/>
          <w:sz w:val="24"/>
          <w:highlight w:val="none"/>
        </w:rPr>
        <w:t>同步测定了1个有证标准样品，有证标准样品测试结果在有证标准样品证书标准值上、下限范围内（其中</w:t>
      </w:r>
      <w:r>
        <w:rPr>
          <w:rFonts w:hint="default" w:ascii="Times New Roman" w:hAnsi="Times New Roman" w:cs="Times New Roman"/>
          <w:color w:val="auto"/>
          <w:sz w:val="24"/>
          <w:highlight w:val="none"/>
          <w:lang w:eastAsia="zh-CN"/>
        </w:rPr>
        <w:t>总氟化物</w:t>
      </w:r>
      <w:r>
        <w:rPr>
          <w:rFonts w:hint="default" w:ascii="Times New Roman" w:hAnsi="Times New Roman" w:cs="Times New Roman"/>
          <w:color w:val="auto"/>
          <w:sz w:val="24"/>
          <w:highlight w:val="none"/>
          <w:lang w:val="en-US" w:eastAsia="zh-CN"/>
        </w:rPr>
        <w:t>684~762、</w:t>
      </w:r>
      <w:r>
        <w:rPr>
          <w:rFonts w:hint="default" w:ascii="Times New Roman" w:hAnsi="Times New Roman" w:cs="Times New Roman"/>
          <w:color w:val="auto"/>
          <w:sz w:val="24"/>
          <w:highlight w:val="none"/>
        </w:rPr>
        <w:t>铜41~</w:t>
      </w:r>
      <w:r>
        <w:rPr>
          <w:rFonts w:hint="default" w:ascii="Times New Roman" w:hAnsi="Times New Roman" w:cs="Times New Roman"/>
          <w:color w:val="auto"/>
          <w:sz w:val="24"/>
          <w:highlight w:val="none"/>
          <w:lang w:val="en-US" w:eastAsia="zh-CN"/>
        </w:rPr>
        <w:t>45</w:t>
      </w:r>
      <w:r>
        <w:rPr>
          <w:rFonts w:hint="default" w:ascii="Times New Roman" w:hAnsi="Times New Roman" w:cs="Times New Roman"/>
          <w:color w:val="auto"/>
          <w:sz w:val="24"/>
          <w:highlight w:val="none"/>
        </w:rPr>
        <w:t>，镍34~38</w:t>
      </w:r>
      <w:r>
        <w:rPr>
          <w:rFonts w:hint="default" w:ascii="Times New Roman" w:hAnsi="Times New Roman" w:cs="Times New Roman"/>
          <w:color w:val="auto"/>
          <w:sz w:val="24"/>
          <w:highlight w:val="none"/>
          <w:lang w:eastAsia="zh-CN"/>
        </w:rPr>
        <w:t>，铬</w:t>
      </w:r>
      <w:r>
        <w:rPr>
          <w:rFonts w:hint="default" w:ascii="Times New Roman" w:hAnsi="Times New Roman" w:cs="Times New Roman"/>
          <w:color w:val="auto"/>
          <w:sz w:val="24"/>
          <w:highlight w:val="none"/>
          <w:lang w:val="en-US" w:eastAsia="zh-CN"/>
        </w:rPr>
        <w:t>77~85，锌89~95</w:t>
      </w:r>
      <w:r>
        <w:rPr>
          <w:rFonts w:hint="default" w:ascii="Times New Roman" w:hAnsi="Times New Roman" w:cs="Times New Roman"/>
          <w:color w:val="auto"/>
          <w:sz w:val="24"/>
          <w:highlight w:val="none"/>
        </w:rPr>
        <w:t>），本次质控结果合格。</w:t>
      </w:r>
    </w:p>
    <w:p>
      <w:pPr>
        <w:bidi w:val="0"/>
        <w:ind w:firstLine="420" w:firstLineChars="0"/>
        <w:rPr>
          <w:rFonts w:hint="default" w:ascii="Times New Roman" w:hAnsi="Times New Roman" w:cs="Times New Roman"/>
          <w:b/>
          <w:bCs/>
          <w:color w:val="auto"/>
          <w:highlight w:val="none"/>
          <w:lang w:eastAsia="zh-CN"/>
        </w:rPr>
      </w:pP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lang w:val="en-US" w:eastAsia="zh-CN"/>
        </w:rPr>
        <w:t>2</w:t>
      </w:r>
      <w:r>
        <w:rPr>
          <w:rFonts w:hint="default" w:ascii="Times New Roman" w:hAnsi="Times New Roman" w:cs="Times New Roman"/>
          <w:b/>
          <w:bCs/>
          <w:color w:val="auto"/>
          <w:highlight w:val="none"/>
          <w:lang w:eastAsia="zh-CN"/>
        </w:rPr>
        <w:t>）土壤样品</w:t>
      </w:r>
      <w:r>
        <w:rPr>
          <w:rFonts w:hint="default" w:ascii="Times New Roman" w:hAnsi="Times New Roman" w:cs="Times New Roman"/>
          <w:b/>
          <w:bCs/>
          <w:color w:val="auto"/>
          <w:highlight w:val="none"/>
        </w:rPr>
        <w:t>空白加标/基体加标回收质控</w:t>
      </w:r>
      <w:r>
        <w:rPr>
          <w:rFonts w:hint="default" w:ascii="Times New Roman" w:hAnsi="Times New Roman" w:cs="Times New Roman"/>
          <w:b/>
          <w:bCs/>
          <w:color w:val="auto"/>
          <w:highlight w:val="none"/>
          <w:lang w:eastAsia="zh-CN"/>
        </w:rPr>
        <w:t>结果</w:t>
      </w:r>
    </w:p>
    <w:p>
      <w:pPr>
        <w:numPr>
          <w:ilvl w:val="0"/>
          <w:numId w:val="0"/>
        </w:numPr>
        <w:spacing w:line="360" w:lineRule="auto"/>
        <w:ind w:firstLine="420" w:firstLineChars="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①</w:t>
      </w:r>
      <w:r>
        <w:rPr>
          <w:rFonts w:hint="default" w:ascii="Times New Roman" w:hAnsi="Times New Roman" w:cs="Times New Roman"/>
          <w:color w:val="auto"/>
          <w:sz w:val="24"/>
          <w:highlight w:val="none"/>
        </w:rPr>
        <w:t>铅、汞、隔、砷</w:t>
      </w:r>
      <w:r>
        <w:rPr>
          <w:rFonts w:hint="default" w:ascii="Times New Roman" w:hAnsi="Times New Roman" w:cs="Times New Roman"/>
          <w:color w:val="auto"/>
          <w:sz w:val="24"/>
          <w:highlight w:val="none"/>
          <w:lang w:eastAsia="zh-CN"/>
        </w:rPr>
        <w:t>、钴、钼、锑</w:t>
      </w:r>
      <w:r>
        <w:rPr>
          <w:rFonts w:hint="default" w:ascii="Times New Roman" w:hAnsi="Times New Roman" w:cs="Times New Roman"/>
          <w:color w:val="auto"/>
          <w:sz w:val="24"/>
          <w:highlight w:val="none"/>
        </w:rPr>
        <w:t>等重金属空白加标回收率范围为9</w:t>
      </w:r>
      <w:r>
        <w:rPr>
          <w:rFonts w:hint="default" w:ascii="Times New Roman" w:hAnsi="Times New Roman" w:cs="Times New Roman"/>
          <w:color w:val="auto"/>
          <w:sz w:val="24"/>
          <w:highlight w:val="none"/>
          <w:lang w:val="en-US" w:eastAsia="zh-CN"/>
        </w:rPr>
        <w:t>3.7</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110</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%，在允许加标回收范围（80%~120%）内</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基体加标回收率范围为</w:t>
      </w:r>
      <w:r>
        <w:rPr>
          <w:rFonts w:hint="default" w:ascii="Times New Roman" w:hAnsi="Times New Roman" w:cs="Times New Roman"/>
          <w:color w:val="auto"/>
          <w:sz w:val="24"/>
          <w:highlight w:val="none"/>
          <w:lang w:val="en-US" w:eastAsia="zh-CN"/>
        </w:rPr>
        <w:t>70.0~98.4</w:t>
      </w:r>
      <w:r>
        <w:rPr>
          <w:rFonts w:hint="default" w:ascii="Times New Roman" w:hAnsi="Times New Roman" w:cs="Times New Roman"/>
          <w:color w:val="auto"/>
          <w:sz w:val="24"/>
          <w:highlight w:val="none"/>
        </w:rPr>
        <w:t>%，在允许加标回收范围（</w:t>
      </w:r>
      <w:r>
        <w:rPr>
          <w:rFonts w:hint="default" w:ascii="Times New Roman" w:hAnsi="Times New Roman" w:cs="Times New Roman"/>
          <w:color w:val="auto"/>
          <w:sz w:val="24"/>
          <w:highlight w:val="none"/>
          <w:lang w:val="en-US" w:eastAsia="zh-CN"/>
        </w:rPr>
        <w:t>70</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125</w:t>
      </w:r>
      <w:r>
        <w:rPr>
          <w:rFonts w:hint="default" w:ascii="Times New Roman" w:hAnsi="Times New Roman" w:cs="Times New Roman"/>
          <w:color w:val="auto"/>
          <w:sz w:val="24"/>
          <w:highlight w:val="none"/>
        </w:rPr>
        <w:t>%）内</w:t>
      </w:r>
      <w:r>
        <w:rPr>
          <w:rFonts w:hint="default" w:ascii="Times New Roman" w:hAnsi="Times New Roman" w:cs="Times New Roman"/>
          <w:color w:val="auto"/>
          <w:sz w:val="24"/>
          <w:highlight w:val="none"/>
          <w:lang w:eastAsia="zh-CN"/>
        </w:rPr>
        <w:t>；</w:t>
      </w:r>
    </w:p>
    <w:p>
      <w:pPr>
        <w:numPr>
          <w:ilvl w:val="0"/>
          <w:numId w:val="0"/>
        </w:numPr>
        <w:spacing w:line="360" w:lineRule="auto"/>
        <w:ind w:firstLine="420" w:firstLineChars="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②石油烃（</w:t>
      </w:r>
      <w:r>
        <w:rPr>
          <w:rFonts w:hint="default" w:ascii="Times New Roman" w:hAnsi="Times New Roman" w:cs="Times New Roman"/>
          <w:color w:val="auto"/>
          <w:sz w:val="24"/>
          <w:highlight w:val="none"/>
          <w:lang w:val="en-US" w:eastAsia="zh-CN"/>
        </w:rPr>
        <w:t>C</w:t>
      </w:r>
      <w:r>
        <w:rPr>
          <w:rFonts w:hint="default" w:ascii="Times New Roman" w:hAnsi="Times New Roman" w:cs="Times New Roman"/>
          <w:color w:val="auto"/>
          <w:sz w:val="24"/>
          <w:highlight w:val="none"/>
          <w:vertAlign w:val="subscript"/>
          <w:lang w:val="en-US" w:eastAsia="zh-CN"/>
        </w:rPr>
        <w:t>10</w:t>
      </w:r>
      <w:r>
        <w:rPr>
          <w:rFonts w:hint="default" w:ascii="Times New Roman" w:hAnsi="Times New Roman" w:cs="Times New Roman"/>
          <w:color w:val="auto"/>
          <w:sz w:val="24"/>
          <w:highlight w:val="none"/>
          <w:lang w:val="en-US" w:eastAsia="zh-CN"/>
        </w:rPr>
        <w:t>-C</w:t>
      </w:r>
      <w:r>
        <w:rPr>
          <w:rFonts w:hint="default" w:ascii="Times New Roman" w:hAnsi="Times New Roman" w:cs="Times New Roman"/>
          <w:color w:val="auto"/>
          <w:sz w:val="24"/>
          <w:highlight w:val="none"/>
          <w:vertAlign w:val="subscript"/>
          <w:lang w:val="en-US" w:eastAsia="zh-CN"/>
        </w:rPr>
        <w:t>40</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加标回收率为</w:t>
      </w:r>
      <w:r>
        <w:rPr>
          <w:rFonts w:hint="default" w:ascii="Times New Roman" w:hAnsi="Times New Roman" w:cs="Times New Roman"/>
          <w:color w:val="auto"/>
          <w:sz w:val="24"/>
          <w:highlight w:val="none"/>
          <w:lang w:val="en-US" w:eastAsia="zh-CN"/>
        </w:rPr>
        <w:t>100.0</w:t>
      </w:r>
      <w:r>
        <w:rPr>
          <w:rFonts w:hint="default" w:ascii="Times New Roman" w:hAnsi="Times New Roman" w:cs="Times New Roman"/>
          <w:color w:val="auto"/>
          <w:sz w:val="24"/>
          <w:highlight w:val="none"/>
        </w:rPr>
        <w:t>%，在允许加标回收范围（70%~12</w:t>
      </w:r>
      <w:r>
        <w:rPr>
          <w:rFonts w:hint="default" w:ascii="Times New Roman" w:hAnsi="Times New Roman" w:cs="Times New Roman"/>
          <w:color w:val="auto"/>
          <w:sz w:val="24"/>
          <w:highlight w:val="none"/>
          <w:lang w:val="en-US" w:eastAsia="zh-CN"/>
        </w:rPr>
        <w:t>0</w:t>
      </w:r>
      <w:r>
        <w:rPr>
          <w:rFonts w:hint="default" w:ascii="Times New Roman" w:hAnsi="Times New Roman" w:cs="Times New Roman"/>
          <w:color w:val="auto"/>
          <w:sz w:val="24"/>
          <w:highlight w:val="none"/>
        </w:rPr>
        <w:t>%）内</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基体加标回收率范围为</w:t>
      </w:r>
      <w:r>
        <w:rPr>
          <w:rFonts w:hint="default" w:ascii="Times New Roman" w:hAnsi="Times New Roman" w:cs="Times New Roman"/>
          <w:color w:val="auto"/>
          <w:sz w:val="24"/>
          <w:highlight w:val="none"/>
          <w:lang w:val="en-US" w:eastAsia="zh-CN"/>
        </w:rPr>
        <w:t>81.9</w:t>
      </w:r>
      <w:r>
        <w:rPr>
          <w:rFonts w:hint="default" w:ascii="Times New Roman" w:hAnsi="Times New Roman" w:cs="Times New Roman"/>
          <w:color w:val="auto"/>
          <w:sz w:val="24"/>
          <w:highlight w:val="none"/>
        </w:rPr>
        <w:t>%，在允许加标回收范围（</w:t>
      </w:r>
      <w:r>
        <w:rPr>
          <w:rFonts w:hint="default" w:ascii="Times New Roman" w:hAnsi="Times New Roman" w:cs="Times New Roman"/>
          <w:color w:val="auto"/>
          <w:sz w:val="24"/>
          <w:highlight w:val="none"/>
          <w:lang w:val="en-US" w:eastAsia="zh-CN"/>
        </w:rPr>
        <w:t>50</w:t>
      </w:r>
      <w:r>
        <w:rPr>
          <w:rFonts w:hint="default" w:ascii="Times New Roman" w:hAnsi="Times New Roman" w:cs="Times New Roman"/>
          <w:color w:val="auto"/>
          <w:sz w:val="24"/>
          <w:highlight w:val="none"/>
        </w:rPr>
        <w:t>%~1</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0%）内</w:t>
      </w:r>
      <w:r>
        <w:rPr>
          <w:rFonts w:hint="default" w:ascii="Times New Roman" w:hAnsi="Times New Roman" w:cs="Times New Roman"/>
          <w:color w:val="auto"/>
          <w:sz w:val="24"/>
          <w:highlight w:val="none"/>
          <w:lang w:eastAsia="zh-CN"/>
        </w:rPr>
        <w:t>；</w:t>
      </w:r>
    </w:p>
    <w:p>
      <w:pPr>
        <w:numPr>
          <w:ilvl w:val="0"/>
          <w:numId w:val="0"/>
        </w:numPr>
        <w:spacing w:line="360" w:lineRule="auto"/>
        <w:ind w:firstLine="420" w:firstLineChars="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③</w:t>
      </w:r>
      <w:r>
        <w:rPr>
          <w:rFonts w:hint="default" w:ascii="Times New Roman" w:hAnsi="Times New Roman" w:cs="Times New Roman"/>
          <w:color w:val="auto"/>
          <w:sz w:val="24"/>
          <w:highlight w:val="none"/>
        </w:rPr>
        <w:t>挥发性有机物空白加标回收率范围为</w:t>
      </w:r>
      <w:r>
        <w:rPr>
          <w:rFonts w:hint="default" w:ascii="Times New Roman" w:hAnsi="Times New Roman" w:cs="Times New Roman"/>
          <w:color w:val="auto"/>
          <w:sz w:val="24"/>
          <w:highlight w:val="none"/>
          <w:lang w:val="en-US" w:eastAsia="zh-CN"/>
        </w:rPr>
        <w:t>72.4</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124.2</w:t>
      </w:r>
      <w:r>
        <w:rPr>
          <w:rFonts w:hint="default" w:ascii="Times New Roman" w:hAnsi="Times New Roman" w:cs="Times New Roman"/>
          <w:color w:val="auto"/>
          <w:sz w:val="24"/>
          <w:highlight w:val="none"/>
        </w:rPr>
        <w:t>%，在允许加标回收范围（70%~130%）内，基体加标回收率范围为</w:t>
      </w:r>
      <w:r>
        <w:rPr>
          <w:rFonts w:hint="default" w:ascii="Times New Roman" w:hAnsi="Times New Roman" w:cs="Times New Roman"/>
          <w:color w:val="auto"/>
          <w:sz w:val="24"/>
          <w:highlight w:val="none"/>
          <w:lang w:val="en-US" w:eastAsia="zh-CN"/>
        </w:rPr>
        <w:t>68.4</w:t>
      </w:r>
      <w:r>
        <w:rPr>
          <w:rFonts w:hint="default" w:ascii="Times New Roman" w:hAnsi="Times New Roman" w:cs="Times New Roman"/>
          <w:color w:val="auto"/>
          <w:sz w:val="24"/>
          <w:highlight w:val="none"/>
        </w:rPr>
        <w:t>%~12</w:t>
      </w:r>
      <w:r>
        <w:rPr>
          <w:rFonts w:hint="default" w:ascii="Times New Roman" w:hAnsi="Times New Roman" w:cs="Times New Roman"/>
          <w:color w:val="auto"/>
          <w:sz w:val="24"/>
          <w:highlight w:val="none"/>
          <w:lang w:val="en-US" w:eastAsia="zh-CN"/>
        </w:rPr>
        <w:t>4.9</w:t>
      </w:r>
      <w:r>
        <w:rPr>
          <w:rFonts w:hint="default" w:ascii="Times New Roman" w:hAnsi="Times New Roman" w:cs="Times New Roman"/>
          <w:color w:val="auto"/>
          <w:sz w:val="24"/>
          <w:highlight w:val="none"/>
        </w:rPr>
        <w:t>%，在允许加标回收范围（70%~130%）内</w:t>
      </w:r>
      <w:r>
        <w:rPr>
          <w:rFonts w:hint="default" w:ascii="Times New Roman" w:hAnsi="Times New Roman" w:cs="Times New Roman"/>
          <w:color w:val="auto"/>
          <w:sz w:val="24"/>
          <w:highlight w:val="none"/>
          <w:lang w:eastAsia="zh-CN"/>
        </w:rPr>
        <w:t>；</w:t>
      </w:r>
    </w:p>
    <w:p>
      <w:pPr>
        <w:numPr>
          <w:ilvl w:val="0"/>
          <w:numId w:val="0"/>
        </w:numPr>
        <w:spacing w:line="360" w:lineRule="auto"/>
        <w:ind w:firstLine="420" w:firstLineChars="0"/>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lang w:eastAsia="zh-CN"/>
        </w:rPr>
        <w:t>④</w:t>
      </w:r>
      <w:r>
        <w:rPr>
          <w:rFonts w:hint="default" w:ascii="Times New Roman" w:hAnsi="Times New Roman" w:cs="Times New Roman"/>
          <w:color w:val="auto"/>
          <w:sz w:val="24"/>
          <w:highlight w:val="none"/>
        </w:rPr>
        <w:t>半挥发性有机物空白加标回收率为</w:t>
      </w:r>
      <w:r>
        <w:rPr>
          <w:rFonts w:hint="default" w:ascii="Times New Roman" w:hAnsi="Times New Roman" w:cs="Times New Roman"/>
          <w:color w:val="auto"/>
          <w:sz w:val="24"/>
          <w:highlight w:val="none"/>
          <w:lang w:val="en-US" w:eastAsia="zh-CN"/>
        </w:rPr>
        <w:t>85.1</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113.0</w:t>
      </w:r>
      <w:r>
        <w:rPr>
          <w:rFonts w:hint="default" w:ascii="Times New Roman" w:hAnsi="Times New Roman" w:cs="Times New Roman"/>
          <w:color w:val="auto"/>
          <w:sz w:val="24"/>
          <w:highlight w:val="none"/>
        </w:rPr>
        <w:t>%，在允许加标回收范围（50%~130%）内，基体加标回收率为50.3%~</w:t>
      </w:r>
      <w:r>
        <w:rPr>
          <w:rFonts w:hint="default" w:ascii="Times New Roman" w:hAnsi="Times New Roman" w:cs="Times New Roman"/>
          <w:color w:val="auto"/>
          <w:sz w:val="24"/>
          <w:highlight w:val="none"/>
          <w:lang w:val="en-US" w:eastAsia="zh-CN"/>
        </w:rPr>
        <w:t>127.4</w:t>
      </w:r>
      <w:r>
        <w:rPr>
          <w:rFonts w:hint="default" w:ascii="Times New Roman" w:hAnsi="Times New Roman" w:cs="Times New Roman"/>
          <w:color w:val="auto"/>
          <w:sz w:val="24"/>
          <w:highlight w:val="none"/>
        </w:rPr>
        <w:t>%，在允许加标回收范围（50%~130%）内</w:t>
      </w:r>
      <w:r>
        <w:rPr>
          <w:rFonts w:hint="eastAsia" w:cs="Times New Roman"/>
          <w:color w:val="auto"/>
          <w:sz w:val="24"/>
          <w:highlight w:val="none"/>
          <w:lang w:eastAsia="zh-CN"/>
        </w:rPr>
        <w:t>；</w:t>
      </w:r>
    </w:p>
    <w:p>
      <w:pPr>
        <w:numPr>
          <w:ilvl w:val="0"/>
          <w:numId w:val="0"/>
        </w:numPr>
        <w:spacing w:line="360" w:lineRule="auto"/>
        <w:ind w:firstLine="420" w:firstLineChars="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⑤多氯联苯</w:t>
      </w:r>
      <w:r>
        <w:rPr>
          <w:rFonts w:hint="default" w:ascii="Times New Roman" w:hAnsi="Times New Roman" w:cs="Times New Roman"/>
          <w:color w:val="auto"/>
          <w:sz w:val="24"/>
          <w:highlight w:val="none"/>
        </w:rPr>
        <w:t>空白加标回收率为</w:t>
      </w:r>
      <w:r>
        <w:rPr>
          <w:rFonts w:hint="default" w:ascii="Times New Roman" w:hAnsi="Times New Roman" w:cs="Times New Roman"/>
          <w:color w:val="auto"/>
          <w:sz w:val="24"/>
          <w:highlight w:val="none"/>
          <w:lang w:val="en-US" w:eastAsia="zh-CN"/>
        </w:rPr>
        <w:t>88.0</w:t>
      </w:r>
      <w:r>
        <w:rPr>
          <w:rFonts w:hint="default" w:ascii="Times New Roman" w:hAnsi="Times New Roman" w:cs="Times New Roman"/>
          <w:color w:val="auto"/>
          <w:sz w:val="24"/>
          <w:highlight w:val="none"/>
        </w:rPr>
        <w:t>%~1</w:t>
      </w:r>
      <w:r>
        <w:rPr>
          <w:rFonts w:hint="default" w:ascii="Times New Roman" w:hAnsi="Times New Roman" w:cs="Times New Roman"/>
          <w:color w:val="auto"/>
          <w:sz w:val="24"/>
          <w:highlight w:val="none"/>
          <w:lang w:val="en-US" w:eastAsia="zh-CN"/>
        </w:rPr>
        <w:t>12.0</w:t>
      </w:r>
      <w:r>
        <w:rPr>
          <w:rFonts w:hint="default" w:ascii="Times New Roman" w:hAnsi="Times New Roman" w:cs="Times New Roman"/>
          <w:color w:val="auto"/>
          <w:sz w:val="24"/>
          <w:highlight w:val="none"/>
        </w:rPr>
        <w:t>%，在允许加标回收范围（</w:t>
      </w:r>
      <w:r>
        <w:rPr>
          <w:rFonts w:hint="default" w:ascii="Times New Roman" w:hAnsi="Times New Roman" w:cs="Times New Roman"/>
          <w:color w:val="auto"/>
          <w:sz w:val="24"/>
          <w:highlight w:val="none"/>
          <w:lang w:val="en-US" w:eastAsia="zh-CN"/>
        </w:rPr>
        <w:t>6</w:t>
      </w:r>
      <w:r>
        <w:rPr>
          <w:rFonts w:hint="default" w:ascii="Times New Roman" w:hAnsi="Times New Roman" w:cs="Times New Roman"/>
          <w:color w:val="auto"/>
          <w:sz w:val="24"/>
          <w:highlight w:val="none"/>
        </w:rPr>
        <w:t>0%~130%）内</w:t>
      </w:r>
      <w:r>
        <w:rPr>
          <w:rFonts w:hint="default" w:ascii="Times New Roman" w:hAnsi="Times New Roman" w:cs="Times New Roman"/>
          <w:color w:val="auto"/>
          <w:sz w:val="24"/>
          <w:highlight w:val="none"/>
          <w:lang w:eastAsia="zh-CN"/>
        </w:rPr>
        <w:t>；</w:t>
      </w:r>
    </w:p>
    <w:p>
      <w:pPr>
        <w:numPr>
          <w:ilvl w:val="0"/>
          <w:numId w:val="0"/>
        </w:numPr>
        <w:spacing w:line="360" w:lineRule="auto"/>
        <w:ind w:firstLine="420" w:firstLineChars="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⑥苯胺</w:t>
      </w:r>
      <w:r>
        <w:rPr>
          <w:rFonts w:hint="default" w:ascii="Times New Roman" w:hAnsi="Times New Roman" w:cs="Times New Roman"/>
          <w:color w:val="auto"/>
          <w:sz w:val="24"/>
          <w:highlight w:val="none"/>
        </w:rPr>
        <w:t>空白加标回收率为</w:t>
      </w:r>
      <w:r>
        <w:rPr>
          <w:rFonts w:hint="default" w:ascii="Times New Roman" w:hAnsi="Times New Roman" w:cs="Times New Roman"/>
          <w:color w:val="auto"/>
          <w:sz w:val="24"/>
          <w:highlight w:val="none"/>
          <w:lang w:val="en-US" w:eastAsia="zh-CN"/>
        </w:rPr>
        <w:t>85.1</w:t>
      </w:r>
      <w:r>
        <w:rPr>
          <w:rFonts w:hint="default" w:ascii="Times New Roman" w:hAnsi="Times New Roman" w:cs="Times New Roman"/>
          <w:color w:val="auto"/>
          <w:sz w:val="24"/>
          <w:highlight w:val="none"/>
        </w:rPr>
        <w:t>%，在允许加标回收范围（</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0%~1</w:t>
      </w:r>
      <w:r>
        <w:rPr>
          <w:rFonts w:hint="default" w:ascii="Times New Roman" w:hAnsi="Times New Roman" w:cs="Times New Roman"/>
          <w:color w:val="auto"/>
          <w:sz w:val="24"/>
          <w:highlight w:val="none"/>
          <w:lang w:val="en-US" w:eastAsia="zh-CN"/>
        </w:rPr>
        <w:t>0</w:t>
      </w:r>
      <w:r>
        <w:rPr>
          <w:rFonts w:hint="default" w:ascii="Times New Roman" w:hAnsi="Times New Roman" w:cs="Times New Roman"/>
          <w:color w:val="auto"/>
          <w:sz w:val="24"/>
          <w:highlight w:val="none"/>
        </w:rPr>
        <w:t>0%）内</w:t>
      </w:r>
      <w:r>
        <w:rPr>
          <w:rFonts w:hint="default" w:ascii="Times New Roman" w:hAnsi="Times New Roman" w:cs="Times New Roman"/>
          <w:color w:val="auto"/>
          <w:sz w:val="24"/>
          <w:highlight w:val="none"/>
          <w:lang w:eastAsia="zh-CN"/>
        </w:rPr>
        <w:t>。</w:t>
      </w:r>
    </w:p>
    <w:p>
      <w:pPr>
        <w:bidi w:val="0"/>
        <w:ind w:firstLine="420" w:firstLineChars="0"/>
        <w:rPr>
          <w:rFonts w:hint="default" w:ascii="Times New Roman" w:hAnsi="Times New Roman" w:cs="Times New Roman"/>
          <w:b/>
          <w:bCs/>
          <w:color w:val="auto"/>
          <w:highlight w:val="none"/>
          <w:lang w:eastAsia="zh-CN"/>
        </w:rPr>
      </w:pP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lang w:val="en-US" w:eastAsia="zh-CN"/>
        </w:rPr>
        <w:t>3</w:t>
      </w:r>
      <w:r>
        <w:rPr>
          <w:rFonts w:hint="default" w:ascii="Times New Roman" w:hAnsi="Times New Roman" w:cs="Times New Roman"/>
          <w:b/>
          <w:bCs/>
          <w:color w:val="auto"/>
          <w:highlight w:val="none"/>
          <w:lang w:eastAsia="zh-CN"/>
        </w:rPr>
        <w:t>）地下水样品</w:t>
      </w:r>
      <w:r>
        <w:rPr>
          <w:rFonts w:hint="default" w:ascii="Times New Roman" w:hAnsi="Times New Roman" w:cs="Times New Roman"/>
          <w:b/>
          <w:bCs/>
          <w:color w:val="auto"/>
          <w:highlight w:val="none"/>
        </w:rPr>
        <w:t>空白加标/基体加标回收质控</w:t>
      </w:r>
      <w:r>
        <w:rPr>
          <w:rFonts w:hint="default" w:ascii="Times New Roman" w:hAnsi="Times New Roman" w:cs="Times New Roman"/>
          <w:b/>
          <w:bCs/>
          <w:color w:val="auto"/>
          <w:highlight w:val="none"/>
          <w:lang w:eastAsia="zh-CN"/>
        </w:rPr>
        <w:t>结果</w:t>
      </w:r>
    </w:p>
    <w:p>
      <w:pPr>
        <w:numPr>
          <w:ilvl w:val="0"/>
          <w:numId w:val="0"/>
        </w:numPr>
        <w:spacing w:line="360" w:lineRule="auto"/>
        <w:ind w:firstLine="420" w:firstLineChars="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①氰化物的加标回收率为</w:t>
      </w:r>
      <w:r>
        <w:rPr>
          <w:rFonts w:hint="default" w:ascii="Times New Roman" w:hAnsi="Times New Roman" w:cs="Times New Roman"/>
          <w:color w:val="auto"/>
          <w:sz w:val="24"/>
          <w:highlight w:val="none"/>
          <w:lang w:val="en-US" w:eastAsia="zh-CN"/>
        </w:rPr>
        <w:t>93.8</w:t>
      </w:r>
      <w:r>
        <w:rPr>
          <w:rFonts w:hint="default" w:ascii="Times New Roman" w:hAnsi="Times New Roman" w:cs="Times New Roman"/>
          <w:color w:val="auto"/>
          <w:sz w:val="24"/>
          <w:highlight w:val="none"/>
        </w:rPr>
        <w:t>%，在允许加标回收范围（8</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115</w:t>
      </w:r>
      <w:r>
        <w:rPr>
          <w:rFonts w:hint="default" w:ascii="Times New Roman" w:hAnsi="Times New Roman" w:cs="Times New Roman"/>
          <w:color w:val="auto"/>
          <w:sz w:val="24"/>
          <w:highlight w:val="none"/>
        </w:rPr>
        <w:t>%）内</w:t>
      </w:r>
      <w:r>
        <w:rPr>
          <w:rFonts w:hint="eastAsia" w:cs="Times New Roman"/>
          <w:color w:val="auto"/>
          <w:sz w:val="24"/>
          <w:highlight w:val="none"/>
          <w:lang w:eastAsia="zh-CN"/>
        </w:rPr>
        <w:t>；</w:t>
      </w:r>
    </w:p>
    <w:p>
      <w:pPr>
        <w:numPr>
          <w:ilvl w:val="0"/>
          <w:numId w:val="0"/>
        </w:numPr>
        <w:spacing w:line="360" w:lineRule="auto"/>
        <w:ind w:firstLine="420" w:firstLineChars="0"/>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lang w:eastAsia="zh-CN"/>
        </w:rPr>
        <w:t>②三氯甲烷</w:t>
      </w:r>
      <w:r>
        <w:rPr>
          <w:rFonts w:hint="default" w:ascii="Times New Roman" w:hAnsi="Times New Roman" w:cs="Times New Roman"/>
          <w:color w:val="auto"/>
          <w:sz w:val="24"/>
          <w:highlight w:val="none"/>
        </w:rPr>
        <w:t>空白加标回收率范围为</w:t>
      </w:r>
      <w:r>
        <w:rPr>
          <w:rFonts w:hint="default" w:ascii="Times New Roman" w:hAnsi="Times New Roman" w:cs="Times New Roman"/>
          <w:color w:val="auto"/>
          <w:sz w:val="24"/>
          <w:highlight w:val="none"/>
          <w:lang w:val="en-US" w:eastAsia="zh-CN"/>
        </w:rPr>
        <w:t>85.0</w:t>
      </w:r>
      <w:r>
        <w:rPr>
          <w:rFonts w:hint="default" w:ascii="Times New Roman" w:hAnsi="Times New Roman" w:cs="Times New Roman"/>
          <w:color w:val="auto"/>
          <w:sz w:val="24"/>
          <w:highlight w:val="none"/>
        </w:rPr>
        <w:t>~128</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，在允许加标回收范围（</w:t>
      </w:r>
      <w:r>
        <w:rPr>
          <w:rFonts w:hint="default" w:ascii="Times New Roman" w:hAnsi="Times New Roman" w:cs="Times New Roman"/>
          <w:color w:val="auto"/>
          <w:sz w:val="24"/>
          <w:highlight w:val="none"/>
          <w:lang w:val="en-US" w:eastAsia="zh-CN"/>
        </w:rPr>
        <w:t>80</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120</w:t>
      </w:r>
      <w:r>
        <w:rPr>
          <w:rFonts w:hint="default" w:ascii="Times New Roman" w:hAnsi="Times New Roman" w:cs="Times New Roman"/>
          <w:color w:val="auto"/>
          <w:sz w:val="24"/>
          <w:highlight w:val="none"/>
        </w:rPr>
        <w:t>%）内，基体加标回收率范围为</w:t>
      </w:r>
      <w:r>
        <w:rPr>
          <w:rFonts w:hint="default" w:ascii="Times New Roman" w:hAnsi="Times New Roman" w:cs="Times New Roman"/>
          <w:color w:val="auto"/>
          <w:sz w:val="24"/>
          <w:highlight w:val="none"/>
          <w:lang w:val="en-US" w:eastAsia="zh-CN"/>
        </w:rPr>
        <w:t>101</w:t>
      </w:r>
      <w:r>
        <w:rPr>
          <w:rFonts w:hint="default" w:ascii="Times New Roman" w:hAnsi="Times New Roman" w:cs="Times New Roman"/>
          <w:color w:val="auto"/>
          <w:sz w:val="24"/>
          <w:highlight w:val="none"/>
        </w:rPr>
        <w:t>%，在允许加标回收范围（</w:t>
      </w:r>
      <w:r>
        <w:rPr>
          <w:rFonts w:hint="default" w:ascii="Times New Roman" w:hAnsi="Times New Roman" w:cs="Times New Roman"/>
          <w:color w:val="auto"/>
          <w:sz w:val="24"/>
          <w:highlight w:val="none"/>
          <w:lang w:val="en-US" w:eastAsia="zh-CN"/>
        </w:rPr>
        <w:t>60</w:t>
      </w:r>
      <w:r>
        <w:rPr>
          <w:rFonts w:hint="default" w:ascii="Times New Roman" w:hAnsi="Times New Roman" w:cs="Times New Roman"/>
          <w:color w:val="auto"/>
          <w:sz w:val="24"/>
          <w:highlight w:val="none"/>
        </w:rPr>
        <w:t>%~130%）内</w:t>
      </w:r>
      <w:r>
        <w:rPr>
          <w:rFonts w:hint="eastAsia" w:cs="Times New Roman"/>
          <w:color w:val="auto"/>
          <w:sz w:val="24"/>
          <w:highlight w:val="none"/>
          <w:lang w:eastAsia="zh-CN"/>
        </w:rPr>
        <w:t>；</w:t>
      </w:r>
    </w:p>
    <w:p>
      <w:pPr>
        <w:numPr>
          <w:ilvl w:val="0"/>
          <w:numId w:val="0"/>
        </w:numPr>
        <w:spacing w:line="360" w:lineRule="auto"/>
        <w:ind w:firstLine="420" w:firstLineChars="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③四氯化碳</w:t>
      </w:r>
      <w:r>
        <w:rPr>
          <w:rFonts w:hint="default" w:ascii="Times New Roman" w:hAnsi="Times New Roman" w:cs="Times New Roman"/>
          <w:color w:val="auto"/>
          <w:sz w:val="24"/>
          <w:highlight w:val="none"/>
        </w:rPr>
        <w:t>空白加标回收率为</w:t>
      </w:r>
      <w:r>
        <w:rPr>
          <w:rFonts w:hint="default" w:ascii="Times New Roman" w:hAnsi="Times New Roman" w:cs="Times New Roman"/>
          <w:color w:val="auto"/>
          <w:sz w:val="24"/>
          <w:highlight w:val="none"/>
          <w:lang w:val="en-US" w:eastAsia="zh-CN"/>
        </w:rPr>
        <w:t>85.0</w:t>
      </w:r>
      <w:r>
        <w:rPr>
          <w:rFonts w:hint="default" w:ascii="Times New Roman" w:hAnsi="Times New Roman" w:cs="Times New Roman"/>
          <w:color w:val="auto"/>
          <w:sz w:val="24"/>
          <w:highlight w:val="none"/>
        </w:rPr>
        <w:t>%，在允许加标回收范围（</w:t>
      </w:r>
      <w:r>
        <w:rPr>
          <w:rFonts w:hint="default" w:ascii="Times New Roman" w:hAnsi="Times New Roman" w:cs="Times New Roman"/>
          <w:color w:val="auto"/>
          <w:sz w:val="24"/>
          <w:highlight w:val="none"/>
          <w:lang w:val="en-US" w:eastAsia="zh-CN"/>
        </w:rPr>
        <w:t>80</w:t>
      </w:r>
      <w:r>
        <w:rPr>
          <w:rFonts w:hint="default" w:ascii="Times New Roman" w:hAnsi="Times New Roman" w:cs="Times New Roman"/>
          <w:color w:val="auto"/>
          <w:sz w:val="24"/>
          <w:highlight w:val="none"/>
        </w:rPr>
        <w:t>%~1</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0%）内，基体加标回收率为</w:t>
      </w:r>
      <w:r>
        <w:rPr>
          <w:rFonts w:hint="default" w:ascii="Times New Roman" w:hAnsi="Times New Roman" w:cs="Times New Roman"/>
          <w:color w:val="auto"/>
          <w:sz w:val="24"/>
          <w:highlight w:val="none"/>
          <w:lang w:val="en-US" w:eastAsia="zh-CN"/>
        </w:rPr>
        <w:t>93.2</w:t>
      </w:r>
      <w:r>
        <w:rPr>
          <w:rFonts w:hint="default" w:ascii="Times New Roman" w:hAnsi="Times New Roman" w:cs="Times New Roman"/>
          <w:color w:val="auto"/>
          <w:sz w:val="24"/>
          <w:highlight w:val="none"/>
        </w:rPr>
        <w:t>%，在允许加标回收范围（</w:t>
      </w:r>
      <w:r>
        <w:rPr>
          <w:rFonts w:hint="default" w:ascii="Times New Roman" w:hAnsi="Times New Roman" w:cs="Times New Roman"/>
          <w:color w:val="auto"/>
          <w:sz w:val="24"/>
          <w:highlight w:val="none"/>
          <w:lang w:val="en-US" w:eastAsia="zh-CN"/>
        </w:rPr>
        <w:t>60</w:t>
      </w:r>
      <w:r>
        <w:rPr>
          <w:rFonts w:hint="default" w:ascii="Times New Roman" w:hAnsi="Times New Roman" w:cs="Times New Roman"/>
          <w:color w:val="auto"/>
          <w:sz w:val="24"/>
          <w:highlight w:val="none"/>
        </w:rPr>
        <w:t>%~130%）内</w:t>
      </w:r>
      <w:r>
        <w:rPr>
          <w:rFonts w:hint="eastAsia" w:cs="Times New Roman"/>
          <w:color w:val="auto"/>
          <w:sz w:val="24"/>
          <w:highlight w:val="none"/>
          <w:lang w:eastAsia="zh-CN"/>
        </w:rPr>
        <w:t>；</w:t>
      </w:r>
    </w:p>
    <w:p>
      <w:pPr>
        <w:numPr>
          <w:ilvl w:val="0"/>
          <w:numId w:val="0"/>
        </w:numPr>
        <w:spacing w:line="360" w:lineRule="auto"/>
        <w:ind w:firstLine="420" w:firstLineChars="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④苯</w:t>
      </w:r>
      <w:r>
        <w:rPr>
          <w:rFonts w:hint="default" w:ascii="Times New Roman" w:hAnsi="Times New Roman" w:cs="Times New Roman"/>
          <w:color w:val="auto"/>
          <w:sz w:val="24"/>
          <w:highlight w:val="none"/>
        </w:rPr>
        <w:t>空白加标回收率为</w:t>
      </w:r>
      <w:r>
        <w:rPr>
          <w:rFonts w:hint="default" w:ascii="Times New Roman" w:hAnsi="Times New Roman" w:cs="Times New Roman"/>
          <w:color w:val="auto"/>
          <w:sz w:val="24"/>
          <w:highlight w:val="none"/>
          <w:lang w:val="en-US" w:eastAsia="zh-CN"/>
        </w:rPr>
        <w:t>81.8</w:t>
      </w:r>
      <w:r>
        <w:rPr>
          <w:rFonts w:hint="default" w:ascii="Times New Roman" w:hAnsi="Times New Roman" w:cs="Times New Roman"/>
          <w:color w:val="auto"/>
          <w:sz w:val="24"/>
          <w:highlight w:val="none"/>
        </w:rPr>
        <w:t>%，在允许加标回收范围（</w:t>
      </w:r>
      <w:r>
        <w:rPr>
          <w:rFonts w:hint="default" w:ascii="Times New Roman" w:hAnsi="Times New Roman" w:cs="Times New Roman"/>
          <w:color w:val="auto"/>
          <w:sz w:val="24"/>
          <w:highlight w:val="none"/>
          <w:lang w:val="en-US" w:eastAsia="zh-CN"/>
        </w:rPr>
        <w:t>80</w:t>
      </w:r>
      <w:r>
        <w:rPr>
          <w:rFonts w:hint="default" w:ascii="Times New Roman" w:hAnsi="Times New Roman" w:cs="Times New Roman"/>
          <w:color w:val="auto"/>
          <w:sz w:val="24"/>
          <w:highlight w:val="none"/>
        </w:rPr>
        <w:t>%~1</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0%）内，基体加标回收率为</w:t>
      </w:r>
      <w:r>
        <w:rPr>
          <w:rFonts w:hint="default" w:ascii="Times New Roman" w:hAnsi="Times New Roman" w:cs="Times New Roman"/>
          <w:color w:val="auto"/>
          <w:sz w:val="24"/>
          <w:highlight w:val="none"/>
          <w:lang w:val="en-US" w:eastAsia="zh-CN"/>
        </w:rPr>
        <w:t>98.2</w:t>
      </w:r>
      <w:r>
        <w:rPr>
          <w:rFonts w:hint="default" w:ascii="Times New Roman" w:hAnsi="Times New Roman" w:cs="Times New Roman"/>
          <w:color w:val="auto"/>
          <w:sz w:val="24"/>
          <w:highlight w:val="none"/>
        </w:rPr>
        <w:t>%，在允许加标回收范围（</w:t>
      </w:r>
      <w:r>
        <w:rPr>
          <w:rFonts w:hint="default" w:ascii="Times New Roman" w:hAnsi="Times New Roman" w:cs="Times New Roman"/>
          <w:color w:val="auto"/>
          <w:sz w:val="24"/>
          <w:highlight w:val="none"/>
          <w:lang w:val="en-US" w:eastAsia="zh-CN"/>
        </w:rPr>
        <w:t>60</w:t>
      </w:r>
      <w:r>
        <w:rPr>
          <w:rFonts w:hint="default" w:ascii="Times New Roman" w:hAnsi="Times New Roman" w:cs="Times New Roman"/>
          <w:color w:val="auto"/>
          <w:sz w:val="24"/>
          <w:highlight w:val="none"/>
        </w:rPr>
        <w:t>%~130%）内</w:t>
      </w:r>
      <w:r>
        <w:rPr>
          <w:rFonts w:hint="eastAsia" w:cs="Times New Roman"/>
          <w:color w:val="auto"/>
          <w:sz w:val="24"/>
          <w:highlight w:val="none"/>
          <w:lang w:eastAsia="zh-CN"/>
        </w:rPr>
        <w:t>；</w:t>
      </w:r>
    </w:p>
    <w:p>
      <w:pPr>
        <w:pStyle w:val="2"/>
        <w:ind w:firstLine="420" w:firstLineChars="0"/>
        <w:rPr>
          <w:rFonts w:hint="default" w:ascii="Times New Roman" w:hAnsi="Times New Roman" w:cs="Times New Roman"/>
          <w:highlight w:val="none"/>
          <w:lang w:eastAsia="zh-CN"/>
        </w:rPr>
      </w:pPr>
      <w:r>
        <w:rPr>
          <w:rFonts w:hint="default" w:ascii="Times New Roman" w:hAnsi="Times New Roman" w:cs="Times New Roman"/>
          <w:highlight w:val="none"/>
          <w:lang w:eastAsia="zh-CN"/>
        </w:rPr>
        <w:t>⑤</w:t>
      </w:r>
      <w:r>
        <w:rPr>
          <w:rFonts w:hint="default" w:ascii="Times New Roman" w:hAnsi="Times New Roman" w:cs="Times New Roman"/>
          <w:color w:val="auto"/>
          <w:sz w:val="24"/>
          <w:highlight w:val="none"/>
          <w:lang w:eastAsia="zh-CN"/>
        </w:rPr>
        <w:t>甲苯</w:t>
      </w:r>
      <w:r>
        <w:rPr>
          <w:rFonts w:hint="default" w:ascii="Times New Roman" w:hAnsi="Times New Roman" w:cs="Times New Roman"/>
          <w:color w:val="auto"/>
          <w:sz w:val="24"/>
          <w:highlight w:val="none"/>
        </w:rPr>
        <w:t>空白加标回收率为</w:t>
      </w:r>
      <w:r>
        <w:rPr>
          <w:rFonts w:hint="default" w:ascii="Times New Roman" w:hAnsi="Times New Roman" w:cs="Times New Roman"/>
          <w:color w:val="auto"/>
          <w:sz w:val="24"/>
          <w:highlight w:val="none"/>
          <w:lang w:val="en-US" w:eastAsia="zh-CN"/>
        </w:rPr>
        <w:t>82.1</w:t>
      </w:r>
      <w:r>
        <w:rPr>
          <w:rFonts w:hint="default" w:ascii="Times New Roman" w:hAnsi="Times New Roman" w:cs="Times New Roman"/>
          <w:color w:val="auto"/>
          <w:sz w:val="24"/>
          <w:highlight w:val="none"/>
        </w:rPr>
        <w:t>%，在允许加标回收范围（</w:t>
      </w:r>
      <w:r>
        <w:rPr>
          <w:rFonts w:hint="default" w:ascii="Times New Roman" w:hAnsi="Times New Roman" w:cs="Times New Roman"/>
          <w:color w:val="auto"/>
          <w:sz w:val="24"/>
          <w:highlight w:val="none"/>
          <w:lang w:val="en-US" w:eastAsia="zh-CN"/>
        </w:rPr>
        <w:t>80</w:t>
      </w:r>
      <w:r>
        <w:rPr>
          <w:rFonts w:hint="default" w:ascii="Times New Roman" w:hAnsi="Times New Roman" w:cs="Times New Roman"/>
          <w:color w:val="auto"/>
          <w:sz w:val="24"/>
          <w:highlight w:val="none"/>
        </w:rPr>
        <w:t>%~1</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0%）内，基体加标回收率为</w:t>
      </w:r>
      <w:r>
        <w:rPr>
          <w:rFonts w:hint="default" w:ascii="Times New Roman" w:hAnsi="Times New Roman" w:cs="Times New Roman"/>
          <w:color w:val="auto"/>
          <w:sz w:val="24"/>
          <w:highlight w:val="none"/>
          <w:lang w:val="en-US" w:eastAsia="zh-CN"/>
        </w:rPr>
        <w:t>106</w:t>
      </w:r>
      <w:r>
        <w:rPr>
          <w:rFonts w:hint="default" w:ascii="Times New Roman" w:hAnsi="Times New Roman" w:cs="Times New Roman"/>
          <w:color w:val="auto"/>
          <w:sz w:val="24"/>
          <w:highlight w:val="none"/>
        </w:rPr>
        <w:t>%，在允许加标回收范围（</w:t>
      </w:r>
      <w:r>
        <w:rPr>
          <w:rFonts w:hint="default" w:ascii="Times New Roman" w:hAnsi="Times New Roman" w:cs="Times New Roman"/>
          <w:color w:val="auto"/>
          <w:sz w:val="24"/>
          <w:highlight w:val="none"/>
          <w:lang w:val="en-US" w:eastAsia="zh-CN"/>
        </w:rPr>
        <w:t>60</w:t>
      </w:r>
      <w:r>
        <w:rPr>
          <w:rFonts w:hint="default" w:ascii="Times New Roman" w:hAnsi="Times New Roman" w:cs="Times New Roman"/>
          <w:color w:val="auto"/>
          <w:sz w:val="24"/>
          <w:highlight w:val="none"/>
        </w:rPr>
        <w:t>%~130%）内</w:t>
      </w:r>
      <w:r>
        <w:rPr>
          <w:rFonts w:hint="default" w:ascii="Times New Roman" w:hAnsi="Times New Roman" w:cs="Times New Roman"/>
          <w:color w:val="auto"/>
          <w:sz w:val="24"/>
          <w:highlight w:val="none"/>
          <w:lang w:eastAsia="zh-CN"/>
        </w:rPr>
        <w:t>。</w:t>
      </w:r>
    </w:p>
    <w:p>
      <w:pPr>
        <w:numPr>
          <w:ilvl w:val="0"/>
          <w:numId w:val="0"/>
        </w:numPr>
        <w:spacing w:line="360" w:lineRule="auto"/>
        <w:ind w:firstLine="420" w:firstLineChars="0"/>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lang w:eastAsia="zh-CN"/>
        </w:rPr>
        <w:t>（</w:t>
      </w:r>
      <w:r>
        <w:rPr>
          <w:rFonts w:hint="default" w:ascii="Times New Roman" w:hAnsi="Times New Roman" w:cs="Times New Roman"/>
          <w:b/>
          <w:bCs/>
          <w:color w:val="auto"/>
          <w:kern w:val="0"/>
          <w:sz w:val="24"/>
          <w:highlight w:val="none"/>
          <w:lang w:val="en-US" w:eastAsia="zh-CN"/>
        </w:rPr>
        <w:t>4</w:t>
      </w:r>
      <w:r>
        <w:rPr>
          <w:rFonts w:hint="default" w:ascii="Times New Roman" w:hAnsi="Times New Roman" w:cs="Times New Roman"/>
          <w:b/>
          <w:bCs/>
          <w:color w:val="auto"/>
          <w:kern w:val="0"/>
          <w:sz w:val="24"/>
          <w:highlight w:val="none"/>
          <w:lang w:eastAsia="zh-CN"/>
        </w:rPr>
        <w:t>）</w:t>
      </w:r>
      <w:r>
        <w:rPr>
          <w:rFonts w:hint="default" w:ascii="Times New Roman" w:hAnsi="Times New Roman" w:cs="Times New Roman"/>
          <w:b/>
          <w:bCs/>
          <w:color w:val="auto"/>
          <w:kern w:val="0"/>
          <w:sz w:val="24"/>
          <w:highlight w:val="none"/>
        </w:rPr>
        <w:t>替代物加标回收质控</w:t>
      </w:r>
    </w:p>
    <w:p>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本次实验过程对每个样品以及所有的质控样品均进行了替代物（Surrogate）加标检测，并且要求 VOCs 替代物加标的回收率控制在 70%~130%，SVOCs 替代物加标的回收率控制在 50%～130%。本次所有控制样品检测结果的替代物加标回收率均在要求范围内，符合质控要求。</w:t>
      </w:r>
    </w:p>
    <w:p>
      <w:pPr>
        <w:pStyle w:val="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实验室质控结论</w:t>
      </w:r>
    </w:p>
    <w:p>
      <w:pPr>
        <w:spacing w:line="360" w:lineRule="auto"/>
        <w:ind w:left="1" w:firstLine="480" w:firstLineChars="200"/>
        <w:rPr>
          <w:rFonts w:hint="default" w:ascii="Times New Roman" w:hAnsi="Times New Roman" w:cs="Times New Roman"/>
          <w:color w:val="auto"/>
          <w:highlight w:val="none"/>
        </w:rPr>
      </w:pPr>
      <w:r>
        <w:rPr>
          <w:rFonts w:hint="default" w:ascii="Times New Roman" w:hAnsi="Times New Roman" w:cs="Times New Roman"/>
          <w:color w:val="auto"/>
          <w:kern w:val="0"/>
          <w:sz w:val="24"/>
          <w:highlight w:val="none"/>
        </w:rPr>
        <w:t>本次质控方法空白结果均小于报告限值；本次土壤实验室内精密度平行双样测试样品中有机污染物指标均未检出、重金属</w:t>
      </w:r>
      <w:r>
        <w:rPr>
          <w:rFonts w:hint="default" w:ascii="Times New Roman" w:hAnsi="Times New Roman" w:cs="Times New Roman"/>
          <w:color w:val="auto"/>
          <w:kern w:val="0"/>
          <w:sz w:val="24"/>
          <w:highlight w:val="none"/>
          <w:lang w:eastAsia="zh-CN"/>
        </w:rPr>
        <w:t>铬（六价）</w:t>
      </w:r>
      <w:r>
        <w:rPr>
          <w:rFonts w:hint="default" w:ascii="Times New Roman" w:hAnsi="Times New Roman" w:cs="Times New Roman"/>
          <w:color w:val="auto"/>
          <w:kern w:val="0"/>
          <w:sz w:val="24"/>
          <w:highlight w:val="none"/>
        </w:rPr>
        <w:t>均</w:t>
      </w:r>
      <w:r>
        <w:rPr>
          <w:rFonts w:hint="eastAsia" w:cs="Times New Roman"/>
          <w:color w:val="auto"/>
          <w:kern w:val="0"/>
          <w:sz w:val="24"/>
          <w:highlight w:val="none"/>
          <w:lang w:val="en-US" w:eastAsia="zh-CN"/>
        </w:rPr>
        <w:t>未</w:t>
      </w:r>
      <w:r>
        <w:rPr>
          <w:rFonts w:hint="default" w:ascii="Times New Roman" w:hAnsi="Times New Roman" w:cs="Times New Roman"/>
          <w:color w:val="auto"/>
          <w:kern w:val="0"/>
          <w:sz w:val="24"/>
          <w:highlight w:val="none"/>
        </w:rPr>
        <w:t>检出，</w:t>
      </w:r>
      <w:r>
        <w:rPr>
          <w:rFonts w:hint="default" w:ascii="Times New Roman" w:hAnsi="Times New Roman" w:cs="Times New Roman"/>
          <w:color w:val="auto"/>
          <w:sz w:val="24"/>
          <w:highlight w:val="none"/>
        </w:rPr>
        <w:t>重金属土壤室内平行样相对偏差在 0.0%~</w:t>
      </w:r>
      <w:r>
        <w:rPr>
          <w:rFonts w:hint="default" w:ascii="Times New Roman" w:hAnsi="Times New Roman" w:cs="Times New Roman"/>
          <w:color w:val="auto"/>
          <w:sz w:val="24"/>
          <w:highlight w:val="none"/>
          <w:lang w:val="en-US" w:eastAsia="zh-CN"/>
        </w:rPr>
        <w:t>5.3</w:t>
      </w:r>
      <w:r>
        <w:rPr>
          <w:rFonts w:hint="default" w:ascii="Times New Roman" w:hAnsi="Times New Roman" w:cs="Times New Roman"/>
          <w:color w:val="auto"/>
          <w:sz w:val="24"/>
          <w:highlight w:val="none"/>
        </w:rPr>
        <w:t>%，在允许范围内。重金属检测指标</w:t>
      </w:r>
      <w:r>
        <w:rPr>
          <w:rFonts w:hint="eastAsia" w:cs="Times New Roman"/>
          <w:color w:val="auto"/>
          <w:sz w:val="24"/>
          <w:highlight w:val="none"/>
          <w:lang w:val="en-US" w:eastAsia="zh-CN"/>
        </w:rPr>
        <w:t>铬、</w:t>
      </w:r>
      <w:r>
        <w:rPr>
          <w:rFonts w:hint="default" w:ascii="Times New Roman" w:hAnsi="Times New Roman" w:cs="Times New Roman"/>
          <w:color w:val="auto"/>
          <w:sz w:val="24"/>
          <w:highlight w:val="none"/>
        </w:rPr>
        <w:t>铜、</w:t>
      </w:r>
      <w:r>
        <w:rPr>
          <w:rFonts w:hint="eastAsia" w:cs="Times New Roman"/>
          <w:color w:val="auto"/>
          <w:sz w:val="24"/>
          <w:highlight w:val="none"/>
          <w:lang w:val="en-US" w:eastAsia="zh-CN"/>
        </w:rPr>
        <w:t>锌和</w:t>
      </w:r>
      <w:r>
        <w:rPr>
          <w:rFonts w:hint="default" w:ascii="Times New Roman" w:hAnsi="Times New Roman" w:cs="Times New Roman"/>
          <w:color w:val="auto"/>
          <w:sz w:val="24"/>
          <w:highlight w:val="none"/>
        </w:rPr>
        <w:t>镍有证标准样品质控结果合格；样品空白加标/基体加标回收率在允许加标回收率范围内，质控结果合格</w:t>
      </w:r>
      <w:r>
        <w:rPr>
          <w:rFonts w:hint="default" w:ascii="Times New Roman" w:hAnsi="Times New Roman" w:cs="Times New Roman"/>
          <w:color w:val="auto"/>
          <w:kern w:val="0"/>
          <w:sz w:val="24"/>
          <w:highlight w:val="none"/>
        </w:rPr>
        <w:t>；替代物加标回收率</w:t>
      </w:r>
      <w:r>
        <w:rPr>
          <w:rFonts w:hint="default" w:ascii="Times New Roman" w:hAnsi="Times New Roman" w:cs="Times New Roman"/>
          <w:color w:val="auto"/>
          <w:sz w:val="24"/>
          <w:highlight w:val="none"/>
        </w:rPr>
        <w:t>在允许加标回收率范围内，质控结果合格，</w:t>
      </w:r>
      <w:r>
        <w:rPr>
          <w:rFonts w:hint="default" w:ascii="Times New Roman" w:hAnsi="Times New Roman" w:cs="Times New Roman"/>
          <w:color w:val="auto"/>
          <w:kern w:val="0"/>
          <w:sz w:val="24"/>
          <w:highlight w:val="none"/>
        </w:rPr>
        <w:t>因此，本批次测试数据质量可靠，详见</w:t>
      </w:r>
      <w:r>
        <w:rPr>
          <w:rFonts w:hint="default" w:ascii="Times New Roman" w:hAnsi="Times New Roman" w:cs="Times New Roman"/>
          <w:color w:val="auto"/>
          <w:kern w:val="0"/>
          <w:sz w:val="24"/>
          <w:highlight w:val="none"/>
          <w:lang w:eastAsia="zh-CN"/>
        </w:rPr>
        <w:t>附件</w:t>
      </w:r>
      <w:r>
        <w:rPr>
          <w:rFonts w:hint="default" w:ascii="Times New Roman" w:hAnsi="Times New Roman" w:cs="Times New Roman"/>
          <w:color w:val="auto"/>
          <w:kern w:val="0"/>
          <w:sz w:val="24"/>
          <w:highlight w:val="none"/>
          <w:lang w:val="en-US" w:eastAsia="zh-CN"/>
        </w:rPr>
        <w:t>3</w:t>
      </w:r>
      <w:r>
        <w:rPr>
          <w:rFonts w:hint="default" w:ascii="Times New Roman" w:hAnsi="Times New Roman" w:cs="Times New Roman"/>
          <w:color w:val="auto"/>
          <w:kern w:val="0"/>
          <w:sz w:val="24"/>
          <w:highlight w:val="none"/>
          <w:lang w:eastAsia="zh-CN"/>
        </w:rPr>
        <w:t>监测报告和附件</w:t>
      </w:r>
      <w:r>
        <w:rPr>
          <w:rFonts w:hint="default" w:ascii="Times New Roman" w:hAnsi="Times New Roman" w:cs="Times New Roman"/>
          <w:color w:val="auto"/>
          <w:kern w:val="0"/>
          <w:sz w:val="24"/>
          <w:highlight w:val="none"/>
          <w:lang w:val="en-US" w:eastAsia="zh-CN"/>
        </w:rPr>
        <w:t>4质控报告</w:t>
      </w:r>
      <w:r>
        <w:rPr>
          <w:rFonts w:hint="default" w:ascii="Times New Roman" w:hAnsi="Times New Roman" w:cs="Times New Roman"/>
          <w:color w:val="auto"/>
          <w:kern w:val="0"/>
          <w:sz w:val="24"/>
          <w:highlight w:val="none"/>
        </w:rPr>
        <w:t>。</w:t>
      </w:r>
    </w:p>
    <w:p>
      <w:pPr>
        <w:pStyle w:val="5"/>
        <w:tabs>
          <w:tab w:val="clear" w:pos="851"/>
        </w:tabs>
        <w:rPr>
          <w:rFonts w:hint="default" w:ascii="Times New Roman" w:hAnsi="Times New Roman" w:cs="Times New Roman"/>
          <w:color w:val="auto"/>
          <w:highlight w:val="none"/>
        </w:rPr>
      </w:pPr>
      <w:r>
        <w:rPr>
          <w:rFonts w:hint="default" w:ascii="Times New Roman" w:hAnsi="Times New Roman" w:cs="Times New Roman"/>
          <w:color w:val="auto"/>
          <w:highlight w:val="none"/>
        </w:rPr>
        <w:t>设备校正和清洗</w:t>
      </w:r>
    </w:p>
    <w:p>
      <w:pPr>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所有测量仪器在使用前均预先进行了校正，以确保测量结果的准确性。所有取样瓶由实验室提供，统一进行了消毒处理。在采集土样时，始终佩戴干净的一次性手套。</w:t>
      </w:r>
    </w:p>
    <w:p>
      <w:pPr>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取样过程中采用标准操作程序以确保采集到能代表</w:t>
      </w:r>
      <w:r>
        <w:rPr>
          <w:rFonts w:hint="default" w:ascii="Times New Roman" w:hAnsi="Times New Roman" w:cs="Times New Roman"/>
          <w:color w:val="auto"/>
          <w:sz w:val="24"/>
          <w:highlight w:val="none"/>
          <w:lang w:eastAsia="zh-CN"/>
        </w:rPr>
        <w:t>园区</w:t>
      </w:r>
      <w:r>
        <w:rPr>
          <w:rFonts w:hint="default" w:ascii="Times New Roman" w:hAnsi="Times New Roman" w:cs="Times New Roman"/>
          <w:color w:val="auto"/>
          <w:sz w:val="24"/>
          <w:highlight w:val="none"/>
        </w:rPr>
        <w:t>条件的样品。采用的取样方法包括：清洗程序、样品准备和保存、通过样品跟踪单进行样品追踪。现场的质量控制（QC）要填写详细现场观察的记录单，如采样深度、土壤质地、气味、颜色等，以便于后期定性分析。</w:t>
      </w:r>
    </w:p>
    <w:p>
      <w:pPr>
        <w:pStyle w:val="5"/>
        <w:tabs>
          <w:tab w:val="clear" w:pos="851"/>
        </w:tabs>
        <w:rPr>
          <w:rFonts w:hint="default" w:ascii="Times New Roman" w:hAnsi="Times New Roman" w:cs="Times New Roman"/>
          <w:color w:val="auto"/>
          <w:highlight w:val="none"/>
        </w:rPr>
      </w:pPr>
      <w:r>
        <w:rPr>
          <w:rFonts w:hint="default" w:ascii="Times New Roman" w:hAnsi="Times New Roman" w:cs="Times New Roman"/>
          <w:color w:val="auto"/>
          <w:highlight w:val="none"/>
        </w:rPr>
        <w:t>样品交接与运输</w:t>
      </w:r>
    </w:p>
    <w:p>
      <w:pPr>
        <w:spacing w:line="360" w:lineRule="auto"/>
        <w:ind w:left="1"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样品采集后尽快装运核对后送往分析实验室。</w:t>
      </w:r>
      <w:r>
        <w:rPr>
          <w:rFonts w:hint="default" w:ascii="Times New Roman" w:hAnsi="Times New Roman" w:cs="Times New Roman"/>
          <w:color w:val="auto"/>
          <w:sz w:val="24"/>
          <w:highlight w:val="none"/>
          <w:lang w:eastAsia="zh-CN"/>
        </w:rPr>
        <w:t>对于有时限要求的监测指标进行严格的时间把控，例如铬（六价）样品，从采集到实验室预处理时间不应超过</w:t>
      </w:r>
      <w:r>
        <w:rPr>
          <w:rFonts w:hint="default" w:ascii="Times New Roman" w:hAnsi="Times New Roman" w:cs="Times New Roman"/>
          <w:color w:val="auto"/>
          <w:sz w:val="24"/>
          <w:highlight w:val="none"/>
          <w:lang w:val="en-US" w:eastAsia="zh-CN"/>
        </w:rPr>
        <w:t>24h。</w:t>
      </w:r>
    </w:p>
    <w:p>
      <w:pPr>
        <w:spacing w:line="360" w:lineRule="auto"/>
        <w:ind w:left="1" w:firstLine="482" w:firstLineChars="200"/>
        <w:rPr>
          <w:rFonts w:hint="default" w:ascii="Times New Roman" w:hAnsi="Times New Roman" w:cs="Times New Roman"/>
          <w:color w:val="auto"/>
          <w:sz w:val="24"/>
          <w:highlight w:val="none"/>
        </w:rPr>
      </w:pPr>
      <w:r>
        <w:rPr>
          <w:rFonts w:hint="default" w:ascii="Times New Roman" w:hAnsi="Times New Roman" w:cs="Times New Roman"/>
          <w:b/>
          <w:color w:val="auto"/>
          <w:sz w:val="24"/>
          <w:highlight w:val="none"/>
        </w:rPr>
        <w:t>装运前核对：</w:t>
      </w:r>
      <w:r>
        <w:rPr>
          <w:rFonts w:hint="default" w:ascii="Times New Roman" w:hAnsi="Times New Roman" w:cs="Times New Roman"/>
          <w:color w:val="auto"/>
          <w:sz w:val="24"/>
          <w:highlight w:val="none"/>
        </w:rPr>
        <w:t>采样结束后现场逐项检查，如采样记录表、样品标签等，如有缺项、漏项和错误处，应及时补齐和修正后方可装运。</w:t>
      </w:r>
    </w:p>
    <w:p>
      <w:pPr>
        <w:spacing w:line="360" w:lineRule="auto"/>
        <w:ind w:left="1" w:firstLine="482" w:firstLineChars="200"/>
        <w:rPr>
          <w:rFonts w:hint="default" w:ascii="Times New Roman" w:hAnsi="Times New Roman" w:cs="Times New Roman"/>
          <w:color w:val="auto"/>
          <w:sz w:val="24"/>
          <w:highlight w:val="none"/>
        </w:rPr>
      </w:pPr>
      <w:r>
        <w:rPr>
          <w:rFonts w:hint="default" w:ascii="Times New Roman" w:hAnsi="Times New Roman" w:cs="Times New Roman"/>
          <w:b/>
          <w:color w:val="auto"/>
          <w:sz w:val="24"/>
          <w:highlight w:val="none"/>
        </w:rPr>
        <w:t>样品运输：</w:t>
      </w:r>
      <w:r>
        <w:rPr>
          <w:rFonts w:hint="default" w:ascii="Times New Roman" w:hAnsi="Times New Roman" w:cs="Times New Roman"/>
          <w:color w:val="auto"/>
          <w:sz w:val="24"/>
          <w:highlight w:val="none"/>
        </w:rPr>
        <w:t>样品运输过程中严防损失、混淆，并尽快送至实验室分析测试。</w:t>
      </w:r>
    </w:p>
    <w:p>
      <w:pPr>
        <w:spacing w:line="360" w:lineRule="auto"/>
        <w:ind w:left="1" w:firstLine="482" w:firstLineChars="200"/>
        <w:rPr>
          <w:rFonts w:hint="default" w:ascii="Times New Roman" w:hAnsi="Times New Roman" w:cs="Times New Roman"/>
          <w:color w:val="auto"/>
          <w:sz w:val="24"/>
          <w:highlight w:val="none"/>
        </w:rPr>
      </w:pPr>
      <w:r>
        <w:rPr>
          <w:rFonts w:hint="default" w:ascii="Times New Roman" w:hAnsi="Times New Roman" w:cs="Times New Roman"/>
          <w:b/>
          <w:color w:val="auto"/>
          <w:sz w:val="24"/>
          <w:highlight w:val="none"/>
        </w:rPr>
        <w:t>样品交接：</w:t>
      </w:r>
      <w:r>
        <w:rPr>
          <w:rFonts w:hint="default" w:ascii="Times New Roman" w:hAnsi="Times New Roman" w:cs="Times New Roman"/>
          <w:color w:val="auto"/>
          <w:sz w:val="24"/>
          <w:highlight w:val="none"/>
        </w:rPr>
        <w:t>样品送到实验室后，采样人员和实验室样品管理员双方同时清点核实样品。</w:t>
      </w:r>
    </w:p>
    <w:p>
      <w:pPr>
        <w:pStyle w:val="5"/>
        <w:tabs>
          <w:tab w:val="clear" w:pos="851"/>
        </w:tabs>
        <w:rPr>
          <w:rFonts w:hint="default" w:ascii="Times New Roman" w:hAnsi="Times New Roman" w:cs="Times New Roman"/>
          <w:color w:val="auto"/>
          <w:highlight w:val="none"/>
        </w:rPr>
      </w:pPr>
      <w:r>
        <w:rPr>
          <w:rFonts w:hint="default" w:ascii="Times New Roman" w:hAnsi="Times New Roman" w:cs="Times New Roman"/>
          <w:color w:val="auto"/>
          <w:highlight w:val="none"/>
        </w:rPr>
        <w:t>实验室质量控制</w:t>
      </w:r>
    </w:p>
    <w:p>
      <w:pPr>
        <w:spacing w:line="360" w:lineRule="auto"/>
        <w:ind w:firstLine="480" w:firstLineChars="200"/>
        <w:rPr>
          <w:rFonts w:hint="default" w:ascii="Times New Roman" w:hAnsi="Times New Roman" w:cs="Times New Roman"/>
          <w:color w:val="auto"/>
          <w:sz w:val="24"/>
          <w:highlight w:val="none"/>
        </w:rPr>
        <w:sectPr>
          <w:headerReference r:id="rId16" w:type="default"/>
          <w:pgSz w:w="11905" w:h="16838"/>
          <w:pgMar w:top="1134" w:right="1134" w:bottom="1134" w:left="1134" w:header="850" w:footer="992" w:gutter="0"/>
          <w:pgBorders>
            <w:top w:val="none" w:sz="0" w:space="0"/>
            <w:left w:val="none" w:sz="0" w:space="0"/>
            <w:bottom w:val="none" w:sz="0" w:space="0"/>
            <w:right w:val="none" w:sz="0" w:space="0"/>
          </w:pgBorders>
          <w:pgNumType w:fmt="numberInDash"/>
          <w:cols w:space="0" w:num="1"/>
          <w:rtlGutter w:val="0"/>
          <w:docGrid w:type="lines" w:linePitch="332" w:charSpace="0"/>
        </w:sectPr>
      </w:pPr>
      <w:r>
        <w:rPr>
          <w:rFonts w:hint="default" w:ascii="Times New Roman" w:hAnsi="Times New Roman" w:cs="Times New Roman"/>
          <w:color w:val="auto"/>
          <w:sz w:val="24"/>
          <w:highlight w:val="none"/>
        </w:rPr>
        <w:t>实验室分析时设实验室空白、平行样、基质加标。要求分析结果中平行样的相对标准偏差均在要求的范围内，实验室加标和基质加标的平行样品均在要求的相对百分偏差内。样品的保留时间、保留温度等实验室内部质量保证/控制措施均符合规定的要求。</w:t>
      </w:r>
    </w:p>
    <w:p>
      <w:pPr>
        <w:pStyle w:val="3"/>
        <w:numPr>
          <w:ilvl w:val="0"/>
          <w:numId w:val="1"/>
        </w:numPr>
        <w:tabs>
          <w:tab w:val="clear" w:pos="425"/>
        </w:tabs>
        <w:rPr>
          <w:rFonts w:hint="default" w:ascii="Times New Roman" w:hAnsi="Times New Roman" w:cs="Times New Roman"/>
          <w:color w:val="auto"/>
          <w:highlight w:val="none"/>
          <w:lang w:eastAsia="zh-CN"/>
        </w:rPr>
      </w:pPr>
      <w:bookmarkStart w:id="56" w:name="_Toc10302"/>
      <w:bookmarkStart w:id="57" w:name="_Toc11153"/>
      <w:r>
        <w:rPr>
          <w:rFonts w:hint="default" w:ascii="Times New Roman" w:hAnsi="Times New Roman" w:cs="Times New Roman"/>
          <w:color w:val="auto"/>
          <w:highlight w:val="none"/>
          <w:lang w:eastAsia="zh-CN"/>
        </w:rPr>
        <w:t>结果与评价</w:t>
      </w:r>
      <w:bookmarkEnd w:id="56"/>
      <w:bookmarkEnd w:id="57"/>
    </w:p>
    <w:p>
      <w:pPr>
        <w:pStyle w:val="4"/>
        <w:tabs>
          <w:tab w:val="left" w:leader="dot" w:pos="0"/>
          <w:tab w:val="clear" w:pos="425"/>
        </w:tabs>
        <w:rPr>
          <w:rFonts w:hint="default" w:ascii="Times New Roman" w:hAnsi="Times New Roman" w:cs="Times New Roman"/>
          <w:color w:val="auto"/>
          <w:highlight w:val="none"/>
        </w:rPr>
      </w:pPr>
      <w:bookmarkStart w:id="58" w:name="_Toc18729"/>
      <w:bookmarkStart w:id="59" w:name="_Toc303"/>
      <w:bookmarkStart w:id="60" w:name="_Toc55399881"/>
      <w:bookmarkStart w:id="61" w:name="_Toc5936_WPSOffice_Level2"/>
      <w:r>
        <w:rPr>
          <w:rFonts w:hint="default" w:ascii="Times New Roman" w:hAnsi="Times New Roman" w:cs="Times New Roman"/>
          <w:color w:val="auto"/>
          <w:highlight w:val="none"/>
          <w:lang w:eastAsia="zh-CN"/>
        </w:rPr>
        <w:t>园区环境质量参考标准</w:t>
      </w:r>
      <w:bookmarkEnd w:id="58"/>
      <w:bookmarkEnd w:id="59"/>
    </w:p>
    <w:p>
      <w:pPr>
        <w:pStyle w:val="5"/>
        <w:tabs>
          <w:tab w:val="left" w:pos="425"/>
        </w:tabs>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土壤</w:t>
      </w:r>
      <w:bookmarkEnd w:id="60"/>
      <w:bookmarkEnd w:id="61"/>
      <w:r>
        <w:rPr>
          <w:rFonts w:hint="default" w:ascii="Times New Roman" w:hAnsi="Times New Roman" w:cs="Times New Roman"/>
          <w:color w:val="auto"/>
          <w:highlight w:val="none"/>
          <w:lang w:eastAsia="zh-CN"/>
        </w:rPr>
        <w:t>评价标准</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w:t>
      </w:r>
      <w:r>
        <w:rPr>
          <w:rFonts w:hint="default" w:ascii="Times New Roman" w:hAnsi="Times New Roman" w:cs="Times New Roman"/>
          <w:color w:val="auto"/>
          <w:kern w:val="0"/>
          <w:sz w:val="24"/>
          <w:szCs w:val="24"/>
          <w:highlight w:val="none"/>
          <w:lang w:val="en-US" w:eastAsia="zh-CN" w:bidi="ar-SA"/>
        </w:rPr>
        <w:t>园区段</w:t>
      </w:r>
      <w:r>
        <w:rPr>
          <w:rFonts w:hint="default" w:ascii="Times New Roman" w:hAnsi="Times New Roman" w:eastAsia="宋体" w:cs="Times New Roman"/>
          <w:color w:val="auto"/>
          <w:kern w:val="0"/>
          <w:sz w:val="24"/>
          <w:szCs w:val="24"/>
          <w:highlight w:val="none"/>
          <w:lang w:val="en-US" w:eastAsia="zh-CN" w:bidi="ar-SA"/>
        </w:rPr>
        <w:t>共测试</w:t>
      </w:r>
      <w:r>
        <w:rPr>
          <w:rFonts w:hint="default" w:ascii="Times New Roman" w:hAnsi="Times New Roman" w:cs="Times New Roman"/>
          <w:color w:val="auto"/>
          <w:kern w:val="0"/>
          <w:sz w:val="24"/>
          <w:szCs w:val="24"/>
          <w:highlight w:val="none"/>
          <w:lang w:val="en-US" w:eastAsia="zh-CN" w:bidi="ar-SA"/>
        </w:rPr>
        <w:t>61</w:t>
      </w:r>
      <w:r>
        <w:rPr>
          <w:rFonts w:hint="default" w:ascii="Times New Roman" w:hAnsi="Times New Roman" w:eastAsia="宋体" w:cs="Times New Roman"/>
          <w:color w:val="auto"/>
          <w:kern w:val="0"/>
          <w:sz w:val="24"/>
          <w:szCs w:val="24"/>
          <w:highlight w:val="none"/>
          <w:lang w:val="en-US" w:eastAsia="zh-CN" w:bidi="ar-SA"/>
        </w:rPr>
        <w:t>个项目</w:t>
      </w:r>
      <w:r>
        <w:rPr>
          <w:rFonts w:hint="eastAsia"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采集</w:t>
      </w:r>
      <w:r>
        <w:rPr>
          <w:rFonts w:hint="default" w:ascii="Times New Roman" w:hAnsi="Times New Roman" w:cs="Times New Roman"/>
          <w:color w:val="auto"/>
          <w:kern w:val="0"/>
          <w:sz w:val="24"/>
          <w:szCs w:val="24"/>
          <w:highlight w:val="none"/>
          <w:lang w:val="en-US" w:eastAsia="zh-CN" w:bidi="ar-SA"/>
        </w:rPr>
        <w:t>16个点位样品（</w:t>
      </w:r>
      <w:r>
        <w:rPr>
          <w:rFonts w:hint="eastAsia" w:cs="Times New Roman"/>
          <w:color w:val="auto"/>
          <w:kern w:val="0"/>
          <w:sz w:val="24"/>
          <w:szCs w:val="24"/>
          <w:highlight w:val="none"/>
          <w:lang w:val="en-US" w:eastAsia="zh-CN" w:bidi="ar-SA"/>
        </w:rPr>
        <w:t>不含质控样品</w:t>
      </w:r>
      <w:r>
        <w:rPr>
          <w:rFonts w:hint="default" w:ascii="Times New Roman" w:hAnsi="Times New Roman" w:cs="Times New Roman"/>
          <w:color w:val="auto"/>
          <w:kern w:val="0"/>
          <w:sz w:val="24"/>
          <w:szCs w:val="24"/>
          <w:highlight w:val="none"/>
          <w:lang w:val="en-US" w:eastAsia="zh-CN" w:bidi="ar-SA"/>
        </w:rPr>
        <w:t>）</w:t>
      </w:r>
      <w:r>
        <w:rPr>
          <w:rFonts w:hint="eastAsia"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根据点位所在位置对应的建设用地或农用地土壤类型，参考《土壤环境质量 建设用地土壤污染风险管控标准（试行）（GB36600</w:t>
      </w:r>
      <w:r>
        <w:rPr>
          <w:rFonts w:hint="default" w:ascii="Times New Roman" w:hAnsi="Times New Roman" w:cs="Times New Roman"/>
          <w:color w:val="auto"/>
          <w:kern w:val="0"/>
          <w:sz w:val="24"/>
          <w:szCs w:val="24"/>
          <w:highlight w:val="none"/>
          <w:lang w:val="en-US" w:eastAsia="zh-CN" w:bidi="ar-SA"/>
        </w:rPr>
        <w:t>-2018</w:t>
      </w:r>
      <w:r>
        <w:rPr>
          <w:rFonts w:hint="default" w:ascii="Times New Roman" w:hAnsi="Times New Roman" w:eastAsia="宋体" w:cs="Times New Roman"/>
          <w:color w:val="auto"/>
          <w:kern w:val="0"/>
          <w:sz w:val="24"/>
          <w:szCs w:val="24"/>
          <w:highlight w:val="none"/>
          <w:lang w:val="en-US" w:eastAsia="zh-CN" w:bidi="ar-SA"/>
        </w:rPr>
        <w:t>）》</w:t>
      </w:r>
      <w:r>
        <w:rPr>
          <w:rFonts w:hint="default" w:ascii="Times New Roman" w:hAnsi="Times New Roman" w:cs="Times New Roman"/>
          <w:color w:val="auto"/>
          <w:kern w:val="0"/>
          <w:sz w:val="24"/>
          <w:szCs w:val="24"/>
          <w:highlight w:val="none"/>
          <w:lang w:val="en-US" w:eastAsia="zh-CN" w:bidi="ar-SA"/>
        </w:rPr>
        <w:t>（以下简称“GB36600”）</w:t>
      </w:r>
      <w:r>
        <w:rPr>
          <w:rFonts w:hint="default" w:ascii="Times New Roman" w:hAnsi="Times New Roman" w:eastAsia="宋体" w:cs="Times New Roman"/>
          <w:color w:val="auto"/>
          <w:kern w:val="0"/>
          <w:sz w:val="24"/>
          <w:szCs w:val="24"/>
          <w:highlight w:val="none"/>
          <w:lang w:val="en-US" w:eastAsia="zh-CN" w:bidi="ar-SA"/>
        </w:rPr>
        <w:t>、《土壤环境质量 农用地土壤污染风险管控标准（试行）（GB1561</w:t>
      </w:r>
      <w:r>
        <w:rPr>
          <w:rFonts w:hint="default" w:ascii="Times New Roman" w:hAnsi="Times New Roman" w:cs="Times New Roman"/>
          <w:color w:val="auto"/>
          <w:kern w:val="0"/>
          <w:sz w:val="24"/>
          <w:szCs w:val="24"/>
          <w:highlight w:val="none"/>
          <w:lang w:val="en-US" w:eastAsia="zh-CN" w:bidi="ar-SA"/>
        </w:rPr>
        <w:t>8-2018</w:t>
      </w:r>
      <w:r>
        <w:rPr>
          <w:rFonts w:hint="default" w:ascii="Times New Roman" w:hAnsi="Times New Roman" w:eastAsia="宋体" w:cs="Times New Roman"/>
          <w:color w:val="auto"/>
          <w:kern w:val="0"/>
          <w:sz w:val="24"/>
          <w:szCs w:val="24"/>
          <w:highlight w:val="none"/>
          <w:lang w:val="en-US" w:eastAsia="zh-CN" w:bidi="ar-SA"/>
        </w:rPr>
        <w:t>）》</w:t>
      </w:r>
      <w:r>
        <w:rPr>
          <w:rFonts w:hint="default" w:ascii="Times New Roman" w:hAnsi="Times New Roman" w:cs="Times New Roman"/>
          <w:color w:val="auto"/>
          <w:kern w:val="0"/>
          <w:sz w:val="24"/>
          <w:szCs w:val="24"/>
          <w:highlight w:val="none"/>
          <w:lang w:val="en-US" w:eastAsia="zh-CN" w:bidi="ar-SA"/>
        </w:rPr>
        <w:t>（以下简称“GB15618”）</w:t>
      </w:r>
      <w:r>
        <w:rPr>
          <w:rFonts w:hint="default" w:ascii="Times New Roman" w:hAnsi="Times New Roman" w:eastAsia="宋体" w:cs="Times New Roman"/>
          <w:color w:val="auto"/>
          <w:kern w:val="0"/>
          <w:sz w:val="24"/>
          <w:szCs w:val="24"/>
          <w:highlight w:val="none"/>
          <w:lang w:val="en-US" w:eastAsia="zh-CN" w:bidi="ar-SA"/>
        </w:rPr>
        <w:t>进行评估，其中无法参考上述标准的测试因子采用《建设用地土壤污染风险筛选值和管制值（DB4403_T 67-2020）（深圳</w:t>
      </w:r>
      <w:r>
        <w:rPr>
          <w:rFonts w:hint="default" w:ascii="Times New Roman" w:hAnsi="Times New Roman"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w:t>
      </w:r>
      <w:r>
        <w:rPr>
          <w:rFonts w:hint="default" w:ascii="Times New Roman" w:hAnsi="Times New Roman" w:cs="Times New Roman"/>
          <w:color w:val="auto"/>
          <w:kern w:val="0"/>
          <w:sz w:val="24"/>
          <w:szCs w:val="24"/>
          <w:highlight w:val="none"/>
          <w:lang w:val="en-US" w:eastAsia="zh-CN" w:bidi="ar-SA"/>
        </w:rPr>
        <w:t>（以下简称“深圳标准”）、</w:t>
      </w:r>
      <w:r>
        <w:rPr>
          <w:rFonts w:hint="default" w:ascii="Times New Roman" w:hAnsi="Times New Roman" w:cs="Times New Roman"/>
          <w:color w:val="000000"/>
          <w:kern w:val="0"/>
          <w:highlight w:val="none"/>
        </w:rPr>
        <w:t>《建设用地土壤污染风险筛选值（DB13_T 5216-2020）</w:t>
      </w:r>
      <w:r>
        <w:rPr>
          <w:rFonts w:hint="eastAsia" w:cs="Times New Roman"/>
          <w:color w:val="000000"/>
          <w:kern w:val="0"/>
          <w:highlight w:val="none"/>
          <w:lang w:eastAsia="zh-CN"/>
        </w:rPr>
        <w:t>（</w:t>
      </w:r>
      <w:r>
        <w:rPr>
          <w:rFonts w:hint="eastAsia" w:cs="Times New Roman"/>
          <w:color w:val="000000"/>
          <w:kern w:val="0"/>
          <w:highlight w:val="none"/>
          <w:lang w:val="en-US" w:eastAsia="zh-CN"/>
        </w:rPr>
        <w:t>河北</w:t>
      </w:r>
      <w:r>
        <w:rPr>
          <w:rFonts w:hint="eastAsia" w:cs="Times New Roman"/>
          <w:color w:val="000000"/>
          <w:kern w:val="0"/>
          <w:highlight w:val="none"/>
          <w:lang w:eastAsia="zh-CN"/>
        </w:rPr>
        <w:t>）</w:t>
      </w:r>
      <w:r>
        <w:rPr>
          <w:rFonts w:hint="default" w:ascii="Times New Roman" w:hAnsi="Times New Roman" w:cs="Times New Roman"/>
          <w:color w:val="000000"/>
          <w:kern w:val="0"/>
          <w:highlight w:val="none"/>
        </w:rPr>
        <w:t>》（以下简称“河北标准”）</w:t>
      </w:r>
      <w:r>
        <w:rPr>
          <w:rFonts w:hint="default" w:ascii="Times New Roman" w:hAnsi="Times New Roman" w:eastAsia="宋体" w:cs="Times New Roman"/>
          <w:color w:val="auto"/>
          <w:kern w:val="0"/>
          <w:sz w:val="24"/>
          <w:szCs w:val="24"/>
          <w:highlight w:val="none"/>
          <w:lang w:val="en-US" w:eastAsia="zh-CN" w:bidi="ar-SA"/>
        </w:rPr>
        <w:t>中对应的用地类型</w:t>
      </w:r>
      <w:r>
        <w:rPr>
          <w:rFonts w:hint="default" w:ascii="Times New Roman" w:hAnsi="Times New Roman" w:cs="Times New Roman"/>
          <w:color w:val="auto"/>
          <w:kern w:val="0"/>
          <w:sz w:val="24"/>
          <w:szCs w:val="24"/>
          <w:highlight w:val="none"/>
          <w:lang w:val="en-US" w:eastAsia="zh-CN" w:bidi="ar-SA"/>
        </w:rPr>
        <w:t>或风险评估计算值</w:t>
      </w:r>
      <w:r>
        <w:rPr>
          <w:rFonts w:hint="default" w:ascii="Times New Roman" w:hAnsi="Times New Roman" w:eastAsia="宋体" w:cs="Times New Roman"/>
          <w:color w:val="auto"/>
          <w:kern w:val="0"/>
          <w:sz w:val="24"/>
          <w:szCs w:val="24"/>
          <w:highlight w:val="none"/>
          <w:lang w:val="en-US" w:eastAsia="zh-CN" w:bidi="ar-SA"/>
        </w:rPr>
        <w:t>进行评估。</w:t>
      </w:r>
      <w:r>
        <w:rPr>
          <w:rFonts w:hint="default" w:ascii="Times New Roman" w:hAnsi="Times New Roman" w:cs="Times New Roman"/>
          <w:color w:val="auto"/>
          <w:kern w:val="0"/>
          <w:sz w:val="24"/>
          <w:szCs w:val="24"/>
          <w:highlight w:val="none"/>
          <w:lang w:val="en-US" w:eastAsia="zh-CN" w:bidi="ar-SA"/>
        </w:rPr>
        <w:t>具体原则如下：</w:t>
      </w:r>
    </w:p>
    <w:p>
      <w:pPr>
        <w:pStyle w:val="2"/>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园区周边土壤点位根据现场踏勘结合谷歌卫片，采用现状用地类型进行评估；</w:t>
      </w:r>
    </w:p>
    <w:p>
      <w:pPr>
        <w:pStyle w:val="2"/>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已建成企业聚集区周边点位根据</w:t>
      </w:r>
      <w:r>
        <w:rPr>
          <w:rFonts w:hint="eastAsia" w:cs="Times New Roman"/>
          <w:color w:val="auto"/>
          <w:kern w:val="0"/>
          <w:sz w:val="24"/>
          <w:szCs w:val="24"/>
          <w:highlight w:val="none"/>
          <w:lang w:val="en-US" w:eastAsia="zh-CN" w:bidi="ar-SA"/>
        </w:rPr>
        <w:t>《</w:t>
      </w:r>
      <w:r>
        <w:rPr>
          <w:rFonts w:hint="eastAsia" w:cs="Times New Roman"/>
          <w:color w:val="auto"/>
          <w:kern w:val="0"/>
          <w:sz w:val="24"/>
          <w:highlight w:val="none"/>
          <w:lang w:val="en-US" w:eastAsia="zh-CN"/>
        </w:rPr>
        <w:t>鄂州市三江港新区总体规划（2013-2030）——土地使用规划图》</w:t>
      </w:r>
      <w:r>
        <w:rPr>
          <w:rFonts w:hint="default" w:ascii="Times New Roman" w:hAnsi="Times New Roman" w:cs="Times New Roman"/>
          <w:color w:val="auto"/>
          <w:kern w:val="0"/>
          <w:sz w:val="24"/>
          <w:highlight w:val="none"/>
          <w:lang w:val="en-US" w:eastAsia="zh-CN"/>
        </w:rPr>
        <w:t>，</w:t>
      </w:r>
      <w:r>
        <w:rPr>
          <w:rFonts w:hint="default" w:ascii="Times New Roman" w:hAnsi="Times New Roman" w:cs="Times New Roman"/>
          <w:color w:val="auto"/>
          <w:kern w:val="0"/>
          <w:sz w:val="24"/>
          <w:szCs w:val="24"/>
          <w:highlight w:val="none"/>
          <w:lang w:val="en-US" w:eastAsia="zh-CN" w:bidi="ar-SA"/>
        </w:rPr>
        <w:t>采用规划用地类型进行评估；</w:t>
      </w:r>
    </w:p>
    <w:p>
      <w:pPr>
        <w:pStyle w:val="2"/>
        <w:keepNext w:val="0"/>
        <w:keepLines w:val="0"/>
        <w:pageBreakBefore w:val="0"/>
        <w:widowControl/>
        <w:numPr>
          <w:ilvl w:val="0"/>
          <w:numId w:val="9"/>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000000"/>
          <w:kern w:val="0"/>
          <w:highlight w:val="none"/>
        </w:rPr>
        <w:t>对于园区周边土壤中现状用地为农用地的点位，GB15618中未涉及的因子</w:t>
      </w:r>
      <w:r>
        <w:rPr>
          <w:rFonts w:hint="default" w:ascii="Times New Roman" w:hAnsi="Times New Roman" w:cs="Times New Roman"/>
          <w:color w:val="000000"/>
          <w:kern w:val="0"/>
          <w:highlight w:val="none"/>
          <w:lang w:val="en-US" w:eastAsia="zh-CN"/>
        </w:rPr>
        <w:t>参照</w:t>
      </w:r>
      <w:r>
        <w:rPr>
          <w:rFonts w:hint="default" w:ascii="Times New Roman" w:hAnsi="Times New Roman" w:cs="Times New Roman"/>
          <w:color w:val="000000"/>
          <w:kern w:val="0"/>
          <w:highlight w:val="none"/>
        </w:rPr>
        <w:t>GB36600第一类用地筛选值进行评估。</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各点位参考标准</w:t>
      </w:r>
      <w:r>
        <w:rPr>
          <w:rFonts w:hint="default" w:ascii="Times New Roman" w:hAnsi="Times New Roman" w:eastAsia="宋体" w:cs="Times New Roman"/>
          <w:color w:val="auto"/>
          <w:kern w:val="0"/>
          <w:sz w:val="24"/>
          <w:szCs w:val="24"/>
          <w:highlight w:val="none"/>
          <w:lang w:val="en-US" w:eastAsia="zh-CN" w:bidi="ar-SA"/>
        </w:rPr>
        <w:t>具体如下</w:t>
      </w:r>
      <w:r>
        <w:rPr>
          <w:rFonts w:hint="default" w:ascii="Times New Roman" w:hAnsi="Times New Roman" w:cs="Times New Roman"/>
          <w:color w:val="auto"/>
          <w:kern w:val="0"/>
          <w:sz w:val="24"/>
          <w:szCs w:val="24"/>
          <w:highlight w:val="none"/>
          <w:lang w:val="en-US" w:eastAsia="zh-CN" w:bidi="ar-SA"/>
        </w:rPr>
        <w:t>表所示。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highlight w:val="none"/>
          <w:lang w:val="en-US" w:eastAsia="zh-CN"/>
        </w:rPr>
      </w:pPr>
      <w:r>
        <w:rPr>
          <w:rFonts w:hint="default" w:ascii="Times New Roman" w:hAnsi="Times New Roman" w:eastAsia="黑体" w:cs="Times New Roman"/>
          <w:b/>
          <w:bCs/>
          <w:color w:val="auto"/>
          <w:sz w:val="24"/>
          <w:highlight w:val="none"/>
        </w:rPr>
        <w:t>表5-1-</w:t>
      </w:r>
      <w:r>
        <w:rPr>
          <w:rFonts w:hint="default" w:ascii="Times New Roman" w:hAnsi="Times New Roman" w:eastAsia="黑体" w:cs="Times New Roman"/>
          <w:b/>
          <w:bCs/>
          <w:color w:val="auto"/>
          <w:sz w:val="24"/>
          <w:highlight w:val="none"/>
          <w:lang w:val="en-US" w:eastAsia="zh-CN"/>
        </w:rPr>
        <w:t xml:space="preserve">1 </w:t>
      </w:r>
      <w:r>
        <w:rPr>
          <w:rFonts w:hint="default" w:ascii="Times New Roman" w:hAnsi="Times New Roman" w:eastAsia="黑体" w:cs="Times New Roman"/>
          <w:b/>
          <w:bCs/>
          <w:color w:val="auto"/>
          <w:sz w:val="24"/>
          <w:highlight w:val="none"/>
          <w:lang w:eastAsia="zh-CN"/>
        </w:rPr>
        <w:t>三江港经济区区土壤点位参考标准一览表</w:t>
      </w:r>
    </w:p>
    <w:tbl>
      <w:tblPr>
        <w:tblStyle w:val="21"/>
        <w:tblW w:w="9612"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634"/>
        <w:gridCol w:w="1155"/>
        <w:gridCol w:w="1080"/>
        <w:gridCol w:w="2640"/>
        <w:gridCol w:w="410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2" w:hRule="atLeast"/>
          <w:tblHeader/>
          <w:jc w:val="center"/>
        </w:trPr>
        <w:tc>
          <w:tcPr>
            <w:tcW w:w="634" w:type="dxa"/>
            <w:tcBorders>
              <w:bottom w:val="single" w:color="000000" w:sz="12"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序号</w:t>
            </w:r>
          </w:p>
        </w:tc>
        <w:tc>
          <w:tcPr>
            <w:tcW w:w="1155" w:type="dxa"/>
            <w:tcBorders>
              <w:bottom w:val="single" w:color="000000" w:sz="12"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点位编号</w:t>
            </w:r>
          </w:p>
        </w:tc>
        <w:tc>
          <w:tcPr>
            <w:tcW w:w="1080" w:type="dxa"/>
            <w:tcBorders>
              <w:bottom w:val="single" w:color="000000" w:sz="12"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cs="Times New Roman"/>
                <w:b/>
                <w:bCs/>
                <w:i w:val="0"/>
                <w:color w:val="auto"/>
                <w:kern w:val="0"/>
                <w:sz w:val="21"/>
                <w:szCs w:val="21"/>
                <w:highlight w:val="none"/>
                <w:u w:val="none"/>
                <w:lang w:val="en-US" w:eastAsia="zh-CN" w:bidi="ar"/>
              </w:rPr>
              <w:t>点位类型</w:t>
            </w:r>
          </w:p>
        </w:tc>
        <w:tc>
          <w:tcPr>
            <w:tcW w:w="2640" w:type="dxa"/>
            <w:tcBorders>
              <w:bottom w:val="single" w:color="000000" w:sz="12"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规划/现状用地类型</w:t>
            </w:r>
            <w:r>
              <w:rPr>
                <w:rFonts w:hint="default" w:ascii="Times New Roman" w:hAnsi="Times New Roman" w:cs="Times New Roman"/>
                <w:b/>
                <w:bCs/>
                <w:i w:val="0"/>
                <w:color w:val="auto"/>
                <w:kern w:val="0"/>
                <w:sz w:val="21"/>
                <w:szCs w:val="21"/>
                <w:highlight w:val="none"/>
                <w:u w:val="none"/>
                <w:vertAlign w:val="superscript"/>
                <w:lang w:val="en-US" w:eastAsia="zh-CN" w:bidi="ar"/>
              </w:rPr>
              <w:t>①</w:t>
            </w:r>
          </w:p>
        </w:tc>
        <w:tc>
          <w:tcPr>
            <w:tcW w:w="4103" w:type="dxa"/>
            <w:tcBorders>
              <w:bottom w:val="single" w:color="000000" w:sz="12"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cs="Times New Roman"/>
                <w:b/>
                <w:bCs/>
                <w:i w:val="0"/>
                <w:color w:val="auto"/>
                <w:kern w:val="0"/>
                <w:sz w:val="21"/>
                <w:szCs w:val="21"/>
                <w:highlight w:val="none"/>
                <w:u w:val="none"/>
                <w:lang w:val="en-US" w:eastAsia="zh-CN" w:bidi="ar"/>
              </w:rPr>
              <w:t>参考标准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634" w:type="dxa"/>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1155" w:type="dxa"/>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SJG-1-75</w:t>
            </w:r>
          </w:p>
        </w:tc>
        <w:tc>
          <w:tcPr>
            <w:tcW w:w="1080" w:type="dxa"/>
            <w:vMerge w:val="restart"/>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工业园周边点位</w:t>
            </w:r>
          </w:p>
        </w:tc>
        <w:tc>
          <w:tcPr>
            <w:tcW w:w="2640" w:type="dxa"/>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color w:val="auto"/>
                <w:sz w:val="21"/>
                <w:szCs w:val="21"/>
                <w:highlight w:val="none"/>
                <w:u w:val="none"/>
                <w:lang w:eastAsia="zh-CN"/>
              </w:rPr>
            </w:pPr>
            <w:r>
              <w:rPr>
                <w:rFonts w:hint="default" w:ascii="Times New Roman" w:hAnsi="Times New Roman" w:cs="Times New Roman"/>
                <w:i w:val="0"/>
                <w:color w:val="auto"/>
                <w:sz w:val="21"/>
                <w:szCs w:val="21"/>
                <w:highlight w:val="none"/>
                <w:u w:val="none"/>
                <w:lang w:eastAsia="zh-CN"/>
              </w:rPr>
              <w:t>道路与交通设施用地</w:t>
            </w:r>
          </w:p>
        </w:tc>
        <w:tc>
          <w:tcPr>
            <w:tcW w:w="4103" w:type="dxa"/>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第二类用地筛选值</w:t>
            </w:r>
            <w:r>
              <w:rPr>
                <w:rFonts w:hint="eastAsia" w:cs="Times New Roman"/>
                <w:i w:val="0"/>
                <w:color w:val="auto"/>
                <w:sz w:val="21"/>
                <w:szCs w:val="21"/>
                <w:highlight w:val="none"/>
                <w:u w:val="none"/>
                <w:vertAlign w:val="superscript"/>
                <w:lang w:val="en-US" w:eastAsia="zh-CN"/>
              </w:rPr>
              <w:t>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63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SJG-1-200</w:t>
            </w:r>
          </w:p>
        </w:tc>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p>
        </w:tc>
        <w:tc>
          <w:tcPr>
            <w:tcW w:w="264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sz w:val="21"/>
                <w:szCs w:val="21"/>
                <w:highlight w:val="none"/>
                <w:u w:val="none"/>
                <w:lang w:eastAsia="zh-CN"/>
              </w:rPr>
              <w:t>农用地：其它</w:t>
            </w:r>
            <w:r>
              <w:rPr>
                <w:rFonts w:hint="eastAsia" w:cs="Times New Roman"/>
                <w:i w:val="0"/>
                <w:color w:val="auto"/>
                <w:sz w:val="21"/>
                <w:szCs w:val="21"/>
                <w:highlight w:val="none"/>
                <w:u w:val="none"/>
                <w:vertAlign w:val="superscript"/>
                <w:lang w:val="en-US" w:eastAsia="zh-CN"/>
              </w:rPr>
              <w:t>③</w:t>
            </w:r>
          </w:p>
        </w:tc>
        <w:tc>
          <w:tcPr>
            <w:tcW w:w="410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i w:val="0"/>
                <w:color w:val="auto"/>
                <w:sz w:val="21"/>
                <w:szCs w:val="21"/>
                <w:highlight w:val="none"/>
                <w:u w:val="none"/>
                <w:lang w:val="en-US" w:eastAsia="zh-CN"/>
              </w:rPr>
              <w:t>GB15618</w:t>
            </w:r>
            <w:r>
              <w:rPr>
                <w:rFonts w:hint="default" w:ascii="Times New Roman" w:hAnsi="Times New Roman" w:cs="Times New Roman"/>
                <w:i w:val="0"/>
                <w:color w:val="auto"/>
                <w:sz w:val="21"/>
                <w:szCs w:val="21"/>
                <w:highlight w:val="none"/>
                <w:u w:val="none"/>
                <w:lang w:eastAsia="zh-CN"/>
              </w:rPr>
              <w:t>其它</w:t>
            </w:r>
            <w:r>
              <w:rPr>
                <w:rFonts w:hint="default" w:ascii="Times New Roman" w:hAnsi="Times New Roman" w:cs="Times New Roman"/>
                <w:i w:val="0"/>
                <w:color w:val="auto"/>
                <w:sz w:val="21"/>
                <w:szCs w:val="21"/>
                <w:highlight w:val="none"/>
                <w:u w:val="none"/>
                <w:lang w:val="en-US" w:eastAsia="zh-CN"/>
              </w:rPr>
              <w:t>、第一类用地筛选值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63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SJG-2-75</w:t>
            </w:r>
          </w:p>
        </w:tc>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p>
        </w:tc>
        <w:tc>
          <w:tcPr>
            <w:tcW w:w="264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sz w:val="21"/>
                <w:szCs w:val="21"/>
                <w:highlight w:val="none"/>
                <w:u w:val="none"/>
                <w:lang w:eastAsia="zh-CN"/>
              </w:rPr>
              <w:t>道路与交通设施用地</w:t>
            </w:r>
          </w:p>
        </w:tc>
        <w:tc>
          <w:tcPr>
            <w:tcW w:w="410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i w:val="0"/>
                <w:color w:val="auto"/>
                <w:sz w:val="21"/>
                <w:szCs w:val="21"/>
                <w:highlight w:val="none"/>
                <w:u w:val="none"/>
                <w:lang w:val="en-US" w:eastAsia="zh-CN"/>
              </w:rPr>
              <w:t>第二类用地筛选值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63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SJG-2-200</w:t>
            </w:r>
          </w:p>
        </w:tc>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p>
        </w:tc>
        <w:tc>
          <w:tcPr>
            <w:tcW w:w="264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sz w:val="21"/>
                <w:szCs w:val="21"/>
                <w:highlight w:val="none"/>
                <w:u w:val="none"/>
                <w:lang w:eastAsia="zh-CN"/>
              </w:rPr>
              <w:t>道路与交通设施用地</w:t>
            </w:r>
          </w:p>
        </w:tc>
        <w:tc>
          <w:tcPr>
            <w:tcW w:w="410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i w:val="0"/>
                <w:color w:val="auto"/>
                <w:sz w:val="21"/>
                <w:szCs w:val="21"/>
                <w:highlight w:val="none"/>
                <w:u w:val="none"/>
                <w:lang w:val="en-US" w:eastAsia="zh-CN"/>
              </w:rPr>
              <w:t>第二类用地筛选值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63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SJG-2-400</w:t>
            </w:r>
          </w:p>
        </w:tc>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p>
        </w:tc>
        <w:tc>
          <w:tcPr>
            <w:tcW w:w="264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sz w:val="21"/>
                <w:szCs w:val="21"/>
                <w:highlight w:val="none"/>
                <w:u w:val="none"/>
                <w:lang w:eastAsia="zh-CN"/>
              </w:rPr>
              <w:t>道路与交通设施用地</w:t>
            </w:r>
          </w:p>
        </w:tc>
        <w:tc>
          <w:tcPr>
            <w:tcW w:w="410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i w:val="0"/>
                <w:color w:val="auto"/>
                <w:sz w:val="21"/>
                <w:szCs w:val="21"/>
                <w:highlight w:val="none"/>
                <w:u w:val="none"/>
                <w:lang w:val="en-US" w:eastAsia="zh-CN"/>
              </w:rPr>
              <w:t>第二类用地筛选值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3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SJG-3</w:t>
            </w:r>
          </w:p>
        </w:tc>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p>
        </w:tc>
        <w:tc>
          <w:tcPr>
            <w:tcW w:w="264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sz w:val="21"/>
                <w:szCs w:val="21"/>
                <w:highlight w:val="none"/>
                <w:u w:val="none"/>
                <w:lang w:eastAsia="zh-CN"/>
              </w:rPr>
              <w:t>防护绿地</w:t>
            </w:r>
          </w:p>
        </w:tc>
        <w:tc>
          <w:tcPr>
            <w:tcW w:w="410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i w:val="0"/>
                <w:color w:val="auto"/>
                <w:sz w:val="21"/>
                <w:szCs w:val="21"/>
                <w:highlight w:val="none"/>
                <w:u w:val="none"/>
                <w:lang w:val="en-US" w:eastAsia="zh-CN"/>
              </w:rPr>
              <w:t>第二类用地筛选值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63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SJG-4</w:t>
            </w:r>
          </w:p>
        </w:tc>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p>
        </w:tc>
        <w:tc>
          <w:tcPr>
            <w:tcW w:w="264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eastAsia="zh-CN"/>
              </w:rPr>
            </w:pPr>
            <w:r>
              <w:rPr>
                <w:rFonts w:hint="default" w:ascii="Times New Roman" w:hAnsi="Times New Roman" w:cs="Times New Roman"/>
                <w:i w:val="0"/>
                <w:color w:val="auto"/>
                <w:sz w:val="21"/>
                <w:szCs w:val="21"/>
                <w:highlight w:val="none"/>
                <w:u w:val="none"/>
                <w:lang w:eastAsia="zh-CN"/>
              </w:rPr>
              <w:t>防护绿地</w:t>
            </w:r>
          </w:p>
        </w:tc>
        <w:tc>
          <w:tcPr>
            <w:tcW w:w="410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i w:val="0"/>
                <w:color w:val="auto"/>
                <w:sz w:val="21"/>
                <w:szCs w:val="21"/>
                <w:highlight w:val="none"/>
                <w:u w:val="none"/>
                <w:lang w:val="en-US" w:eastAsia="zh-CN"/>
              </w:rPr>
              <w:t>第二类用地筛选值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63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8</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SJG-JJ-1</w:t>
            </w:r>
          </w:p>
        </w:tc>
        <w:tc>
          <w:tcPr>
            <w:tcW w:w="1080"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企业聚集区周边</w:t>
            </w:r>
          </w:p>
        </w:tc>
        <w:tc>
          <w:tcPr>
            <w:tcW w:w="264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sz w:val="21"/>
                <w:szCs w:val="21"/>
                <w:highlight w:val="none"/>
                <w:u w:val="none"/>
                <w:lang w:eastAsia="zh-CN"/>
              </w:rPr>
              <w:t>工业用地</w:t>
            </w:r>
          </w:p>
        </w:tc>
        <w:tc>
          <w:tcPr>
            <w:tcW w:w="410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i w:val="0"/>
                <w:color w:val="auto"/>
                <w:sz w:val="21"/>
                <w:szCs w:val="21"/>
                <w:highlight w:val="none"/>
                <w:u w:val="none"/>
                <w:lang w:val="en-US" w:eastAsia="zh-CN"/>
              </w:rPr>
              <w:t>第二类用地筛选值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63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SJG-JJ-2</w:t>
            </w:r>
          </w:p>
        </w:tc>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p>
        </w:tc>
        <w:tc>
          <w:tcPr>
            <w:tcW w:w="264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color w:val="auto"/>
                <w:sz w:val="21"/>
                <w:szCs w:val="21"/>
                <w:highlight w:val="none"/>
                <w:u w:val="none"/>
                <w:lang w:eastAsia="zh-CN"/>
              </w:rPr>
            </w:pPr>
            <w:r>
              <w:rPr>
                <w:rFonts w:hint="default" w:ascii="Times New Roman" w:hAnsi="Times New Roman" w:cs="Times New Roman"/>
                <w:i w:val="0"/>
                <w:color w:val="auto"/>
                <w:sz w:val="21"/>
                <w:szCs w:val="21"/>
                <w:highlight w:val="none"/>
                <w:u w:val="none"/>
                <w:lang w:eastAsia="zh-CN"/>
              </w:rPr>
              <w:t>居住用地</w:t>
            </w:r>
          </w:p>
        </w:tc>
        <w:tc>
          <w:tcPr>
            <w:tcW w:w="410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color w:val="auto"/>
                <w:sz w:val="21"/>
                <w:szCs w:val="21"/>
                <w:highlight w:val="none"/>
                <w:u w:val="none"/>
                <w:lang w:eastAsia="zh-CN"/>
              </w:rPr>
            </w:pPr>
            <w:r>
              <w:rPr>
                <w:rFonts w:hint="default" w:ascii="Times New Roman" w:hAnsi="Times New Roman" w:cs="Times New Roman"/>
                <w:i w:val="0"/>
                <w:color w:val="auto"/>
                <w:sz w:val="21"/>
                <w:szCs w:val="21"/>
                <w:highlight w:val="none"/>
                <w:u w:val="none"/>
                <w:lang w:val="en-US" w:eastAsia="zh-CN"/>
              </w:rPr>
              <w:t>第一类用地筛选值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63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SJG-JJ-3</w:t>
            </w:r>
          </w:p>
        </w:tc>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p>
        </w:tc>
        <w:tc>
          <w:tcPr>
            <w:tcW w:w="264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color w:val="auto"/>
                <w:sz w:val="21"/>
                <w:szCs w:val="21"/>
                <w:highlight w:val="none"/>
                <w:u w:val="none"/>
                <w:lang w:eastAsia="zh-CN"/>
              </w:rPr>
            </w:pPr>
            <w:r>
              <w:rPr>
                <w:rFonts w:hint="default" w:ascii="Times New Roman" w:hAnsi="Times New Roman" w:cs="Times New Roman"/>
                <w:i w:val="0"/>
                <w:color w:val="auto"/>
                <w:sz w:val="21"/>
                <w:szCs w:val="21"/>
                <w:highlight w:val="none"/>
                <w:u w:val="none"/>
                <w:lang w:eastAsia="zh-CN"/>
              </w:rPr>
              <w:t>工业用地</w:t>
            </w:r>
          </w:p>
        </w:tc>
        <w:tc>
          <w:tcPr>
            <w:tcW w:w="410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color w:val="auto"/>
                <w:sz w:val="21"/>
                <w:szCs w:val="21"/>
                <w:highlight w:val="none"/>
                <w:u w:val="none"/>
                <w:lang w:eastAsia="zh-CN"/>
              </w:rPr>
            </w:pPr>
            <w:r>
              <w:rPr>
                <w:rFonts w:hint="default" w:ascii="Times New Roman" w:hAnsi="Times New Roman" w:cs="Times New Roman"/>
                <w:i w:val="0"/>
                <w:color w:val="auto"/>
                <w:sz w:val="21"/>
                <w:szCs w:val="21"/>
                <w:highlight w:val="none"/>
                <w:u w:val="none"/>
                <w:lang w:val="en-US" w:eastAsia="zh-CN"/>
              </w:rPr>
              <w:t>第二类用地筛选值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63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SJG-JJ-4</w:t>
            </w:r>
          </w:p>
        </w:tc>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p>
        </w:tc>
        <w:tc>
          <w:tcPr>
            <w:tcW w:w="264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sz w:val="21"/>
                <w:szCs w:val="21"/>
                <w:highlight w:val="none"/>
                <w:u w:val="none"/>
                <w:lang w:eastAsia="zh-CN"/>
              </w:rPr>
              <w:t>工业用地</w:t>
            </w:r>
          </w:p>
        </w:tc>
        <w:tc>
          <w:tcPr>
            <w:tcW w:w="410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i w:val="0"/>
                <w:color w:val="auto"/>
                <w:sz w:val="21"/>
                <w:szCs w:val="21"/>
                <w:highlight w:val="none"/>
                <w:u w:val="none"/>
                <w:lang w:val="en-US" w:eastAsia="zh-CN"/>
              </w:rPr>
              <w:t>第二类用地筛选值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63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SJG-JJ-5</w:t>
            </w:r>
          </w:p>
        </w:tc>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p>
        </w:tc>
        <w:tc>
          <w:tcPr>
            <w:tcW w:w="264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sz w:val="21"/>
                <w:szCs w:val="21"/>
                <w:highlight w:val="none"/>
                <w:u w:val="none"/>
                <w:lang w:eastAsia="zh-CN"/>
              </w:rPr>
              <w:t>工业用地</w:t>
            </w:r>
          </w:p>
        </w:tc>
        <w:tc>
          <w:tcPr>
            <w:tcW w:w="410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i w:val="0"/>
                <w:color w:val="auto"/>
                <w:sz w:val="21"/>
                <w:szCs w:val="21"/>
                <w:highlight w:val="none"/>
                <w:u w:val="none"/>
                <w:lang w:val="en-US" w:eastAsia="zh-CN"/>
              </w:rPr>
              <w:t>第二类用地筛选值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63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13</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SJG-JJ-6</w:t>
            </w:r>
          </w:p>
        </w:tc>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p>
        </w:tc>
        <w:tc>
          <w:tcPr>
            <w:tcW w:w="264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sz w:val="21"/>
                <w:szCs w:val="21"/>
                <w:highlight w:val="none"/>
                <w:u w:val="none"/>
                <w:lang w:eastAsia="zh-CN"/>
              </w:rPr>
              <w:t>物流仓储用地</w:t>
            </w:r>
          </w:p>
        </w:tc>
        <w:tc>
          <w:tcPr>
            <w:tcW w:w="410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i w:val="0"/>
                <w:color w:val="auto"/>
                <w:sz w:val="21"/>
                <w:szCs w:val="21"/>
                <w:highlight w:val="none"/>
                <w:u w:val="none"/>
                <w:lang w:val="en-US" w:eastAsia="zh-CN"/>
              </w:rPr>
              <w:t>第二类用地筛选值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63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14</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SJG-JJ-7</w:t>
            </w:r>
          </w:p>
        </w:tc>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p>
        </w:tc>
        <w:tc>
          <w:tcPr>
            <w:tcW w:w="264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sz w:val="21"/>
                <w:szCs w:val="21"/>
                <w:highlight w:val="none"/>
                <w:u w:val="none"/>
                <w:lang w:eastAsia="zh-CN"/>
              </w:rPr>
              <w:t>道路与交通设施用地</w:t>
            </w:r>
          </w:p>
        </w:tc>
        <w:tc>
          <w:tcPr>
            <w:tcW w:w="410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i w:val="0"/>
                <w:color w:val="auto"/>
                <w:sz w:val="21"/>
                <w:szCs w:val="21"/>
                <w:highlight w:val="none"/>
                <w:u w:val="none"/>
                <w:lang w:val="en-US" w:eastAsia="zh-CN"/>
              </w:rPr>
              <w:t>第二类用地筛选值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63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SJG-JJ-8</w:t>
            </w:r>
          </w:p>
        </w:tc>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p>
        </w:tc>
        <w:tc>
          <w:tcPr>
            <w:tcW w:w="264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eastAsia="zh-CN"/>
              </w:rPr>
            </w:pPr>
            <w:r>
              <w:rPr>
                <w:rFonts w:hint="default" w:ascii="Times New Roman" w:hAnsi="Times New Roman" w:cs="Times New Roman"/>
                <w:i w:val="0"/>
                <w:color w:val="auto"/>
                <w:sz w:val="21"/>
                <w:szCs w:val="21"/>
                <w:highlight w:val="none"/>
                <w:u w:val="none"/>
                <w:lang w:eastAsia="zh-CN"/>
              </w:rPr>
              <w:t>工业用地</w:t>
            </w:r>
          </w:p>
        </w:tc>
        <w:tc>
          <w:tcPr>
            <w:tcW w:w="410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i w:val="0"/>
                <w:color w:val="auto"/>
                <w:sz w:val="21"/>
                <w:szCs w:val="21"/>
                <w:highlight w:val="none"/>
                <w:u w:val="none"/>
                <w:lang w:val="en-US" w:eastAsia="zh-CN"/>
              </w:rPr>
              <w:t>第二类用地筛选值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634"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16</w:t>
            </w:r>
          </w:p>
        </w:tc>
        <w:tc>
          <w:tcPr>
            <w:tcW w:w="11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SJG-JJ-9</w:t>
            </w:r>
          </w:p>
        </w:tc>
        <w:tc>
          <w:tcPr>
            <w:tcW w:w="1080"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p>
        </w:tc>
        <w:tc>
          <w:tcPr>
            <w:tcW w:w="264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eastAsia="zh-CN"/>
              </w:rPr>
            </w:pPr>
            <w:r>
              <w:rPr>
                <w:rFonts w:hint="default" w:ascii="Times New Roman" w:hAnsi="Times New Roman" w:cs="Times New Roman"/>
                <w:i w:val="0"/>
                <w:color w:val="auto"/>
                <w:sz w:val="21"/>
                <w:szCs w:val="21"/>
                <w:highlight w:val="none"/>
                <w:u w:val="none"/>
                <w:lang w:eastAsia="zh-CN"/>
              </w:rPr>
              <w:t>工业用地</w:t>
            </w:r>
          </w:p>
        </w:tc>
        <w:tc>
          <w:tcPr>
            <w:tcW w:w="4103"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i w:val="0"/>
                <w:color w:val="auto"/>
                <w:sz w:val="21"/>
                <w:szCs w:val="21"/>
                <w:highlight w:val="none"/>
                <w:u w:val="none"/>
                <w:lang w:val="en-US" w:eastAsia="zh-CN"/>
              </w:rPr>
              <w:t>第二类用地筛选值</w:t>
            </w:r>
          </w:p>
        </w:tc>
      </w:tr>
    </w:tbl>
    <w:p>
      <w:pPr>
        <w:pStyle w:val="2"/>
        <w:spacing w:after="0" w:line="240" w:lineRule="auto"/>
        <w:rPr>
          <w:rFonts w:hint="default" w:ascii="Times New Roman" w:hAnsi="Times New Roman" w:cs="Times New Roman"/>
          <w:b/>
          <w:bCs/>
          <w:color w:val="000000"/>
          <w:kern w:val="0"/>
          <w:sz w:val="18"/>
          <w:szCs w:val="18"/>
          <w:highlight w:val="none"/>
          <w:lang w:val="en-US" w:eastAsia="zh-CN"/>
        </w:rPr>
      </w:pPr>
      <w:r>
        <w:rPr>
          <w:rFonts w:hint="default" w:ascii="Times New Roman" w:hAnsi="Times New Roman" w:cs="Times New Roman"/>
          <w:b/>
          <w:bCs/>
          <w:color w:val="000000"/>
          <w:kern w:val="0"/>
          <w:sz w:val="18"/>
          <w:szCs w:val="18"/>
          <w:highlight w:val="none"/>
        </w:rPr>
        <w:t>注：</w:t>
      </w:r>
      <w:r>
        <w:rPr>
          <w:rFonts w:hint="default" w:ascii="Times New Roman" w:hAnsi="Times New Roman" w:cs="Times New Roman"/>
          <w:b/>
          <w:bCs/>
          <w:color w:val="000000"/>
          <w:kern w:val="0"/>
          <w:sz w:val="18"/>
          <w:szCs w:val="18"/>
          <w:highlight w:val="none"/>
          <w:lang w:val="en-US" w:eastAsia="zh-CN"/>
        </w:rPr>
        <w:t>①表列园区周边土壤点位用地类型为现状用地类型，已建成企业聚集区周边点位用地类型为规划用地类型；</w:t>
      </w:r>
    </w:p>
    <w:p>
      <w:pPr>
        <w:pStyle w:val="2"/>
        <w:keepNext w:val="0"/>
        <w:keepLines w:val="0"/>
        <w:pageBreakBefore w:val="0"/>
        <w:widowControl w:val="0"/>
        <w:kinsoku/>
        <w:wordWrap/>
        <w:overflowPunct/>
        <w:topLinePunct w:val="0"/>
        <w:autoSpaceDE/>
        <w:autoSpaceDN/>
        <w:bidi w:val="0"/>
        <w:adjustRightInd/>
        <w:snapToGrid/>
        <w:spacing w:after="0" w:line="240" w:lineRule="auto"/>
        <w:ind w:firstLine="361" w:firstLineChars="200"/>
        <w:textAlignment w:val="auto"/>
        <w:rPr>
          <w:rFonts w:hint="default" w:ascii="Times New Roman" w:hAnsi="Times New Roman" w:cs="Times New Roman"/>
          <w:b/>
          <w:bCs/>
          <w:color w:val="000000"/>
          <w:kern w:val="0"/>
          <w:sz w:val="18"/>
          <w:szCs w:val="18"/>
          <w:highlight w:val="none"/>
          <w:lang w:val="en-US" w:eastAsia="zh-CN"/>
        </w:rPr>
      </w:pPr>
      <w:r>
        <w:rPr>
          <w:rFonts w:ascii="宋体" w:hAnsi="宋体" w:eastAsia="宋体" w:cs="宋体"/>
          <w:b/>
          <w:bCs/>
          <w:sz w:val="18"/>
          <w:szCs w:val="18"/>
        </w:rPr>
        <w:t>②根据上文中评价标准选择原则，第一类/第二类用地筛选值按GB36600优先于深圳标准进行选择；</w:t>
      </w:r>
    </w:p>
    <w:p>
      <w:pPr>
        <w:pStyle w:val="2"/>
        <w:spacing w:after="0" w:line="240" w:lineRule="auto"/>
        <w:ind w:firstLine="361" w:firstLineChars="200"/>
        <w:rPr>
          <w:rFonts w:hint="default" w:ascii="Times New Roman" w:hAnsi="Times New Roman" w:eastAsia="宋体" w:cs="Times New Roman"/>
          <w:b/>
          <w:bCs/>
          <w:color w:val="000000"/>
          <w:kern w:val="0"/>
          <w:sz w:val="18"/>
          <w:szCs w:val="18"/>
          <w:highlight w:val="none"/>
          <w:lang w:eastAsia="zh-CN"/>
        </w:rPr>
      </w:pPr>
      <w:r>
        <w:rPr>
          <w:rFonts w:hint="eastAsia" w:cs="Times New Roman"/>
          <w:b/>
          <w:bCs/>
          <w:color w:val="000000"/>
          <w:kern w:val="0"/>
          <w:sz w:val="18"/>
          <w:szCs w:val="18"/>
          <w:highlight w:val="none"/>
          <w:lang w:val="en-US" w:eastAsia="zh-CN"/>
        </w:rPr>
        <w:t>③</w:t>
      </w:r>
      <w:r>
        <w:rPr>
          <w:rFonts w:hint="default" w:ascii="Times New Roman" w:hAnsi="Times New Roman" w:cs="Times New Roman"/>
          <w:b/>
          <w:bCs/>
          <w:color w:val="000000"/>
          <w:kern w:val="0"/>
          <w:sz w:val="18"/>
          <w:szCs w:val="18"/>
          <w:highlight w:val="none"/>
        </w:rPr>
        <w:t>其它指GB15618农用地中除果园、水田外的用地</w:t>
      </w:r>
      <w:r>
        <w:rPr>
          <w:rFonts w:hint="default" w:ascii="Times New Roman" w:hAnsi="Times New Roman" w:cs="Times New Roman"/>
          <w:b/>
          <w:bCs/>
          <w:color w:val="000000"/>
          <w:kern w:val="0"/>
          <w:sz w:val="18"/>
          <w:szCs w:val="18"/>
          <w:highlight w:val="none"/>
          <w:lang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具体标准值如下：</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bCs/>
          <w:color w:val="auto"/>
          <w:sz w:val="24"/>
          <w:highlight w:val="none"/>
        </w:rPr>
      </w:pPr>
      <w:r>
        <w:rPr>
          <w:rFonts w:hint="default" w:ascii="Times New Roman" w:hAnsi="Times New Roman" w:eastAsia="黑体" w:cs="Times New Roman"/>
          <w:b/>
          <w:bCs/>
          <w:color w:val="auto"/>
          <w:sz w:val="24"/>
          <w:highlight w:val="none"/>
        </w:rPr>
        <w:t>表5-1-</w:t>
      </w:r>
      <w:r>
        <w:rPr>
          <w:rFonts w:hint="default" w:ascii="Times New Roman" w:hAnsi="Times New Roman" w:eastAsia="黑体" w:cs="Times New Roman"/>
          <w:b/>
          <w:bCs/>
          <w:color w:val="auto"/>
          <w:sz w:val="24"/>
          <w:highlight w:val="none"/>
          <w:lang w:val="en-US" w:eastAsia="zh-CN"/>
        </w:rPr>
        <w:t xml:space="preserve">2 </w:t>
      </w:r>
      <w:r>
        <w:rPr>
          <w:rFonts w:hint="default" w:ascii="Times New Roman" w:hAnsi="Times New Roman" w:eastAsia="黑体" w:cs="Times New Roman"/>
          <w:b/>
          <w:bCs/>
          <w:color w:val="auto"/>
          <w:sz w:val="24"/>
          <w:highlight w:val="none"/>
        </w:rPr>
        <w:t>建设用地土壤污染风险筛选值（单位：mg/kg）</w:t>
      </w:r>
    </w:p>
    <w:tbl>
      <w:tblPr>
        <w:tblStyle w:val="21"/>
        <w:tblW w:w="9668" w:type="dxa"/>
        <w:jc w:val="center"/>
        <w:shd w:val="clear" w:color="auto" w:fill="auto"/>
        <w:tblLayout w:type="fixed"/>
        <w:tblCellMar>
          <w:top w:w="0" w:type="dxa"/>
          <w:left w:w="0" w:type="dxa"/>
          <w:bottom w:w="0" w:type="dxa"/>
          <w:right w:w="0" w:type="dxa"/>
        </w:tblCellMar>
      </w:tblPr>
      <w:tblGrid>
        <w:gridCol w:w="1110"/>
        <w:gridCol w:w="2381"/>
        <w:gridCol w:w="1538"/>
        <w:gridCol w:w="2319"/>
        <w:gridCol w:w="2320"/>
      </w:tblGrid>
      <w:tr>
        <w:tblPrEx>
          <w:shd w:val="clear" w:color="auto" w:fill="auto"/>
          <w:tblCellMar>
            <w:top w:w="0" w:type="dxa"/>
            <w:left w:w="0" w:type="dxa"/>
            <w:bottom w:w="0" w:type="dxa"/>
            <w:right w:w="0" w:type="dxa"/>
          </w:tblCellMar>
        </w:tblPrEx>
        <w:trPr>
          <w:trHeight w:val="23" w:hRule="atLeast"/>
          <w:tblHeader/>
          <w:jc w:val="center"/>
        </w:trPr>
        <w:tc>
          <w:tcPr>
            <w:tcW w:w="1110" w:type="dxa"/>
            <w:tcBorders>
              <w:top w:val="single" w:color="000000" w:sz="12" w:space="0"/>
              <w:left w:val="nil"/>
              <w:bottom w:val="single" w:color="000000" w:sz="12"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序号</w:t>
            </w:r>
          </w:p>
        </w:tc>
        <w:tc>
          <w:tcPr>
            <w:tcW w:w="2381" w:type="dxa"/>
            <w:tcBorders>
              <w:top w:val="single" w:color="000000" w:sz="12" w:space="0"/>
              <w:left w:val="single" w:color="000000" w:sz="4" w:space="0"/>
              <w:bottom w:val="single" w:color="000000" w:sz="12"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污染物项目</w:t>
            </w:r>
          </w:p>
        </w:tc>
        <w:tc>
          <w:tcPr>
            <w:tcW w:w="1538" w:type="dxa"/>
            <w:tcBorders>
              <w:top w:val="single" w:color="000000" w:sz="12" w:space="0"/>
              <w:left w:val="single" w:color="000000" w:sz="4" w:space="0"/>
              <w:bottom w:val="single" w:color="000000" w:sz="12"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CAS号</w:t>
            </w:r>
          </w:p>
        </w:tc>
        <w:tc>
          <w:tcPr>
            <w:tcW w:w="2319" w:type="dxa"/>
            <w:tcBorders>
              <w:top w:val="single" w:color="000000" w:sz="12" w:space="0"/>
              <w:left w:val="single" w:color="000000" w:sz="4" w:space="0"/>
              <w:bottom w:val="single" w:color="000000" w:sz="12"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第一类用地筛选值</w:t>
            </w:r>
          </w:p>
        </w:tc>
        <w:tc>
          <w:tcPr>
            <w:tcW w:w="2320" w:type="dxa"/>
            <w:tcBorders>
              <w:top w:val="single" w:color="000000" w:sz="12" w:space="0"/>
              <w:left w:val="single" w:color="000000" w:sz="4" w:space="0"/>
              <w:bottom w:val="single" w:color="000000" w:sz="12"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第二类用地筛选值</w:t>
            </w:r>
          </w:p>
        </w:tc>
      </w:tr>
      <w:tr>
        <w:tblPrEx>
          <w:tblCellMar>
            <w:top w:w="0" w:type="dxa"/>
            <w:left w:w="0" w:type="dxa"/>
            <w:bottom w:w="0" w:type="dxa"/>
            <w:right w:w="0" w:type="dxa"/>
          </w:tblCellMar>
        </w:tblPrEx>
        <w:trPr>
          <w:cantSplit/>
          <w:trHeight w:val="311" w:hRule="atLeast"/>
          <w:jc w:val="center"/>
        </w:trPr>
        <w:tc>
          <w:tcPr>
            <w:tcW w:w="9668" w:type="dxa"/>
            <w:gridSpan w:val="5"/>
            <w:tcBorders>
              <w:top w:val="single" w:color="000000" w:sz="12" w:space="0"/>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重金属和无机物</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总氟化物</w:t>
            </w:r>
            <w:r>
              <w:rPr>
                <w:rFonts w:hint="default" w:ascii="Times New Roman" w:hAnsi="Times New Roman" w:cs="Times New Roman"/>
                <w:i w:val="0"/>
                <w:color w:val="auto"/>
                <w:kern w:val="0"/>
                <w:sz w:val="21"/>
                <w:szCs w:val="21"/>
                <w:highlight w:val="none"/>
                <w:u w:val="none"/>
                <w:vertAlign w:val="superscript"/>
                <w:lang w:val="en-US" w:eastAsia="zh-CN" w:bidi="ar"/>
              </w:rPr>
              <w:t>①</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rPr>
              <w:t>16984-48-8</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1960</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10000</w:t>
            </w:r>
          </w:p>
        </w:tc>
      </w:tr>
      <w:tr>
        <w:tblPrEx>
          <w:tblCellMar>
            <w:top w:w="0" w:type="dxa"/>
            <w:left w:w="0" w:type="dxa"/>
            <w:bottom w:w="0" w:type="dxa"/>
            <w:right w:w="0" w:type="dxa"/>
          </w:tblCellMar>
        </w:tblPrEx>
        <w:trPr>
          <w:cantSplit/>
          <w:trHeight w:val="23" w:hRule="atLeast"/>
          <w:jc w:val="center"/>
        </w:trPr>
        <w:tc>
          <w:tcPr>
            <w:tcW w:w="1110" w:type="dxa"/>
            <w:tcBorders>
              <w:top w:val="single" w:color="auto"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w:t>
            </w:r>
          </w:p>
        </w:tc>
        <w:tc>
          <w:tcPr>
            <w:tcW w:w="2381"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铅</w:t>
            </w:r>
          </w:p>
        </w:tc>
        <w:tc>
          <w:tcPr>
            <w:tcW w:w="1538"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7439-92-1</w:t>
            </w:r>
          </w:p>
        </w:tc>
        <w:tc>
          <w:tcPr>
            <w:tcW w:w="2319"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400</w:t>
            </w:r>
          </w:p>
        </w:tc>
        <w:tc>
          <w:tcPr>
            <w:tcW w:w="2320" w:type="dxa"/>
            <w:tcBorders>
              <w:top w:val="single" w:color="auto"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800</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汞</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7439-97-6</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8</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38</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7440-48-4</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70</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镉</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7440-43-9</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65</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铜</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7440-50-8</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2000</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18000</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镍</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7440-02-0</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150</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900</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8</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铬</w:t>
            </w:r>
            <w:r>
              <w:rPr>
                <w:rFonts w:hint="default" w:ascii="Times New Roman" w:hAnsi="Times New Roman" w:cs="Times New Roman"/>
                <w:i w:val="0"/>
                <w:color w:val="auto"/>
                <w:kern w:val="0"/>
                <w:sz w:val="21"/>
                <w:szCs w:val="21"/>
                <w:highlight w:val="none"/>
                <w:u w:val="none"/>
                <w:vertAlign w:val="superscript"/>
                <w:lang w:val="en-US" w:eastAsia="zh-CN" w:bidi="ar"/>
              </w:rPr>
              <w:t>①</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7440-47-3</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1210</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2420</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9</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铬（六价）</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18540-29-9</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3.0</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5.7</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砷</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7440-38-2</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cs="Times New Roman"/>
                <w:i w:val="0"/>
                <w:color w:val="auto"/>
                <w:kern w:val="0"/>
                <w:sz w:val="21"/>
                <w:szCs w:val="21"/>
                <w:highlight w:val="none"/>
                <w:u w:val="none"/>
                <w:lang w:val="en-US" w:eastAsia="zh-CN" w:bidi="ar"/>
              </w:rPr>
              <w:t>20</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cs="Times New Roman"/>
                <w:i w:val="0"/>
                <w:color w:val="auto"/>
                <w:kern w:val="0"/>
                <w:sz w:val="21"/>
                <w:szCs w:val="21"/>
                <w:highlight w:val="none"/>
                <w:u w:val="none"/>
                <w:lang w:val="en-US" w:eastAsia="zh-CN" w:bidi="ar"/>
              </w:rPr>
              <w:t>60</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11</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钼</w:t>
            </w:r>
            <w:r>
              <w:rPr>
                <w:rFonts w:hint="default" w:ascii="Times New Roman" w:hAnsi="Times New Roman" w:cs="Times New Roman"/>
                <w:i w:val="0"/>
                <w:color w:val="auto"/>
                <w:kern w:val="0"/>
                <w:sz w:val="21"/>
                <w:szCs w:val="21"/>
                <w:highlight w:val="none"/>
                <w:u w:val="none"/>
                <w:vertAlign w:val="superscript"/>
                <w:lang w:val="en-US" w:eastAsia="zh-CN" w:bidi="ar"/>
              </w:rPr>
              <w:t>①</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7439-98-7</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232</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1940</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12</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锑</w:t>
            </w:r>
            <w:r>
              <w:rPr>
                <w:rFonts w:hint="default" w:ascii="Times New Roman" w:hAnsi="Times New Roman" w:cs="Times New Roman"/>
                <w:i w:val="0"/>
                <w:color w:val="auto"/>
                <w:kern w:val="0"/>
                <w:sz w:val="21"/>
                <w:szCs w:val="21"/>
                <w:highlight w:val="none"/>
                <w:u w:val="none"/>
                <w:vertAlign w:val="superscript"/>
                <w:lang w:val="en-US" w:eastAsia="zh-CN" w:bidi="ar"/>
              </w:rPr>
              <w:t>①</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7440-36-0</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20</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180</w:t>
            </w:r>
          </w:p>
        </w:tc>
      </w:tr>
      <w:tr>
        <w:tblPrEx>
          <w:tblCellMar>
            <w:top w:w="0" w:type="dxa"/>
            <w:left w:w="0" w:type="dxa"/>
            <w:bottom w:w="0" w:type="dxa"/>
            <w:right w:w="0" w:type="dxa"/>
          </w:tblCellMar>
        </w:tblPrEx>
        <w:trPr>
          <w:cantSplit/>
          <w:trHeight w:val="23" w:hRule="atLeast"/>
          <w:jc w:val="center"/>
        </w:trPr>
        <w:tc>
          <w:tcPr>
            <w:tcW w:w="9668" w:type="dxa"/>
            <w:gridSpan w:val="5"/>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有机物</w:t>
            </w:r>
            <w:r>
              <w:rPr>
                <w:rFonts w:hint="default" w:ascii="Times New Roman" w:hAnsi="Times New Roman" w:eastAsia="宋体" w:cs="Times New Roman"/>
                <w:i w:val="0"/>
                <w:color w:val="auto"/>
                <w:kern w:val="0"/>
                <w:sz w:val="21"/>
                <w:szCs w:val="21"/>
                <w:highlight w:val="none"/>
                <w:u w:val="none"/>
                <w:lang w:val="en-US" w:eastAsia="zh-CN" w:bidi="ar"/>
              </w:rPr>
              <w:t xml:space="preserve"> - </w:t>
            </w:r>
            <w:r>
              <w:rPr>
                <w:rFonts w:hint="default" w:ascii="Times New Roman" w:hAnsi="Times New Roman" w:cs="Times New Roman"/>
                <w:i w:val="0"/>
                <w:color w:val="auto"/>
                <w:kern w:val="0"/>
                <w:sz w:val="21"/>
                <w:szCs w:val="21"/>
                <w:highlight w:val="none"/>
                <w:u w:val="none"/>
                <w:lang w:val="en-US" w:eastAsia="zh-CN" w:bidi="ar"/>
              </w:rPr>
              <w:t>石油烃</w:t>
            </w:r>
          </w:p>
        </w:tc>
      </w:tr>
      <w:tr>
        <w:tblPrEx>
          <w:tblCellMar>
            <w:top w:w="0" w:type="dxa"/>
            <w:left w:w="0" w:type="dxa"/>
            <w:bottom w:w="0" w:type="dxa"/>
            <w:right w:w="0" w:type="dxa"/>
          </w:tblCellMar>
        </w:tblPrEx>
        <w:trPr>
          <w:cantSplit/>
          <w:trHeight w:val="90"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13</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石油烃（C</w:t>
            </w:r>
            <w:r>
              <w:rPr>
                <w:rFonts w:hint="default" w:ascii="Times New Roman" w:hAnsi="Times New Roman" w:cs="Times New Roman"/>
                <w:i w:val="0"/>
                <w:color w:val="auto"/>
                <w:kern w:val="0"/>
                <w:sz w:val="21"/>
                <w:szCs w:val="21"/>
                <w:highlight w:val="none"/>
                <w:u w:val="none"/>
                <w:vertAlign w:val="subscript"/>
                <w:lang w:val="en-US" w:eastAsia="zh-CN" w:bidi="ar"/>
              </w:rPr>
              <w:t>10</w:t>
            </w:r>
            <w:r>
              <w:rPr>
                <w:rFonts w:hint="default" w:ascii="Times New Roman" w:hAnsi="Times New Roman" w:cs="Times New Roman"/>
                <w:i w:val="0"/>
                <w:color w:val="auto"/>
                <w:kern w:val="0"/>
                <w:sz w:val="21"/>
                <w:szCs w:val="21"/>
                <w:highlight w:val="none"/>
                <w:u w:val="none"/>
                <w:lang w:val="en-US" w:eastAsia="zh-CN" w:bidi="ar"/>
              </w:rPr>
              <w:t>-C</w:t>
            </w:r>
            <w:r>
              <w:rPr>
                <w:rFonts w:hint="default" w:ascii="Times New Roman" w:hAnsi="Times New Roman" w:cs="Times New Roman"/>
                <w:i w:val="0"/>
                <w:color w:val="auto"/>
                <w:kern w:val="0"/>
                <w:sz w:val="21"/>
                <w:szCs w:val="21"/>
                <w:highlight w:val="none"/>
                <w:u w:val="none"/>
                <w:vertAlign w:val="subscript"/>
                <w:lang w:val="en-US" w:eastAsia="zh-CN" w:bidi="ar"/>
              </w:rPr>
              <w:t>40</w:t>
            </w:r>
            <w:r>
              <w:rPr>
                <w:rFonts w:hint="default" w:ascii="Times New Roman" w:hAnsi="Times New Roman" w:cs="Times New Roman"/>
                <w:i w:val="0"/>
                <w:color w:val="auto"/>
                <w:kern w:val="0"/>
                <w:sz w:val="21"/>
                <w:szCs w:val="21"/>
                <w:highlight w:val="none"/>
                <w:u w:val="none"/>
                <w:lang w:val="en-US" w:eastAsia="zh-CN" w:bidi="ar"/>
              </w:rPr>
              <w:t>）</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826</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4500</w:t>
            </w:r>
          </w:p>
        </w:tc>
      </w:tr>
      <w:tr>
        <w:tblPrEx>
          <w:tblCellMar>
            <w:top w:w="0" w:type="dxa"/>
            <w:left w:w="0" w:type="dxa"/>
            <w:bottom w:w="0" w:type="dxa"/>
            <w:right w:w="0" w:type="dxa"/>
          </w:tblCellMar>
        </w:tblPrEx>
        <w:trPr>
          <w:cantSplit/>
          <w:trHeight w:val="23" w:hRule="atLeast"/>
          <w:jc w:val="center"/>
        </w:trPr>
        <w:tc>
          <w:tcPr>
            <w:tcW w:w="9668" w:type="dxa"/>
            <w:gridSpan w:val="5"/>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挥发性有机物 - 单环芳烃类(MAH)</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14</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71-43-2</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15</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甲苯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108-88-3</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1200</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1200</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16</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乙苯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100-41-4</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7.2</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28</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17</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间-二甲苯和对-二甲苯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108-38-3 106-42-3</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163</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570</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18</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邻-二甲苯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95-47-6</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222</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640</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19</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苯乙烯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100-42-5</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1290</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1290</w:t>
            </w:r>
          </w:p>
        </w:tc>
      </w:tr>
      <w:tr>
        <w:tblPrEx>
          <w:tblCellMar>
            <w:top w:w="0" w:type="dxa"/>
            <w:left w:w="0" w:type="dxa"/>
            <w:bottom w:w="0" w:type="dxa"/>
            <w:right w:w="0" w:type="dxa"/>
          </w:tblCellMar>
        </w:tblPrEx>
        <w:trPr>
          <w:cantSplit/>
          <w:trHeight w:val="90" w:hRule="atLeast"/>
          <w:jc w:val="center"/>
        </w:trPr>
        <w:tc>
          <w:tcPr>
            <w:tcW w:w="9668" w:type="dxa"/>
            <w:gridSpan w:val="5"/>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挥发性有机物 - 卤代脂肪烃</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12"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20</w:t>
            </w:r>
          </w:p>
        </w:tc>
        <w:tc>
          <w:tcPr>
            <w:tcW w:w="2381" w:type="dxa"/>
            <w:tcBorders>
              <w:top w:val="single" w:color="000000" w:sz="4" w:space="0"/>
              <w:left w:val="single" w:color="000000" w:sz="4" w:space="0"/>
              <w:bottom w:val="single" w:color="000000" w:sz="12"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氯甲烷</w:t>
            </w:r>
          </w:p>
        </w:tc>
        <w:tc>
          <w:tcPr>
            <w:tcW w:w="1538" w:type="dxa"/>
            <w:tcBorders>
              <w:top w:val="single" w:color="000000" w:sz="4" w:space="0"/>
              <w:left w:val="single" w:color="000000" w:sz="4" w:space="0"/>
              <w:bottom w:val="single" w:color="000000" w:sz="12"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74-87-3</w:t>
            </w:r>
          </w:p>
        </w:tc>
        <w:tc>
          <w:tcPr>
            <w:tcW w:w="2319" w:type="dxa"/>
            <w:tcBorders>
              <w:top w:val="single" w:color="000000" w:sz="4" w:space="0"/>
              <w:left w:val="single" w:color="000000" w:sz="4" w:space="0"/>
              <w:bottom w:val="single" w:color="000000" w:sz="12"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w:t>
            </w:r>
          </w:p>
        </w:tc>
        <w:tc>
          <w:tcPr>
            <w:tcW w:w="2320" w:type="dxa"/>
            <w:tcBorders>
              <w:top w:val="single" w:color="000000" w:sz="4" w:space="0"/>
              <w:left w:val="single" w:color="000000" w:sz="4" w:space="0"/>
              <w:bottom w:val="single" w:color="000000" w:sz="12"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37</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12"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21</w:t>
            </w:r>
          </w:p>
        </w:tc>
        <w:tc>
          <w:tcPr>
            <w:tcW w:w="2381" w:type="dxa"/>
            <w:tcBorders>
              <w:top w:val="single" w:color="000000" w:sz="12"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氯乙烯</w:t>
            </w:r>
          </w:p>
        </w:tc>
        <w:tc>
          <w:tcPr>
            <w:tcW w:w="1538" w:type="dxa"/>
            <w:tcBorders>
              <w:top w:val="single" w:color="000000" w:sz="12"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1975</w:t>
            </w:r>
            <w:r>
              <w:rPr>
                <w:rFonts w:hint="default" w:ascii="Times New Roman" w:hAnsi="Times New Roman"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1</w:t>
            </w:r>
            <w:r>
              <w:rPr>
                <w:rFonts w:hint="default" w:ascii="Times New Roman" w:hAnsi="Times New Roman"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4</w:t>
            </w:r>
          </w:p>
        </w:tc>
        <w:tc>
          <w:tcPr>
            <w:tcW w:w="2319" w:type="dxa"/>
            <w:tcBorders>
              <w:top w:val="single" w:color="000000" w:sz="12"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0.12</w:t>
            </w:r>
          </w:p>
        </w:tc>
        <w:tc>
          <w:tcPr>
            <w:tcW w:w="2320" w:type="dxa"/>
            <w:tcBorders>
              <w:top w:val="single" w:color="000000" w:sz="12"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0.43</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22</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1,1-二氯乙烯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75-35-4</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66</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23</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二氯甲烷</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1975</w:t>
            </w:r>
            <w:r>
              <w:rPr>
                <w:rFonts w:hint="default" w:ascii="Times New Roman" w:hAnsi="Times New Roman"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9</w:t>
            </w:r>
            <w:r>
              <w:rPr>
                <w:rFonts w:hint="default" w:ascii="Times New Roman" w:hAnsi="Times New Roman"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2</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94</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616</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24</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反式-1,2-二氯乙烯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156-60-5</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54</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25</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1,1-二氯乙烷</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75-34-3</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26</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顺式-1,2-二氯乙烯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156-59-2</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66</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596</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27</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1,1,1-三氯乙烷</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71-55-6</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701</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840</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28</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四氯化碳</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56-23-5</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0.9</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2.8</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29</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1,2-二氯乙烷</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107-06-2</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0.52</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30</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三氯乙烯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1979</w:t>
            </w:r>
            <w:r>
              <w:rPr>
                <w:rFonts w:hint="default" w:ascii="Times New Roman" w:hAnsi="Times New Roman"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1</w:t>
            </w:r>
            <w:r>
              <w:rPr>
                <w:rFonts w:hint="default" w:ascii="Times New Roman" w:hAnsi="Times New Roman"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6</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0.7</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2.8</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31</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1,2-二氯丙烷</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78-87-5</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32</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1,1,2-三氯乙烷</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79-00-5</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0.6</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2.8</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33</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四氯乙烯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127-18-4</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53</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34</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1,1,1,2-四氯乙烷</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630-20-6</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2.6</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35</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1,1,2,2-四氯乙烷</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630-20-6</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1.6</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6.8</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36</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1,2,3-三氯丙烷</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96-18-4</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0.05</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0.5</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37</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1,3,5-三甲基苯</w:t>
            </w:r>
            <w:r>
              <w:rPr>
                <w:rFonts w:hint="eastAsia"/>
                <w:sz w:val="21"/>
                <w:szCs w:val="21"/>
                <w:vertAlign w:val="superscript"/>
                <w:lang w:val="en-US" w:eastAsia="zh-CN"/>
              </w:rPr>
              <w:t>①</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108-67-8</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80</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251</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38</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1,2,4-三甲基苯</w:t>
            </w:r>
            <w:r>
              <w:rPr>
                <w:rFonts w:hint="eastAsia"/>
                <w:sz w:val="21"/>
                <w:szCs w:val="21"/>
                <w:vertAlign w:val="superscript"/>
                <w:lang w:val="en-US" w:eastAsia="zh-CN"/>
              </w:rPr>
              <w:t>①</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95-63-6</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102</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302</w:t>
            </w:r>
          </w:p>
        </w:tc>
      </w:tr>
      <w:tr>
        <w:tblPrEx>
          <w:tblCellMar>
            <w:top w:w="0" w:type="dxa"/>
            <w:left w:w="0" w:type="dxa"/>
            <w:bottom w:w="0" w:type="dxa"/>
            <w:right w:w="0" w:type="dxa"/>
          </w:tblCellMar>
        </w:tblPrEx>
        <w:trPr>
          <w:cantSplit/>
          <w:trHeight w:val="23" w:hRule="atLeast"/>
          <w:jc w:val="center"/>
        </w:trPr>
        <w:tc>
          <w:tcPr>
            <w:tcW w:w="9668" w:type="dxa"/>
            <w:gridSpan w:val="5"/>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挥发性有机物 - 卤代芳香烃</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39</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氯苯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108-90-7</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68</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270</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cs="Times New Roman"/>
                <w:i w:val="0"/>
                <w:color w:val="auto"/>
                <w:kern w:val="0"/>
                <w:sz w:val="21"/>
                <w:szCs w:val="21"/>
                <w:highlight w:val="none"/>
                <w:u w:val="none"/>
                <w:lang w:val="en-US" w:eastAsia="zh-CN" w:bidi="ar"/>
              </w:rPr>
              <w:t>40</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1,4-二氯苯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106-46-7</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5.6</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w:t>
            </w:r>
          </w:p>
        </w:tc>
      </w:tr>
      <w:tr>
        <w:tblPrEx>
          <w:tblCellMar>
            <w:top w:w="0" w:type="dxa"/>
            <w:left w:w="0" w:type="dxa"/>
            <w:bottom w:w="0" w:type="dxa"/>
            <w:right w:w="0" w:type="dxa"/>
          </w:tblCellMar>
        </w:tblPrEx>
        <w:trPr>
          <w:cantSplit/>
          <w:trHeight w:val="90"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cs="Times New Roman"/>
                <w:i w:val="0"/>
                <w:color w:val="auto"/>
                <w:kern w:val="0"/>
                <w:sz w:val="21"/>
                <w:szCs w:val="21"/>
                <w:highlight w:val="none"/>
                <w:u w:val="none"/>
                <w:lang w:val="en-US" w:eastAsia="zh-CN" w:bidi="ar"/>
              </w:rPr>
              <w:t>41</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1,2-二氯苯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95-50-1</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560</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560</w:t>
            </w:r>
          </w:p>
        </w:tc>
      </w:tr>
      <w:tr>
        <w:tblPrEx>
          <w:tblCellMar>
            <w:top w:w="0" w:type="dxa"/>
            <w:left w:w="0" w:type="dxa"/>
            <w:bottom w:w="0" w:type="dxa"/>
            <w:right w:w="0" w:type="dxa"/>
          </w:tblCellMar>
        </w:tblPrEx>
        <w:trPr>
          <w:cantSplit/>
          <w:trHeight w:val="90" w:hRule="atLeast"/>
          <w:jc w:val="center"/>
        </w:trPr>
        <w:tc>
          <w:tcPr>
            <w:tcW w:w="9668" w:type="dxa"/>
            <w:gridSpan w:val="5"/>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挥发性有机物 - </w:t>
            </w:r>
            <w:r>
              <w:rPr>
                <w:rFonts w:hint="default" w:ascii="Times New Roman" w:hAnsi="Times New Roman" w:cs="Times New Roman"/>
                <w:i w:val="0"/>
                <w:color w:val="auto"/>
                <w:kern w:val="0"/>
                <w:sz w:val="21"/>
                <w:szCs w:val="21"/>
                <w:highlight w:val="none"/>
                <w:u w:val="none"/>
                <w:lang w:val="en-US" w:eastAsia="zh-CN" w:bidi="ar"/>
              </w:rPr>
              <w:t>含硫化合物</w:t>
            </w:r>
          </w:p>
        </w:tc>
      </w:tr>
      <w:tr>
        <w:tblPrEx>
          <w:tblCellMar>
            <w:top w:w="0" w:type="dxa"/>
            <w:left w:w="0" w:type="dxa"/>
            <w:bottom w:w="0" w:type="dxa"/>
            <w:right w:w="0" w:type="dxa"/>
          </w:tblCellMar>
        </w:tblPrEx>
        <w:trPr>
          <w:cantSplit/>
          <w:trHeight w:val="90"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42</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二硫化碳</w:t>
            </w:r>
            <w:r>
              <w:rPr>
                <w:rFonts w:hint="eastAsia"/>
                <w:sz w:val="21"/>
                <w:szCs w:val="21"/>
                <w:vertAlign w:val="superscript"/>
                <w:lang w:val="en-US" w:eastAsia="zh-CN"/>
              </w:rPr>
              <w:t>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75-15-0</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40</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228</w:t>
            </w:r>
          </w:p>
        </w:tc>
      </w:tr>
      <w:tr>
        <w:tblPrEx>
          <w:tblCellMar>
            <w:top w:w="0" w:type="dxa"/>
            <w:left w:w="0" w:type="dxa"/>
            <w:bottom w:w="0" w:type="dxa"/>
            <w:right w:w="0" w:type="dxa"/>
          </w:tblCellMar>
        </w:tblPrEx>
        <w:trPr>
          <w:cantSplit/>
          <w:trHeight w:val="23" w:hRule="atLeast"/>
          <w:jc w:val="center"/>
        </w:trPr>
        <w:tc>
          <w:tcPr>
            <w:tcW w:w="9668" w:type="dxa"/>
            <w:gridSpan w:val="5"/>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挥发性有机物 - 三卤甲烷 (THM)</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43</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氯仿</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67-66-3</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0.3</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0.9</w:t>
            </w:r>
          </w:p>
        </w:tc>
      </w:tr>
      <w:tr>
        <w:tblPrEx>
          <w:tblCellMar>
            <w:top w:w="0" w:type="dxa"/>
            <w:left w:w="0" w:type="dxa"/>
            <w:bottom w:w="0" w:type="dxa"/>
            <w:right w:w="0" w:type="dxa"/>
          </w:tblCellMar>
        </w:tblPrEx>
        <w:trPr>
          <w:cantSplit/>
          <w:trHeight w:val="23" w:hRule="atLeast"/>
          <w:jc w:val="center"/>
        </w:trPr>
        <w:tc>
          <w:tcPr>
            <w:tcW w:w="9668" w:type="dxa"/>
            <w:gridSpan w:val="5"/>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半挥发性有机物 - 苯酚类</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44</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苯酚</w:t>
            </w:r>
            <w:r>
              <w:rPr>
                <w:rFonts w:hint="default" w:ascii="Times New Roman" w:hAnsi="Times New Roman" w:cs="Times New Roman"/>
                <w:i w:val="0"/>
                <w:color w:val="auto"/>
                <w:kern w:val="0"/>
                <w:sz w:val="21"/>
                <w:szCs w:val="21"/>
                <w:highlight w:val="none"/>
                <w:u w:val="none"/>
                <w:vertAlign w:val="superscript"/>
                <w:lang w:val="en-US" w:eastAsia="zh-CN" w:bidi="ar"/>
              </w:rPr>
              <w:t>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108-95-2</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4160</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24200</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45</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2-氯酚</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95-57-8</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250</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2256</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46</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2-甲基苯酚</w:t>
            </w:r>
            <w:r>
              <w:rPr>
                <w:rFonts w:hint="default" w:ascii="Times New Roman" w:hAnsi="Times New Roman" w:cs="Times New Roman"/>
                <w:i w:val="0"/>
                <w:color w:val="auto"/>
                <w:kern w:val="0"/>
                <w:sz w:val="21"/>
                <w:szCs w:val="21"/>
                <w:highlight w:val="none"/>
                <w:u w:val="none"/>
                <w:vertAlign w:val="superscript"/>
                <w:lang w:val="en-US" w:eastAsia="zh-CN" w:bidi="ar"/>
              </w:rPr>
              <w:t>①</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95-48-7</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1580</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9990</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47</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4-甲基苯酚</w:t>
            </w:r>
            <w:r>
              <w:rPr>
                <w:rFonts w:hint="default" w:ascii="Times New Roman" w:hAnsi="Times New Roman" w:cs="Times New Roman"/>
                <w:i w:val="0"/>
                <w:color w:val="auto"/>
                <w:kern w:val="0"/>
                <w:sz w:val="21"/>
                <w:szCs w:val="21"/>
                <w:highlight w:val="none"/>
                <w:u w:val="none"/>
                <w:vertAlign w:val="superscript"/>
                <w:lang w:val="en-US" w:eastAsia="zh-CN" w:bidi="ar"/>
              </w:rPr>
              <w:t>①</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106-44-5</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173</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1160</w:t>
            </w:r>
          </w:p>
        </w:tc>
      </w:tr>
      <w:tr>
        <w:tblPrEx>
          <w:tblCellMar>
            <w:top w:w="0" w:type="dxa"/>
            <w:left w:w="0" w:type="dxa"/>
            <w:bottom w:w="0" w:type="dxa"/>
            <w:right w:w="0" w:type="dxa"/>
          </w:tblCellMar>
        </w:tblPrEx>
        <w:trPr>
          <w:cantSplit/>
          <w:trHeight w:val="23" w:hRule="atLeast"/>
          <w:jc w:val="center"/>
        </w:trPr>
        <w:tc>
          <w:tcPr>
            <w:tcW w:w="9668" w:type="dxa"/>
            <w:gridSpan w:val="5"/>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半挥发性有机物 - 多环芳烃类(PAHs)</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48</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萘</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91-20-3</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25</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70</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49</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苯并(a)蒽</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56-55-3</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5.5</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50</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䓛</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218-01-9</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480</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1293</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51</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苯并(b)荧蒽</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205-99-2</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5.5</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52</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苯并(k)荧蒽</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207-08-9</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55</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151</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53</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苯并(a)芘</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50-32-8</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0.55</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12"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54</w:t>
            </w:r>
          </w:p>
        </w:tc>
        <w:tc>
          <w:tcPr>
            <w:tcW w:w="2381" w:type="dxa"/>
            <w:tcBorders>
              <w:top w:val="single" w:color="000000" w:sz="4" w:space="0"/>
              <w:left w:val="single" w:color="000000" w:sz="4" w:space="0"/>
              <w:bottom w:val="single" w:color="000000" w:sz="12"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茚并(1,2,3-cd)芘</w:t>
            </w:r>
          </w:p>
        </w:tc>
        <w:tc>
          <w:tcPr>
            <w:tcW w:w="1538" w:type="dxa"/>
            <w:tcBorders>
              <w:top w:val="single" w:color="000000" w:sz="4" w:space="0"/>
              <w:left w:val="single" w:color="000000" w:sz="4" w:space="0"/>
              <w:bottom w:val="single" w:color="000000" w:sz="12"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193-39-5</w:t>
            </w:r>
          </w:p>
        </w:tc>
        <w:tc>
          <w:tcPr>
            <w:tcW w:w="2319" w:type="dxa"/>
            <w:tcBorders>
              <w:top w:val="single" w:color="000000" w:sz="4" w:space="0"/>
              <w:left w:val="single" w:color="000000" w:sz="4" w:space="0"/>
              <w:bottom w:val="single" w:color="000000" w:sz="12"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5.5</w:t>
            </w:r>
          </w:p>
        </w:tc>
        <w:tc>
          <w:tcPr>
            <w:tcW w:w="2320" w:type="dxa"/>
            <w:tcBorders>
              <w:top w:val="single" w:color="000000" w:sz="4" w:space="0"/>
              <w:left w:val="single" w:color="000000" w:sz="4" w:space="0"/>
              <w:bottom w:val="single" w:color="000000" w:sz="12"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12"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55</w:t>
            </w:r>
          </w:p>
        </w:tc>
        <w:tc>
          <w:tcPr>
            <w:tcW w:w="2381" w:type="dxa"/>
            <w:tcBorders>
              <w:top w:val="single" w:color="000000" w:sz="12"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二苯并(a,h)蒽</w:t>
            </w:r>
          </w:p>
        </w:tc>
        <w:tc>
          <w:tcPr>
            <w:tcW w:w="1538" w:type="dxa"/>
            <w:tcBorders>
              <w:top w:val="single" w:color="000000" w:sz="12"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53-70-3</w:t>
            </w:r>
          </w:p>
        </w:tc>
        <w:tc>
          <w:tcPr>
            <w:tcW w:w="2319" w:type="dxa"/>
            <w:tcBorders>
              <w:top w:val="single" w:color="000000" w:sz="12"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0.55</w:t>
            </w:r>
          </w:p>
        </w:tc>
        <w:tc>
          <w:tcPr>
            <w:tcW w:w="2320" w:type="dxa"/>
            <w:tcBorders>
              <w:top w:val="single" w:color="000000" w:sz="12"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w:t>
            </w:r>
          </w:p>
        </w:tc>
      </w:tr>
      <w:tr>
        <w:tblPrEx>
          <w:tblCellMar>
            <w:top w:w="0" w:type="dxa"/>
            <w:left w:w="0" w:type="dxa"/>
            <w:bottom w:w="0" w:type="dxa"/>
            <w:right w:w="0" w:type="dxa"/>
          </w:tblCellMar>
        </w:tblPrEx>
        <w:trPr>
          <w:cantSplit/>
          <w:trHeight w:val="23" w:hRule="atLeast"/>
          <w:jc w:val="center"/>
        </w:trPr>
        <w:tc>
          <w:tcPr>
            <w:tcW w:w="9668" w:type="dxa"/>
            <w:gridSpan w:val="5"/>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半挥发性有机物 - 硝基芳烃和酮类</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56</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硝基苯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98-95-3</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34</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76</w:t>
            </w:r>
          </w:p>
        </w:tc>
      </w:tr>
      <w:tr>
        <w:tblPrEx>
          <w:tblCellMar>
            <w:top w:w="0" w:type="dxa"/>
            <w:left w:w="0" w:type="dxa"/>
            <w:bottom w:w="0" w:type="dxa"/>
            <w:right w:w="0" w:type="dxa"/>
          </w:tblCellMar>
        </w:tblPrEx>
        <w:trPr>
          <w:cantSplit/>
          <w:trHeight w:val="23" w:hRule="atLeast"/>
          <w:jc w:val="center"/>
        </w:trPr>
        <w:tc>
          <w:tcPr>
            <w:tcW w:w="9668" w:type="dxa"/>
            <w:gridSpan w:val="5"/>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半挥发性有机物 - 苯胺和联苯胺类</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57</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苯胺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62-53-3</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92</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260</w:t>
            </w:r>
          </w:p>
        </w:tc>
      </w:tr>
      <w:tr>
        <w:tblPrEx>
          <w:tblCellMar>
            <w:top w:w="0" w:type="dxa"/>
            <w:left w:w="0" w:type="dxa"/>
            <w:bottom w:w="0" w:type="dxa"/>
            <w:right w:w="0" w:type="dxa"/>
          </w:tblCellMar>
        </w:tblPrEx>
        <w:trPr>
          <w:cantSplit/>
          <w:trHeight w:val="23" w:hRule="atLeast"/>
          <w:jc w:val="center"/>
        </w:trPr>
        <w:tc>
          <w:tcPr>
            <w:tcW w:w="9668" w:type="dxa"/>
            <w:gridSpan w:val="5"/>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有机物</w:t>
            </w:r>
            <w:r>
              <w:rPr>
                <w:rFonts w:hint="default" w:ascii="Times New Roman" w:hAnsi="Times New Roman" w:eastAsia="宋体" w:cs="Times New Roman"/>
                <w:i w:val="0"/>
                <w:color w:val="auto"/>
                <w:kern w:val="0"/>
                <w:sz w:val="21"/>
                <w:szCs w:val="21"/>
                <w:highlight w:val="none"/>
                <w:u w:val="none"/>
                <w:lang w:val="en-US" w:eastAsia="zh-CN" w:bidi="ar"/>
              </w:rPr>
              <w:t xml:space="preserve"> - </w:t>
            </w:r>
            <w:r>
              <w:rPr>
                <w:rFonts w:hint="default" w:ascii="Times New Roman" w:hAnsi="Times New Roman" w:cs="Times New Roman"/>
                <w:i w:val="0"/>
                <w:color w:val="auto"/>
                <w:kern w:val="0"/>
                <w:sz w:val="21"/>
                <w:szCs w:val="21"/>
                <w:highlight w:val="none"/>
                <w:u w:val="none"/>
                <w:lang w:val="en-US" w:eastAsia="zh-CN" w:bidi="ar"/>
              </w:rPr>
              <w:t>多氯联苯和二</w:t>
            </w:r>
            <w:r>
              <w:rPr>
                <w:rFonts w:hint="default" w:ascii="Times New Roman" w:hAnsi="Times New Roman" w:eastAsia="宋体" w:cs="Times New Roman"/>
                <w:i w:val="0"/>
                <w:color w:val="auto"/>
                <w:kern w:val="0"/>
                <w:sz w:val="21"/>
                <w:szCs w:val="21"/>
                <w:highlight w:val="none"/>
                <w:u w:val="none"/>
                <w:lang w:val="en-US" w:eastAsia="zh-CN" w:bidi="ar"/>
              </w:rPr>
              <w:t>噁</w:t>
            </w:r>
            <w:r>
              <w:rPr>
                <w:rFonts w:hint="default" w:ascii="Times New Roman" w:hAnsi="Times New Roman" w:cs="Times New Roman"/>
                <w:i w:val="0"/>
                <w:color w:val="auto"/>
                <w:kern w:val="0"/>
                <w:sz w:val="21"/>
                <w:szCs w:val="21"/>
                <w:highlight w:val="none"/>
                <w:u w:val="none"/>
                <w:lang w:val="en-US" w:eastAsia="zh-CN" w:bidi="ar"/>
              </w:rPr>
              <w:t>英类</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58</w:t>
            </w:r>
          </w:p>
        </w:tc>
        <w:tc>
          <w:tcPr>
            <w:tcW w:w="2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多氯联苯类</w:t>
            </w:r>
            <w:r>
              <w:rPr>
                <w:rFonts w:hint="default" w:ascii="Times New Roman" w:hAnsi="Times New Roman"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总量</w:t>
            </w:r>
            <w:r>
              <w:rPr>
                <w:rFonts w:hint="default" w:ascii="Times New Roman" w:hAnsi="Times New Roman" w:cs="Times New Roman"/>
                <w:i w:val="0"/>
                <w:color w:val="auto"/>
                <w:kern w:val="0"/>
                <w:sz w:val="21"/>
                <w:szCs w:val="21"/>
                <w:highlight w:val="none"/>
                <w:u w:val="none"/>
                <w:lang w:val="en-US" w:eastAsia="zh-CN" w:bidi="ar"/>
              </w:rPr>
              <w:t>）</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2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0.14</w:t>
            </w:r>
          </w:p>
        </w:tc>
        <w:tc>
          <w:tcPr>
            <w:tcW w:w="232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0.38</w:t>
            </w:r>
          </w:p>
        </w:tc>
      </w:tr>
      <w:tr>
        <w:tblPrEx>
          <w:tblCellMar>
            <w:top w:w="0" w:type="dxa"/>
            <w:left w:w="0" w:type="dxa"/>
            <w:bottom w:w="0" w:type="dxa"/>
            <w:right w:w="0" w:type="dxa"/>
          </w:tblCellMar>
        </w:tblPrEx>
        <w:trPr>
          <w:cantSplit/>
          <w:trHeight w:val="23" w:hRule="atLeast"/>
          <w:jc w:val="center"/>
        </w:trPr>
        <w:tc>
          <w:tcPr>
            <w:tcW w:w="1110" w:type="dxa"/>
            <w:tcBorders>
              <w:top w:val="single" w:color="000000" w:sz="4" w:space="0"/>
              <w:left w:val="nil"/>
              <w:bottom w:val="single" w:color="auto" w:sz="12"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59</w:t>
            </w:r>
          </w:p>
        </w:tc>
        <w:tc>
          <w:tcPr>
            <w:tcW w:w="2381" w:type="dxa"/>
            <w:tcBorders>
              <w:top w:val="single" w:color="000000" w:sz="4" w:space="0"/>
              <w:left w:val="single" w:color="000000" w:sz="4" w:space="0"/>
              <w:bottom w:val="single" w:color="auto" w:sz="12"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二噁英</w:t>
            </w:r>
          </w:p>
        </w:tc>
        <w:tc>
          <w:tcPr>
            <w:tcW w:w="1538" w:type="dxa"/>
            <w:tcBorders>
              <w:top w:val="single" w:color="000000" w:sz="4" w:space="0"/>
              <w:left w:val="single" w:color="000000" w:sz="4" w:space="0"/>
              <w:bottom w:val="single" w:color="auto" w:sz="12"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w:t>
            </w:r>
          </w:p>
        </w:tc>
        <w:tc>
          <w:tcPr>
            <w:tcW w:w="2319" w:type="dxa"/>
            <w:tcBorders>
              <w:top w:val="single" w:color="000000" w:sz="4" w:space="0"/>
              <w:left w:val="single" w:color="000000" w:sz="4" w:space="0"/>
              <w:bottom w:val="single" w:color="auto" w:sz="12"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0.00001</w:t>
            </w:r>
          </w:p>
        </w:tc>
        <w:tc>
          <w:tcPr>
            <w:tcW w:w="2320" w:type="dxa"/>
            <w:tcBorders>
              <w:top w:val="single" w:color="000000" w:sz="4" w:space="0"/>
              <w:left w:val="single" w:color="000000" w:sz="4" w:space="0"/>
              <w:bottom w:val="single" w:color="auto" w:sz="12" w:space="0"/>
              <w:right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0.00004</w:t>
            </w:r>
          </w:p>
        </w:tc>
      </w:tr>
    </w:tbl>
    <w:p>
      <w:pPr>
        <w:pStyle w:val="2"/>
        <w:spacing w:after="0" w:line="240" w:lineRule="auto"/>
        <w:rPr>
          <w:rFonts w:hint="default" w:ascii="Times New Roman" w:hAnsi="Times New Roman" w:cs="Times New Roman"/>
          <w:b/>
          <w:bCs/>
          <w:kern w:val="0"/>
          <w:sz w:val="18"/>
          <w:szCs w:val="18"/>
          <w:highlight w:val="none"/>
          <w:lang w:eastAsia="zh-CN" w:bidi="ar"/>
        </w:rPr>
      </w:pPr>
      <w:r>
        <w:rPr>
          <w:rFonts w:hint="default" w:ascii="Times New Roman" w:hAnsi="Times New Roman" w:cs="Times New Roman"/>
          <w:b/>
          <w:bCs/>
          <w:sz w:val="18"/>
          <w:szCs w:val="18"/>
          <w:highlight w:val="none"/>
        </w:rPr>
        <w:t>注：①</w:t>
      </w:r>
      <w:r>
        <w:rPr>
          <w:rFonts w:hint="default" w:ascii="Times New Roman" w:hAnsi="Times New Roman" w:cs="Times New Roman"/>
          <w:b/>
          <w:bCs/>
          <w:kern w:val="0"/>
          <w:sz w:val="18"/>
          <w:szCs w:val="18"/>
          <w:highlight w:val="none"/>
          <w:lang w:bidi="ar"/>
        </w:rPr>
        <w:t>总氟化物、铬、</w:t>
      </w:r>
      <w:r>
        <w:rPr>
          <w:rFonts w:hint="default" w:ascii="Times New Roman" w:hAnsi="Times New Roman" w:cs="Times New Roman"/>
          <w:b/>
          <w:bCs/>
          <w:kern w:val="0"/>
          <w:sz w:val="18"/>
          <w:szCs w:val="18"/>
          <w:highlight w:val="none"/>
          <w:lang w:val="en-US" w:eastAsia="zh-CN" w:bidi="ar"/>
        </w:rPr>
        <w:t>钼、</w:t>
      </w:r>
      <w:r>
        <w:rPr>
          <w:rFonts w:hint="default" w:ascii="Times New Roman" w:hAnsi="Times New Roman" w:cs="Times New Roman"/>
          <w:b/>
          <w:bCs/>
          <w:kern w:val="0"/>
          <w:sz w:val="18"/>
          <w:szCs w:val="18"/>
          <w:highlight w:val="none"/>
          <w:lang w:bidi="ar"/>
        </w:rPr>
        <w:t>2-</w:t>
      </w:r>
      <w:r>
        <w:rPr>
          <w:rFonts w:hint="default" w:ascii="Times New Roman" w:hAnsi="Times New Roman" w:cs="Times New Roman"/>
          <w:b/>
          <w:bCs/>
          <w:kern w:val="0"/>
          <w:sz w:val="18"/>
          <w:szCs w:val="18"/>
          <w:highlight w:val="none"/>
          <w:lang w:eastAsia="zh-CN" w:bidi="ar"/>
        </w:rPr>
        <w:t>甲基苯酚</w:t>
      </w:r>
      <w:r>
        <w:rPr>
          <w:rFonts w:hint="default" w:ascii="Times New Roman" w:hAnsi="Times New Roman" w:cs="Times New Roman"/>
          <w:b/>
          <w:bCs/>
          <w:kern w:val="0"/>
          <w:sz w:val="18"/>
          <w:szCs w:val="18"/>
          <w:highlight w:val="none"/>
          <w:lang w:bidi="ar"/>
        </w:rPr>
        <w:t>、4-</w:t>
      </w:r>
      <w:r>
        <w:rPr>
          <w:rFonts w:hint="default" w:ascii="Times New Roman" w:hAnsi="Times New Roman" w:cs="Times New Roman"/>
          <w:b/>
          <w:bCs/>
          <w:kern w:val="0"/>
          <w:sz w:val="18"/>
          <w:szCs w:val="18"/>
          <w:highlight w:val="none"/>
          <w:lang w:eastAsia="zh-CN" w:bidi="ar"/>
        </w:rPr>
        <w:t>甲基苯酚、1,2,4-三甲基苯、1,3,5-三甲基苯污染物项目参考深圳标准进行评价；</w:t>
      </w:r>
    </w:p>
    <w:p>
      <w:pPr>
        <w:pStyle w:val="2"/>
        <w:spacing w:after="0" w:line="240" w:lineRule="auto"/>
        <w:ind w:firstLine="361" w:firstLineChars="200"/>
        <w:rPr>
          <w:rFonts w:hint="default" w:ascii="Times New Roman" w:hAnsi="Times New Roman" w:cs="Times New Roman"/>
          <w:b/>
          <w:bCs/>
          <w:kern w:val="0"/>
          <w:sz w:val="18"/>
          <w:szCs w:val="18"/>
          <w:highlight w:val="none"/>
          <w:lang w:bidi="ar"/>
        </w:rPr>
      </w:pPr>
      <w:r>
        <w:rPr>
          <w:rFonts w:hint="default" w:ascii="Times New Roman" w:hAnsi="Times New Roman" w:cs="Times New Roman"/>
          <w:b/>
          <w:bCs/>
          <w:kern w:val="0"/>
          <w:sz w:val="18"/>
          <w:szCs w:val="18"/>
          <w:highlight w:val="none"/>
          <w:lang w:bidi="ar"/>
        </w:rPr>
        <w:t>②二硫化碳污染物项目参考河北标准进行评价；</w:t>
      </w:r>
    </w:p>
    <w:p>
      <w:pPr>
        <w:pStyle w:val="2"/>
        <w:spacing w:after="0" w:line="240" w:lineRule="auto"/>
        <w:ind w:firstLine="361" w:firstLineChars="200"/>
        <w:rPr>
          <w:rFonts w:hint="default" w:ascii="Times New Roman" w:hAnsi="Times New Roman" w:cs="Times New Roman"/>
          <w:b/>
          <w:bCs/>
          <w:sz w:val="18"/>
          <w:szCs w:val="18"/>
          <w:highlight w:val="none"/>
        </w:rPr>
      </w:pPr>
      <w:r>
        <w:rPr>
          <w:rFonts w:hint="default" w:ascii="Times New Roman" w:hAnsi="Times New Roman" w:cs="Times New Roman"/>
          <w:b/>
          <w:bCs/>
          <w:sz w:val="18"/>
          <w:szCs w:val="18"/>
          <w:highlight w:val="none"/>
        </w:rPr>
        <w:t>③苯酚评价标准值根据《建设用地土壤污染风险评估技术导则（HJ 25.3—2019）》按照敏感用地和非敏感用地分别计算得到。</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bCs/>
          <w:color w:val="auto"/>
          <w:sz w:val="24"/>
          <w:szCs w:val="24"/>
          <w:highlight w:val="none"/>
        </w:rPr>
      </w:pPr>
      <w:r>
        <w:rPr>
          <w:rFonts w:hint="default" w:ascii="Times New Roman" w:hAnsi="Times New Roman" w:eastAsia="黑体" w:cs="Times New Roman"/>
          <w:b/>
          <w:bCs/>
          <w:color w:val="auto"/>
          <w:sz w:val="24"/>
          <w:szCs w:val="24"/>
          <w:highlight w:val="none"/>
        </w:rPr>
        <w:t>表5-1-</w:t>
      </w:r>
      <w:r>
        <w:rPr>
          <w:rFonts w:hint="default" w:ascii="Times New Roman" w:hAnsi="Times New Roman" w:eastAsia="黑体" w:cs="Times New Roman"/>
          <w:b/>
          <w:bCs/>
          <w:color w:val="auto"/>
          <w:sz w:val="24"/>
          <w:szCs w:val="24"/>
          <w:highlight w:val="none"/>
          <w:lang w:val="en-US" w:eastAsia="zh-CN"/>
        </w:rPr>
        <w:t xml:space="preserve">3 </w:t>
      </w:r>
      <w:r>
        <w:rPr>
          <w:rFonts w:hint="default" w:ascii="Times New Roman" w:hAnsi="Times New Roman" w:eastAsia="黑体" w:cs="Times New Roman"/>
          <w:b/>
          <w:bCs/>
          <w:color w:val="auto"/>
          <w:sz w:val="24"/>
          <w:szCs w:val="24"/>
          <w:highlight w:val="none"/>
          <w:lang w:eastAsia="zh-CN"/>
        </w:rPr>
        <w:t>农</w:t>
      </w:r>
      <w:r>
        <w:rPr>
          <w:rFonts w:hint="default" w:ascii="Times New Roman" w:hAnsi="Times New Roman" w:eastAsia="黑体" w:cs="Times New Roman"/>
          <w:b/>
          <w:bCs/>
          <w:color w:val="auto"/>
          <w:sz w:val="24"/>
          <w:szCs w:val="24"/>
          <w:highlight w:val="none"/>
        </w:rPr>
        <w:t>用地土壤污染风险筛选值 （单位：mg/kg）</w:t>
      </w:r>
    </w:p>
    <w:tbl>
      <w:tblPr>
        <w:tblStyle w:val="21"/>
        <w:tblW w:w="966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611"/>
        <w:gridCol w:w="1611"/>
        <w:gridCol w:w="1611"/>
        <w:gridCol w:w="1611"/>
        <w:gridCol w:w="1612"/>
        <w:gridCol w:w="16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jc w:val="center"/>
        </w:trPr>
        <w:tc>
          <w:tcPr>
            <w:tcW w:w="1611" w:type="dxa"/>
            <w:vMerge w:val="restar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序号</w:t>
            </w:r>
          </w:p>
        </w:tc>
        <w:tc>
          <w:tcPr>
            <w:tcW w:w="1611" w:type="dxa"/>
            <w:vMerge w:val="restart"/>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污染物项目</w:t>
            </w:r>
          </w:p>
        </w:tc>
        <w:tc>
          <w:tcPr>
            <w:tcW w:w="6446" w:type="dxa"/>
            <w:gridSpan w:val="4"/>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风险筛选值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611" w:type="dxa"/>
            <w:vMerge w:val="continue"/>
            <w:tcBorders>
              <w:bottom w:val="single" w:color="auto" w:sz="12" w:space="0"/>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b/>
                <w:i w:val="0"/>
                <w:color w:val="auto"/>
                <w:sz w:val="21"/>
                <w:szCs w:val="21"/>
                <w:highlight w:val="none"/>
                <w:u w:val="none"/>
              </w:rPr>
            </w:pPr>
          </w:p>
        </w:tc>
        <w:tc>
          <w:tcPr>
            <w:tcW w:w="1611" w:type="dxa"/>
            <w:vMerge w:val="continue"/>
            <w:tcBorders>
              <w:bottom w:val="single" w:color="auto" w:sz="12" w:space="0"/>
            </w:tcBorders>
            <w:shd w:val="clear" w:color="auto" w:fill="auto"/>
            <w:noWrap/>
            <w:tcMar>
              <w:top w:w="15" w:type="dxa"/>
              <w:left w:w="15" w:type="dxa"/>
              <w:right w:w="15"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b/>
                <w:i w:val="0"/>
                <w:color w:val="auto"/>
                <w:sz w:val="21"/>
                <w:szCs w:val="21"/>
                <w:highlight w:val="none"/>
                <w:u w:val="none"/>
              </w:rPr>
            </w:pPr>
          </w:p>
        </w:tc>
        <w:tc>
          <w:tcPr>
            <w:tcW w:w="1611" w:type="dxa"/>
            <w:tcBorders>
              <w:bottom w:val="single" w:color="auto" w:sz="12" w:space="0"/>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Times New Roman"/>
                <w:b/>
                <w:i w:val="0"/>
                <w:color w:val="auto"/>
                <w:sz w:val="21"/>
                <w:szCs w:val="21"/>
                <w:highlight w:val="none"/>
                <w:u w:val="none"/>
                <w:lang w:val="en-US"/>
              </w:rPr>
            </w:pPr>
            <w:r>
              <w:rPr>
                <w:rFonts w:hint="default" w:ascii="Times New Roman" w:hAnsi="Times New Roman" w:cs="Times New Roman"/>
                <w:b/>
                <w:i w:val="0"/>
                <w:color w:val="auto"/>
                <w:kern w:val="0"/>
                <w:sz w:val="21"/>
                <w:szCs w:val="21"/>
                <w:highlight w:val="none"/>
                <w:u w:val="none"/>
                <w:lang w:val="en-US" w:eastAsia="zh-CN" w:bidi="ar"/>
              </w:rPr>
              <w:t>pH≤5.5</w:t>
            </w:r>
          </w:p>
        </w:tc>
        <w:tc>
          <w:tcPr>
            <w:tcW w:w="1611" w:type="dxa"/>
            <w:tcBorders>
              <w:bottom w:val="single" w:color="auto" w:sz="12" w:space="0"/>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Times New Roman"/>
                <w:b/>
                <w:i w:val="0"/>
                <w:color w:val="auto"/>
                <w:sz w:val="21"/>
                <w:szCs w:val="21"/>
                <w:highlight w:val="none"/>
                <w:u w:val="none"/>
                <w:lang w:val="en-US"/>
              </w:rPr>
            </w:pPr>
            <w:r>
              <w:rPr>
                <w:rFonts w:hint="default" w:ascii="Times New Roman" w:hAnsi="Times New Roman" w:cs="Times New Roman"/>
                <w:b/>
                <w:i w:val="0"/>
                <w:color w:val="auto"/>
                <w:kern w:val="0"/>
                <w:sz w:val="21"/>
                <w:szCs w:val="21"/>
                <w:highlight w:val="none"/>
                <w:u w:val="none"/>
                <w:lang w:val="en-US" w:eastAsia="zh-CN" w:bidi="ar"/>
              </w:rPr>
              <w:t>5.5＜pH≤6.5</w:t>
            </w:r>
          </w:p>
        </w:tc>
        <w:tc>
          <w:tcPr>
            <w:tcW w:w="1612" w:type="dxa"/>
            <w:tcBorders>
              <w:bottom w:val="single" w:color="auto" w:sz="12" w:space="0"/>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Times New Roman"/>
                <w:b/>
                <w:i w:val="0"/>
                <w:color w:val="auto"/>
                <w:sz w:val="21"/>
                <w:szCs w:val="21"/>
                <w:highlight w:val="none"/>
                <w:u w:val="none"/>
                <w:lang w:val="en-US"/>
              </w:rPr>
            </w:pPr>
            <w:r>
              <w:rPr>
                <w:rFonts w:hint="default" w:ascii="Times New Roman" w:hAnsi="Times New Roman" w:cs="Times New Roman"/>
                <w:b/>
                <w:i w:val="0"/>
                <w:color w:val="auto"/>
                <w:kern w:val="0"/>
                <w:sz w:val="21"/>
                <w:szCs w:val="21"/>
                <w:highlight w:val="none"/>
                <w:u w:val="none"/>
                <w:lang w:val="en-US" w:eastAsia="zh-CN" w:bidi="ar"/>
              </w:rPr>
              <w:t>6.5＜pH≤7.5</w:t>
            </w:r>
          </w:p>
        </w:tc>
        <w:tc>
          <w:tcPr>
            <w:tcW w:w="1612" w:type="dxa"/>
            <w:tcBorders>
              <w:bottom w:val="single" w:color="auto" w:sz="12" w:space="0"/>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top"/>
              <w:rPr>
                <w:rFonts w:hint="default" w:ascii="Times New Roman" w:hAnsi="Times New Roman" w:eastAsia="宋体" w:cs="Times New Roman"/>
                <w:b/>
                <w:i w:val="0"/>
                <w:color w:val="auto"/>
                <w:sz w:val="21"/>
                <w:szCs w:val="21"/>
                <w:highlight w:val="none"/>
                <w:u w:val="none"/>
                <w:lang w:val="en-US"/>
              </w:rPr>
            </w:pPr>
            <w:r>
              <w:rPr>
                <w:rFonts w:hint="default" w:ascii="Times New Roman" w:hAnsi="Times New Roman" w:cs="Times New Roman"/>
                <w:b/>
                <w:i w:val="0"/>
                <w:color w:val="auto"/>
                <w:kern w:val="0"/>
                <w:sz w:val="21"/>
                <w:szCs w:val="21"/>
                <w:highlight w:val="none"/>
                <w:u w:val="none"/>
                <w:lang w:val="en-US" w:eastAsia="zh-CN" w:bidi="ar"/>
              </w:rPr>
              <w:t>pH＞7.5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611"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1611"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镉</w:t>
            </w:r>
          </w:p>
        </w:tc>
        <w:tc>
          <w:tcPr>
            <w:tcW w:w="1611"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0.3</w:t>
            </w:r>
          </w:p>
        </w:tc>
        <w:tc>
          <w:tcPr>
            <w:tcW w:w="1611"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0.3</w:t>
            </w:r>
          </w:p>
        </w:tc>
        <w:tc>
          <w:tcPr>
            <w:tcW w:w="1612"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0.3</w:t>
            </w:r>
          </w:p>
        </w:tc>
        <w:tc>
          <w:tcPr>
            <w:tcW w:w="1612"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汞</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1.3</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1.8</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2.4</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砷</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40</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40</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30</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铅</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70</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90</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120</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铬</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150</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150</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200</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铜</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50</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50</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100</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镍</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60</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70</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100</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8</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锌</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20</w:t>
            </w:r>
            <w:r>
              <w:rPr>
                <w:rFonts w:hint="default" w:ascii="Times New Roman" w:hAnsi="Times New Roman" w:cs="Times New Roman"/>
                <w:i w:val="0"/>
                <w:color w:val="auto"/>
                <w:kern w:val="0"/>
                <w:sz w:val="21"/>
                <w:szCs w:val="21"/>
                <w:highlight w:val="none"/>
                <w:u w:val="none"/>
                <w:lang w:val="en-US" w:eastAsia="zh-CN" w:bidi="ar"/>
              </w:rPr>
              <w:t>0</w:t>
            </w:r>
          </w:p>
        </w:tc>
        <w:tc>
          <w:tcPr>
            <w:tcW w:w="161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200</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250</w:t>
            </w:r>
          </w:p>
        </w:tc>
        <w:tc>
          <w:tcPr>
            <w:tcW w:w="1612"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300</w:t>
            </w:r>
          </w:p>
        </w:tc>
      </w:tr>
    </w:tbl>
    <w:p>
      <w:pPr>
        <w:pStyle w:val="2"/>
        <w:keepNext w:val="0"/>
        <w:keepLines w:val="0"/>
        <w:pageBreakBefore w:val="0"/>
        <w:widowControl w:val="0"/>
        <w:kinsoku/>
        <w:wordWrap/>
        <w:overflowPunct/>
        <w:topLinePunct w:val="0"/>
        <w:autoSpaceDE/>
        <w:autoSpaceDN/>
        <w:bidi w:val="0"/>
        <w:adjustRightInd/>
        <w:snapToGrid/>
        <w:spacing w:after="0" w:line="240" w:lineRule="auto"/>
        <w:ind w:firstLine="361" w:firstLineChars="200"/>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注：根据表5-1-1，本报告仅涉及GB15618中其它类别风险筛选值。</w:t>
      </w:r>
    </w:p>
    <w:p>
      <w:pPr>
        <w:pStyle w:val="5"/>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土壤背景值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auto"/>
          <w:sz w:val="24"/>
          <w:szCs w:val="24"/>
          <w:highlight w:val="none"/>
          <w:shd w:val="clear" w:color="auto" w:fill="auto"/>
        </w:rPr>
      </w:pPr>
      <w:r>
        <w:rPr>
          <w:rFonts w:hint="default" w:ascii="Times New Roman" w:hAnsi="Times New Roman" w:cs="Times New Roman" w:eastAsiaTheme="minorEastAsia"/>
          <w:color w:val="auto"/>
          <w:sz w:val="24"/>
          <w:szCs w:val="24"/>
          <w:highlight w:val="none"/>
          <w:shd w:val="clear" w:color="auto" w:fill="auto"/>
          <w:lang w:eastAsia="zh-CN"/>
        </w:rPr>
        <w:t>由于缺少园区所在区域内土壤环境质量相关数据，本报告参考中国环境监测总站编制的《中国土壤元素背景值》中湖北省土壤中重金属背景值及《土壤环境质量建设用地土壤污染风险管控标准（试行）（GB36600-2018）》（以下简称</w:t>
      </w:r>
      <w:r>
        <w:rPr>
          <w:rFonts w:hint="default" w:ascii="Times New Roman" w:hAnsi="Times New Roman" w:cs="Times New Roman" w:eastAsiaTheme="minorEastAsia"/>
          <w:color w:val="auto"/>
          <w:sz w:val="24"/>
          <w:szCs w:val="24"/>
          <w:highlight w:val="none"/>
          <w:shd w:val="clear" w:color="auto" w:fill="auto"/>
          <w:lang w:val="en-US" w:eastAsia="zh-CN"/>
        </w:rPr>
        <w:t>GB36600</w:t>
      </w:r>
      <w:r>
        <w:rPr>
          <w:rFonts w:hint="default" w:ascii="Times New Roman" w:hAnsi="Times New Roman" w:cs="Times New Roman" w:eastAsiaTheme="minorEastAsia"/>
          <w:color w:val="auto"/>
          <w:sz w:val="24"/>
          <w:szCs w:val="24"/>
          <w:highlight w:val="none"/>
          <w:shd w:val="clear" w:color="auto" w:fill="auto"/>
          <w:lang w:eastAsia="zh-CN"/>
        </w:rPr>
        <w:t>）附录</w:t>
      </w:r>
      <w:r>
        <w:rPr>
          <w:rFonts w:hint="default" w:ascii="Times New Roman" w:hAnsi="Times New Roman" w:cs="Times New Roman" w:eastAsiaTheme="minorEastAsia"/>
          <w:color w:val="auto"/>
          <w:sz w:val="24"/>
          <w:szCs w:val="24"/>
          <w:highlight w:val="none"/>
          <w:shd w:val="clear" w:color="auto" w:fill="auto"/>
          <w:lang w:val="en-US" w:eastAsia="zh-CN"/>
        </w:rPr>
        <w:t>A</w:t>
      </w:r>
      <w:r>
        <w:rPr>
          <w:rFonts w:hint="default" w:ascii="Times New Roman" w:hAnsi="Times New Roman" w:cs="Times New Roman" w:eastAsiaTheme="minorEastAsia"/>
          <w:color w:val="auto"/>
          <w:sz w:val="24"/>
          <w:szCs w:val="24"/>
          <w:highlight w:val="none"/>
          <w:shd w:val="clear" w:color="auto" w:fill="auto"/>
          <w:lang w:eastAsia="zh-CN"/>
        </w:rPr>
        <w:t>作为区域土壤环境状况背景</w:t>
      </w:r>
      <w:r>
        <w:rPr>
          <w:rFonts w:hint="default" w:ascii="Times New Roman" w:hAnsi="Times New Roman" w:cs="Times New Roman" w:eastAsiaTheme="minorEastAsia"/>
          <w:color w:val="auto"/>
          <w:sz w:val="24"/>
          <w:szCs w:val="24"/>
          <w:highlight w:val="none"/>
          <w:shd w:val="clear" w:color="auto" w:fill="auto"/>
        </w:rPr>
        <w:t>。</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黑体" w:cs="Times New Roman"/>
          <w:b/>
          <w:color w:val="auto"/>
          <w:sz w:val="24"/>
          <w:highlight w:val="none"/>
          <w:lang w:val="en-US" w:eastAsia="zh-CN"/>
        </w:rPr>
      </w:pPr>
      <w:r>
        <w:rPr>
          <w:rFonts w:hint="default" w:ascii="Times New Roman" w:hAnsi="Times New Roman" w:eastAsia="黑体" w:cs="Times New Roman"/>
          <w:b/>
          <w:color w:val="auto"/>
          <w:sz w:val="24"/>
          <w:highlight w:val="none"/>
          <w:lang w:val="en-US" w:eastAsia="zh-CN"/>
        </w:rPr>
        <w:t>表5-1-4 土壤背景值一览表</w:t>
      </w:r>
    </w:p>
    <w:tbl>
      <w:tblPr>
        <w:tblStyle w:val="22"/>
        <w:tblW w:w="9854" w:type="dxa"/>
        <w:tblInd w:w="0" w:type="dxa"/>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92"/>
        <w:gridCol w:w="3534"/>
        <w:gridCol w:w="2132"/>
        <w:gridCol w:w="2796"/>
      </w:tblGrid>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1392" w:type="dxa"/>
            <w:tcBorders>
              <w:top w:val="single" w:color="auto" w:sz="12" w:space="0"/>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bCs w:val="0"/>
                <w:color w:val="auto"/>
                <w:sz w:val="21"/>
                <w:szCs w:val="21"/>
                <w:highlight w:val="none"/>
                <w:vertAlign w:val="baseline"/>
                <w:lang w:val="en-US" w:eastAsia="zh-CN"/>
              </w:rPr>
            </w:pPr>
            <w:r>
              <w:rPr>
                <w:rFonts w:hint="default" w:ascii="Times New Roman" w:hAnsi="Times New Roman" w:cs="Times New Roman" w:eastAsiaTheme="minorEastAsia"/>
                <w:b/>
                <w:bCs w:val="0"/>
                <w:color w:val="auto"/>
                <w:sz w:val="21"/>
                <w:szCs w:val="21"/>
                <w:highlight w:val="none"/>
                <w:vertAlign w:val="baseline"/>
                <w:lang w:val="en-US" w:eastAsia="zh-CN"/>
              </w:rPr>
              <w:t>序号</w:t>
            </w:r>
          </w:p>
        </w:tc>
        <w:tc>
          <w:tcPr>
            <w:tcW w:w="3534" w:type="dxa"/>
            <w:tcBorders>
              <w:top w:val="single" w:color="auto" w:sz="12" w:space="0"/>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bCs w:val="0"/>
                <w:color w:val="auto"/>
                <w:sz w:val="21"/>
                <w:szCs w:val="21"/>
                <w:highlight w:val="none"/>
                <w:vertAlign w:val="baseline"/>
                <w:lang w:val="en-US" w:eastAsia="zh-CN"/>
              </w:rPr>
            </w:pPr>
            <w:r>
              <w:rPr>
                <w:rFonts w:hint="default" w:ascii="Times New Roman" w:hAnsi="Times New Roman" w:cs="Times New Roman" w:eastAsiaTheme="minorEastAsia"/>
                <w:b/>
                <w:bCs w:val="0"/>
                <w:color w:val="auto"/>
                <w:sz w:val="21"/>
                <w:szCs w:val="21"/>
                <w:highlight w:val="none"/>
                <w:vertAlign w:val="baseline"/>
                <w:lang w:val="en-US" w:eastAsia="zh-CN"/>
              </w:rPr>
              <w:t>重金属</w:t>
            </w:r>
          </w:p>
        </w:tc>
        <w:tc>
          <w:tcPr>
            <w:tcW w:w="2132" w:type="dxa"/>
            <w:tcBorders>
              <w:top w:val="single" w:color="auto" w:sz="12" w:space="0"/>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bCs w:val="0"/>
                <w:color w:val="auto"/>
                <w:sz w:val="21"/>
                <w:szCs w:val="21"/>
                <w:highlight w:val="none"/>
                <w:vertAlign w:val="baseline"/>
                <w:lang w:val="en-US" w:eastAsia="zh-CN"/>
              </w:rPr>
            </w:pPr>
            <w:r>
              <w:rPr>
                <w:rFonts w:hint="default" w:ascii="Times New Roman" w:hAnsi="Times New Roman" w:cs="Times New Roman" w:eastAsiaTheme="minorEastAsia"/>
                <w:b/>
                <w:bCs w:val="0"/>
                <w:color w:val="auto"/>
                <w:sz w:val="21"/>
                <w:szCs w:val="21"/>
                <w:highlight w:val="none"/>
                <w:vertAlign w:val="baseline"/>
                <w:lang w:val="en-US" w:eastAsia="zh-CN"/>
              </w:rPr>
              <w:t>背景值（mg/kg）</w:t>
            </w:r>
          </w:p>
        </w:tc>
        <w:tc>
          <w:tcPr>
            <w:tcW w:w="2796" w:type="dxa"/>
            <w:tcBorders>
              <w:top w:val="single" w:color="auto" w:sz="12" w:space="0"/>
              <w:bottom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bCs w:val="0"/>
                <w:color w:val="auto"/>
                <w:sz w:val="21"/>
                <w:szCs w:val="21"/>
                <w:highlight w:val="none"/>
                <w:vertAlign w:val="baseline"/>
                <w:lang w:val="en-US" w:eastAsia="zh-CN"/>
              </w:rPr>
            </w:pPr>
            <w:r>
              <w:rPr>
                <w:rFonts w:hint="default" w:ascii="Times New Roman" w:hAnsi="Times New Roman" w:cs="Times New Roman" w:eastAsiaTheme="minorEastAsia"/>
                <w:b/>
                <w:bCs w:val="0"/>
                <w:color w:val="auto"/>
                <w:sz w:val="21"/>
                <w:szCs w:val="21"/>
                <w:highlight w:val="none"/>
                <w:vertAlign w:val="baseline"/>
                <w:lang w:val="en-US" w:eastAsia="zh-CN"/>
              </w:rPr>
              <w:t>背景值来源</w:t>
            </w:r>
          </w:p>
        </w:tc>
      </w:tr>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2" w:type="dxa"/>
            <w:tcBorders>
              <w:top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1</w:t>
            </w:r>
          </w:p>
        </w:tc>
        <w:tc>
          <w:tcPr>
            <w:tcW w:w="3534" w:type="dxa"/>
            <w:tcBorders>
              <w:top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锌</w:t>
            </w:r>
          </w:p>
        </w:tc>
        <w:tc>
          <w:tcPr>
            <w:tcW w:w="2132" w:type="dxa"/>
            <w:tcBorders>
              <w:top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144</w:t>
            </w:r>
          </w:p>
        </w:tc>
        <w:tc>
          <w:tcPr>
            <w:tcW w:w="2796" w:type="dxa"/>
            <w:vMerge w:val="restart"/>
            <w:tcBorders>
              <w:top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《中国土壤元素背景值》（国家环境保护局 主持, 中国环境监测总站 主编. 中国土壤元素背景值[J]. 1990.）0-20cm土壤95%置信上限值</w:t>
            </w:r>
          </w:p>
        </w:tc>
      </w:tr>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9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2</w:t>
            </w:r>
          </w:p>
        </w:tc>
        <w:tc>
          <w:tcPr>
            <w:tcW w:w="353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镍</w:t>
            </w:r>
          </w:p>
        </w:tc>
        <w:tc>
          <w:tcPr>
            <w:tcW w:w="213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54.2</w:t>
            </w:r>
          </w:p>
        </w:tc>
        <w:tc>
          <w:tcPr>
            <w:tcW w:w="2796"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p>
        </w:tc>
      </w:tr>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9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3</w:t>
            </w:r>
          </w:p>
        </w:tc>
        <w:tc>
          <w:tcPr>
            <w:tcW w:w="353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铬</w:t>
            </w:r>
          </w:p>
        </w:tc>
        <w:tc>
          <w:tcPr>
            <w:tcW w:w="213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146.8</w:t>
            </w:r>
          </w:p>
        </w:tc>
        <w:tc>
          <w:tcPr>
            <w:tcW w:w="2796"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p>
        </w:tc>
      </w:tr>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9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4</w:t>
            </w:r>
          </w:p>
        </w:tc>
        <w:tc>
          <w:tcPr>
            <w:tcW w:w="353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铜</w:t>
            </w:r>
          </w:p>
        </w:tc>
        <w:tc>
          <w:tcPr>
            <w:tcW w:w="213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56.4</w:t>
            </w:r>
          </w:p>
        </w:tc>
        <w:tc>
          <w:tcPr>
            <w:tcW w:w="2796"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p>
        </w:tc>
      </w:tr>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9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5</w:t>
            </w:r>
          </w:p>
        </w:tc>
        <w:tc>
          <w:tcPr>
            <w:tcW w:w="353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镉</w:t>
            </w:r>
          </w:p>
        </w:tc>
        <w:tc>
          <w:tcPr>
            <w:tcW w:w="213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0.5643</w:t>
            </w:r>
          </w:p>
        </w:tc>
        <w:tc>
          <w:tcPr>
            <w:tcW w:w="2796"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p>
        </w:tc>
      </w:tr>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6</w:t>
            </w:r>
          </w:p>
        </w:tc>
        <w:tc>
          <w:tcPr>
            <w:tcW w:w="353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汞</w:t>
            </w:r>
          </w:p>
        </w:tc>
        <w:tc>
          <w:tcPr>
            <w:tcW w:w="213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0.193</w:t>
            </w:r>
          </w:p>
        </w:tc>
        <w:tc>
          <w:tcPr>
            <w:tcW w:w="2796"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p>
        </w:tc>
      </w:tr>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9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7</w:t>
            </w:r>
          </w:p>
        </w:tc>
        <w:tc>
          <w:tcPr>
            <w:tcW w:w="353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铅</w:t>
            </w:r>
          </w:p>
        </w:tc>
        <w:tc>
          <w:tcPr>
            <w:tcW w:w="213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42.3</w:t>
            </w:r>
          </w:p>
        </w:tc>
        <w:tc>
          <w:tcPr>
            <w:tcW w:w="2796"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p>
        </w:tc>
      </w:tr>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9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8</w:t>
            </w:r>
          </w:p>
        </w:tc>
        <w:tc>
          <w:tcPr>
            <w:tcW w:w="353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钼</w:t>
            </w:r>
          </w:p>
        </w:tc>
        <w:tc>
          <w:tcPr>
            <w:tcW w:w="213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8.9</w:t>
            </w:r>
          </w:p>
        </w:tc>
        <w:tc>
          <w:tcPr>
            <w:tcW w:w="2796"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p>
        </w:tc>
      </w:tr>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9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9</w:t>
            </w:r>
          </w:p>
        </w:tc>
        <w:tc>
          <w:tcPr>
            <w:tcW w:w="353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锑</w:t>
            </w:r>
          </w:p>
        </w:tc>
        <w:tc>
          <w:tcPr>
            <w:tcW w:w="213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2.23</w:t>
            </w:r>
          </w:p>
        </w:tc>
        <w:tc>
          <w:tcPr>
            <w:tcW w:w="2796"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p>
        </w:tc>
      </w:tr>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9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10</w:t>
            </w:r>
          </w:p>
        </w:tc>
        <w:tc>
          <w:tcPr>
            <w:tcW w:w="353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砷</w:t>
            </w:r>
            <w:r>
              <w:rPr>
                <w:rFonts w:hint="default" w:ascii="Times New Roman" w:hAnsi="Times New Roman" w:cs="Times New Roman" w:eastAsiaTheme="minorEastAsia"/>
                <w:b w:val="0"/>
                <w:bCs/>
                <w:color w:val="auto"/>
                <w:sz w:val="21"/>
                <w:szCs w:val="21"/>
                <w:highlight w:val="none"/>
                <w:vertAlign w:val="superscript"/>
                <w:lang w:val="en-US" w:eastAsia="zh-CN"/>
              </w:rPr>
              <w:t>①</w:t>
            </w:r>
          </w:p>
        </w:tc>
        <w:tc>
          <w:tcPr>
            <w:tcW w:w="213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40</w:t>
            </w:r>
          </w:p>
        </w:tc>
        <w:tc>
          <w:tcPr>
            <w:tcW w:w="2796" w:type="dxa"/>
            <w:vMerge w:val="restart"/>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GB36600附录A</w:t>
            </w:r>
          </w:p>
        </w:tc>
      </w:tr>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9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11</w:t>
            </w:r>
          </w:p>
        </w:tc>
        <w:tc>
          <w:tcPr>
            <w:tcW w:w="353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钴</w:t>
            </w:r>
            <w:r>
              <w:rPr>
                <w:rFonts w:hint="default" w:ascii="Times New Roman" w:hAnsi="Times New Roman" w:cs="Times New Roman" w:eastAsiaTheme="minorEastAsia"/>
                <w:b w:val="0"/>
                <w:bCs/>
                <w:color w:val="auto"/>
                <w:sz w:val="21"/>
                <w:szCs w:val="21"/>
                <w:highlight w:val="none"/>
                <w:vertAlign w:val="superscript"/>
                <w:lang w:val="en-US" w:eastAsia="zh-CN"/>
              </w:rPr>
              <w:t>②</w:t>
            </w:r>
          </w:p>
        </w:tc>
        <w:tc>
          <w:tcPr>
            <w:tcW w:w="2132"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eastAsiaTheme="minorEastAsia"/>
                <w:b w:val="0"/>
                <w:bCs/>
                <w:color w:val="auto"/>
                <w:sz w:val="21"/>
                <w:szCs w:val="21"/>
                <w:highlight w:val="none"/>
                <w:vertAlign w:val="baseline"/>
                <w:lang w:val="en-US" w:eastAsia="zh-CN"/>
              </w:rPr>
              <w:t>40</w:t>
            </w:r>
          </w:p>
        </w:tc>
        <w:tc>
          <w:tcPr>
            <w:tcW w:w="2796"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p>
        </w:tc>
      </w:tr>
    </w:tbl>
    <w:p>
      <w:pPr>
        <w:pStyle w:val="2"/>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eastAsia="zh-CN"/>
        </w:rPr>
        <w:t>注：①②根据“土壤信息服务平台”（http://www.soilinfo.cn/map/index.aspx），三江港经济区主要土壤类型为水稻土、黄棕壤、红壤，因此参考</w:t>
      </w:r>
      <w:r>
        <w:rPr>
          <w:rFonts w:hint="default" w:ascii="Times New Roman" w:hAnsi="Times New Roman" w:cs="Times New Roman" w:eastAsiaTheme="minorEastAsia"/>
          <w:b/>
          <w:bCs/>
          <w:color w:val="auto"/>
          <w:sz w:val="18"/>
          <w:szCs w:val="18"/>
          <w:highlight w:val="none"/>
          <w:vertAlign w:val="baseline"/>
          <w:lang w:val="en-US" w:eastAsia="zh-CN"/>
        </w:rPr>
        <w:t>GB36600附录A确定砷、钴背景值均为40mg/kg。</w:t>
      </w:r>
    </w:p>
    <w:p>
      <w:pPr>
        <w:pStyle w:val="5"/>
        <w:tabs>
          <w:tab w:val="left" w:pos="425"/>
        </w:tabs>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地下水评价标准</w:t>
      </w:r>
    </w:p>
    <w:p>
      <w:pPr>
        <w:spacing w:line="360" w:lineRule="auto"/>
        <w:ind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highlight w:val="none"/>
        </w:rPr>
        <w:t>调查</w:t>
      </w:r>
      <w:r>
        <w:rPr>
          <w:rFonts w:hint="default" w:ascii="Times New Roman" w:hAnsi="Times New Roman" w:cs="Times New Roman"/>
          <w:color w:val="auto"/>
          <w:sz w:val="24"/>
          <w:highlight w:val="none"/>
          <w:lang w:eastAsia="zh-CN"/>
        </w:rPr>
        <w:t>园区</w:t>
      </w:r>
      <w:r>
        <w:rPr>
          <w:rFonts w:hint="default" w:ascii="Times New Roman" w:hAnsi="Times New Roman" w:cs="Times New Roman"/>
          <w:color w:val="auto"/>
          <w:sz w:val="24"/>
          <w:highlight w:val="none"/>
        </w:rPr>
        <w:t>地下水</w:t>
      </w:r>
      <w:r>
        <w:rPr>
          <w:rFonts w:hint="default" w:ascii="Times New Roman" w:hAnsi="Times New Roman" w:cs="Times New Roman"/>
          <w:color w:val="auto"/>
          <w:sz w:val="24"/>
          <w:highlight w:val="none"/>
          <w:lang w:eastAsia="zh-CN"/>
        </w:rPr>
        <w:t>类型</w:t>
      </w:r>
      <w:r>
        <w:rPr>
          <w:rFonts w:hint="default" w:ascii="Times New Roman" w:hAnsi="Times New Roman" w:cs="Times New Roman"/>
          <w:color w:val="auto"/>
          <w:sz w:val="24"/>
          <w:highlight w:val="none"/>
        </w:rPr>
        <w:t>主要为</w:t>
      </w:r>
      <w:r>
        <w:rPr>
          <w:rFonts w:hint="default" w:ascii="Times New Roman" w:hAnsi="Times New Roman" w:cs="Times New Roman"/>
          <w:color w:val="auto"/>
          <w:sz w:val="24"/>
          <w:highlight w:val="none"/>
          <w:lang w:eastAsia="zh-CN"/>
        </w:rPr>
        <w:t>潜水</w:t>
      </w:r>
      <w:r>
        <w:rPr>
          <w:rFonts w:hint="default" w:ascii="Times New Roman" w:hAnsi="Times New Roman" w:cs="Times New Roman"/>
          <w:color w:val="auto"/>
          <w:sz w:val="24"/>
          <w:szCs w:val="20"/>
          <w:highlight w:val="none"/>
        </w:rPr>
        <w:t>，</w:t>
      </w:r>
      <w:r>
        <w:rPr>
          <w:rFonts w:hint="default" w:ascii="Times New Roman" w:hAnsi="Times New Roman" w:cs="Times New Roman"/>
          <w:color w:val="auto"/>
          <w:sz w:val="24"/>
          <w:highlight w:val="none"/>
        </w:rPr>
        <w:t>测试项目包括无机项目、金属类、有机类等</w:t>
      </w:r>
      <w:r>
        <w:rPr>
          <w:rFonts w:hint="default" w:ascii="Times New Roman" w:hAnsi="Times New Roman" w:cs="Times New Roman"/>
          <w:color w:val="auto"/>
          <w:sz w:val="24"/>
          <w:highlight w:val="none"/>
          <w:lang w:val="en-US" w:eastAsia="zh-CN"/>
        </w:rPr>
        <w:t>共32</w:t>
      </w:r>
      <w:r>
        <w:rPr>
          <w:rFonts w:hint="default" w:ascii="Times New Roman" w:hAnsi="Times New Roman" w:cs="Times New Roman"/>
          <w:color w:val="auto"/>
          <w:sz w:val="24"/>
          <w:highlight w:val="none"/>
        </w:rPr>
        <w:t>项，各指标</w:t>
      </w:r>
      <w:r>
        <w:rPr>
          <w:rFonts w:hint="default" w:ascii="Times New Roman" w:hAnsi="Times New Roman" w:cs="Times New Roman"/>
          <w:color w:val="auto"/>
          <w:sz w:val="24"/>
          <w:szCs w:val="20"/>
          <w:highlight w:val="none"/>
        </w:rPr>
        <w:t>评价标准选取原则如下：</w:t>
      </w:r>
    </w:p>
    <w:p>
      <w:pPr>
        <w:spacing w:line="360" w:lineRule="auto"/>
        <w:ind w:firstLine="360" w:firstLineChars="150"/>
        <w:rPr>
          <w:rFonts w:hint="default" w:ascii="Times New Roman" w:hAnsi="Times New Roman" w:cs="Times New Roman"/>
          <w:color w:val="auto"/>
          <w:sz w:val="24"/>
          <w:highlight w:val="none"/>
        </w:rPr>
      </w:pPr>
      <w:r>
        <w:rPr>
          <w:rFonts w:hint="default" w:ascii="Times New Roman" w:hAnsi="Times New Roman" w:cs="Times New Roman"/>
          <w:color w:val="auto"/>
          <w:sz w:val="24"/>
          <w:szCs w:val="20"/>
          <w:highlight w:val="none"/>
        </w:rPr>
        <w:t>（1）</w:t>
      </w:r>
      <w:r>
        <w:rPr>
          <w:rFonts w:hint="default" w:ascii="Times New Roman" w:hAnsi="Times New Roman" w:eastAsia="宋体" w:cs="Times New Roman"/>
          <w:sz w:val="24"/>
          <w:szCs w:val="24"/>
        </w:rPr>
        <w:t>本次调查钻探的地下水类型为潜水，位于企业周边，且根据《湖北省地下水污染防治规划实施方案（2011-2020年）》，</w:t>
      </w:r>
      <w:r>
        <w:rPr>
          <w:rFonts w:hint="eastAsia" w:cs="Times New Roman"/>
          <w:sz w:val="24"/>
          <w:szCs w:val="24"/>
          <w:lang w:eastAsia="zh-CN"/>
        </w:rPr>
        <w:t>“</w:t>
      </w:r>
      <w:r>
        <w:rPr>
          <w:rFonts w:hint="default" w:ascii="Times New Roman" w:hAnsi="Times New Roman" w:eastAsia="宋体" w:cs="Times New Roman"/>
          <w:sz w:val="24"/>
          <w:szCs w:val="24"/>
        </w:rPr>
        <w:t>全省地下水开发利用较高的分布于沿江城市及江汉平原，利用地下水的城市主要有孝感市、襄阳市，前者主要用于生活，后者用于工、农业、生活等方面</w:t>
      </w:r>
      <w:r>
        <w:rPr>
          <w:rFonts w:hint="eastAsia" w:cs="Times New Roman"/>
          <w:sz w:val="24"/>
          <w:szCs w:val="24"/>
          <w:lang w:eastAsia="zh-CN"/>
        </w:rPr>
        <w:t>”</w:t>
      </w:r>
      <w:r>
        <w:rPr>
          <w:rFonts w:hint="default" w:ascii="Times New Roman" w:hAnsi="Times New Roman" w:eastAsia="宋体" w:cs="Times New Roman"/>
          <w:sz w:val="24"/>
          <w:szCs w:val="24"/>
        </w:rPr>
        <w:t>，</w:t>
      </w:r>
      <w:r>
        <w:rPr>
          <w:rFonts w:hint="eastAsia" w:cs="Times New Roman"/>
          <w:sz w:val="24"/>
          <w:szCs w:val="24"/>
          <w:lang w:val="en-US" w:eastAsia="zh-CN"/>
        </w:rPr>
        <w:t>因此，</w:t>
      </w:r>
      <w:r>
        <w:rPr>
          <w:rFonts w:hint="eastAsia"/>
          <w:color w:val="000000" w:themeColor="text1"/>
          <w:szCs w:val="20"/>
          <w:highlight w:val="none"/>
          <w:lang w:val="en-US" w:eastAsia="zh-CN"/>
          <w14:textFill>
            <w14:solidFill>
              <w14:schemeClr w14:val="tx1"/>
            </w14:solidFill>
          </w14:textFill>
        </w:rPr>
        <w:t>本次钻探地下水点位所在区域</w:t>
      </w:r>
      <w:r>
        <w:rPr>
          <w:rFonts w:hint="eastAsia"/>
          <w:color w:val="000000" w:themeColor="text1"/>
          <w:szCs w:val="20"/>
          <w:highlight w:val="none"/>
          <w14:textFill>
            <w14:solidFill>
              <w14:schemeClr w14:val="tx1"/>
            </w14:solidFill>
          </w14:textFill>
        </w:rPr>
        <w:t>地下水不</w:t>
      </w:r>
      <w:r>
        <w:rPr>
          <w:rFonts w:hint="eastAsia"/>
          <w:color w:val="000000" w:themeColor="text1"/>
          <w:szCs w:val="20"/>
          <w:highlight w:val="none"/>
          <w:lang w:val="en-US" w:eastAsia="zh-CN"/>
          <w14:textFill>
            <w14:solidFill>
              <w14:schemeClr w14:val="tx1"/>
            </w14:solidFill>
          </w14:textFill>
        </w:rPr>
        <w:t>具备</w:t>
      </w:r>
      <w:r>
        <w:rPr>
          <w:rFonts w:hint="eastAsia"/>
          <w:color w:val="000000" w:themeColor="text1"/>
          <w:szCs w:val="20"/>
          <w:highlight w:val="none"/>
          <w14:textFill>
            <w14:solidFill>
              <w14:schemeClr w14:val="tx1"/>
            </w14:solidFill>
          </w14:textFill>
        </w:rPr>
        <w:t>开发利用</w:t>
      </w:r>
      <w:r>
        <w:rPr>
          <w:rFonts w:hint="eastAsia"/>
          <w:color w:val="000000" w:themeColor="text1"/>
          <w:szCs w:val="20"/>
          <w:highlight w:val="none"/>
          <w:lang w:val="en-US" w:eastAsia="zh-CN"/>
          <w14:textFill>
            <w14:solidFill>
              <w14:schemeClr w14:val="tx1"/>
            </w14:solidFill>
          </w14:textFill>
        </w:rPr>
        <w:t>功能</w:t>
      </w:r>
      <w:r>
        <w:rPr>
          <w:rFonts w:hint="default" w:ascii="Times New Roman" w:hAnsi="Times New Roman" w:eastAsia="宋体" w:cs="Times New Roman"/>
          <w:sz w:val="24"/>
          <w:szCs w:val="24"/>
        </w:rPr>
        <w:t>，且水井点位所在位置不具备集中式生活饮用水水源功能，评价时优先选用《地下水质量标准》（GB/T 14848-2017）（以下简称GB/T-14848）Ⅳ类标准限值进行评价</w:t>
      </w:r>
      <w:r>
        <w:rPr>
          <w:rFonts w:hint="default" w:ascii="Times New Roman" w:hAnsi="Times New Roman" w:cs="Times New Roman"/>
          <w:color w:val="auto"/>
          <w:sz w:val="24"/>
          <w:highlight w:val="none"/>
        </w:rPr>
        <w:t>；</w:t>
      </w:r>
    </w:p>
    <w:p>
      <w:pPr>
        <w:spacing w:line="360" w:lineRule="auto"/>
        <w:ind w:firstLine="360" w:firstLineChars="15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rPr>
        <w:t>（2）GB 14848中</w:t>
      </w:r>
      <w:r>
        <w:rPr>
          <w:rFonts w:hint="default" w:ascii="Times New Roman" w:hAnsi="Times New Roman" w:cs="Times New Roman"/>
          <w:color w:val="auto"/>
          <w:sz w:val="24"/>
          <w:highlight w:val="none"/>
          <w:lang w:eastAsia="zh-CN"/>
        </w:rPr>
        <w:t>没有</w:t>
      </w:r>
      <w:r>
        <w:rPr>
          <w:rFonts w:hint="default" w:ascii="Times New Roman" w:hAnsi="Times New Roman" w:cs="Times New Roman"/>
          <w:color w:val="auto"/>
          <w:sz w:val="24"/>
          <w:highlight w:val="none"/>
        </w:rPr>
        <w:t>规定的指标（如</w:t>
      </w:r>
      <w:r>
        <w:rPr>
          <w:rFonts w:hint="default" w:ascii="Times New Roman" w:hAnsi="Times New Roman" w:cs="Times New Roman"/>
          <w:color w:val="auto"/>
          <w:sz w:val="24"/>
          <w:highlight w:val="none"/>
          <w:lang w:eastAsia="zh-CN"/>
        </w:rPr>
        <w:t>石油类</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参考</w:t>
      </w:r>
      <w:r>
        <w:rPr>
          <w:rFonts w:hint="default" w:ascii="Times New Roman" w:hAnsi="Times New Roman" w:cs="Times New Roman"/>
          <w:color w:val="auto"/>
          <w:sz w:val="24"/>
          <w:highlight w:val="none"/>
        </w:rPr>
        <w:t>《地表水环境质量标准》</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GB3838-2002</w:t>
      </w:r>
      <w:r>
        <w:rPr>
          <w:rFonts w:hint="default" w:ascii="Times New Roman" w:hAnsi="Times New Roman" w:cs="Times New Roman"/>
          <w:color w:val="auto"/>
          <w:sz w:val="24"/>
          <w:highlight w:val="none"/>
          <w:lang w:eastAsia="zh-CN"/>
        </w:rPr>
        <w:t>）（以下简称</w:t>
      </w:r>
      <w:r>
        <w:rPr>
          <w:rFonts w:hint="default" w:ascii="Times New Roman" w:hAnsi="Times New Roman" w:cs="Times New Roman"/>
          <w:color w:val="auto"/>
          <w:sz w:val="24"/>
          <w:highlight w:val="none"/>
        </w:rPr>
        <w:t>GB3838</w:t>
      </w:r>
      <w:r>
        <w:rPr>
          <w:rFonts w:hint="default" w:ascii="Times New Roman" w:hAnsi="Times New Roman" w:cs="Times New Roman"/>
          <w:color w:val="auto"/>
          <w:sz w:val="24"/>
          <w:highlight w:val="none"/>
          <w:lang w:eastAsia="zh-CN"/>
        </w:rPr>
        <w:t>）Ⅳ</w:t>
      </w:r>
      <w:r>
        <w:rPr>
          <w:rFonts w:hint="default" w:ascii="Times New Roman" w:hAnsi="Times New Roman" w:cs="Times New Roman"/>
          <w:color w:val="auto"/>
          <w:sz w:val="24"/>
          <w:highlight w:val="none"/>
        </w:rPr>
        <w:t>类</w:t>
      </w:r>
      <w:r>
        <w:rPr>
          <w:rFonts w:hint="default" w:ascii="Times New Roman" w:hAnsi="Times New Roman" w:cs="Times New Roman"/>
          <w:color w:val="auto"/>
          <w:sz w:val="24"/>
          <w:highlight w:val="none"/>
          <w:lang w:val="en-US" w:eastAsia="zh-CN"/>
        </w:rPr>
        <w:t>标准</w:t>
      </w:r>
      <w:r>
        <w:rPr>
          <w:rFonts w:hint="default" w:ascii="Times New Roman" w:hAnsi="Times New Roman" w:cs="Times New Roman"/>
          <w:color w:val="auto"/>
          <w:sz w:val="24"/>
          <w:highlight w:val="none"/>
        </w:rPr>
        <w:t>限值进行评价</w:t>
      </w:r>
      <w:r>
        <w:rPr>
          <w:rFonts w:hint="eastAsia" w:cs="Times New Roman"/>
          <w:color w:val="auto"/>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before="156" w:beforeLines="50" w:line="240" w:lineRule="auto"/>
        <w:jc w:val="center"/>
        <w:textAlignment w:val="auto"/>
        <w:rPr>
          <w:rFonts w:hint="default" w:ascii="Times New Roman" w:hAnsi="Times New Roman" w:cs="Times New Roman"/>
          <w:color w:val="auto"/>
          <w:highlight w:val="none"/>
        </w:rPr>
      </w:pPr>
      <w:r>
        <w:rPr>
          <w:rFonts w:hint="default" w:ascii="Times New Roman" w:hAnsi="Times New Roman" w:eastAsia="黑体" w:cs="Times New Roman"/>
          <w:b/>
          <w:bCs/>
          <w:color w:val="auto"/>
          <w:sz w:val="24"/>
          <w:highlight w:val="none"/>
        </w:rPr>
        <w:t>表5-1-</w:t>
      </w:r>
      <w:r>
        <w:rPr>
          <w:rFonts w:hint="default" w:ascii="Times New Roman" w:hAnsi="Times New Roman" w:eastAsia="黑体" w:cs="Times New Roman"/>
          <w:b/>
          <w:bCs/>
          <w:color w:val="auto"/>
          <w:sz w:val="24"/>
          <w:highlight w:val="none"/>
          <w:lang w:val="en-US" w:eastAsia="zh-CN"/>
        </w:rPr>
        <w:t>5</w:t>
      </w:r>
      <w:r>
        <w:rPr>
          <w:rFonts w:hint="default" w:ascii="Times New Roman" w:hAnsi="Times New Roman" w:eastAsia="黑体" w:cs="Times New Roman"/>
          <w:b/>
          <w:bCs/>
          <w:color w:val="auto"/>
          <w:sz w:val="24"/>
          <w:highlight w:val="none"/>
        </w:rPr>
        <w:t xml:space="preserve">  </w:t>
      </w:r>
      <w:r>
        <w:rPr>
          <w:rFonts w:hint="default" w:ascii="Times New Roman" w:hAnsi="Times New Roman" w:eastAsia="黑体" w:cs="Times New Roman"/>
          <w:b/>
          <w:bCs/>
          <w:color w:val="auto"/>
          <w:sz w:val="24"/>
          <w:highlight w:val="none"/>
          <w:lang w:eastAsia="zh-CN"/>
        </w:rPr>
        <w:t>地下水质量指标及限值</w:t>
      </w:r>
      <w:r>
        <w:rPr>
          <w:rFonts w:hint="default" w:ascii="Times New Roman" w:hAnsi="Times New Roman" w:eastAsia="黑体" w:cs="Times New Roman"/>
          <w:b/>
          <w:bCs/>
          <w:color w:val="auto"/>
          <w:sz w:val="24"/>
          <w:highlight w:val="none"/>
        </w:rPr>
        <w:t xml:space="preserve">  （单位：mg/</w:t>
      </w:r>
      <w:r>
        <w:rPr>
          <w:rFonts w:hint="default" w:ascii="Times New Roman" w:hAnsi="Times New Roman" w:eastAsia="黑体" w:cs="Times New Roman"/>
          <w:b/>
          <w:bCs/>
          <w:color w:val="auto"/>
          <w:sz w:val="24"/>
          <w:highlight w:val="none"/>
          <w:lang w:val="en-US" w:eastAsia="zh-CN"/>
        </w:rPr>
        <w:t>L</w:t>
      </w:r>
      <w:r>
        <w:rPr>
          <w:rFonts w:hint="default" w:ascii="Times New Roman" w:hAnsi="Times New Roman" w:eastAsia="黑体" w:cs="Times New Roman"/>
          <w:b/>
          <w:bCs/>
          <w:color w:val="auto"/>
          <w:sz w:val="24"/>
          <w:highlight w:val="none"/>
        </w:rPr>
        <w:t>）</w:t>
      </w:r>
    </w:p>
    <w:tbl>
      <w:tblPr>
        <w:tblStyle w:val="21"/>
        <w:tblW w:w="961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254"/>
        <w:gridCol w:w="3104"/>
        <w:gridCol w:w="1104"/>
        <w:gridCol w:w="2052"/>
        <w:gridCol w:w="20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tblHeader/>
          <w:jc w:val="center"/>
        </w:trPr>
        <w:tc>
          <w:tcPr>
            <w:tcW w:w="1254"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序号</w:t>
            </w:r>
          </w:p>
        </w:tc>
        <w:tc>
          <w:tcPr>
            <w:tcW w:w="3104" w:type="dxa"/>
            <w:tcBorders>
              <w:bottom w:val="single" w:color="auto" w:sz="12"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cs="Times New Roman"/>
                <w:b/>
                <w:bCs/>
                <w:i w:val="0"/>
                <w:color w:val="auto"/>
                <w:kern w:val="0"/>
                <w:sz w:val="21"/>
                <w:szCs w:val="21"/>
                <w:highlight w:val="none"/>
                <w:u w:val="none"/>
                <w:lang w:val="en-US" w:eastAsia="zh-CN" w:bidi="ar"/>
              </w:rPr>
              <w:t>监测</w:t>
            </w:r>
            <w:r>
              <w:rPr>
                <w:rFonts w:hint="default" w:ascii="Times New Roman" w:hAnsi="Times New Roman" w:eastAsia="宋体" w:cs="Times New Roman"/>
                <w:b/>
                <w:bCs/>
                <w:i w:val="0"/>
                <w:color w:val="auto"/>
                <w:kern w:val="0"/>
                <w:sz w:val="21"/>
                <w:szCs w:val="21"/>
                <w:highlight w:val="none"/>
                <w:u w:val="none"/>
                <w:lang w:val="en-US" w:eastAsia="zh-CN" w:bidi="ar"/>
              </w:rPr>
              <w:t>指标</w:t>
            </w:r>
          </w:p>
        </w:tc>
        <w:tc>
          <w:tcPr>
            <w:tcW w:w="1104" w:type="dxa"/>
            <w:tcBorders>
              <w:bottom w:val="single" w:color="auto" w:sz="12"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cs="Times New Roman"/>
                <w:b/>
                <w:bCs/>
                <w:i w:val="0"/>
                <w:color w:val="auto"/>
                <w:kern w:val="0"/>
                <w:sz w:val="21"/>
                <w:szCs w:val="21"/>
                <w:highlight w:val="none"/>
                <w:u w:val="none"/>
                <w:lang w:val="en-US" w:eastAsia="zh-CN" w:bidi="ar"/>
              </w:rPr>
              <w:t>单位</w:t>
            </w:r>
          </w:p>
        </w:tc>
        <w:tc>
          <w:tcPr>
            <w:tcW w:w="2052"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cs="Times New Roman"/>
                <w:b/>
                <w:bCs/>
                <w:i w:val="0"/>
                <w:color w:val="auto"/>
                <w:sz w:val="21"/>
                <w:szCs w:val="21"/>
                <w:highlight w:val="none"/>
                <w:u w:val="none"/>
                <w:lang w:val="en-US" w:eastAsia="zh-CN"/>
              </w:rPr>
              <w:t>Ⅳ类标准值</w:t>
            </w:r>
          </w:p>
        </w:tc>
        <w:tc>
          <w:tcPr>
            <w:tcW w:w="2097"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3104" w:type="dxa"/>
            <w:tcBorders>
              <w:top w:val="single" w:color="auto" w:sz="12" w:space="0"/>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pH 值</w:t>
            </w:r>
          </w:p>
        </w:tc>
        <w:tc>
          <w:tcPr>
            <w:tcW w:w="1104" w:type="dxa"/>
            <w:tcBorders>
              <w:top w:val="single" w:color="auto" w:sz="12" w:space="0"/>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无量纲</w:t>
            </w:r>
          </w:p>
        </w:tc>
        <w:tc>
          <w:tcPr>
            <w:tcW w:w="2052" w:type="dxa"/>
            <w:tcBorders>
              <w:top w:val="single" w:color="auto" w:sz="12" w:space="0"/>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5.</w:t>
            </w:r>
            <w:r>
              <w:rPr>
                <w:rFonts w:hint="default" w:ascii="Times New Roman" w:hAnsi="Times New Roman" w:cs="Times New Roman"/>
                <w:i w:val="0"/>
                <w:color w:val="auto"/>
                <w:kern w:val="0"/>
                <w:sz w:val="21"/>
                <w:szCs w:val="21"/>
                <w:highlight w:val="none"/>
                <w:u w:val="none"/>
                <w:lang w:val="en-US" w:eastAsia="zh-CN" w:bidi="ar"/>
              </w:rPr>
              <w:t>5</w:t>
            </w: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pH＜6.5</w:t>
            </w:r>
          </w:p>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或8.5＜pH</w:t>
            </w:r>
            <w:r>
              <w:rPr>
                <w:rFonts w:hint="default" w:ascii="Times New Roman" w:hAnsi="Times New Roman" w:eastAsia="宋体" w:cs="Times New Roman"/>
                <w:i w:val="0"/>
                <w:color w:val="auto"/>
                <w:kern w:val="0"/>
                <w:sz w:val="21"/>
                <w:szCs w:val="21"/>
                <w:highlight w:val="none"/>
                <w:u w:val="none"/>
                <w:lang w:val="en-US" w:eastAsia="zh-CN" w:bidi="ar"/>
              </w:rPr>
              <w:t>≤9.0</w:t>
            </w:r>
          </w:p>
        </w:tc>
        <w:tc>
          <w:tcPr>
            <w:tcW w:w="2097" w:type="dxa"/>
            <w:vMerge w:val="restart"/>
            <w:tcBorders>
              <w:top w:val="single" w:color="auto" w:sz="12" w:space="0"/>
              <w:tl2br w:val="nil"/>
              <w:tr2bl w:val="nil"/>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GB/T 14848</w:t>
            </w:r>
          </w:p>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Ⅳ类标准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总硬度</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黑体" w:cs="Times New Roman"/>
                <w:b w:val="0"/>
                <w:bCs w:val="0"/>
                <w:color w:val="auto"/>
                <w:sz w:val="21"/>
                <w:szCs w:val="21"/>
                <w:highlight w:val="none"/>
              </w:rPr>
              <w:t>mg/</w:t>
            </w:r>
            <w:r>
              <w:rPr>
                <w:rFonts w:hint="default" w:ascii="Times New Roman" w:hAnsi="Times New Roman" w:eastAsia="黑体" w:cs="Times New Roman"/>
                <w:b w:val="0"/>
                <w:bCs w:val="0"/>
                <w:color w:val="auto"/>
                <w:sz w:val="21"/>
                <w:szCs w:val="21"/>
                <w:highlight w:val="none"/>
                <w:lang w:val="en-US" w:eastAsia="zh-CN"/>
              </w:rPr>
              <w:t>L</w:t>
            </w:r>
          </w:p>
        </w:tc>
        <w:tc>
          <w:tcPr>
            <w:tcW w:w="20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650</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溶解性总固体</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黑体" w:cs="Times New Roman"/>
                <w:b w:val="0"/>
                <w:bCs w:val="0"/>
                <w:color w:val="auto"/>
                <w:sz w:val="21"/>
                <w:szCs w:val="21"/>
                <w:highlight w:val="none"/>
              </w:rPr>
              <w:t>mg/</w:t>
            </w:r>
            <w:r>
              <w:rPr>
                <w:rFonts w:hint="default" w:ascii="Times New Roman" w:hAnsi="Times New Roman" w:eastAsia="黑体" w:cs="Times New Roman"/>
                <w:b w:val="0"/>
                <w:bCs w:val="0"/>
                <w:color w:val="auto"/>
                <w:sz w:val="21"/>
                <w:szCs w:val="21"/>
                <w:highlight w:val="none"/>
                <w:lang w:val="en-US" w:eastAsia="zh-CN"/>
              </w:rPr>
              <w:t>L</w:t>
            </w:r>
          </w:p>
        </w:tc>
        <w:tc>
          <w:tcPr>
            <w:tcW w:w="20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2000</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耗氧量（COD</w:t>
            </w:r>
            <w:r>
              <w:rPr>
                <w:rFonts w:hint="default" w:ascii="Times New Roman" w:hAnsi="Times New Roman" w:cs="Times New Roman"/>
                <w:i w:val="0"/>
                <w:color w:val="auto"/>
                <w:kern w:val="0"/>
                <w:sz w:val="21"/>
                <w:szCs w:val="21"/>
                <w:highlight w:val="none"/>
                <w:u w:val="none"/>
                <w:vertAlign w:val="subscript"/>
                <w:lang w:val="en-US" w:eastAsia="zh-CN" w:bidi="ar"/>
              </w:rPr>
              <w:t>Mn</w:t>
            </w:r>
            <w:r>
              <w:rPr>
                <w:rFonts w:hint="default" w:ascii="Times New Roman" w:hAnsi="Times New Roman" w:cs="Times New Roman"/>
                <w:i w:val="0"/>
                <w:color w:val="auto"/>
                <w:kern w:val="0"/>
                <w:sz w:val="21"/>
                <w:szCs w:val="21"/>
                <w:highlight w:val="none"/>
                <w:u w:val="none"/>
                <w:lang w:val="en-US" w:eastAsia="zh-CN" w:bidi="ar"/>
              </w:rPr>
              <w:t>法，以O</w:t>
            </w:r>
            <w:r>
              <w:rPr>
                <w:rFonts w:hint="default" w:ascii="Times New Roman" w:hAnsi="Times New Roman" w:cs="Times New Roman"/>
                <w:i w:val="0"/>
                <w:color w:val="auto"/>
                <w:kern w:val="0"/>
                <w:sz w:val="21"/>
                <w:szCs w:val="21"/>
                <w:highlight w:val="none"/>
                <w:u w:val="none"/>
                <w:vertAlign w:val="subscript"/>
                <w:lang w:val="en-US" w:eastAsia="zh-CN" w:bidi="ar"/>
              </w:rPr>
              <w:t>2</w:t>
            </w:r>
            <w:r>
              <w:rPr>
                <w:rFonts w:hint="default" w:ascii="Times New Roman" w:hAnsi="Times New Roman" w:cs="Times New Roman"/>
                <w:i w:val="0"/>
                <w:color w:val="auto"/>
                <w:kern w:val="0"/>
                <w:sz w:val="21"/>
                <w:szCs w:val="21"/>
                <w:highlight w:val="none"/>
                <w:u w:val="none"/>
                <w:lang w:val="en-US" w:eastAsia="zh-CN" w:bidi="ar"/>
              </w:rPr>
              <w:t>计）</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黑体" w:cs="Times New Roman"/>
                <w:b w:val="0"/>
                <w:bCs w:val="0"/>
                <w:color w:val="auto"/>
                <w:sz w:val="21"/>
                <w:szCs w:val="21"/>
                <w:highlight w:val="none"/>
              </w:rPr>
              <w:t>mg/</w:t>
            </w:r>
            <w:r>
              <w:rPr>
                <w:rFonts w:hint="default" w:ascii="Times New Roman" w:hAnsi="Times New Roman" w:eastAsia="黑体" w:cs="Times New Roman"/>
                <w:b w:val="0"/>
                <w:bCs w:val="0"/>
                <w:color w:val="auto"/>
                <w:sz w:val="21"/>
                <w:szCs w:val="21"/>
                <w:highlight w:val="none"/>
                <w:lang w:val="en-US" w:eastAsia="zh-CN"/>
              </w:rPr>
              <w:t>L</w:t>
            </w:r>
          </w:p>
        </w:tc>
        <w:tc>
          <w:tcPr>
            <w:tcW w:w="20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10</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硫酸盐</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黑体" w:cs="Times New Roman"/>
                <w:b w:val="0"/>
                <w:bCs w:val="0"/>
                <w:color w:val="auto"/>
                <w:sz w:val="21"/>
                <w:szCs w:val="21"/>
                <w:highlight w:val="none"/>
              </w:rPr>
              <w:t>mg/</w:t>
            </w:r>
            <w:r>
              <w:rPr>
                <w:rFonts w:hint="default" w:ascii="Times New Roman" w:hAnsi="Times New Roman" w:eastAsia="黑体" w:cs="Times New Roman"/>
                <w:b w:val="0"/>
                <w:bCs w:val="0"/>
                <w:color w:val="auto"/>
                <w:sz w:val="21"/>
                <w:szCs w:val="21"/>
                <w:highlight w:val="none"/>
                <w:lang w:val="en-US" w:eastAsia="zh-CN"/>
              </w:rPr>
              <w:t>L</w:t>
            </w:r>
          </w:p>
        </w:tc>
        <w:tc>
          <w:tcPr>
            <w:tcW w:w="20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350</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硝酸盐(以</w:t>
            </w:r>
            <w:r>
              <w:rPr>
                <w:rFonts w:hint="default" w:ascii="Times New Roman" w:hAnsi="Times New Roman" w:cs="Times New Roman"/>
                <w:i w:val="0"/>
                <w:color w:val="auto"/>
                <w:kern w:val="0"/>
                <w:sz w:val="21"/>
                <w:szCs w:val="21"/>
                <w:highlight w:val="none"/>
                <w:u w:val="none"/>
                <w:lang w:val="en-US" w:eastAsia="zh-CN" w:bidi="ar"/>
              </w:rPr>
              <w:t>N</w:t>
            </w:r>
            <w:r>
              <w:rPr>
                <w:rFonts w:hint="default" w:ascii="Times New Roman" w:hAnsi="Times New Roman" w:eastAsia="宋体" w:cs="Times New Roman"/>
                <w:i w:val="0"/>
                <w:color w:val="auto"/>
                <w:kern w:val="0"/>
                <w:sz w:val="21"/>
                <w:szCs w:val="21"/>
                <w:highlight w:val="none"/>
                <w:u w:val="none"/>
                <w:lang w:val="en-US" w:eastAsia="zh-CN" w:bidi="ar"/>
              </w:rPr>
              <w:t>计)</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黑体" w:cs="Times New Roman"/>
                <w:b w:val="0"/>
                <w:bCs w:val="0"/>
                <w:color w:val="auto"/>
                <w:sz w:val="21"/>
                <w:szCs w:val="21"/>
                <w:highlight w:val="none"/>
              </w:rPr>
              <w:t>mg/</w:t>
            </w:r>
            <w:r>
              <w:rPr>
                <w:rFonts w:hint="default" w:ascii="Times New Roman" w:hAnsi="Times New Roman" w:eastAsia="黑体" w:cs="Times New Roman"/>
                <w:b w:val="0"/>
                <w:bCs w:val="0"/>
                <w:color w:val="auto"/>
                <w:sz w:val="21"/>
                <w:szCs w:val="21"/>
                <w:highlight w:val="none"/>
                <w:lang w:val="en-US" w:eastAsia="zh-CN"/>
              </w:rPr>
              <w:t>L</w:t>
            </w:r>
          </w:p>
        </w:tc>
        <w:tc>
          <w:tcPr>
            <w:tcW w:w="20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30</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氯化物</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黑体" w:cs="Times New Roman"/>
                <w:b w:val="0"/>
                <w:bCs w:val="0"/>
                <w:color w:val="auto"/>
                <w:sz w:val="21"/>
                <w:szCs w:val="21"/>
                <w:highlight w:val="none"/>
              </w:rPr>
              <w:t>mg/</w:t>
            </w:r>
            <w:r>
              <w:rPr>
                <w:rFonts w:hint="default" w:ascii="Times New Roman" w:hAnsi="Times New Roman" w:eastAsia="黑体" w:cs="Times New Roman"/>
                <w:b w:val="0"/>
                <w:bCs w:val="0"/>
                <w:color w:val="auto"/>
                <w:sz w:val="21"/>
                <w:szCs w:val="21"/>
                <w:highlight w:val="none"/>
                <w:lang w:val="en-US" w:eastAsia="zh-CN"/>
              </w:rPr>
              <w:t>L</w:t>
            </w:r>
          </w:p>
        </w:tc>
        <w:tc>
          <w:tcPr>
            <w:tcW w:w="20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350</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8</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总氟化物</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黑体" w:cs="Times New Roman"/>
                <w:b w:val="0"/>
                <w:bCs w:val="0"/>
                <w:color w:val="auto"/>
                <w:sz w:val="21"/>
                <w:szCs w:val="21"/>
                <w:highlight w:val="none"/>
              </w:rPr>
              <w:t>mg/</w:t>
            </w:r>
            <w:r>
              <w:rPr>
                <w:rFonts w:hint="default" w:ascii="Times New Roman" w:hAnsi="Times New Roman" w:eastAsia="黑体" w:cs="Times New Roman"/>
                <w:b w:val="0"/>
                <w:bCs w:val="0"/>
                <w:color w:val="auto"/>
                <w:sz w:val="21"/>
                <w:szCs w:val="21"/>
                <w:highlight w:val="none"/>
                <w:lang w:val="en-US" w:eastAsia="zh-CN"/>
              </w:rPr>
              <w:t>L</w:t>
            </w:r>
          </w:p>
        </w:tc>
        <w:tc>
          <w:tcPr>
            <w:tcW w:w="20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2.0</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挥发酚</w:t>
            </w:r>
            <w:r>
              <w:rPr>
                <w:rFonts w:hint="default" w:ascii="Times New Roman" w:hAnsi="Times New Roman" w:cs="Times New Roman"/>
                <w:i w:val="0"/>
                <w:color w:val="auto"/>
                <w:kern w:val="0"/>
                <w:sz w:val="21"/>
                <w:szCs w:val="21"/>
                <w:highlight w:val="none"/>
                <w:u w:val="none"/>
                <w:lang w:val="en-US" w:eastAsia="zh-CN" w:bidi="ar"/>
              </w:rPr>
              <w:t>(以苯酚计)</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黑体" w:cs="Times New Roman"/>
                <w:b w:val="0"/>
                <w:bCs w:val="0"/>
                <w:color w:val="auto"/>
                <w:sz w:val="21"/>
                <w:szCs w:val="21"/>
                <w:highlight w:val="none"/>
              </w:rPr>
              <w:t>mg/</w:t>
            </w:r>
            <w:r>
              <w:rPr>
                <w:rFonts w:hint="default" w:ascii="Times New Roman" w:hAnsi="Times New Roman" w:eastAsia="黑体" w:cs="Times New Roman"/>
                <w:b w:val="0"/>
                <w:bCs w:val="0"/>
                <w:color w:val="auto"/>
                <w:sz w:val="21"/>
                <w:szCs w:val="21"/>
                <w:highlight w:val="none"/>
                <w:lang w:val="en-US" w:eastAsia="zh-CN"/>
              </w:rPr>
              <w:t>L</w:t>
            </w:r>
          </w:p>
        </w:tc>
        <w:tc>
          <w:tcPr>
            <w:tcW w:w="20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0.01</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阴离子表面活性剂</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黑体" w:cs="Times New Roman"/>
                <w:b w:val="0"/>
                <w:bCs w:val="0"/>
                <w:color w:val="auto"/>
                <w:sz w:val="21"/>
                <w:szCs w:val="21"/>
                <w:highlight w:val="none"/>
              </w:rPr>
              <w:t>mg/</w:t>
            </w:r>
            <w:r>
              <w:rPr>
                <w:rFonts w:hint="default" w:ascii="Times New Roman" w:hAnsi="Times New Roman" w:eastAsia="黑体" w:cs="Times New Roman"/>
                <w:b w:val="0"/>
                <w:bCs w:val="0"/>
                <w:color w:val="auto"/>
                <w:sz w:val="21"/>
                <w:szCs w:val="21"/>
                <w:highlight w:val="none"/>
                <w:lang w:val="en-US" w:eastAsia="zh-CN"/>
              </w:rPr>
              <w:t>L</w:t>
            </w:r>
          </w:p>
        </w:tc>
        <w:tc>
          <w:tcPr>
            <w:tcW w:w="20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≤0.3</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氨氮</w:t>
            </w:r>
            <w:r>
              <w:rPr>
                <w:rFonts w:hint="default" w:ascii="Times New Roman" w:hAnsi="Times New Roman" w:cs="Times New Roman"/>
                <w:i w:val="0"/>
                <w:color w:val="auto"/>
                <w:kern w:val="0"/>
                <w:sz w:val="21"/>
                <w:szCs w:val="21"/>
                <w:highlight w:val="none"/>
                <w:u w:val="none"/>
                <w:lang w:val="en-US" w:eastAsia="zh-CN" w:bidi="ar"/>
              </w:rPr>
              <w:t>（以N计）</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黑体" w:cs="Times New Roman"/>
                <w:b w:val="0"/>
                <w:bCs w:val="0"/>
                <w:color w:val="auto"/>
                <w:sz w:val="21"/>
                <w:szCs w:val="21"/>
                <w:highlight w:val="none"/>
              </w:rPr>
              <w:t>mg/</w:t>
            </w:r>
            <w:r>
              <w:rPr>
                <w:rFonts w:hint="default" w:ascii="Times New Roman" w:hAnsi="Times New Roman" w:eastAsia="黑体" w:cs="Times New Roman"/>
                <w:b w:val="0"/>
                <w:bCs w:val="0"/>
                <w:color w:val="auto"/>
                <w:sz w:val="21"/>
                <w:szCs w:val="21"/>
                <w:highlight w:val="none"/>
                <w:lang w:val="en-US" w:eastAsia="zh-CN"/>
              </w:rPr>
              <w:t>L</w:t>
            </w:r>
          </w:p>
        </w:tc>
        <w:tc>
          <w:tcPr>
            <w:tcW w:w="20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1.50</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硫化物</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黑体" w:cs="Times New Roman"/>
                <w:b w:val="0"/>
                <w:bCs w:val="0"/>
                <w:color w:val="auto"/>
                <w:sz w:val="21"/>
                <w:szCs w:val="21"/>
                <w:highlight w:val="none"/>
              </w:rPr>
              <w:t>mg/</w:t>
            </w:r>
            <w:r>
              <w:rPr>
                <w:rFonts w:hint="default" w:ascii="Times New Roman" w:hAnsi="Times New Roman" w:eastAsia="黑体" w:cs="Times New Roman"/>
                <w:b w:val="0"/>
                <w:bCs w:val="0"/>
                <w:color w:val="auto"/>
                <w:sz w:val="21"/>
                <w:szCs w:val="21"/>
                <w:highlight w:val="none"/>
                <w:lang w:val="en-US" w:eastAsia="zh-CN"/>
              </w:rPr>
              <w:t>L</w:t>
            </w:r>
          </w:p>
        </w:tc>
        <w:tc>
          <w:tcPr>
            <w:tcW w:w="20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default" w:ascii="Times New Roman" w:hAnsi="Times New Roman" w:cs="Times New Roman"/>
                <w:i w:val="0"/>
                <w:color w:val="auto"/>
                <w:kern w:val="0"/>
                <w:sz w:val="21"/>
                <w:szCs w:val="21"/>
                <w:highlight w:val="none"/>
                <w:u w:val="none"/>
                <w:lang w:val="en-US" w:eastAsia="zh-CN" w:bidi="ar"/>
              </w:rPr>
              <w:t>.10</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13</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亚硝酸盐</w:t>
            </w:r>
            <w:r>
              <w:rPr>
                <w:rFonts w:hint="default" w:ascii="Times New Roman" w:hAnsi="Times New Roman" w:cs="Times New Roman"/>
                <w:i w:val="0"/>
                <w:color w:val="auto"/>
                <w:kern w:val="0"/>
                <w:sz w:val="21"/>
                <w:szCs w:val="21"/>
                <w:highlight w:val="none"/>
                <w:u w:val="none"/>
                <w:lang w:val="en-US" w:eastAsia="zh-CN" w:bidi="ar"/>
              </w:rPr>
              <w:t>（以N计）</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黑体" w:cs="Times New Roman"/>
                <w:b w:val="0"/>
                <w:bCs w:val="0"/>
                <w:color w:val="auto"/>
                <w:sz w:val="21"/>
                <w:szCs w:val="21"/>
                <w:highlight w:val="none"/>
              </w:rPr>
              <w:t>mg/</w:t>
            </w:r>
            <w:r>
              <w:rPr>
                <w:rFonts w:hint="default" w:ascii="Times New Roman" w:hAnsi="Times New Roman" w:eastAsia="黑体" w:cs="Times New Roman"/>
                <w:b w:val="0"/>
                <w:bCs w:val="0"/>
                <w:color w:val="auto"/>
                <w:sz w:val="21"/>
                <w:szCs w:val="21"/>
                <w:highlight w:val="none"/>
                <w:lang w:val="en-US" w:eastAsia="zh-CN"/>
              </w:rPr>
              <w:t>L</w:t>
            </w:r>
          </w:p>
        </w:tc>
        <w:tc>
          <w:tcPr>
            <w:tcW w:w="20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4.80</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14</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氰化物</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黑体" w:cs="Times New Roman"/>
                <w:b w:val="0"/>
                <w:bCs w:val="0"/>
                <w:color w:val="auto"/>
                <w:sz w:val="21"/>
                <w:szCs w:val="21"/>
                <w:highlight w:val="none"/>
              </w:rPr>
              <w:t>mg/</w:t>
            </w:r>
            <w:r>
              <w:rPr>
                <w:rFonts w:hint="default" w:ascii="Times New Roman" w:hAnsi="Times New Roman" w:eastAsia="黑体" w:cs="Times New Roman"/>
                <w:b w:val="0"/>
                <w:bCs w:val="0"/>
                <w:color w:val="auto"/>
                <w:sz w:val="21"/>
                <w:szCs w:val="21"/>
                <w:highlight w:val="none"/>
                <w:lang w:val="en-US" w:eastAsia="zh-CN"/>
              </w:rPr>
              <w:t>L</w:t>
            </w:r>
          </w:p>
        </w:tc>
        <w:tc>
          <w:tcPr>
            <w:tcW w:w="20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0.1</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铁</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黑体" w:cs="Times New Roman"/>
                <w:b w:val="0"/>
                <w:bCs w:val="0"/>
                <w:color w:val="auto"/>
                <w:sz w:val="21"/>
                <w:szCs w:val="21"/>
                <w:highlight w:val="none"/>
              </w:rPr>
              <w:t>mg/</w:t>
            </w:r>
            <w:r>
              <w:rPr>
                <w:rFonts w:hint="default" w:ascii="Times New Roman" w:hAnsi="Times New Roman" w:eastAsia="黑体" w:cs="Times New Roman"/>
                <w:b w:val="0"/>
                <w:bCs w:val="0"/>
                <w:color w:val="auto"/>
                <w:sz w:val="21"/>
                <w:szCs w:val="21"/>
                <w:highlight w:val="none"/>
                <w:lang w:val="en-US" w:eastAsia="zh-CN"/>
              </w:rPr>
              <w:t>L</w:t>
            </w:r>
          </w:p>
        </w:tc>
        <w:tc>
          <w:tcPr>
            <w:tcW w:w="20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2.0</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16</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锰</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黑体" w:cs="Times New Roman"/>
                <w:b w:val="0"/>
                <w:bCs w:val="0"/>
                <w:color w:val="auto"/>
                <w:sz w:val="21"/>
                <w:szCs w:val="21"/>
                <w:highlight w:val="none"/>
              </w:rPr>
              <w:t>mg/</w:t>
            </w:r>
            <w:r>
              <w:rPr>
                <w:rFonts w:hint="default" w:ascii="Times New Roman" w:hAnsi="Times New Roman" w:eastAsia="黑体" w:cs="Times New Roman"/>
                <w:b w:val="0"/>
                <w:bCs w:val="0"/>
                <w:color w:val="auto"/>
                <w:sz w:val="21"/>
                <w:szCs w:val="21"/>
                <w:highlight w:val="none"/>
                <w:lang w:val="en-US" w:eastAsia="zh-CN"/>
              </w:rPr>
              <w:t>L</w:t>
            </w:r>
          </w:p>
        </w:tc>
        <w:tc>
          <w:tcPr>
            <w:tcW w:w="2052" w:type="dxa"/>
            <w:tcBorders>
              <w:tl2br w:val="nil"/>
              <w:tr2bl w:val="nil"/>
            </w:tcBorders>
            <w:shd w:val="clear" w:color="auto" w:fill="auto"/>
            <w:noWrap/>
            <w:tcMar>
              <w:top w:w="15" w:type="dxa"/>
              <w:left w:w="15" w:type="dxa"/>
              <w:right w:w="15" w:type="dxa"/>
            </w:tcMar>
            <w:vAlign w:val="top"/>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1.50</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17</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铜</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黑体" w:cs="Times New Roman"/>
                <w:b w:val="0"/>
                <w:bCs w:val="0"/>
                <w:color w:val="auto"/>
                <w:sz w:val="21"/>
                <w:szCs w:val="21"/>
                <w:highlight w:val="none"/>
              </w:rPr>
              <w:t>mg/</w:t>
            </w:r>
            <w:r>
              <w:rPr>
                <w:rFonts w:hint="default" w:ascii="Times New Roman" w:hAnsi="Times New Roman" w:eastAsia="黑体" w:cs="Times New Roman"/>
                <w:b w:val="0"/>
                <w:bCs w:val="0"/>
                <w:color w:val="auto"/>
                <w:sz w:val="21"/>
                <w:szCs w:val="21"/>
                <w:highlight w:val="none"/>
                <w:lang w:val="en-US" w:eastAsia="zh-CN"/>
              </w:rPr>
              <w:t>L</w:t>
            </w:r>
          </w:p>
        </w:tc>
        <w:tc>
          <w:tcPr>
            <w:tcW w:w="2052" w:type="dxa"/>
            <w:tcBorders>
              <w:tl2br w:val="nil"/>
              <w:tr2bl w:val="nil"/>
            </w:tcBorders>
            <w:shd w:val="clear" w:color="auto" w:fill="auto"/>
            <w:noWrap/>
            <w:tcMar>
              <w:top w:w="15" w:type="dxa"/>
              <w:left w:w="15" w:type="dxa"/>
              <w:right w:w="15" w:type="dxa"/>
            </w:tcMar>
            <w:vAlign w:val="top"/>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1.</w:t>
            </w:r>
            <w:r>
              <w:rPr>
                <w:rFonts w:hint="default" w:ascii="Times New Roman" w:hAnsi="Times New Roman" w:eastAsia="宋体" w:cs="Times New Roman"/>
                <w:i w:val="0"/>
                <w:color w:val="auto"/>
                <w:kern w:val="0"/>
                <w:sz w:val="22"/>
                <w:szCs w:val="22"/>
                <w:highlight w:val="none"/>
                <w:u w:val="none"/>
                <w:lang w:val="en-US" w:eastAsia="zh-CN" w:bidi="ar"/>
              </w:rPr>
              <w:t>5</w:t>
            </w:r>
            <w:r>
              <w:rPr>
                <w:rFonts w:hint="default" w:ascii="Times New Roman" w:hAnsi="Times New Roman" w:cs="Times New Roman"/>
                <w:i w:val="0"/>
                <w:color w:val="auto"/>
                <w:kern w:val="0"/>
                <w:sz w:val="22"/>
                <w:szCs w:val="22"/>
                <w:highlight w:val="none"/>
                <w:u w:val="none"/>
                <w:lang w:val="en-US" w:eastAsia="zh-CN" w:bidi="ar"/>
              </w:rPr>
              <w:t>0</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18</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铝</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黑体" w:cs="Times New Roman"/>
                <w:b w:val="0"/>
                <w:bCs w:val="0"/>
                <w:color w:val="auto"/>
                <w:sz w:val="21"/>
                <w:szCs w:val="21"/>
                <w:highlight w:val="none"/>
              </w:rPr>
              <w:t>mg/</w:t>
            </w:r>
            <w:r>
              <w:rPr>
                <w:rFonts w:hint="default" w:ascii="Times New Roman" w:hAnsi="Times New Roman" w:eastAsia="黑体" w:cs="Times New Roman"/>
                <w:b w:val="0"/>
                <w:bCs w:val="0"/>
                <w:color w:val="auto"/>
                <w:sz w:val="21"/>
                <w:szCs w:val="21"/>
                <w:highlight w:val="none"/>
                <w:lang w:val="en-US" w:eastAsia="zh-CN"/>
              </w:rPr>
              <w:t>L</w:t>
            </w:r>
          </w:p>
        </w:tc>
        <w:tc>
          <w:tcPr>
            <w:tcW w:w="2052" w:type="dxa"/>
            <w:tcBorders>
              <w:tl2br w:val="nil"/>
              <w:tr2bl w:val="nil"/>
            </w:tcBorders>
            <w:shd w:val="clear" w:color="auto" w:fill="auto"/>
            <w:noWrap/>
            <w:tcMar>
              <w:top w:w="15" w:type="dxa"/>
              <w:left w:w="15" w:type="dxa"/>
              <w:right w:w="15" w:type="dxa"/>
            </w:tcMar>
            <w:vAlign w:val="top"/>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0.50</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19</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钠</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黑体" w:cs="Times New Roman"/>
                <w:b w:val="0"/>
                <w:bCs w:val="0"/>
                <w:color w:val="auto"/>
                <w:sz w:val="21"/>
                <w:szCs w:val="21"/>
                <w:highlight w:val="none"/>
              </w:rPr>
              <w:t>mg/</w:t>
            </w:r>
            <w:r>
              <w:rPr>
                <w:rFonts w:hint="default" w:ascii="Times New Roman" w:hAnsi="Times New Roman" w:eastAsia="黑体" w:cs="Times New Roman"/>
                <w:b w:val="0"/>
                <w:bCs w:val="0"/>
                <w:color w:val="auto"/>
                <w:sz w:val="21"/>
                <w:szCs w:val="21"/>
                <w:highlight w:val="none"/>
                <w:lang w:val="en-US" w:eastAsia="zh-CN"/>
              </w:rPr>
              <w:t>L</w:t>
            </w:r>
          </w:p>
        </w:tc>
        <w:tc>
          <w:tcPr>
            <w:tcW w:w="2052" w:type="dxa"/>
            <w:tcBorders>
              <w:tl2br w:val="nil"/>
              <w:tr2bl w:val="nil"/>
            </w:tcBorders>
            <w:shd w:val="clear" w:color="auto" w:fill="auto"/>
            <w:noWrap/>
            <w:tcMar>
              <w:top w:w="15" w:type="dxa"/>
              <w:left w:w="15" w:type="dxa"/>
              <w:right w:w="15" w:type="dxa"/>
            </w:tcMar>
            <w:vAlign w:val="top"/>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400</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锌</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黑体" w:cs="Times New Roman"/>
                <w:b w:val="0"/>
                <w:bCs w:val="0"/>
                <w:color w:val="auto"/>
                <w:sz w:val="21"/>
                <w:szCs w:val="21"/>
                <w:highlight w:val="none"/>
              </w:rPr>
              <w:t>mg/</w:t>
            </w:r>
            <w:r>
              <w:rPr>
                <w:rFonts w:hint="default" w:ascii="Times New Roman" w:hAnsi="Times New Roman" w:eastAsia="黑体" w:cs="Times New Roman"/>
                <w:b w:val="0"/>
                <w:bCs w:val="0"/>
                <w:color w:val="auto"/>
                <w:sz w:val="21"/>
                <w:szCs w:val="21"/>
                <w:highlight w:val="none"/>
                <w:lang w:val="en-US" w:eastAsia="zh-CN"/>
              </w:rPr>
              <w:t>L</w:t>
            </w:r>
          </w:p>
        </w:tc>
        <w:tc>
          <w:tcPr>
            <w:tcW w:w="2052" w:type="dxa"/>
            <w:tcBorders>
              <w:tl2br w:val="nil"/>
              <w:tr2bl w:val="nil"/>
            </w:tcBorders>
            <w:shd w:val="clear" w:color="auto" w:fill="auto"/>
            <w:noWrap/>
            <w:tcMar>
              <w:top w:w="15" w:type="dxa"/>
              <w:left w:w="15" w:type="dxa"/>
              <w:right w:w="15" w:type="dxa"/>
            </w:tcMar>
            <w:vAlign w:val="top"/>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5.00</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21</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铬</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mg/L</w:t>
            </w:r>
          </w:p>
        </w:tc>
        <w:tc>
          <w:tcPr>
            <w:tcW w:w="20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w:t>
            </w:r>
          </w:p>
        </w:tc>
        <w:tc>
          <w:tcPr>
            <w:tcW w:w="2097" w:type="dxa"/>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22</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汞</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黑体" w:cs="Times New Roman"/>
                <w:b w:val="0"/>
                <w:bCs w:val="0"/>
                <w:color w:val="auto"/>
                <w:sz w:val="21"/>
                <w:szCs w:val="21"/>
                <w:highlight w:val="none"/>
              </w:rPr>
              <w:t>mg/</w:t>
            </w:r>
            <w:r>
              <w:rPr>
                <w:rFonts w:hint="default" w:ascii="Times New Roman" w:hAnsi="Times New Roman" w:eastAsia="黑体" w:cs="Times New Roman"/>
                <w:b w:val="0"/>
                <w:bCs w:val="0"/>
                <w:color w:val="auto"/>
                <w:sz w:val="21"/>
                <w:szCs w:val="21"/>
                <w:highlight w:val="none"/>
                <w:lang w:val="en-US" w:eastAsia="zh-CN"/>
              </w:rPr>
              <w:t>L</w:t>
            </w:r>
          </w:p>
        </w:tc>
        <w:tc>
          <w:tcPr>
            <w:tcW w:w="2052" w:type="dxa"/>
            <w:tcBorders>
              <w:tl2br w:val="nil"/>
              <w:tr2bl w:val="nil"/>
            </w:tcBorders>
            <w:shd w:val="clear" w:color="auto" w:fill="auto"/>
            <w:noWrap/>
            <w:tcMar>
              <w:top w:w="15" w:type="dxa"/>
              <w:left w:w="15" w:type="dxa"/>
              <w:right w:w="15" w:type="dxa"/>
            </w:tcMar>
            <w:vAlign w:val="top"/>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2"/>
                <w:szCs w:val="22"/>
                <w:highlight w:val="none"/>
                <w:u w:val="none"/>
                <w:lang w:val="en-US" w:eastAsia="zh-CN" w:bidi="ar"/>
              </w:rPr>
              <w:t>0.002</w:t>
            </w:r>
          </w:p>
        </w:tc>
        <w:tc>
          <w:tcPr>
            <w:tcW w:w="2097" w:type="dxa"/>
            <w:vMerge w:val="restar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GB/T 14848</w:t>
            </w:r>
          </w:p>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cs="Times New Roman"/>
                <w:i w:val="0"/>
                <w:color w:val="auto"/>
                <w:sz w:val="21"/>
                <w:szCs w:val="21"/>
                <w:highlight w:val="none"/>
                <w:u w:val="none"/>
                <w:lang w:val="en-US" w:eastAsia="zh-CN"/>
              </w:rPr>
              <w:t>Ⅳ类标准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23</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砷</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黑体" w:cs="Times New Roman"/>
                <w:b w:val="0"/>
                <w:bCs w:val="0"/>
                <w:color w:val="auto"/>
                <w:sz w:val="21"/>
                <w:szCs w:val="21"/>
                <w:highlight w:val="none"/>
              </w:rPr>
              <w:t>mg/</w:t>
            </w:r>
            <w:r>
              <w:rPr>
                <w:rFonts w:hint="default" w:ascii="Times New Roman" w:hAnsi="Times New Roman" w:eastAsia="黑体" w:cs="Times New Roman"/>
                <w:b w:val="0"/>
                <w:bCs w:val="0"/>
                <w:color w:val="auto"/>
                <w:sz w:val="21"/>
                <w:szCs w:val="21"/>
                <w:highlight w:val="none"/>
                <w:lang w:val="en-US" w:eastAsia="zh-CN"/>
              </w:rPr>
              <w:t>L</w:t>
            </w:r>
          </w:p>
        </w:tc>
        <w:tc>
          <w:tcPr>
            <w:tcW w:w="2052" w:type="dxa"/>
            <w:tcBorders>
              <w:tl2br w:val="nil"/>
              <w:tr2bl w:val="nil"/>
            </w:tcBorders>
            <w:shd w:val="clear" w:color="auto" w:fill="auto"/>
            <w:noWrap/>
            <w:tcMar>
              <w:top w:w="15" w:type="dxa"/>
              <w:left w:w="15" w:type="dxa"/>
              <w:right w:w="15" w:type="dxa"/>
            </w:tcMar>
            <w:vAlign w:val="top"/>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2"/>
                <w:szCs w:val="22"/>
                <w:highlight w:val="none"/>
                <w:u w:val="none"/>
                <w:lang w:val="en-US" w:eastAsia="zh-CN" w:bidi="ar"/>
              </w:rPr>
              <w:t>0.05</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24</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硒</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黑体" w:cs="Times New Roman"/>
                <w:b w:val="0"/>
                <w:bCs w:val="0"/>
                <w:color w:val="auto"/>
                <w:sz w:val="21"/>
                <w:szCs w:val="21"/>
                <w:highlight w:val="none"/>
              </w:rPr>
              <w:t>mg/</w:t>
            </w:r>
            <w:r>
              <w:rPr>
                <w:rFonts w:hint="default" w:ascii="Times New Roman" w:hAnsi="Times New Roman" w:eastAsia="黑体" w:cs="Times New Roman"/>
                <w:b w:val="0"/>
                <w:bCs w:val="0"/>
                <w:color w:val="auto"/>
                <w:sz w:val="21"/>
                <w:szCs w:val="21"/>
                <w:highlight w:val="none"/>
                <w:lang w:val="en-US" w:eastAsia="zh-CN"/>
              </w:rPr>
              <w:t>L</w:t>
            </w:r>
          </w:p>
        </w:tc>
        <w:tc>
          <w:tcPr>
            <w:tcW w:w="2052" w:type="dxa"/>
            <w:tcBorders>
              <w:tl2br w:val="nil"/>
              <w:tr2bl w:val="nil"/>
            </w:tcBorders>
            <w:shd w:val="clear" w:color="auto" w:fill="auto"/>
            <w:noWrap/>
            <w:tcMar>
              <w:top w:w="15" w:type="dxa"/>
              <w:left w:w="15" w:type="dxa"/>
              <w:right w:w="15" w:type="dxa"/>
            </w:tcMar>
            <w:vAlign w:val="top"/>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2"/>
                <w:szCs w:val="22"/>
                <w:highlight w:val="none"/>
                <w:u w:val="none"/>
                <w:lang w:val="en-US" w:eastAsia="zh-CN" w:bidi="ar"/>
              </w:rPr>
              <w:t>0.1</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25</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铅</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黑体" w:cs="Times New Roman"/>
                <w:b w:val="0"/>
                <w:bCs w:val="0"/>
                <w:color w:val="auto"/>
                <w:sz w:val="21"/>
                <w:szCs w:val="21"/>
                <w:highlight w:val="none"/>
              </w:rPr>
              <w:t>mg/</w:t>
            </w:r>
            <w:r>
              <w:rPr>
                <w:rFonts w:hint="default" w:ascii="Times New Roman" w:hAnsi="Times New Roman" w:eastAsia="黑体" w:cs="Times New Roman"/>
                <w:b w:val="0"/>
                <w:bCs w:val="0"/>
                <w:color w:val="auto"/>
                <w:sz w:val="21"/>
                <w:szCs w:val="21"/>
                <w:highlight w:val="none"/>
                <w:lang w:val="en-US" w:eastAsia="zh-CN"/>
              </w:rPr>
              <w:t>L</w:t>
            </w:r>
          </w:p>
        </w:tc>
        <w:tc>
          <w:tcPr>
            <w:tcW w:w="2052" w:type="dxa"/>
            <w:tcBorders>
              <w:tl2br w:val="nil"/>
              <w:tr2bl w:val="nil"/>
            </w:tcBorders>
            <w:shd w:val="clear" w:color="auto" w:fill="auto"/>
            <w:noWrap/>
            <w:tcMar>
              <w:top w:w="15" w:type="dxa"/>
              <w:left w:w="15" w:type="dxa"/>
              <w:right w:w="15" w:type="dxa"/>
            </w:tcMar>
            <w:vAlign w:val="top"/>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2"/>
                <w:szCs w:val="22"/>
                <w:highlight w:val="none"/>
                <w:u w:val="none"/>
                <w:lang w:val="en-US" w:eastAsia="zh-CN" w:bidi="ar"/>
              </w:rPr>
              <w:t>0.1</w:t>
            </w:r>
            <w:r>
              <w:rPr>
                <w:rFonts w:hint="default" w:ascii="Times New Roman" w:hAnsi="Times New Roman" w:cs="Times New Roman"/>
                <w:i w:val="0"/>
                <w:color w:val="auto"/>
                <w:kern w:val="0"/>
                <w:sz w:val="22"/>
                <w:szCs w:val="22"/>
                <w:highlight w:val="none"/>
                <w:u w:val="none"/>
                <w:lang w:val="en-US" w:eastAsia="zh-CN" w:bidi="ar"/>
              </w:rPr>
              <w:t>0</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26</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镉</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黑体" w:cs="Times New Roman"/>
                <w:b w:val="0"/>
                <w:bCs w:val="0"/>
                <w:color w:val="auto"/>
                <w:sz w:val="21"/>
                <w:szCs w:val="21"/>
                <w:highlight w:val="none"/>
              </w:rPr>
              <w:t>mg/</w:t>
            </w:r>
            <w:r>
              <w:rPr>
                <w:rFonts w:hint="default" w:ascii="Times New Roman" w:hAnsi="Times New Roman" w:eastAsia="黑体" w:cs="Times New Roman"/>
                <w:b w:val="0"/>
                <w:bCs w:val="0"/>
                <w:color w:val="auto"/>
                <w:sz w:val="21"/>
                <w:szCs w:val="21"/>
                <w:highlight w:val="none"/>
                <w:lang w:val="en-US" w:eastAsia="zh-CN"/>
              </w:rPr>
              <w:t>L</w:t>
            </w:r>
          </w:p>
        </w:tc>
        <w:tc>
          <w:tcPr>
            <w:tcW w:w="2052" w:type="dxa"/>
            <w:tcBorders>
              <w:tl2br w:val="nil"/>
              <w:tr2bl w:val="nil"/>
            </w:tcBorders>
            <w:shd w:val="clear" w:color="auto" w:fill="auto"/>
            <w:noWrap/>
            <w:tcMar>
              <w:top w:w="15" w:type="dxa"/>
              <w:left w:w="15" w:type="dxa"/>
              <w:right w:w="15" w:type="dxa"/>
            </w:tcMar>
            <w:vAlign w:val="top"/>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2"/>
                <w:szCs w:val="22"/>
                <w:highlight w:val="none"/>
                <w:u w:val="none"/>
                <w:lang w:val="en-US" w:eastAsia="zh-CN" w:bidi="ar"/>
              </w:rPr>
              <w:t>0.01</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27</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铬</w:t>
            </w:r>
            <w:r>
              <w:rPr>
                <w:rFonts w:hint="default" w:ascii="Times New Roman" w:hAnsi="Times New Roman"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六价</w:t>
            </w:r>
            <w:r>
              <w:rPr>
                <w:rFonts w:hint="default" w:ascii="Times New Roman" w:hAnsi="Times New Roman" w:cs="Times New Roman"/>
                <w:i w:val="0"/>
                <w:color w:val="auto"/>
                <w:kern w:val="0"/>
                <w:sz w:val="21"/>
                <w:szCs w:val="21"/>
                <w:highlight w:val="none"/>
                <w:u w:val="none"/>
                <w:lang w:val="en-US" w:eastAsia="zh-CN" w:bidi="ar"/>
              </w:rPr>
              <w:t>)</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黑体" w:cs="Times New Roman"/>
                <w:b w:val="0"/>
                <w:bCs w:val="0"/>
                <w:color w:val="auto"/>
                <w:sz w:val="21"/>
                <w:szCs w:val="21"/>
                <w:highlight w:val="none"/>
              </w:rPr>
              <w:t>mg/</w:t>
            </w:r>
            <w:r>
              <w:rPr>
                <w:rFonts w:hint="default" w:ascii="Times New Roman" w:hAnsi="Times New Roman" w:eastAsia="黑体" w:cs="Times New Roman"/>
                <w:b w:val="0"/>
                <w:bCs w:val="0"/>
                <w:color w:val="auto"/>
                <w:sz w:val="21"/>
                <w:szCs w:val="21"/>
                <w:highlight w:val="none"/>
                <w:lang w:val="en-US" w:eastAsia="zh-CN"/>
              </w:rPr>
              <w:t>L</w:t>
            </w:r>
          </w:p>
        </w:tc>
        <w:tc>
          <w:tcPr>
            <w:tcW w:w="2052" w:type="dxa"/>
            <w:tcBorders>
              <w:tl2br w:val="nil"/>
              <w:tr2bl w:val="nil"/>
            </w:tcBorders>
            <w:shd w:val="clear" w:color="auto" w:fill="auto"/>
            <w:noWrap/>
            <w:tcMar>
              <w:top w:w="15" w:type="dxa"/>
              <w:left w:w="15" w:type="dxa"/>
              <w:right w:w="15" w:type="dxa"/>
            </w:tcMar>
            <w:vAlign w:val="top"/>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2"/>
                <w:szCs w:val="22"/>
                <w:highlight w:val="none"/>
                <w:u w:val="none"/>
                <w:lang w:val="en-US" w:eastAsia="zh-CN" w:bidi="ar"/>
              </w:rPr>
              <w:t>0.1</w:t>
            </w:r>
            <w:r>
              <w:rPr>
                <w:rFonts w:hint="default" w:ascii="Times New Roman" w:hAnsi="Times New Roman" w:cs="Times New Roman"/>
                <w:i w:val="0"/>
                <w:color w:val="auto"/>
                <w:kern w:val="0"/>
                <w:sz w:val="22"/>
                <w:szCs w:val="22"/>
                <w:highlight w:val="none"/>
                <w:u w:val="none"/>
                <w:lang w:val="en-US" w:eastAsia="zh-CN" w:bidi="ar"/>
              </w:rPr>
              <w:t>0</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28</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石油类</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黑体" w:cs="Times New Roman"/>
                <w:b w:val="0"/>
                <w:bCs w:val="0"/>
                <w:color w:val="auto"/>
                <w:sz w:val="21"/>
                <w:szCs w:val="21"/>
                <w:highlight w:val="none"/>
              </w:rPr>
              <w:t>mg/</w:t>
            </w:r>
            <w:r>
              <w:rPr>
                <w:rFonts w:hint="default" w:ascii="Times New Roman" w:hAnsi="Times New Roman" w:eastAsia="黑体" w:cs="Times New Roman"/>
                <w:b w:val="0"/>
                <w:bCs w:val="0"/>
                <w:color w:val="auto"/>
                <w:sz w:val="21"/>
                <w:szCs w:val="21"/>
                <w:highlight w:val="none"/>
                <w:lang w:val="en-US" w:eastAsia="zh-CN"/>
              </w:rPr>
              <w:t>L</w:t>
            </w:r>
          </w:p>
        </w:tc>
        <w:tc>
          <w:tcPr>
            <w:tcW w:w="20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0.5</w:t>
            </w:r>
          </w:p>
        </w:tc>
        <w:tc>
          <w:tcPr>
            <w:tcW w:w="2097" w:type="dxa"/>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GB3838</w:t>
            </w:r>
          </w:p>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Ⅳ类标准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29</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cs="Times New Roman"/>
                <w:i w:val="0"/>
                <w:color w:val="auto"/>
                <w:kern w:val="0"/>
                <w:sz w:val="21"/>
                <w:szCs w:val="21"/>
                <w:highlight w:val="none"/>
                <w:u w:val="none"/>
                <w:lang w:val="en-US" w:eastAsia="zh-CN" w:bidi="ar"/>
              </w:rPr>
              <w:t>氯仿</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μg/L</w:t>
            </w:r>
          </w:p>
        </w:tc>
        <w:tc>
          <w:tcPr>
            <w:tcW w:w="20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300</w:t>
            </w:r>
          </w:p>
        </w:tc>
        <w:tc>
          <w:tcPr>
            <w:tcW w:w="2097" w:type="dxa"/>
            <w:vMerge w:val="restar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GB/T 14848</w:t>
            </w:r>
          </w:p>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cs="Times New Roman"/>
                <w:i w:val="0"/>
                <w:color w:val="auto"/>
                <w:sz w:val="21"/>
                <w:szCs w:val="21"/>
                <w:highlight w:val="none"/>
                <w:u w:val="none"/>
                <w:lang w:val="en-US" w:eastAsia="zh-CN"/>
              </w:rPr>
              <w:t>Ⅳ类标准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30</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四氯化碳</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μg/L</w:t>
            </w:r>
          </w:p>
        </w:tc>
        <w:tc>
          <w:tcPr>
            <w:tcW w:w="20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50</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kern w:val="2"/>
                <w:sz w:val="21"/>
                <w:szCs w:val="21"/>
                <w:highlight w:val="none"/>
                <w:u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31</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苯</w:t>
            </w:r>
          </w:p>
        </w:tc>
        <w:tc>
          <w:tcPr>
            <w:tcW w:w="1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μg/L</w:t>
            </w:r>
          </w:p>
        </w:tc>
        <w:tc>
          <w:tcPr>
            <w:tcW w:w="20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120</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kern w:val="2"/>
                <w:sz w:val="21"/>
                <w:szCs w:val="21"/>
                <w:highlight w:val="none"/>
                <w:u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25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32</w:t>
            </w:r>
          </w:p>
        </w:tc>
        <w:tc>
          <w:tcPr>
            <w:tcW w:w="31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甲苯</w:t>
            </w:r>
          </w:p>
        </w:tc>
        <w:tc>
          <w:tcPr>
            <w:tcW w:w="11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μg/L</w:t>
            </w:r>
          </w:p>
        </w:tc>
        <w:tc>
          <w:tcPr>
            <w:tcW w:w="205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1400</w:t>
            </w:r>
          </w:p>
        </w:tc>
        <w:tc>
          <w:tcPr>
            <w:tcW w:w="2097" w:type="dxa"/>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kern w:val="2"/>
                <w:sz w:val="21"/>
                <w:szCs w:val="21"/>
                <w:highlight w:val="none"/>
                <w:u w:val="none"/>
                <w:lang w:val="en-US" w:eastAsia="zh-CN" w:bidi="ar-SA"/>
              </w:rPr>
            </w:pPr>
          </w:p>
        </w:tc>
      </w:tr>
    </w:tbl>
    <w:p>
      <w:pPr>
        <w:pStyle w:val="4"/>
        <w:tabs>
          <w:tab w:val="clear" w:pos="425"/>
        </w:tabs>
        <w:bidi w:val="0"/>
        <w:rPr>
          <w:rFonts w:hint="default" w:ascii="Times New Roman" w:hAnsi="Times New Roman" w:cs="Times New Roman"/>
          <w:color w:val="auto"/>
          <w:highlight w:val="none"/>
          <w:lang w:val="en-US" w:eastAsia="zh-CN"/>
        </w:rPr>
      </w:pPr>
      <w:bookmarkStart w:id="62" w:name="_Toc84"/>
      <w:bookmarkStart w:id="63" w:name="_Toc13377"/>
      <w:bookmarkStart w:id="64" w:name="_Toc55399882"/>
      <w:r>
        <w:rPr>
          <w:rFonts w:hint="default" w:ascii="Times New Roman" w:hAnsi="Times New Roman" w:cs="Times New Roman"/>
          <w:color w:val="auto"/>
          <w:highlight w:val="none"/>
          <w:lang w:val="en-US" w:eastAsia="zh-CN"/>
        </w:rPr>
        <w:t>结果分析方法</w:t>
      </w:r>
      <w:bookmarkEnd w:id="62"/>
      <w:bookmarkEnd w:id="63"/>
    </w:p>
    <w:p>
      <w:pPr>
        <w:pStyle w:val="5"/>
        <w:tabs>
          <w:tab w:val="left" w:pos="425"/>
        </w:tabs>
        <w:bidi w:val="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监测结果对标分析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土壤检测结果根据表5-1-1中各点位对应的用地类型及参考标准进行评估，采用逐个比对法进行分析：</w:t>
      </w:r>
    </w:p>
    <w:p>
      <w:pPr>
        <w:pStyle w:val="31"/>
        <w:keepNext w:val="0"/>
        <w:keepLines w:val="0"/>
        <w:pageBreakBefore w:val="0"/>
        <w:widowControl w:val="0"/>
        <w:numPr>
          <w:ilvl w:val="0"/>
          <w:numId w:val="10"/>
        </w:numPr>
        <w:kinsoku/>
        <w:wordWrap/>
        <w:overflowPunct/>
        <w:topLinePunct w:val="0"/>
        <w:autoSpaceDE/>
        <w:autoSpaceDN/>
        <w:bidi w:val="0"/>
        <w:adjustRightInd/>
        <w:snapToGrid/>
        <w:spacing w:after="0"/>
        <w:ind w:firstLine="480"/>
        <w:textAlignment w:val="auto"/>
        <w:rPr>
          <w:rFonts w:hint="default" w:ascii="Times New Roman" w:hAnsi="Times New Roman" w:cs="Times New Roman" w:eastAsiaTheme="minorEastAsia"/>
          <w:bCs w:val="0"/>
          <w:color w:val="auto"/>
          <w:highlight w:val="none"/>
        </w:rPr>
      </w:pPr>
      <w:r>
        <w:rPr>
          <w:rFonts w:hint="default" w:ascii="Times New Roman" w:hAnsi="Times New Roman" w:cs="Times New Roman" w:eastAsiaTheme="minorEastAsia"/>
          <w:bCs w:val="0"/>
          <w:color w:val="auto"/>
          <w:highlight w:val="none"/>
        </w:rPr>
        <w:t>当样品监测值低于或等于</w:t>
      </w:r>
      <w:r>
        <w:rPr>
          <w:rFonts w:hint="default" w:ascii="Times New Roman" w:hAnsi="Times New Roman" w:cs="Times New Roman" w:eastAsiaTheme="minorEastAsia"/>
          <w:bCs w:val="0"/>
          <w:color w:val="auto"/>
          <w:highlight w:val="none"/>
          <w:lang w:eastAsia="zh-CN"/>
        </w:rPr>
        <w:t>参考标准值时</w:t>
      </w:r>
      <w:r>
        <w:rPr>
          <w:rFonts w:hint="default" w:ascii="Times New Roman" w:hAnsi="Times New Roman" w:cs="Times New Roman" w:eastAsiaTheme="minorEastAsia"/>
          <w:bCs w:val="0"/>
          <w:color w:val="auto"/>
          <w:highlight w:val="none"/>
        </w:rPr>
        <w:t>，则认为</w:t>
      </w:r>
      <w:r>
        <w:rPr>
          <w:rFonts w:hint="default" w:ascii="Times New Roman" w:hAnsi="Times New Roman" w:cs="Times New Roman" w:eastAsiaTheme="minorEastAsia"/>
          <w:bCs w:val="0"/>
          <w:color w:val="auto"/>
          <w:highlight w:val="none"/>
          <w:lang w:eastAsia="zh-CN"/>
        </w:rPr>
        <w:t>达标</w:t>
      </w:r>
      <w:r>
        <w:rPr>
          <w:rFonts w:hint="default" w:ascii="Times New Roman" w:hAnsi="Times New Roman" w:cs="Times New Roman" w:eastAsiaTheme="minorEastAsia"/>
          <w:bCs w:val="0"/>
          <w:color w:val="auto"/>
          <w:highlight w:val="none"/>
        </w:rPr>
        <w:t>；</w:t>
      </w:r>
    </w:p>
    <w:p>
      <w:pPr>
        <w:pStyle w:val="31"/>
        <w:keepNext w:val="0"/>
        <w:keepLines w:val="0"/>
        <w:pageBreakBefore w:val="0"/>
        <w:widowControl w:val="0"/>
        <w:numPr>
          <w:ilvl w:val="0"/>
          <w:numId w:val="10"/>
        </w:numPr>
        <w:kinsoku/>
        <w:wordWrap/>
        <w:overflowPunct/>
        <w:topLinePunct w:val="0"/>
        <w:autoSpaceDE/>
        <w:autoSpaceDN/>
        <w:bidi w:val="0"/>
        <w:adjustRightInd/>
        <w:snapToGrid/>
        <w:spacing w:after="0"/>
        <w:ind w:firstLine="480"/>
        <w:textAlignment w:val="auto"/>
        <w:rPr>
          <w:rFonts w:hint="default" w:ascii="Times New Roman" w:hAnsi="Times New Roman" w:cs="Times New Roman" w:eastAsiaTheme="minorEastAsia"/>
          <w:bCs w:val="0"/>
          <w:color w:val="auto"/>
          <w:highlight w:val="none"/>
        </w:rPr>
      </w:pPr>
      <w:r>
        <w:rPr>
          <w:rFonts w:hint="default" w:ascii="Times New Roman" w:hAnsi="Times New Roman" w:cs="Times New Roman" w:eastAsiaTheme="minorEastAsia"/>
          <w:bCs w:val="0"/>
          <w:color w:val="auto"/>
          <w:highlight w:val="none"/>
        </w:rPr>
        <w:t>当样品监测值高于</w:t>
      </w:r>
      <w:r>
        <w:rPr>
          <w:rFonts w:hint="default" w:ascii="Times New Roman" w:hAnsi="Times New Roman" w:cs="Times New Roman" w:eastAsiaTheme="minorEastAsia"/>
          <w:bCs w:val="0"/>
          <w:color w:val="auto"/>
          <w:highlight w:val="none"/>
          <w:lang w:eastAsia="zh-CN"/>
        </w:rPr>
        <w:t>参考标准值时</w:t>
      </w:r>
      <w:r>
        <w:rPr>
          <w:rFonts w:hint="default" w:ascii="Times New Roman" w:hAnsi="Times New Roman" w:cs="Times New Roman" w:eastAsiaTheme="minorEastAsia"/>
          <w:bCs w:val="0"/>
          <w:color w:val="auto"/>
          <w:highlight w:val="none"/>
        </w:rPr>
        <w:t>，则认为</w:t>
      </w:r>
      <w:r>
        <w:rPr>
          <w:rFonts w:hint="default" w:ascii="Times New Roman" w:hAnsi="Times New Roman" w:cs="Times New Roman" w:eastAsiaTheme="minorEastAsia"/>
          <w:bCs w:val="0"/>
          <w:color w:val="auto"/>
          <w:highlight w:val="none"/>
          <w:lang w:eastAsia="zh-CN"/>
        </w:rPr>
        <w:t>不达标</w:t>
      </w:r>
      <w:r>
        <w:rPr>
          <w:rFonts w:hint="default" w:ascii="Times New Roman" w:hAnsi="Times New Roman" w:cs="Times New Roman" w:eastAsiaTheme="minorEastAsia"/>
          <w:bCs w:val="0"/>
          <w:color w:val="auto"/>
          <w:highlight w:val="none"/>
        </w:rPr>
        <w:t>。</w:t>
      </w:r>
      <w:r>
        <w:rPr>
          <w:rFonts w:hint="default" w:ascii="Times New Roman" w:hAnsi="Times New Roman" w:cs="Times New Roman" w:eastAsiaTheme="minorEastAsia"/>
          <w:bCs w:val="0"/>
          <w:color w:val="auto"/>
          <w:highlight w:val="none"/>
          <w:lang w:eastAsia="zh-CN"/>
        </w:rPr>
        <w:t>对于</w:t>
      </w:r>
      <w:r>
        <w:rPr>
          <w:rFonts w:hint="default" w:ascii="Times New Roman" w:hAnsi="Times New Roman" w:cs="Times New Roman"/>
          <w:color w:val="auto"/>
          <w:sz w:val="24"/>
          <w:szCs w:val="24"/>
          <w:highlight w:val="none"/>
          <w:lang w:val="en-US" w:eastAsia="zh-CN"/>
        </w:rPr>
        <w:t>超标的污染物统计其超标倍数及超标率。超标倍数及超标率公式如下：</w:t>
      </w:r>
    </w:p>
    <w:p>
      <w:pPr>
        <w:spacing w:line="360" w:lineRule="auto"/>
        <w:ind w:firstLine="420" w:firstLineChar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①土壤污染超标倍数=（土壤某项污染检测值-土壤环境质量标准）/土壤环境质量标准；</w:t>
      </w:r>
    </w:p>
    <w:p>
      <w:pPr>
        <w:spacing w:line="360" w:lineRule="auto"/>
        <w:ind w:firstLine="420" w:firstLineChars="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②超标率=（土壤样品超标总数/土壤调查检测样品总数）*100%。</w:t>
      </w:r>
    </w:p>
    <w:p>
      <w:pPr>
        <w:pStyle w:val="5"/>
        <w:tabs>
          <w:tab w:val="left" w:pos="425"/>
        </w:tabs>
        <w:bidi w:val="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土壤环境质量分析</w:t>
      </w:r>
    </w:p>
    <w:p>
      <w:pPr>
        <w:pStyle w:val="6"/>
        <w:numPr>
          <w:ilvl w:val="0"/>
          <w:numId w:val="0"/>
        </w:numPr>
        <w:spacing w:before="0" w:after="0" w:line="360" w:lineRule="auto"/>
        <w:ind w:leftChars="0"/>
        <w:jc w:val="left"/>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5.2.2.1 污染指数评价</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sz w:val="24"/>
          <w:szCs w:val="24"/>
          <w:highlight w:val="none"/>
          <w:lang w:val="en-US" w:eastAsia="zh-CN"/>
        </w:rPr>
        <w:t>土壤环境质量评价一般以单项污染指数为主，指数小污染轻，指数大污染则重。根据</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cs="Times New Roman"/>
          <w:color w:val="auto"/>
          <w:kern w:val="0"/>
          <w:sz w:val="24"/>
          <w:highlight w:val="none"/>
          <w:lang w:eastAsia="zh-CN"/>
        </w:rPr>
        <w:t>全国土壤污染状况评价技术规定</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i w:val="0"/>
          <w:caps w:val="0"/>
          <w:color w:val="auto"/>
          <w:spacing w:val="0"/>
          <w:sz w:val="24"/>
          <w:szCs w:val="24"/>
          <w:highlight w:val="none"/>
          <w:shd w:val="clear" w:fill="FFFFFF"/>
        </w:rPr>
        <w:t>（</w:t>
      </w:r>
      <w:r>
        <w:rPr>
          <w:rFonts w:hint="default" w:ascii="Times New Roman" w:hAnsi="Times New Roman" w:cs="Times New Roman"/>
          <w:i w:val="0"/>
          <w:caps w:val="0"/>
          <w:color w:val="auto"/>
          <w:spacing w:val="0"/>
          <w:sz w:val="24"/>
          <w:szCs w:val="24"/>
          <w:highlight w:val="none"/>
          <w:shd w:val="clear" w:fill="FFFFFF"/>
          <w:lang w:eastAsia="zh-CN"/>
        </w:rPr>
        <w:t>环发</w:t>
      </w:r>
      <w:r>
        <w:rPr>
          <w:rFonts w:hint="default" w:ascii="Times New Roman" w:hAnsi="Times New Roman" w:cs="Times New Roman"/>
          <w:i w:val="0"/>
          <w:caps w:val="0"/>
          <w:color w:val="auto"/>
          <w:spacing w:val="0"/>
          <w:sz w:val="24"/>
          <w:szCs w:val="24"/>
          <w:highlight w:val="none"/>
          <w:shd w:val="clear" w:fill="FFFFFF"/>
          <w:lang w:val="en-US" w:eastAsia="zh-CN"/>
        </w:rPr>
        <w:t>[2008]39号</w:t>
      </w:r>
      <w:r>
        <w:rPr>
          <w:rFonts w:hint="default" w:ascii="Times New Roman" w:hAnsi="Times New Roman" w:eastAsia="宋体" w:cs="Times New Roman"/>
          <w:i w:val="0"/>
          <w:caps w:val="0"/>
          <w:color w:val="auto"/>
          <w:spacing w:val="0"/>
          <w:sz w:val="24"/>
          <w:szCs w:val="24"/>
          <w:highlight w:val="none"/>
          <w:shd w:val="clear" w:fill="FFFFFF"/>
        </w:rPr>
        <w:t>）</w:t>
      </w:r>
      <w:r>
        <w:rPr>
          <w:rFonts w:hint="default" w:ascii="Times New Roman" w:hAnsi="Times New Roman" w:cs="Times New Roman"/>
          <w:i w:val="0"/>
          <w:caps w:val="0"/>
          <w:color w:val="auto"/>
          <w:spacing w:val="0"/>
          <w:sz w:val="24"/>
          <w:szCs w:val="24"/>
          <w:highlight w:val="none"/>
          <w:shd w:val="clear" w:fill="FFFFFF"/>
          <w:lang w:eastAsia="zh-CN"/>
        </w:rPr>
        <w:t>，</w:t>
      </w:r>
      <w:r>
        <w:rPr>
          <w:rFonts w:hint="default" w:ascii="Times New Roman" w:hAnsi="Times New Roman" w:cs="Times New Roman"/>
          <w:color w:val="auto"/>
          <w:sz w:val="24"/>
          <w:szCs w:val="24"/>
          <w:highlight w:val="none"/>
          <w:lang w:val="en-US" w:eastAsia="zh-CN"/>
        </w:rPr>
        <w:t>单因子污染指数的计算公式可表示为：</w:t>
      </w:r>
      <w:r>
        <w:rPr>
          <w:rFonts w:hint="default" w:ascii="Times New Roman" w:hAnsi="Times New Roman" w:cs="Times New Roman"/>
          <w:color w:val="auto"/>
          <w:highlight w:val="none"/>
        </w:rPr>
        <w:drawing>
          <wp:inline distT="0" distB="0" distL="114300" distR="114300">
            <wp:extent cx="552450" cy="390525"/>
            <wp:effectExtent l="0" t="0" r="0" b="889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32"/>
                    <a:stretch>
                      <a:fillRect/>
                    </a:stretch>
                  </pic:blipFill>
                  <pic:spPr>
                    <a:xfrm>
                      <a:off x="0" y="0"/>
                      <a:ext cx="552450" cy="390525"/>
                    </a:xfrm>
                    <a:prstGeom prst="rect">
                      <a:avLst/>
                    </a:prstGeom>
                    <a:noFill/>
                    <a:ln>
                      <a:noFill/>
                    </a:ln>
                  </pic:spPr>
                </pic:pic>
              </a:graphicData>
            </a:graphic>
          </wp:inline>
        </w:drawing>
      </w:r>
    </w:p>
    <w:p>
      <w:pPr>
        <w:pStyle w:val="2"/>
        <w:keepNext w:val="0"/>
        <w:keepLines w:val="0"/>
        <w:pageBreakBefore w:val="0"/>
        <w:widowControl w:val="0"/>
        <w:numPr>
          <w:ilvl w:val="-1"/>
          <w:numId w:val="0"/>
        </w:numPr>
        <w:kinsoku/>
        <w:wordWrap/>
        <w:overflowPunct/>
        <w:topLinePunct w:val="0"/>
        <w:autoSpaceDE/>
        <w:autoSpaceDN/>
        <w:bidi w:val="0"/>
        <w:adjustRightInd/>
        <w:snapToGrid/>
        <w:spacing w:after="0" w:line="360" w:lineRule="auto"/>
        <w:ind w:firstLine="42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式中：</w:t>
      </w:r>
    </w:p>
    <w:p>
      <w:pPr>
        <w:pStyle w:val="2"/>
        <w:keepNext w:val="0"/>
        <w:keepLines w:val="0"/>
        <w:pageBreakBefore w:val="0"/>
        <w:widowControl w:val="0"/>
        <w:numPr>
          <w:ilvl w:val="-1"/>
          <w:numId w:val="0"/>
        </w:numPr>
        <w:kinsoku/>
        <w:wordWrap/>
        <w:overflowPunct/>
        <w:topLinePunct w:val="0"/>
        <w:autoSpaceDE/>
        <w:autoSpaceDN/>
        <w:bidi w:val="0"/>
        <w:adjustRightInd/>
        <w:snapToGrid/>
        <w:spacing w:after="0" w:line="360" w:lineRule="auto"/>
        <w:ind w:firstLine="42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vertAlign w:val="baseline"/>
          <w:lang w:val="en-US" w:eastAsia="zh-CN"/>
        </w:rPr>
        <w:t>Pi：</w:t>
      </w:r>
      <w:r>
        <w:rPr>
          <w:rFonts w:hint="default" w:ascii="Times New Roman" w:hAnsi="Times New Roman" w:cs="Times New Roman"/>
          <w:color w:val="auto"/>
          <w:highlight w:val="none"/>
          <w:lang w:val="en-US" w:eastAsia="zh-CN"/>
        </w:rPr>
        <w:t>某评价因子的单因子污染指数，无量纲；</w:t>
      </w:r>
    </w:p>
    <w:p>
      <w:pPr>
        <w:pStyle w:val="2"/>
        <w:keepNext w:val="0"/>
        <w:keepLines w:val="0"/>
        <w:pageBreakBefore w:val="0"/>
        <w:widowControl w:val="0"/>
        <w:numPr>
          <w:ilvl w:val="-1"/>
          <w:numId w:val="0"/>
        </w:numPr>
        <w:kinsoku/>
        <w:wordWrap/>
        <w:overflowPunct/>
        <w:topLinePunct w:val="0"/>
        <w:autoSpaceDE/>
        <w:autoSpaceDN/>
        <w:bidi w:val="0"/>
        <w:adjustRightInd/>
        <w:snapToGrid/>
        <w:spacing w:after="0" w:line="360" w:lineRule="auto"/>
        <w:ind w:firstLine="42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Ci：某评价因子的实测值，单位由实测值给出；</w:t>
      </w:r>
    </w:p>
    <w:p>
      <w:pPr>
        <w:pStyle w:val="2"/>
        <w:keepNext w:val="0"/>
        <w:keepLines w:val="0"/>
        <w:pageBreakBefore w:val="0"/>
        <w:widowControl w:val="0"/>
        <w:numPr>
          <w:ilvl w:val="-1"/>
          <w:numId w:val="0"/>
        </w:numPr>
        <w:kinsoku/>
        <w:wordWrap/>
        <w:overflowPunct/>
        <w:topLinePunct w:val="0"/>
        <w:autoSpaceDE/>
        <w:autoSpaceDN/>
        <w:bidi w:val="0"/>
        <w:adjustRightInd/>
        <w:snapToGrid/>
        <w:spacing w:after="0" w:line="360" w:lineRule="auto"/>
        <w:ind w:firstLine="420" w:firstLineChars="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color w:val="auto"/>
          <w:highlight w:val="none"/>
          <w:lang w:val="en-US" w:eastAsia="zh-CN"/>
        </w:rPr>
        <w:t>C0：某评价因子的筛选值，单位同实测值；单因子污染指数的评价标准见表5-2-1。</w:t>
      </w:r>
    </w:p>
    <w:p>
      <w:pPr>
        <w:pStyle w:val="2"/>
        <w:keepNext w:val="0"/>
        <w:keepLines w:val="0"/>
        <w:pageBreakBefore w:val="0"/>
        <w:widowControl w:val="0"/>
        <w:kinsoku/>
        <w:wordWrap/>
        <w:overflowPunct/>
        <w:topLinePunct w:val="0"/>
        <w:autoSpaceDE/>
        <w:autoSpaceDN/>
        <w:bidi w:val="0"/>
        <w:adjustRightInd/>
        <w:snapToGrid/>
        <w:spacing w:before="166" w:beforeLines="50" w:after="0" w:line="240" w:lineRule="auto"/>
        <w:jc w:val="center"/>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表5-2-1 土壤单因子污染指数评价标准</w:t>
      </w:r>
    </w:p>
    <w:tbl>
      <w:tblPr>
        <w:tblStyle w:val="21"/>
        <w:tblW w:w="9611"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3203"/>
        <w:gridCol w:w="3204"/>
        <w:gridCol w:w="320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jc w:val="center"/>
        </w:trPr>
        <w:tc>
          <w:tcPr>
            <w:tcW w:w="3203" w:type="dxa"/>
            <w:tcBorders>
              <w:bottom w:val="single" w:color="000000" w:sz="12"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等级</w:t>
            </w:r>
          </w:p>
        </w:tc>
        <w:tc>
          <w:tcPr>
            <w:tcW w:w="3204" w:type="dxa"/>
            <w:tcBorders>
              <w:bottom w:val="single" w:color="000000" w:sz="12"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cs="Times New Roman"/>
                <w:b/>
                <w:i w:val="0"/>
                <w:color w:val="auto"/>
                <w:kern w:val="0"/>
                <w:sz w:val="21"/>
                <w:szCs w:val="21"/>
                <w:highlight w:val="none"/>
                <w:u w:val="none"/>
                <w:lang w:val="en-US" w:eastAsia="zh-CN" w:bidi="ar"/>
              </w:rPr>
              <w:t>单因子污染指数</w:t>
            </w:r>
          </w:p>
        </w:tc>
        <w:tc>
          <w:tcPr>
            <w:tcW w:w="3204" w:type="dxa"/>
            <w:tcBorders>
              <w:bottom w:val="single" w:color="000000" w:sz="12"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污染</w:t>
            </w:r>
            <w:r>
              <w:rPr>
                <w:rFonts w:hint="default" w:ascii="Times New Roman" w:hAnsi="Times New Roman" w:cs="Times New Roman"/>
                <w:b/>
                <w:i w:val="0"/>
                <w:color w:val="auto"/>
                <w:kern w:val="0"/>
                <w:sz w:val="21"/>
                <w:szCs w:val="21"/>
                <w:highlight w:val="none"/>
                <w:u w:val="none"/>
                <w:lang w:val="en-US" w:eastAsia="zh-CN" w:bidi="ar"/>
              </w:rPr>
              <w:t>程度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203" w:type="dxa"/>
            <w:tcBorders>
              <w:top w:val="single" w:color="000000" w:sz="12" w:space="0"/>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Ⅰ</w:t>
            </w:r>
          </w:p>
        </w:tc>
        <w:tc>
          <w:tcPr>
            <w:tcW w:w="3204" w:type="dxa"/>
            <w:tcBorders>
              <w:top w:val="single" w:color="000000" w:sz="12" w:space="0"/>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P</w:t>
            </w:r>
            <w:r>
              <w:rPr>
                <w:rFonts w:hint="default" w:ascii="Times New Roman" w:hAnsi="Times New Roman" w:cs="Times New Roman"/>
                <w:i w:val="0"/>
                <w:color w:val="auto"/>
                <w:kern w:val="0"/>
                <w:sz w:val="21"/>
                <w:szCs w:val="21"/>
                <w:highlight w:val="none"/>
                <w:u w:val="none"/>
                <w:vertAlign w:val="subscript"/>
                <w:lang w:val="en-US" w:eastAsia="zh-CN" w:bidi="ar"/>
              </w:rPr>
              <w:t>i</w:t>
            </w:r>
            <w:r>
              <w:rPr>
                <w:rFonts w:hint="default" w:ascii="Times New Roman" w:hAnsi="Times New Roman" w:cs="Times New Roman"/>
                <w:i w:val="0"/>
                <w:color w:val="auto"/>
                <w:kern w:val="0"/>
                <w:sz w:val="21"/>
                <w:szCs w:val="21"/>
                <w:highlight w:val="none"/>
                <w:u w:val="none"/>
                <w:lang w:val="en-US" w:eastAsia="zh-CN" w:bidi="ar"/>
              </w:rPr>
              <w:t>＜1</w:t>
            </w:r>
          </w:p>
        </w:tc>
        <w:tc>
          <w:tcPr>
            <w:tcW w:w="3204" w:type="dxa"/>
            <w:tcBorders>
              <w:top w:val="single" w:color="000000" w:sz="12" w:space="0"/>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无污染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20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Ⅱ</w:t>
            </w:r>
          </w:p>
        </w:tc>
        <w:tc>
          <w:tcPr>
            <w:tcW w:w="32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1＜</w:t>
            </w:r>
            <w:r>
              <w:rPr>
                <w:rFonts w:hint="default" w:ascii="Times New Roman" w:hAnsi="Times New Roman" w:eastAsia="宋体" w:cs="Times New Roman"/>
                <w:i w:val="0"/>
                <w:color w:val="auto"/>
                <w:kern w:val="0"/>
                <w:sz w:val="21"/>
                <w:szCs w:val="21"/>
                <w:highlight w:val="none"/>
                <w:u w:val="none"/>
                <w:lang w:val="en-US" w:eastAsia="zh-CN" w:bidi="ar"/>
              </w:rPr>
              <w:t>P</w:t>
            </w:r>
            <w:r>
              <w:rPr>
                <w:rFonts w:hint="default" w:ascii="Times New Roman" w:hAnsi="Times New Roman" w:cs="Times New Roman"/>
                <w:i w:val="0"/>
                <w:color w:val="auto"/>
                <w:kern w:val="0"/>
                <w:sz w:val="21"/>
                <w:szCs w:val="21"/>
                <w:highlight w:val="none"/>
                <w:u w:val="none"/>
                <w:vertAlign w:val="subscript"/>
                <w:lang w:val="en-US" w:eastAsia="zh-CN" w:bidi="ar"/>
              </w:rPr>
              <w:t>i</w:t>
            </w: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2</w:t>
            </w:r>
          </w:p>
        </w:tc>
        <w:tc>
          <w:tcPr>
            <w:tcW w:w="32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轻微污染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20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Ⅲ</w:t>
            </w:r>
          </w:p>
        </w:tc>
        <w:tc>
          <w:tcPr>
            <w:tcW w:w="32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2＜</w:t>
            </w:r>
            <w:r>
              <w:rPr>
                <w:rFonts w:hint="default" w:ascii="Times New Roman" w:hAnsi="Times New Roman" w:eastAsia="宋体" w:cs="Times New Roman"/>
                <w:i w:val="0"/>
                <w:color w:val="auto"/>
                <w:kern w:val="0"/>
                <w:sz w:val="21"/>
                <w:szCs w:val="21"/>
                <w:highlight w:val="none"/>
                <w:u w:val="none"/>
                <w:lang w:val="en-US" w:eastAsia="zh-CN" w:bidi="ar"/>
              </w:rPr>
              <w:t>P</w:t>
            </w:r>
            <w:r>
              <w:rPr>
                <w:rFonts w:hint="default" w:ascii="Times New Roman" w:hAnsi="Times New Roman" w:cs="Times New Roman"/>
                <w:i w:val="0"/>
                <w:color w:val="auto"/>
                <w:kern w:val="0"/>
                <w:sz w:val="21"/>
                <w:szCs w:val="21"/>
                <w:highlight w:val="none"/>
                <w:u w:val="none"/>
                <w:vertAlign w:val="subscript"/>
                <w:lang w:val="en-US" w:eastAsia="zh-CN" w:bidi="ar"/>
              </w:rPr>
              <w:t>i</w:t>
            </w: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3</w:t>
            </w:r>
          </w:p>
        </w:tc>
        <w:tc>
          <w:tcPr>
            <w:tcW w:w="32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eastAsia="zh-CN"/>
              </w:rPr>
            </w:pPr>
            <w:r>
              <w:rPr>
                <w:rFonts w:hint="default" w:ascii="Times New Roman" w:hAnsi="Times New Roman" w:cs="Times New Roman"/>
                <w:i w:val="0"/>
                <w:color w:val="auto"/>
                <w:sz w:val="21"/>
                <w:szCs w:val="21"/>
                <w:highlight w:val="none"/>
                <w:u w:val="none"/>
                <w:lang w:eastAsia="zh-CN"/>
              </w:rPr>
              <w:t>轻度污染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 w:hRule="atLeast"/>
          <w:jc w:val="center"/>
        </w:trPr>
        <w:tc>
          <w:tcPr>
            <w:tcW w:w="320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Ⅳ</w:t>
            </w:r>
          </w:p>
        </w:tc>
        <w:tc>
          <w:tcPr>
            <w:tcW w:w="32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cs="Times New Roman"/>
                <w:i w:val="0"/>
                <w:color w:val="auto"/>
                <w:kern w:val="0"/>
                <w:sz w:val="21"/>
                <w:szCs w:val="21"/>
                <w:highlight w:val="none"/>
                <w:u w:val="none"/>
                <w:lang w:val="en-US" w:eastAsia="zh-CN" w:bidi="ar"/>
              </w:rPr>
              <w:t>3＜</w:t>
            </w:r>
            <w:r>
              <w:rPr>
                <w:rFonts w:hint="default" w:ascii="Times New Roman" w:hAnsi="Times New Roman" w:eastAsia="宋体" w:cs="Times New Roman"/>
                <w:i w:val="0"/>
                <w:color w:val="auto"/>
                <w:kern w:val="0"/>
                <w:sz w:val="21"/>
                <w:szCs w:val="21"/>
                <w:highlight w:val="none"/>
                <w:u w:val="none"/>
                <w:lang w:val="en-US" w:eastAsia="zh-CN" w:bidi="ar"/>
              </w:rPr>
              <w:t>P</w:t>
            </w:r>
            <w:r>
              <w:rPr>
                <w:rFonts w:hint="default" w:ascii="Times New Roman" w:hAnsi="Times New Roman" w:cs="Times New Roman"/>
                <w:i w:val="0"/>
                <w:color w:val="auto"/>
                <w:kern w:val="0"/>
                <w:sz w:val="21"/>
                <w:szCs w:val="21"/>
                <w:highlight w:val="none"/>
                <w:u w:val="none"/>
                <w:vertAlign w:val="subscript"/>
                <w:lang w:val="en-US" w:eastAsia="zh-CN" w:bidi="ar"/>
              </w:rPr>
              <w:t>i</w:t>
            </w: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5</w:t>
            </w:r>
          </w:p>
        </w:tc>
        <w:tc>
          <w:tcPr>
            <w:tcW w:w="32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eastAsia="zh-CN"/>
              </w:rPr>
            </w:pPr>
            <w:r>
              <w:rPr>
                <w:rFonts w:hint="default" w:ascii="Times New Roman" w:hAnsi="Times New Roman" w:cs="Times New Roman"/>
                <w:i w:val="0"/>
                <w:color w:val="auto"/>
                <w:sz w:val="21"/>
                <w:szCs w:val="21"/>
                <w:highlight w:val="none"/>
                <w:u w:val="none"/>
                <w:lang w:eastAsia="zh-CN"/>
              </w:rPr>
              <w:t>中度污染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jc w:val="center"/>
        </w:trPr>
        <w:tc>
          <w:tcPr>
            <w:tcW w:w="320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Ⅴ</w:t>
            </w:r>
          </w:p>
        </w:tc>
        <w:tc>
          <w:tcPr>
            <w:tcW w:w="32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P</w:t>
            </w:r>
            <w:r>
              <w:rPr>
                <w:rFonts w:hint="default" w:ascii="Times New Roman" w:hAnsi="Times New Roman" w:cs="Times New Roman"/>
                <w:i w:val="0"/>
                <w:color w:val="auto"/>
                <w:kern w:val="0"/>
                <w:sz w:val="21"/>
                <w:szCs w:val="21"/>
                <w:highlight w:val="none"/>
                <w:u w:val="none"/>
                <w:vertAlign w:val="subscript"/>
                <w:lang w:val="en-US" w:eastAsia="zh-CN" w:bidi="ar"/>
              </w:rPr>
              <w:t>i</w:t>
            </w:r>
            <w:r>
              <w:rPr>
                <w:rFonts w:hint="default" w:ascii="Times New Roman" w:hAnsi="Times New Roman" w:cs="Times New Roman"/>
                <w:i w:val="0"/>
                <w:color w:val="auto"/>
                <w:kern w:val="0"/>
                <w:sz w:val="21"/>
                <w:szCs w:val="21"/>
                <w:highlight w:val="none"/>
                <w:u w:val="none"/>
                <w:lang w:val="en-US" w:eastAsia="zh-CN" w:bidi="ar"/>
              </w:rPr>
              <w:t>＞5</w:t>
            </w:r>
          </w:p>
        </w:tc>
        <w:tc>
          <w:tcPr>
            <w:tcW w:w="32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重度污染</w:t>
            </w:r>
          </w:p>
        </w:tc>
      </w:tr>
    </w:tbl>
    <w:p>
      <w:pPr>
        <w:pStyle w:val="6"/>
        <w:numPr>
          <w:ilvl w:val="0"/>
          <w:numId w:val="0"/>
        </w:numPr>
        <w:spacing w:before="0" w:after="0" w:line="360" w:lineRule="auto"/>
        <w:ind w:leftChars="0"/>
        <w:jc w:val="left"/>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5.2.2.2内梅罗污染指数评价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内梅罗指数反映了各污染物对土壤的作用，</w:t>
      </w:r>
      <w:r>
        <w:rPr>
          <w:rFonts w:hint="default" w:ascii="Times New Roman" w:hAnsi="Times New Roman" w:cs="Times New Roman"/>
          <w:color w:val="auto"/>
          <w:sz w:val="24"/>
          <w:szCs w:val="24"/>
          <w:highlight w:val="none"/>
          <w:lang w:val="en-US" w:eastAsia="zh-CN"/>
        </w:rPr>
        <w:t>同时</w:t>
      </w:r>
      <w:r>
        <w:rPr>
          <w:rFonts w:hint="default" w:ascii="Times New Roman" w:hAnsi="Times New Roman" w:cs="Times New Roman"/>
          <w:color w:val="auto"/>
          <w:sz w:val="24"/>
          <w:szCs w:val="24"/>
          <w:highlight w:val="none"/>
          <w:lang w:eastAsia="zh-CN"/>
        </w:rPr>
        <w:t>突出了高浓度污染物对土壤环境质量的影响，可按内梅罗污染指数，划定污染等级。内梅罗指数计算公式如下：</w:t>
      </w:r>
    </w:p>
    <w:p>
      <w:pPr>
        <w:ind w:firstLine="420" w:firstLineChars="0"/>
        <w:rPr>
          <w:rFonts w:hint="default" w:ascii="Times New Roman" w:hAnsi="Times New Roman" w:cs="Times New Roman"/>
          <w:color w:val="auto"/>
          <w:sz w:val="24"/>
          <w:szCs w:val="24"/>
          <w:highlight w:val="none"/>
          <w:vertAlign w:val="superscript"/>
          <w:lang w:eastAsia="zh-CN"/>
        </w:rPr>
      </w:pPr>
      <w:r>
        <w:rPr>
          <w:rFonts w:hint="default" w:ascii="Times New Roman" w:hAnsi="Times New Roman" w:cs="Times New Roman"/>
          <w:color w:val="auto"/>
          <w:sz w:val="24"/>
          <w:szCs w:val="24"/>
          <w:highlight w:val="none"/>
          <w:lang w:eastAsia="zh-CN"/>
        </w:rPr>
        <w:t>内梅罗污染指数（P</w:t>
      </w:r>
      <w:r>
        <w:rPr>
          <w:rFonts w:hint="default" w:ascii="Times New Roman" w:hAnsi="Times New Roman" w:cs="Times New Roman"/>
          <w:color w:val="auto"/>
          <w:sz w:val="24"/>
          <w:szCs w:val="24"/>
          <w:highlight w:val="none"/>
          <w:vertAlign w:val="subscript"/>
          <w:lang w:eastAsia="zh-CN"/>
        </w:rPr>
        <w:t>N</w:t>
      </w:r>
      <w:r>
        <w:rPr>
          <w:rFonts w:hint="default" w:ascii="Times New Roman" w:hAnsi="Times New Roman" w:cs="Times New Roman"/>
          <w:color w:val="auto"/>
          <w:sz w:val="24"/>
          <w:szCs w:val="24"/>
          <w:highlight w:val="none"/>
          <w:lang w:eastAsia="zh-CN"/>
        </w:rPr>
        <w:t>）= ｛［（P</w:t>
      </w:r>
      <w:r>
        <w:rPr>
          <w:rFonts w:hint="default" w:ascii="Times New Roman" w:hAnsi="Times New Roman" w:cs="Times New Roman"/>
          <w:color w:val="auto"/>
          <w:sz w:val="24"/>
          <w:szCs w:val="24"/>
          <w:highlight w:val="none"/>
          <w:lang w:val="en-US" w:eastAsia="zh-CN"/>
        </w:rPr>
        <w:t>i</w:t>
      </w:r>
      <w:r>
        <w:rPr>
          <w:rFonts w:hint="default" w:ascii="Times New Roman" w:hAnsi="Times New Roman" w:cs="Times New Roman"/>
          <w:color w:val="auto"/>
          <w:sz w:val="24"/>
          <w:szCs w:val="24"/>
          <w:highlight w:val="none"/>
          <w:lang w:eastAsia="zh-CN"/>
        </w:rPr>
        <w:t xml:space="preserve"> </w:t>
      </w:r>
      <w:r>
        <w:rPr>
          <w:rFonts w:hint="default" w:ascii="Times New Roman" w:hAnsi="Times New Roman" w:cs="Times New Roman"/>
          <w:color w:val="auto"/>
          <w:sz w:val="24"/>
          <w:szCs w:val="24"/>
          <w:highlight w:val="none"/>
          <w:vertAlign w:val="subscript"/>
          <w:lang w:eastAsia="zh-CN"/>
        </w:rPr>
        <w:t>均</w:t>
      </w:r>
      <w:r>
        <w:rPr>
          <w:rFonts w:hint="default" w:ascii="Times New Roman" w:hAnsi="Times New Roman" w:cs="Times New Roman"/>
          <w:color w:val="auto"/>
          <w:sz w:val="24"/>
          <w:szCs w:val="24"/>
          <w:highlight w:val="none"/>
          <w:vertAlign w:val="superscript"/>
          <w:lang w:eastAsia="zh-CN"/>
        </w:rPr>
        <w:t>2</w:t>
      </w:r>
      <w:r>
        <w:rPr>
          <w:rFonts w:hint="default" w:ascii="Times New Roman" w:hAnsi="Times New Roman" w:cs="Times New Roman"/>
          <w:color w:val="auto"/>
          <w:sz w:val="24"/>
          <w:szCs w:val="24"/>
          <w:highlight w:val="none"/>
          <w:lang w:eastAsia="zh-CN"/>
        </w:rPr>
        <w:t>）+ （P</w:t>
      </w:r>
      <w:r>
        <w:rPr>
          <w:rFonts w:hint="default" w:ascii="Times New Roman" w:hAnsi="Times New Roman" w:cs="Times New Roman"/>
          <w:color w:val="auto"/>
          <w:sz w:val="24"/>
          <w:szCs w:val="24"/>
          <w:highlight w:val="none"/>
          <w:lang w:val="en-US" w:eastAsia="zh-CN"/>
        </w:rPr>
        <w:t>i</w:t>
      </w:r>
      <w:r>
        <w:rPr>
          <w:rFonts w:hint="default" w:ascii="Times New Roman" w:hAnsi="Times New Roman" w:cs="Times New Roman"/>
          <w:color w:val="auto"/>
          <w:sz w:val="24"/>
          <w:szCs w:val="24"/>
          <w:highlight w:val="none"/>
          <w:lang w:eastAsia="zh-CN"/>
        </w:rPr>
        <w:t xml:space="preserve"> </w:t>
      </w:r>
      <w:r>
        <w:rPr>
          <w:rFonts w:hint="default" w:ascii="Times New Roman" w:hAnsi="Times New Roman" w:cs="Times New Roman"/>
          <w:color w:val="auto"/>
          <w:sz w:val="24"/>
          <w:szCs w:val="24"/>
          <w:highlight w:val="none"/>
          <w:vertAlign w:val="subscript"/>
          <w:lang w:eastAsia="zh-CN"/>
        </w:rPr>
        <w:t>最大</w:t>
      </w:r>
      <w:r>
        <w:rPr>
          <w:rFonts w:hint="default" w:ascii="Times New Roman" w:hAnsi="Times New Roman" w:cs="Times New Roman"/>
          <w:color w:val="auto"/>
          <w:sz w:val="24"/>
          <w:szCs w:val="24"/>
          <w:highlight w:val="none"/>
          <w:vertAlign w:val="superscript"/>
          <w:lang w:eastAsia="zh-CN"/>
        </w:rPr>
        <w:t>2</w:t>
      </w:r>
      <w:r>
        <w:rPr>
          <w:rFonts w:hint="default" w:ascii="Times New Roman" w:hAnsi="Times New Roman" w:cs="Times New Roman"/>
          <w:color w:val="auto"/>
          <w:sz w:val="24"/>
          <w:szCs w:val="24"/>
          <w:highlight w:val="none"/>
          <w:lang w:eastAsia="zh-CN"/>
        </w:rPr>
        <w:t>］/2｝</w:t>
      </w:r>
      <w:r>
        <w:rPr>
          <w:rFonts w:hint="default" w:ascii="Times New Roman" w:hAnsi="Times New Roman" w:cs="Times New Roman"/>
          <w:color w:val="auto"/>
          <w:sz w:val="24"/>
          <w:szCs w:val="24"/>
          <w:highlight w:val="none"/>
          <w:vertAlign w:val="superscript"/>
          <w:lang w:eastAsia="zh-CN"/>
        </w:rPr>
        <w:t>1/2</w:t>
      </w:r>
    </w:p>
    <w:p>
      <w:pPr>
        <w:pStyle w:val="2"/>
        <w:keepNext w:val="0"/>
        <w:keepLines w:val="0"/>
        <w:pageBreakBefore w:val="0"/>
        <w:widowControl w:val="0"/>
        <w:kinsoku/>
        <w:wordWrap/>
        <w:overflowPunct/>
        <w:topLinePunct w:val="0"/>
        <w:autoSpaceDE/>
        <w:autoSpaceDN/>
        <w:bidi w:val="0"/>
        <w:adjustRightInd/>
        <w:snapToGrid/>
        <w:spacing w:after="0"/>
        <w:ind w:firstLine="420" w:firstLineChars="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式中 P</w:t>
      </w:r>
      <w:r>
        <w:rPr>
          <w:rFonts w:hint="default" w:ascii="Times New Roman" w:hAnsi="Times New Roman" w:cs="Times New Roman"/>
          <w:color w:val="auto"/>
          <w:sz w:val="24"/>
          <w:szCs w:val="24"/>
          <w:highlight w:val="none"/>
          <w:lang w:val="en-US" w:eastAsia="zh-CN"/>
        </w:rPr>
        <w:t>i</w:t>
      </w:r>
      <w:r>
        <w:rPr>
          <w:rFonts w:hint="default" w:ascii="Times New Roman" w:hAnsi="Times New Roman" w:cs="Times New Roman"/>
          <w:color w:val="auto"/>
          <w:sz w:val="24"/>
          <w:szCs w:val="24"/>
          <w:highlight w:val="none"/>
          <w:lang w:eastAsia="zh-CN"/>
        </w:rPr>
        <w:t xml:space="preserve"> </w:t>
      </w:r>
      <w:r>
        <w:rPr>
          <w:rFonts w:hint="default" w:ascii="Times New Roman" w:hAnsi="Times New Roman" w:cs="Times New Roman"/>
          <w:color w:val="auto"/>
          <w:sz w:val="24"/>
          <w:szCs w:val="24"/>
          <w:highlight w:val="none"/>
          <w:vertAlign w:val="subscript"/>
          <w:lang w:eastAsia="zh-CN"/>
        </w:rPr>
        <w:t>均</w:t>
      </w:r>
      <w:r>
        <w:rPr>
          <w:rFonts w:hint="default" w:ascii="Times New Roman" w:hAnsi="Times New Roman" w:cs="Times New Roman"/>
          <w:color w:val="auto"/>
          <w:sz w:val="24"/>
          <w:szCs w:val="24"/>
          <w:highlight w:val="none"/>
          <w:lang w:eastAsia="zh-CN"/>
        </w:rPr>
        <w:t>和 P</w:t>
      </w:r>
      <w:r>
        <w:rPr>
          <w:rFonts w:hint="default" w:ascii="Times New Roman" w:hAnsi="Times New Roman" w:cs="Times New Roman"/>
          <w:color w:val="auto"/>
          <w:sz w:val="24"/>
          <w:szCs w:val="24"/>
          <w:highlight w:val="none"/>
          <w:lang w:val="en-US" w:eastAsia="zh-CN"/>
        </w:rPr>
        <w:t>i</w:t>
      </w:r>
      <w:r>
        <w:rPr>
          <w:rFonts w:hint="default" w:ascii="Times New Roman" w:hAnsi="Times New Roman" w:cs="Times New Roman"/>
          <w:color w:val="auto"/>
          <w:sz w:val="24"/>
          <w:szCs w:val="24"/>
          <w:highlight w:val="none"/>
          <w:lang w:eastAsia="zh-CN"/>
        </w:rPr>
        <w:t xml:space="preserve"> </w:t>
      </w:r>
      <w:r>
        <w:rPr>
          <w:rFonts w:hint="default" w:ascii="Times New Roman" w:hAnsi="Times New Roman" w:cs="Times New Roman"/>
          <w:color w:val="auto"/>
          <w:sz w:val="24"/>
          <w:szCs w:val="24"/>
          <w:highlight w:val="none"/>
          <w:vertAlign w:val="subscript"/>
          <w:lang w:eastAsia="zh-CN"/>
        </w:rPr>
        <w:t>最大</w:t>
      </w:r>
      <w:r>
        <w:rPr>
          <w:rFonts w:hint="default" w:ascii="Times New Roman" w:hAnsi="Times New Roman" w:cs="Times New Roman"/>
          <w:color w:val="auto"/>
          <w:sz w:val="24"/>
          <w:szCs w:val="24"/>
          <w:highlight w:val="none"/>
          <w:lang w:eastAsia="zh-CN"/>
        </w:rPr>
        <w:t>分别是平均单项污染指数和最大单项污染指数。</w:t>
      </w:r>
    </w:p>
    <w:p>
      <w:pPr>
        <w:pStyle w:val="2"/>
        <w:keepNext w:val="0"/>
        <w:keepLines w:val="0"/>
        <w:pageBreakBefore w:val="0"/>
        <w:widowControl w:val="0"/>
        <w:kinsoku/>
        <w:wordWrap/>
        <w:overflowPunct/>
        <w:topLinePunct w:val="0"/>
        <w:autoSpaceDE/>
        <w:autoSpaceDN/>
        <w:bidi w:val="0"/>
        <w:adjustRightInd/>
        <w:snapToGrid/>
        <w:spacing w:after="0"/>
        <w:ind w:firstLine="420" w:firstLineChars="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内梅罗指数土壤污染评价标准见表</w:t>
      </w:r>
      <w:r>
        <w:rPr>
          <w:rFonts w:hint="default" w:ascii="Times New Roman" w:hAnsi="Times New Roman" w:cs="Times New Roman"/>
          <w:color w:val="auto"/>
          <w:sz w:val="24"/>
          <w:szCs w:val="24"/>
          <w:highlight w:val="none"/>
          <w:lang w:val="en-US" w:eastAsia="zh-CN"/>
        </w:rPr>
        <w:t>5-2-2</w:t>
      </w:r>
      <w:r>
        <w:rPr>
          <w:rFonts w:hint="default" w:ascii="Times New Roman" w:hAnsi="Times New Roman" w:cs="Times New Roman"/>
          <w:color w:val="auto"/>
          <w:sz w:val="24"/>
          <w:szCs w:val="24"/>
          <w:highlight w:val="none"/>
          <w:lang w:eastAsia="zh-CN"/>
        </w:rPr>
        <w:t xml:space="preserve">。 </w:t>
      </w:r>
    </w:p>
    <w:p>
      <w:pPr>
        <w:pStyle w:val="2"/>
        <w:keepNext w:val="0"/>
        <w:keepLines w:val="0"/>
        <w:pageBreakBefore w:val="0"/>
        <w:widowControl w:val="0"/>
        <w:kinsoku/>
        <w:wordWrap/>
        <w:overflowPunct/>
        <w:topLinePunct w:val="0"/>
        <w:autoSpaceDE/>
        <w:autoSpaceDN/>
        <w:bidi w:val="0"/>
        <w:adjustRightInd/>
        <w:snapToGrid/>
        <w:spacing w:before="166" w:beforeLines="50" w:after="0" w:line="240" w:lineRule="auto"/>
        <w:jc w:val="center"/>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表5-2-2 土壤内梅罗污染指数评价标准</w:t>
      </w:r>
    </w:p>
    <w:tbl>
      <w:tblPr>
        <w:tblStyle w:val="21"/>
        <w:tblW w:w="9611"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3203"/>
        <w:gridCol w:w="3204"/>
        <w:gridCol w:w="320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203" w:type="dxa"/>
            <w:tcBorders>
              <w:bottom w:val="single" w:color="000000" w:sz="12"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等级</w:t>
            </w:r>
          </w:p>
        </w:tc>
        <w:tc>
          <w:tcPr>
            <w:tcW w:w="3204" w:type="dxa"/>
            <w:tcBorders>
              <w:bottom w:val="single" w:color="000000" w:sz="12"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内梅罗污染指数</w:t>
            </w:r>
          </w:p>
        </w:tc>
        <w:tc>
          <w:tcPr>
            <w:tcW w:w="3204" w:type="dxa"/>
            <w:tcBorders>
              <w:bottom w:val="single" w:color="000000" w:sz="12"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污染等级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203" w:type="dxa"/>
            <w:tcBorders>
              <w:top w:val="single" w:color="000000" w:sz="12" w:space="0"/>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Ⅰ</w:t>
            </w:r>
          </w:p>
        </w:tc>
        <w:tc>
          <w:tcPr>
            <w:tcW w:w="3204" w:type="dxa"/>
            <w:tcBorders>
              <w:top w:val="single" w:color="000000" w:sz="12" w:space="0"/>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P</w:t>
            </w:r>
            <w:r>
              <w:rPr>
                <w:rFonts w:hint="default" w:ascii="Times New Roman" w:hAnsi="Times New Roman" w:eastAsia="宋体" w:cs="Times New Roman"/>
                <w:i w:val="0"/>
                <w:color w:val="auto"/>
                <w:kern w:val="0"/>
                <w:sz w:val="21"/>
                <w:szCs w:val="21"/>
                <w:highlight w:val="none"/>
                <w:u w:val="none"/>
                <w:vertAlign w:val="subscript"/>
                <w:lang w:val="en-US" w:eastAsia="zh-CN" w:bidi="ar"/>
              </w:rPr>
              <w:t>N</w:t>
            </w:r>
            <w:r>
              <w:rPr>
                <w:rFonts w:hint="default" w:ascii="Times New Roman" w:hAnsi="Times New Roman" w:eastAsia="宋体" w:cs="Times New Roman"/>
                <w:i w:val="0"/>
                <w:color w:val="auto"/>
                <w:kern w:val="0"/>
                <w:sz w:val="21"/>
                <w:szCs w:val="21"/>
                <w:highlight w:val="none"/>
                <w:u w:val="none"/>
                <w:lang w:val="en-US" w:eastAsia="zh-CN" w:bidi="ar"/>
              </w:rPr>
              <w:t>≤0.7</w:t>
            </w:r>
          </w:p>
        </w:tc>
        <w:tc>
          <w:tcPr>
            <w:tcW w:w="3204" w:type="dxa"/>
            <w:tcBorders>
              <w:top w:val="single" w:color="000000" w:sz="12" w:space="0"/>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清洁（安全）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20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Ⅱ</w:t>
            </w:r>
          </w:p>
        </w:tc>
        <w:tc>
          <w:tcPr>
            <w:tcW w:w="32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0.7＜</w:t>
            </w:r>
            <w:r>
              <w:rPr>
                <w:rFonts w:hint="default" w:ascii="Times New Roman" w:hAnsi="Times New Roman" w:eastAsia="宋体" w:cs="Times New Roman"/>
                <w:i w:val="0"/>
                <w:color w:val="auto"/>
                <w:kern w:val="0"/>
                <w:sz w:val="21"/>
                <w:szCs w:val="21"/>
                <w:highlight w:val="none"/>
                <w:u w:val="none"/>
                <w:lang w:val="en-US" w:eastAsia="zh-CN" w:bidi="ar"/>
              </w:rPr>
              <w:t>P</w:t>
            </w:r>
            <w:r>
              <w:rPr>
                <w:rFonts w:hint="default" w:ascii="Times New Roman" w:hAnsi="Times New Roman" w:eastAsia="宋体" w:cs="Times New Roman"/>
                <w:i w:val="0"/>
                <w:color w:val="auto"/>
                <w:kern w:val="0"/>
                <w:sz w:val="21"/>
                <w:szCs w:val="21"/>
                <w:highlight w:val="none"/>
                <w:u w:val="none"/>
                <w:vertAlign w:val="subscript"/>
                <w:lang w:val="en-US" w:eastAsia="zh-CN" w:bidi="ar"/>
              </w:rPr>
              <w:t>N</w:t>
            </w:r>
            <w:r>
              <w:rPr>
                <w:rFonts w:hint="default" w:ascii="Times New Roman" w:hAnsi="Times New Roman" w:eastAsia="宋体" w:cs="Times New Roman"/>
                <w:i w:val="0"/>
                <w:color w:val="auto"/>
                <w:kern w:val="0"/>
                <w:sz w:val="21"/>
                <w:szCs w:val="21"/>
                <w:highlight w:val="none"/>
                <w:u w:val="none"/>
                <w:lang w:val="en-US" w:eastAsia="zh-CN" w:bidi="ar"/>
              </w:rPr>
              <w:t>≤1.0</w:t>
            </w:r>
          </w:p>
        </w:tc>
        <w:tc>
          <w:tcPr>
            <w:tcW w:w="32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尚清洁（警戒线）</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20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Ⅲ</w:t>
            </w:r>
          </w:p>
        </w:tc>
        <w:tc>
          <w:tcPr>
            <w:tcW w:w="32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1.0＜</w:t>
            </w:r>
            <w:r>
              <w:rPr>
                <w:rFonts w:hint="default" w:ascii="Times New Roman" w:hAnsi="Times New Roman" w:eastAsia="宋体" w:cs="Times New Roman"/>
                <w:i w:val="0"/>
                <w:color w:val="auto"/>
                <w:kern w:val="0"/>
                <w:sz w:val="21"/>
                <w:szCs w:val="21"/>
                <w:highlight w:val="none"/>
                <w:u w:val="none"/>
                <w:lang w:val="en-US" w:eastAsia="zh-CN" w:bidi="ar"/>
              </w:rPr>
              <w:t>P</w:t>
            </w:r>
            <w:r>
              <w:rPr>
                <w:rFonts w:hint="default" w:ascii="Times New Roman" w:hAnsi="Times New Roman" w:eastAsia="宋体" w:cs="Times New Roman"/>
                <w:i w:val="0"/>
                <w:color w:val="auto"/>
                <w:kern w:val="0"/>
                <w:sz w:val="21"/>
                <w:szCs w:val="21"/>
                <w:highlight w:val="none"/>
                <w:u w:val="none"/>
                <w:vertAlign w:val="subscript"/>
                <w:lang w:val="en-US" w:eastAsia="zh-CN" w:bidi="ar"/>
              </w:rPr>
              <w:t>N</w:t>
            </w:r>
            <w:r>
              <w:rPr>
                <w:rFonts w:hint="default" w:ascii="Times New Roman" w:hAnsi="Times New Roman" w:eastAsia="宋体" w:cs="Times New Roman"/>
                <w:i w:val="0"/>
                <w:color w:val="auto"/>
                <w:kern w:val="0"/>
                <w:sz w:val="21"/>
                <w:szCs w:val="21"/>
                <w:highlight w:val="none"/>
                <w:u w:val="none"/>
                <w:lang w:val="en-US" w:eastAsia="zh-CN" w:bidi="ar"/>
              </w:rPr>
              <w:t>≤2.0</w:t>
            </w:r>
          </w:p>
        </w:tc>
        <w:tc>
          <w:tcPr>
            <w:tcW w:w="32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轻度污染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20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Ⅳ</w:t>
            </w:r>
          </w:p>
        </w:tc>
        <w:tc>
          <w:tcPr>
            <w:tcW w:w="32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cs="Times New Roman"/>
                <w:i w:val="0"/>
                <w:color w:val="auto"/>
                <w:kern w:val="0"/>
                <w:sz w:val="21"/>
                <w:szCs w:val="21"/>
                <w:highlight w:val="none"/>
                <w:u w:val="none"/>
                <w:lang w:val="en-US" w:eastAsia="zh-CN" w:bidi="ar"/>
              </w:rPr>
              <w:t>2.0＜</w:t>
            </w:r>
            <w:r>
              <w:rPr>
                <w:rFonts w:hint="default" w:ascii="Times New Roman" w:hAnsi="Times New Roman" w:eastAsia="宋体" w:cs="Times New Roman"/>
                <w:i w:val="0"/>
                <w:color w:val="auto"/>
                <w:kern w:val="0"/>
                <w:sz w:val="21"/>
                <w:szCs w:val="21"/>
                <w:highlight w:val="none"/>
                <w:u w:val="none"/>
                <w:lang w:val="en-US" w:eastAsia="zh-CN" w:bidi="ar"/>
              </w:rPr>
              <w:t>P</w:t>
            </w:r>
            <w:r>
              <w:rPr>
                <w:rFonts w:hint="default" w:ascii="Times New Roman" w:hAnsi="Times New Roman" w:eastAsia="宋体" w:cs="Times New Roman"/>
                <w:i w:val="0"/>
                <w:color w:val="auto"/>
                <w:kern w:val="0"/>
                <w:sz w:val="21"/>
                <w:szCs w:val="21"/>
                <w:highlight w:val="none"/>
                <w:u w:val="none"/>
                <w:vertAlign w:val="subscript"/>
                <w:lang w:val="en-US" w:eastAsia="zh-CN" w:bidi="ar"/>
              </w:rPr>
              <w:t>N</w:t>
            </w: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3.0</w:t>
            </w:r>
          </w:p>
        </w:tc>
        <w:tc>
          <w:tcPr>
            <w:tcW w:w="32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中度污染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20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Ⅴ</w:t>
            </w:r>
          </w:p>
        </w:tc>
        <w:tc>
          <w:tcPr>
            <w:tcW w:w="32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P</w:t>
            </w:r>
            <w:r>
              <w:rPr>
                <w:rFonts w:hint="default" w:ascii="Times New Roman" w:hAnsi="Times New Roman" w:eastAsia="宋体" w:cs="Times New Roman"/>
                <w:i w:val="0"/>
                <w:color w:val="auto"/>
                <w:kern w:val="0"/>
                <w:sz w:val="21"/>
                <w:szCs w:val="21"/>
                <w:highlight w:val="none"/>
                <w:u w:val="none"/>
                <w:vertAlign w:val="subscript"/>
                <w:lang w:val="en-US" w:eastAsia="zh-CN" w:bidi="ar"/>
              </w:rPr>
              <w:t>N</w:t>
            </w:r>
            <w:r>
              <w:rPr>
                <w:rFonts w:hint="default" w:ascii="Times New Roman" w:hAnsi="Times New Roman"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0.7</w:t>
            </w:r>
          </w:p>
        </w:tc>
        <w:tc>
          <w:tcPr>
            <w:tcW w:w="320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重污染</w:t>
            </w:r>
          </w:p>
        </w:tc>
      </w:tr>
    </w:tbl>
    <w:p>
      <w:pPr>
        <w:pStyle w:val="4"/>
        <w:tabs>
          <w:tab w:val="left" w:leader="dot" w:pos="0"/>
          <w:tab w:val="clear" w:pos="425"/>
        </w:tabs>
        <w:rPr>
          <w:rFonts w:hint="default" w:ascii="Times New Roman" w:hAnsi="Times New Roman" w:cs="Times New Roman"/>
          <w:color w:val="auto"/>
          <w:highlight w:val="none"/>
        </w:rPr>
      </w:pPr>
      <w:bookmarkStart w:id="65" w:name="_Toc6074"/>
      <w:bookmarkStart w:id="66" w:name="_Toc11644"/>
      <w:r>
        <w:rPr>
          <w:rFonts w:hint="default" w:ascii="Times New Roman" w:hAnsi="Times New Roman" w:cs="Times New Roman"/>
          <w:color w:val="auto"/>
          <w:highlight w:val="none"/>
          <w:lang w:eastAsia="zh-CN"/>
        </w:rPr>
        <w:t>监测结果对标分析</w:t>
      </w:r>
      <w:bookmarkEnd w:id="64"/>
      <w:bookmarkEnd w:id="65"/>
      <w:bookmarkEnd w:id="66"/>
    </w:p>
    <w:p>
      <w:pPr>
        <w:pStyle w:val="5"/>
        <w:tabs>
          <w:tab w:val="left" w:pos="425"/>
        </w:tabs>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土壤</w:t>
      </w:r>
      <w:r>
        <w:rPr>
          <w:rStyle w:val="65"/>
          <w:rFonts w:hint="default" w:ascii="Times New Roman" w:hAnsi="Times New Roman" w:cs="Times New Roman"/>
          <w:b/>
          <w:bCs/>
          <w:color w:val="auto"/>
          <w:highlight w:val="none"/>
          <w:lang w:eastAsia="zh-CN"/>
        </w:rPr>
        <w:t>样品检测结</w:t>
      </w:r>
      <w:r>
        <w:rPr>
          <w:rFonts w:hint="default" w:ascii="Times New Roman" w:hAnsi="Times New Roman" w:cs="Times New Roman"/>
          <w:color w:val="auto"/>
          <w:highlight w:val="none"/>
          <w:lang w:eastAsia="zh-CN"/>
        </w:rPr>
        <w:t>果分析</w:t>
      </w:r>
    </w:p>
    <w:p>
      <w:pPr>
        <w:spacing w:line="360" w:lineRule="auto"/>
        <w:ind w:firstLine="480" w:firstLineChars="200"/>
        <w:rPr>
          <w:rFonts w:hint="default" w:ascii="Times New Roman" w:hAnsi="Times New Roman" w:eastAsia="宋体" w:cs="Times New Roman"/>
          <w:b/>
          <w:bCs/>
          <w:color w:val="auto"/>
          <w:highlight w:val="none"/>
          <w:lang w:val="en-US" w:eastAsia="zh-CN"/>
        </w:rPr>
      </w:pPr>
      <w:bookmarkStart w:id="67" w:name="_Toc481482864"/>
      <w:bookmarkEnd w:id="67"/>
      <w:r>
        <w:rPr>
          <w:rFonts w:hint="default" w:ascii="Times New Roman" w:hAnsi="Times New Roman" w:cs="Times New Roman"/>
          <w:color w:val="auto"/>
          <w:sz w:val="24"/>
          <w:highlight w:val="none"/>
        </w:rPr>
        <w:t>本次调查</w:t>
      </w:r>
      <w:r>
        <w:rPr>
          <w:rFonts w:hint="default" w:ascii="Times New Roman" w:hAnsi="Times New Roman" w:cs="Times New Roman"/>
          <w:color w:val="auto"/>
          <w:sz w:val="24"/>
          <w:highlight w:val="none"/>
          <w:lang w:eastAsia="zh-CN"/>
        </w:rPr>
        <w:t>园区</w:t>
      </w:r>
      <w:r>
        <w:rPr>
          <w:rFonts w:hint="default" w:ascii="Times New Roman" w:hAnsi="Times New Roman" w:cs="Times New Roman"/>
          <w:color w:val="auto"/>
          <w:sz w:val="24"/>
          <w:highlight w:val="none"/>
        </w:rPr>
        <w:t>内共采集土壤样品</w:t>
      </w:r>
      <w:r>
        <w:rPr>
          <w:rFonts w:hint="default" w:ascii="Times New Roman" w:hAnsi="Times New Roman" w:cs="Times New Roman"/>
          <w:color w:val="auto"/>
          <w:sz w:val="24"/>
          <w:highlight w:val="none"/>
          <w:lang w:val="en-US" w:eastAsia="zh-CN"/>
        </w:rPr>
        <w:t>16</w:t>
      </w:r>
      <w:r>
        <w:rPr>
          <w:rFonts w:hint="default" w:ascii="Times New Roman" w:hAnsi="Times New Roman" w:cs="Times New Roman"/>
          <w:color w:val="auto"/>
          <w:sz w:val="24"/>
          <w:highlight w:val="none"/>
        </w:rPr>
        <w:t>个</w:t>
      </w:r>
      <w:r>
        <w:rPr>
          <w:rFonts w:hint="eastAsia" w:cs="Times New Roman"/>
          <w:color w:val="auto"/>
          <w:sz w:val="24"/>
          <w:highlight w:val="none"/>
          <w:lang w:eastAsia="zh-CN"/>
        </w:rPr>
        <w:t>（</w:t>
      </w:r>
      <w:r>
        <w:rPr>
          <w:rFonts w:hint="eastAsia" w:cs="Times New Roman"/>
          <w:color w:val="auto"/>
          <w:sz w:val="24"/>
          <w:highlight w:val="none"/>
          <w:lang w:val="en-US" w:eastAsia="zh-CN"/>
        </w:rPr>
        <w:t>不含质控样品</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，测试项目包括</w:t>
      </w:r>
      <w:r>
        <w:rPr>
          <w:rFonts w:hint="default" w:ascii="Times New Roman" w:hAnsi="Times New Roman" w:cs="Times New Roman"/>
          <w:color w:val="auto"/>
          <w:sz w:val="24"/>
          <w:highlight w:val="none"/>
          <w:lang w:eastAsia="zh-CN"/>
        </w:rPr>
        <w:t>基本项目：</w:t>
      </w:r>
      <w:r>
        <w:rPr>
          <w:rFonts w:hint="default" w:ascii="Times New Roman" w:hAnsi="Times New Roman" w:cs="Times New Roman"/>
          <w:color w:val="auto"/>
          <w:sz w:val="24"/>
          <w:highlight w:val="none"/>
        </w:rPr>
        <w:t>pH值、</w:t>
      </w:r>
      <w:r>
        <w:rPr>
          <w:rFonts w:hint="default" w:ascii="Times New Roman" w:hAnsi="Times New Roman" w:cs="Times New Roman"/>
          <w:color w:val="auto"/>
          <w:sz w:val="24"/>
          <w:highlight w:val="none"/>
          <w:lang w:val="en-US" w:eastAsia="zh-CN"/>
        </w:rPr>
        <w:t>重金属（9项）</w:t>
      </w:r>
      <w:r>
        <w:rPr>
          <w:rFonts w:hint="default" w:ascii="Times New Roman" w:hAnsi="Times New Roman" w:cs="Times New Roman"/>
          <w:color w:val="auto"/>
          <w:sz w:val="24"/>
          <w:highlight w:val="none"/>
        </w:rPr>
        <w:t>、挥发性有机物</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27项</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、半挥发性有机物</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11项</w:t>
      </w:r>
      <w:r>
        <w:rPr>
          <w:rFonts w:hint="default" w:ascii="Times New Roman" w:hAnsi="Times New Roman" w:cs="Times New Roman"/>
          <w:color w:val="auto"/>
          <w:sz w:val="24"/>
          <w:highlight w:val="none"/>
          <w:lang w:eastAsia="zh-CN"/>
        </w:rPr>
        <w:t>），园区增测项目（钼、锑、</w:t>
      </w:r>
      <w:r>
        <w:rPr>
          <w:rFonts w:hint="default" w:ascii="Times New Roman" w:hAnsi="Times New Roman" w:cs="Times New Roman"/>
          <w:color w:val="auto"/>
          <w:kern w:val="0"/>
          <w:sz w:val="24"/>
          <w:highlight w:val="none"/>
          <w:lang w:val="en-US" w:eastAsia="zh-CN"/>
        </w:rPr>
        <w:t>钴、石油烃（C</w:t>
      </w:r>
      <w:r>
        <w:rPr>
          <w:rFonts w:hint="default" w:ascii="Times New Roman" w:hAnsi="Times New Roman" w:cs="Times New Roman"/>
          <w:color w:val="auto"/>
          <w:kern w:val="0"/>
          <w:sz w:val="24"/>
          <w:highlight w:val="none"/>
          <w:vertAlign w:val="subscript"/>
          <w:lang w:val="en-US" w:eastAsia="zh-CN"/>
        </w:rPr>
        <w:t>10</w:t>
      </w:r>
      <w:r>
        <w:rPr>
          <w:rFonts w:hint="default" w:ascii="Times New Roman" w:hAnsi="Times New Roman" w:cs="Times New Roman"/>
          <w:color w:val="auto"/>
          <w:kern w:val="0"/>
          <w:sz w:val="24"/>
          <w:highlight w:val="none"/>
          <w:lang w:val="en-US" w:eastAsia="zh-CN"/>
        </w:rPr>
        <w:t>-C</w:t>
      </w:r>
      <w:r>
        <w:rPr>
          <w:rFonts w:hint="default" w:ascii="Times New Roman" w:hAnsi="Times New Roman" w:cs="Times New Roman"/>
          <w:color w:val="auto"/>
          <w:kern w:val="0"/>
          <w:sz w:val="24"/>
          <w:highlight w:val="none"/>
          <w:vertAlign w:val="subscript"/>
          <w:lang w:val="en-US" w:eastAsia="zh-CN"/>
        </w:rPr>
        <w:t>40</w:t>
      </w:r>
      <w:r>
        <w:rPr>
          <w:rFonts w:hint="default" w:ascii="Times New Roman" w:hAnsi="Times New Roman" w:cs="Times New Roman"/>
          <w:color w:val="auto"/>
          <w:kern w:val="0"/>
          <w:sz w:val="24"/>
          <w:highlight w:val="none"/>
          <w:lang w:val="en-US" w:eastAsia="zh-CN"/>
        </w:rPr>
        <w:t>）、总氟化物共</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lang w:eastAsia="zh-CN"/>
        </w:rPr>
        <w:t>项），其它增测项目（</w:t>
      </w:r>
      <w:r>
        <w:rPr>
          <w:rFonts w:hint="default" w:ascii="Times New Roman" w:hAnsi="Times New Roman" w:cs="Times New Roman"/>
          <w:color w:val="auto"/>
          <w:kern w:val="0"/>
          <w:sz w:val="24"/>
          <w:szCs w:val="24"/>
          <w:highlight w:val="none"/>
          <w:lang w:val="en-US" w:eastAsia="zh-CN"/>
        </w:rPr>
        <w:t>二噁英、多氯联苯（总量）、苯酚、2-甲基苯酚、4-甲基苯酚、二硫化碳、1,2,4-三甲基苯、1,3,5-三甲基苯共8项</w:t>
      </w:r>
      <w:r>
        <w:rPr>
          <w:rFonts w:hint="default" w:ascii="Times New Roman" w:hAnsi="Times New Roman" w:cs="Times New Roman"/>
          <w:color w:val="auto"/>
          <w:kern w:val="0"/>
          <w:sz w:val="24"/>
          <w:highlight w:val="none"/>
          <w:lang w:val="en-US" w:eastAsia="zh-CN"/>
        </w:rPr>
        <w:t>）</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共计</w:t>
      </w:r>
      <w:r>
        <w:rPr>
          <w:rFonts w:hint="default" w:ascii="Times New Roman" w:hAnsi="Times New Roman" w:cs="Times New Roman"/>
          <w:color w:val="auto"/>
          <w:sz w:val="24"/>
          <w:highlight w:val="none"/>
          <w:lang w:val="en-US" w:eastAsia="zh-CN"/>
        </w:rPr>
        <w:t>61</w:t>
      </w:r>
      <w:r>
        <w:rPr>
          <w:rFonts w:hint="default" w:ascii="Times New Roman" w:hAnsi="Times New Roman" w:cs="Times New Roman"/>
          <w:color w:val="auto"/>
          <w:sz w:val="24"/>
          <w:highlight w:val="none"/>
        </w:rPr>
        <w:t>项</w:t>
      </w:r>
      <w:r>
        <w:rPr>
          <w:rFonts w:hint="default" w:ascii="Times New Roman" w:hAnsi="Times New Roman" w:cs="Times New Roman"/>
          <w:color w:val="auto"/>
          <w:sz w:val="24"/>
          <w:highlight w:val="none"/>
          <w:lang w:eastAsia="zh-CN"/>
        </w:rPr>
        <w:t>。</w:t>
      </w:r>
      <w:r>
        <w:rPr>
          <w:rFonts w:hint="default" w:ascii="Times New Roman" w:hAnsi="Times New Roman" w:cs="Times New Roman"/>
        </w:rPr>
        <w:t>重金属检测指标除铬（六价）外均有检出，</w:t>
      </w:r>
      <w:r>
        <w:rPr>
          <w:rFonts w:hint="default" w:ascii="Times New Roman" w:hAnsi="Times New Roman" w:cs="Times New Roman"/>
          <w:lang w:eastAsia="zh-CN"/>
        </w:rPr>
        <w:t>除</w:t>
      </w:r>
      <w:r>
        <w:rPr>
          <w:rFonts w:hint="default" w:ascii="Times New Roman" w:hAnsi="Times New Roman" w:cs="Times New Roman"/>
          <w:lang w:val="en-US" w:eastAsia="zh-CN"/>
        </w:rPr>
        <w:t>SJG-JJ-8、SJG-JJ-9部分多环芳烃类半挥发性有机物指标有检出，其它</w:t>
      </w:r>
      <w:r>
        <w:rPr>
          <w:rFonts w:hint="default" w:ascii="Times New Roman" w:hAnsi="Times New Roman" w:cs="Times New Roman"/>
        </w:rPr>
        <w:t>所有</w:t>
      </w:r>
      <w:r>
        <w:rPr>
          <w:rFonts w:hint="default" w:ascii="Times New Roman" w:hAnsi="Times New Roman" w:cs="Times New Roman"/>
          <w:highlight w:val="none"/>
        </w:rPr>
        <w:t>土壤样品</w:t>
      </w:r>
      <w:r>
        <w:rPr>
          <w:rFonts w:hint="default" w:ascii="Times New Roman" w:hAnsi="Times New Roman" w:cs="Times New Roman"/>
        </w:rPr>
        <w:t>的挥发性有机物和半挥发性有机物均未检出。本节在检测结果统计分析时仅对</w:t>
      </w:r>
      <w:r>
        <w:rPr>
          <w:rFonts w:hint="eastAsia" w:cs="Times New Roman"/>
          <w:lang w:val="en-US" w:eastAsia="zh-CN"/>
        </w:rPr>
        <w:t>16</w:t>
      </w:r>
      <w:r>
        <w:rPr>
          <w:rFonts w:hint="default" w:ascii="Times New Roman" w:hAnsi="Times New Roman" w:cs="Times New Roman"/>
        </w:rPr>
        <w:t>个土壤样品（不含</w:t>
      </w:r>
      <w:r>
        <w:rPr>
          <w:rFonts w:hint="eastAsia" w:cs="Times New Roman"/>
          <w:lang w:val="en-US" w:eastAsia="zh-CN"/>
        </w:rPr>
        <w:t>质控样品</w:t>
      </w:r>
      <w:r>
        <w:rPr>
          <w:rFonts w:hint="default" w:ascii="Times New Roman" w:hAnsi="Times New Roman" w:cs="Times New Roman"/>
        </w:rPr>
        <w:t>）进行分析。</w:t>
      </w:r>
    </w:p>
    <w:p>
      <w:pPr>
        <w:numPr>
          <w:ilvl w:val="0"/>
          <w:numId w:val="11"/>
        </w:numPr>
        <w:bidi w:val="0"/>
        <w:ind w:left="0" w:leftChars="0" w:firstLine="420" w:firstLineChars="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pH值</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黑体" w:cs="Times New Roman"/>
          <w:b/>
          <w:bCs/>
          <w:color w:val="auto"/>
          <w:sz w:val="24"/>
          <w:highlight w:val="none"/>
        </w:rPr>
      </w:pPr>
      <w:r>
        <w:rPr>
          <w:rFonts w:hint="default" w:ascii="Times New Roman" w:hAnsi="Times New Roman" w:cs="Times New Roman"/>
          <w:color w:val="auto"/>
          <w:highlight w:val="none"/>
          <w:lang w:val="en-US" w:eastAsia="zh-CN"/>
        </w:rPr>
        <w:tab/>
      </w:r>
      <w:r>
        <w:rPr>
          <w:rFonts w:hint="default" w:ascii="Times New Roman" w:hAnsi="Times New Roman" w:cs="Times New Roman"/>
          <w:color w:val="auto"/>
          <w:sz w:val="24"/>
          <w:highlight w:val="none"/>
        </w:rPr>
        <w:t>检测结果显示，</w:t>
      </w:r>
      <w:r>
        <w:rPr>
          <w:rFonts w:hint="default" w:ascii="Times New Roman" w:hAnsi="Times New Roman" w:cs="Times New Roman"/>
          <w:color w:val="auto"/>
          <w:sz w:val="24"/>
          <w:highlight w:val="none"/>
          <w:lang w:eastAsia="zh-CN"/>
        </w:rPr>
        <w:t>园区</w:t>
      </w:r>
      <w:r>
        <w:rPr>
          <w:rFonts w:hint="default" w:ascii="Times New Roman" w:hAnsi="Times New Roman" w:cs="Times New Roman"/>
          <w:color w:val="auto"/>
          <w:sz w:val="24"/>
          <w:highlight w:val="none"/>
        </w:rPr>
        <w:t>内</w:t>
      </w:r>
      <w:r>
        <w:rPr>
          <w:rFonts w:hint="default" w:ascii="Times New Roman" w:hAnsi="Times New Roman" w:cs="Times New Roman"/>
          <w:color w:val="auto"/>
          <w:sz w:val="24"/>
          <w:highlight w:val="none"/>
          <w:lang w:val="en-US" w:eastAsia="zh-CN"/>
        </w:rPr>
        <w:t>16</w:t>
      </w:r>
      <w:r>
        <w:rPr>
          <w:rFonts w:hint="default" w:ascii="Times New Roman" w:hAnsi="Times New Roman" w:cs="Times New Roman"/>
          <w:color w:val="auto"/>
          <w:sz w:val="24"/>
          <w:highlight w:val="none"/>
        </w:rPr>
        <w:t>个</w:t>
      </w:r>
      <w:r>
        <w:rPr>
          <w:rFonts w:hint="default" w:ascii="Times New Roman" w:hAnsi="Times New Roman" w:cs="Times New Roman"/>
          <w:color w:val="auto"/>
          <w:sz w:val="24"/>
          <w:highlight w:val="none"/>
          <w:lang w:eastAsia="zh-CN"/>
        </w:rPr>
        <w:t>土壤样品</w:t>
      </w:r>
      <w:r>
        <w:rPr>
          <w:rFonts w:hint="eastAsia" w:cs="Times New Roman"/>
          <w:color w:val="auto"/>
          <w:sz w:val="24"/>
          <w:highlight w:val="none"/>
          <w:lang w:eastAsia="zh-CN"/>
        </w:rPr>
        <w:t>（</w:t>
      </w:r>
      <w:r>
        <w:rPr>
          <w:rFonts w:hint="eastAsia" w:cs="Times New Roman"/>
          <w:color w:val="auto"/>
          <w:sz w:val="24"/>
          <w:highlight w:val="none"/>
          <w:lang w:val="en-US" w:eastAsia="zh-CN"/>
        </w:rPr>
        <w:t>不含质控样品</w:t>
      </w:r>
      <w:r>
        <w:rPr>
          <w:rFonts w:hint="eastAsia" w:cs="Times New Roman"/>
          <w:color w:val="auto"/>
          <w:sz w:val="24"/>
          <w:highlight w:val="none"/>
          <w:lang w:eastAsia="zh-CN"/>
        </w:rPr>
        <w:t>）</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pH值区间为5.38~8.55，平均值为7.42。具体监测值见表5-3-1。</w:t>
      </w:r>
    </w:p>
    <w:p>
      <w:pPr>
        <w:keepNext w:val="0"/>
        <w:keepLines w:val="0"/>
        <w:pageBreakBefore w:val="0"/>
        <w:widowControl w:val="0"/>
        <w:kinsoku/>
        <w:wordWrap/>
        <w:overflowPunct/>
        <w:topLinePunct w:val="0"/>
        <w:autoSpaceDE/>
        <w:autoSpaceDN/>
        <w:bidi w:val="0"/>
        <w:adjustRightInd/>
        <w:snapToGrid/>
        <w:spacing w:before="166" w:beforeLines="50" w:line="240" w:lineRule="auto"/>
        <w:jc w:val="center"/>
        <w:textAlignment w:val="auto"/>
        <w:rPr>
          <w:rFonts w:hint="default" w:ascii="Times New Roman" w:hAnsi="Times New Roman" w:eastAsia="黑体" w:cs="Times New Roman"/>
          <w:b/>
          <w:bCs/>
          <w:color w:val="auto"/>
          <w:sz w:val="24"/>
          <w:highlight w:val="none"/>
        </w:rPr>
      </w:pPr>
      <w:r>
        <w:rPr>
          <w:rFonts w:hint="default" w:ascii="Times New Roman" w:hAnsi="Times New Roman" w:eastAsia="黑体" w:cs="Times New Roman"/>
          <w:b/>
          <w:bCs/>
          <w:color w:val="auto"/>
          <w:sz w:val="24"/>
          <w:highlight w:val="none"/>
        </w:rPr>
        <w:t>表5-</w:t>
      </w:r>
      <w:r>
        <w:rPr>
          <w:rFonts w:hint="default" w:ascii="Times New Roman" w:hAnsi="Times New Roman" w:eastAsia="黑体" w:cs="Times New Roman"/>
          <w:b/>
          <w:bCs/>
          <w:color w:val="auto"/>
          <w:sz w:val="24"/>
          <w:highlight w:val="none"/>
          <w:lang w:val="en-US" w:eastAsia="zh-CN"/>
        </w:rPr>
        <w:t>3</w:t>
      </w:r>
      <w:r>
        <w:rPr>
          <w:rFonts w:hint="default" w:ascii="Times New Roman" w:hAnsi="Times New Roman" w:eastAsia="黑体" w:cs="Times New Roman"/>
          <w:b/>
          <w:bCs/>
          <w:color w:val="auto"/>
          <w:sz w:val="24"/>
          <w:highlight w:val="none"/>
        </w:rPr>
        <w:t>-1 土壤样品</w:t>
      </w:r>
      <w:r>
        <w:rPr>
          <w:rFonts w:hint="default" w:ascii="Times New Roman" w:hAnsi="Times New Roman" w:eastAsia="黑体" w:cs="Times New Roman"/>
          <w:b/>
          <w:bCs/>
          <w:color w:val="auto"/>
          <w:sz w:val="24"/>
          <w:highlight w:val="none"/>
          <w:lang w:val="en-US" w:eastAsia="zh-CN"/>
        </w:rPr>
        <w:t>pH</w:t>
      </w:r>
      <w:r>
        <w:rPr>
          <w:rFonts w:hint="default" w:ascii="Times New Roman" w:hAnsi="Times New Roman" w:eastAsia="黑体" w:cs="Times New Roman"/>
          <w:b/>
          <w:bCs/>
          <w:color w:val="auto"/>
          <w:sz w:val="24"/>
          <w:highlight w:val="none"/>
        </w:rPr>
        <w:t>值</w:t>
      </w:r>
      <w:r>
        <w:rPr>
          <w:rFonts w:hint="default" w:ascii="Times New Roman" w:hAnsi="Times New Roman" w:eastAsia="黑体" w:cs="Times New Roman"/>
          <w:b/>
          <w:bCs/>
          <w:color w:val="auto"/>
          <w:sz w:val="24"/>
          <w:highlight w:val="none"/>
          <w:lang w:eastAsia="zh-CN"/>
        </w:rPr>
        <w:t>监测值</w:t>
      </w:r>
    </w:p>
    <w:tbl>
      <w:tblPr>
        <w:tblStyle w:val="21"/>
        <w:tblW w:w="4992"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888"/>
        <w:gridCol w:w="2574"/>
        <w:gridCol w:w="5271"/>
        <w:gridCol w:w="91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 w:hRule="atLeast"/>
          <w:tblHeader/>
          <w:jc w:val="center"/>
        </w:trPr>
        <w:tc>
          <w:tcPr>
            <w:tcW w:w="460" w:type="pct"/>
            <w:tcBorders>
              <w:bottom w:val="single" w:color="000000"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序号</w:t>
            </w:r>
          </w:p>
        </w:tc>
        <w:tc>
          <w:tcPr>
            <w:tcW w:w="1333" w:type="pct"/>
            <w:tcBorders>
              <w:bottom w:val="single" w:color="000000"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样品编号</w:t>
            </w:r>
          </w:p>
        </w:tc>
        <w:tc>
          <w:tcPr>
            <w:tcW w:w="2730" w:type="pct"/>
            <w:tcBorders>
              <w:bottom w:val="single" w:color="000000"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kern w:val="0"/>
                <w:sz w:val="21"/>
                <w:szCs w:val="21"/>
                <w:highlight w:val="none"/>
                <w:u w:val="none"/>
                <w:lang w:val="en-US" w:eastAsia="zh-CN" w:bidi="ar"/>
              </w:rPr>
            </w:pPr>
            <w:r>
              <w:rPr>
                <w:rFonts w:hint="default" w:ascii="Times New Roman" w:hAnsi="Times New Roman" w:cs="Times New Roman"/>
                <w:b/>
                <w:i w:val="0"/>
                <w:color w:val="auto"/>
                <w:kern w:val="0"/>
                <w:sz w:val="21"/>
                <w:szCs w:val="21"/>
                <w:highlight w:val="none"/>
                <w:u w:val="none"/>
                <w:lang w:val="en-US" w:eastAsia="zh-CN" w:bidi="ar"/>
              </w:rPr>
              <w:t>点位位置</w:t>
            </w:r>
          </w:p>
        </w:tc>
        <w:tc>
          <w:tcPr>
            <w:tcW w:w="476" w:type="pct"/>
            <w:tcBorders>
              <w:bottom w:val="single" w:color="000000"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pH值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blHeader/>
          <w:jc w:val="center"/>
        </w:trPr>
        <w:tc>
          <w:tcPr>
            <w:tcW w:w="460" w:type="pct"/>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1333" w:type="pct"/>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SJG-1-75</w:t>
            </w:r>
          </w:p>
        </w:tc>
        <w:tc>
          <w:tcPr>
            <w:tcW w:w="2730" w:type="pct"/>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园区边界西侧下风向75m</w:t>
            </w:r>
          </w:p>
        </w:tc>
        <w:tc>
          <w:tcPr>
            <w:tcW w:w="476" w:type="pct"/>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8.4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blHeader/>
          <w:jc w:val="center"/>
        </w:trPr>
        <w:tc>
          <w:tcPr>
            <w:tcW w:w="46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w:t>
            </w:r>
          </w:p>
        </w:tc>
        <w:tc>
          <w:tcPr>
            <w:tcW w:w="133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SJG-1-200</w:t>
            </w:r>
          </w:p>
        </w:tc>
        <w:tc>
          <w:tcPr>
            <w:tcW w:w="27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园区边界西侧下风向200m</w:t>
            </w:r>
          </w:p>
        </w:tc>
        <w:tc>
          <w:tcPr>
            <w:tcW w:w="47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7.19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blHeader/>
          <w:jc w:val="center"/>
        </w:trPr>
        <w:tc>
          <w:tcPr>
            <w:tcW w:w="46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w:t>
            </w:r>
          </w:p>
        </w:tc>
        <w:tc>
          <w:tcPr>
            <w:tcW w:w="133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SJG-2-75</w:t>
            </w:r>
          </w:p>
        </w:tc>
        <w:tc>
          <w:tcPr>
            <w:tcW w:w="27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园区边界南侧下风向75m</w:t>
            </w:r>
          </w:p>
        </w:tc>
        <w:tc>
          <w:tcPr>
            <w:tcW w:w="47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7.34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blHeader/>
          <w:jc w:val="center"/>
        </w:trPr>
        <w:tc>
          <w:tcPr>
            <w:tcW w:w="46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w:t>
            </w:r>
          </w:p>
        </w:tc>
        <w:tc>
          <w:tcPr>
            <w:tcW w:w="133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SJG-2-200</w:t>
            </w:r>
          </w:p>
        </w:tc>
        <w:tc>
          <w:tcPr>
            <w:tcW w:w="27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园区边界南侧下风向200m</w:t>
            </w:r>
          </w:p>
        </w:tc>
        <w:tc>
          <w:tcPr>
            <w:tcW w:w="47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7.54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blHeader/>
          <w:jc w:val="center"/>
        </w:trPr>
        <w:tc>
          <w:tcPr>
            <w:tcW w:w="46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w:t>
            </w:r>
          </w:p>
        </w:tc>
        <w:tc>
          <w:tcPr>
            <w:tcW w:w="133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SJG-2-400</w:t>
            </w:r>
          </w:p>
        </w:tc>
        <w:tc>
          <w:tcPr>
            <w:tcW w:w="27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园区边界南侧下风向400m</w:t>
            </w:r>
          </w:p>
        </w:tc>
        <w:tc>
          <w:tcPr>
            <w:tcW w:w="47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6.22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blHeader/>
          <w:jc w:val="center"/>
        </w:trPr>
        <w:tc>
          <w:tcPr>
            <w:tcW w:w="46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w:t>
            </w:r>
          </w:p>
        </w:tc>
        <w:tc>
          <w:tcPr>
            <w:tcW w:w="133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SJG-3</w:t>
            </w:r>
          </w:p>
        </w:tc>
        <w:tc>
          <w:tcPr>
            <w:tcW w:w="27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园区边界东侧上风向</w:t>
            </w:r>
            <w:r>
              <w:rPr>
                <w:rStyle w:val="69"/>
                <w:rFonts w:hint="default" w:ascii="Times New Roman" w:hAnsi="Times New Roman" w:cs="Times New Roman"/>
                <w:color w:val="auto"/>
                <w:sz w:val="21"/>
                <w:szCs w:val="21"/>
                <w:highlight w:val="none"/>
                <w:lang w:val="en-US" w:eastAsia="zh-CN" w:bidi="ar"/>
              </w:rPr>
              <w:t>800</w:t>
            </w:r>
            <w:r>
              <w:rPr>
                <w:rFonts w:hint="default" w:ascii="Times New Roman" w:hAnsi="Times New Roman" w:eastAsia="宋体" w:cs="Times New Roman"/>
                <w:i w:val="0"/>
                <w:color w:val="auto"/>
                <w:kern w:val="0"/>
                <w:sz w:val="21"/>
                <w:szCs w:val="21"/>
                <w:highlight w:val="none"/>
                <w:u w:val="none"/>
                <w:lang w:val="en-US" w:eastAsia="zh-CN" w:bidi="ar"/>
              </w:rPr>
              <w:t>m</w:t>
            </w:r>
          </w:p>
        </w:tc>
        <w:tc>
          <w:tcPr>
            <w:tcW w:w="47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8.44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blHeader/>
          <w:jc w:val="center"/>
        </w:trPr>
        <w:tc>
          <w:tcPr>
            <w:tcW w:w="46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w:t>
            </w:r>
          </w:p>
        </w:tc>
        <w:tc>
          <w:tcPr>
            <w:tcW w:w="133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SJG-4</w:t>
            </w:r>
          </w:p>
        </w:tc>
        <w:tc>
          <w:tcPr>
            <w:tcW w:w="27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园区边界北侧上风向</w:t>
            </w:r>
            <w:r>
              <w:rPr>
                <w:rStyle w:val="69"/>
                <w:rFonts w:hint="default" w:ascii="Times New Roman" w:hAnsi="Times New Roman" w:cs="Times New Roman"/>
                <w:color w:val="auto"/>
                <w:sz w:val="21"/>
                <w:szCs w:val="21"/>
                <w:highlight w:val="none"/>
                <w:lang w:val="en-US" w:eastAsia="zh-CN" w:bidi="ar"/>
              </w:rPr>
              <w:t>750</w:t>
            </w:r>
            <w:r>
              <w:rPr>
                <w:rFonts w:hint="default" w:ascii="Times New Roman" w:hAnsi="Times New Roman" w:eastAsia="宋体" w:cs="Times New Roman"/>
                <w:i w:val="0"/>
                <w:color w:val="auto"/>
                <w:kern w:val="0"/>
                <w:sz w:val="21"/>
                <w:szCs w:val="21"/>
                <w:highlight w:val="none"/>
                <w:u w:val="none"/>
                <w:lang w:val="en-US" w:eastAsia="zh-CN" w:bidi="ar"/>
              </w:rPr>
              <w:t>m</w:t>
            </w:r>
          </w:p>
        </w:tc>
        <w:tc>
          <w:tcPr>
            <w:tcW w:w="47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8.48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blHeader/>
          <w:jc w:val="center"/>
        </w:trPr>
        <w:tc>
          <w:tcPr>
            <w:tcW w:w="46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8</w:t>
            </w:r>
          </w:p>
        </w:tc>
        <w:tc>
          <w:tcPr>
            <w:tcW w:w="133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SJG-JJ-1</w:t>
            </w:r>
          </w:p>
        </w:tc>
        <w:tc>
          <w:tcPr>
            <w:tcW w:w="27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企业聚集区北侧</w:t>
            </w:r>
          </w:p>
        </w:tc>
        <w:tc>
          <w:tcPr>
            <w:tcW w:w="47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5.93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blHeader/>
          <w:jc w:val="center"/>
        </w:trPr>
        <w:tc>
          <w:tcPr>
            <w:tcW w:w="46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w:t>
            </w:r>
          </w:p>
        </w:tc>
        <w:tc>
          <w:tcPr>
            <w:tcW w:w="133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SJG-JJ-2</w:t>
            </w:r>
          </w:p>
        </w:tc>
        <w:tc>
          <w:tcPr>
            <w:tcW w:w="27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企业聚集区北侧</w:t>
            </w:r>
          </w:p>
        </w:tc>
        <w:tc>
          <w:tcPr>
            <w:tcW w:w="47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6.38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blHeader/>
          <w:jc w:val="center"/>
        </w:trPr>
        <w:tc>
          <w:tcPr>
            <w:tcW w:w="46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133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SJG-JJ-3</w:t>
            </w:r>
          </w:p>
        </w:tc>
        <w:tc>
          <w:tcPr>
            <w:tcW w:w="27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企业聚集区南侧</w:t>
            </w:r>
          </w:p>
        </w:tc>
        <w:tc>
          <w:tcPr>
            <w:tcW w:w="47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5.38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blHeader/>
          <w:jc w:val="center"/>
        </w:trPr>
        <w:tc>
          <w:tcPr>
            <w:tcW w:w="46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w:t>
            </w:r>
          </w:p>
        </w:tc>
        <w:tc>
          <w:tcPr>
            <w:tcW w:w="133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SJG-JJ-4</w:t>
            </w:r>
          </w:p>
        </w:tc>
        <w:tc>
          <w:tcPr>
            <w:tcW w:w="27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企业聚集区西侧</w:t>
            </w:r>
          </w:p>
        </w:tc>
        <w:tc>
          <w:tcPr>
            <w:tcW w:w="47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5.92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blHeader/>
          <w:jc w:val="center"/>
        </w:trPr>
        <w:tc>
          <w:tcPr>
            <w:tcW w:w="46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w:t>
            </w:r>
          </w:p>
        </w:tc>
        <w:tc>
          <w:tcPr>
            <w:tcW w:w="133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SJG-JJ-5</w:t>
            </w:r>
          </w:p>
        </w:tc>
        <w:tc>
          <w:tcPr>
            <w:tcW w:w="27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企业聚集区西侧</w:t>
            </w:r>
          </w:p>
        </w:tc>
        <w:tc>
          <w:tcPr>
            <w:tcW w:w="47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8.05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blHeader/>
          <w:jc w:val="center"/>
        </w:trPr>
        <w:tc>
          <w:tcPr>
            <w:tcW w:w="46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13</w:t>
            </w:r>
          </w:p>
        </w:tc>
        <w:tc>
          <w:tcPr>
            <w:tcW w:w="133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SJG-JJ-6</w:t>
            </w:r>
          </w:p>
        </w:tc>
        <w:tc>
          <w:tcPr>
            <w:tcW w:w="27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企业聚集区南侧</w:t>
            </w:r>
          </w:p>
        </w:tc>
        <w:tc>
          <w:tcPr>
            <w:tcW w:w="47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8.15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blHeader/>
          <w:jc w:val="center"/>
        </w:trPr>
        <w:tc>
          <w:tcPr>
            <w:tcW w:w="46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14</w:t>
            </w:r>
          </w:p>
        </w:tc>
        <w:tc>
          <w:tcPr>
            <w:tcW w:w="133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SJG-JJ-7</w:t>
            </w:r>
          </w:p>
        </w:tc>
        <w:tc>
          <w:tcPr>
            <w:tcW w:w="27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企业聚集区北侧</w:t>
            </w:r>
          </w:p>
        </w:tc>
        <w:tc>
          <w:tcPr>
            <w:tcW w:w="47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8.55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blHeader/>
          <w:jc w:val="center"/>
        </w:trPr>
        <w:tc>
          <w:tcPr>
            <w:tcW w:w="46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w:t>
            </w:r>
          </w:p>
        </w:tc>
        <w:tc>
          <w:tcPr>
            <w:tcW w:w="133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SJG-JJ-8</w:t>
            </w:r>
          </w:p>
        </w:tc>
        <w:tc>
          <w:tcPr>
            <w:tcW w:w="27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企业聚集区北侧</w:t>
            </w:r>
          </w:p>
        </w:tc>
        <w:tc>
          <w:tcPr>
            <w:tcW w:w="47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8.42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blHeader/>
          <w:jc w:val="center"/>
        </w:trPr>
        <w:tc>
          <w:tcPr>
            <w:tcW w:w="46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16</w:t>
            </w:r>
          </w:p>
        </w:tc>
        <w:tc>
          <w:tcPr>
            <w:tcW w:w="133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SJG-JJ-9</w:t>
            </w:r>
          </w:p>
        </w:tc>
        <w:tc>
          <w:tcPr>
            <w:tcW w:w="273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企业聚集区南侧</w:t>
            </w:r>
          </w:p>
        </w:tc>
        <w:tc>
          <w:tcPr>
            <w:tcW w:w="47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8.31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blHeader/>
          <w:jc w:val="center"/>
        </w:trPr>
        <w:tc>
          <w:tcPr>
            <w:tcW w:w="4523" w:type="pct"/>
            <w:gridSpan w:val="3"/>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最大值</w:t>
            </w:r>
          </w:p>
        </w:tc>
        <w:tc>
          <w:tcPr>
            <w:tcW w:w="47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8.55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blHeader/>
          <w:jc w:val="center"/>
        </w:trPr>
        <w:tc>
          <w:tcPr>
            <w:tcW w:w="4523" w:type="pct"/>
            <w:gridSpan w:val="3"/>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最小值</w:t>
            </w:r>
          </w:p>
        </w:tc>
        <w:tc>
          <w:tcPr>
            <w:tcW w:w="47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5.38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blHeader/>
          <w:jc w:val="center"/>
        </w:trPr>
        <w:tc>
          <w:tcPr>
            <w:tcW w:w="4523" w:type="pct"/>
            <w:gridSpan w:val="3"/>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平均值</w:t>
            </w:r>
          </w:p>
        </w:tc>
        <w:tc>
          <w:tcPr>
            <w:tcW w:w="47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7.4</w:t>
            </w:r>
            <w:r>
              <w:rPr>
                <w:rFonts w:hint="default" w:ascii="Times New Roman" w:hAnsi="Times New Roman" w:cs="Times New Roman"/>
                <w:i w:val="0"/>
                <w:color w:val="auto"/>
                <w:kern w:val="0"/>
                <w:sz w:val="21"/>
                <w:szCs w:val="21"/>
                <w:highlight w:val="none"/>
                <w:u w:val="none"/>
                <w:lang w:val="en-US" w:eastAsia="zh-CN" w:bidi="ar"/>
              </w:rPr>
              <w:t>2</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highlight w:val="none"/>
          <w:lang w:val="en-US" w:eastAsia="zh-CN"/>
        </w:rPr>
      </w:pPr>
      <w:bookmarkStart w:id="68" w:name="_Toc28171_WPSOffice_Level2"/>
      <w:bookmarkEnd w:id="68"/>
      <w:r>
        <w:rPr>
          <w:rFonts w:hint="default" w:ascii="Times New Roman" w:hAnsi="Times New Roman" w:cs="Times New Roman"/>
          <w:color w:val="auto"/>
          <w:highlight w:val="none"/>
          <w:lang w:eastAsia="zh-CN"/>
        </w:rPr>
        <w:t>各点位</w:t>
      </w:r>
      <w:r>
        <w:rPr>
          <w:rFonts w:hint="default" w:ascii="Times New Roman" w:hAnsi="Times New Roman" w:cs="Times New Roman"/>
          <w:color w:val="auto"/>
          <w:highlight w:val="none"/>
          <w:lang w:val="en-US" w:eastAsia="zh-CN"/>
        </w:rPr>
        <w:t>pH值</w:t>
      </w:r>
      <w:r>
        <w:rPr>
          <w:rFonts w:hint="default" w:ascii="Times New Roman" w:hAnsi="Times New Roman" w:cs="Times New Roman"/>
          <w:color w:val="auto"/>
          <w:highlight w:val="none"/>
          <w:lang w:eastAsia="zh-CN"/>
        </w:rPr>
        <w:t>散点分布图如下：</w:t>
      </w:r>
    </w:p>
    <w:tbl>
      <w:tblPr>
        <w:tblStyle w:val="22"/>
        <w:tblW w:w="882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8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26"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drawing>
                <wp:inline distT="0" distB="0" distL="114300" distR="114300">
                  <wp:extent cx="5400040" cy="3599815"/>
                  <wp:effectExtent l="9525" t="9525" r="19685" b="48260"/>
                  <wp:docPr id="14"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lang w:eastAsia="zh-CN"/>
              </w:rPr>
              <w:t>图</w:t>
            </w:r>
            <w:r>
              <w:rPr>
                <w:rFonts w:hint="default" w:ascii="Times New Roman" w:hAnsi="Times New Roman" w:eastAsia="宋体" w:cs="Times New Roman"/>
                <w:b/>
                <w:bCs/>
                <w:color w:val="auto"/>
                <w:highlight w:val="none"/>
                <w:lang w:val="en-US" w:eastAsia="zh-CN"/>
              </w:rPr>
              <w:t>5-3-1 pH指标</w:t>
            </w:r>
            <w:r>
              <w:rPr>
                <w:rFonts w:hint="default" w:ascii="Times New Roman" w:hAnsi="Times New Roman" w:cs="Times New Roman"/>
                <w:b/>
                <w:bCs/>
                <w:color w:val="auto"/>
                <w:highlight w:val="none"/>
                <w:lang w:val="en-US" w:eastAsia="zh-CN"/>
              </w:rPr>
              <w:t>监测值</w:t>
            </w:r>
            <w:r>
              <w:rPr>
                <w:rFonts w:hint="default" w:ascii="Times New Roman" w:hAnsi="Times New Roman" w:eastAsia="宋体" w:cs="Times New Roman"/>
                <w:b/>
                <w:bCs/>
                <w:color w:val="auto"/>
                <w:highlight w:val="none"/>
                <w:lang w:val="en-US" w:eastAsia="zh-CN"/>
              </w:rPr>
              <w:t>分布图</w:t>
            </w:r>
          </w:p>
        </w:tc>
      </w:tr>
    </w:tbl>
    <w:p>
      <w:pPr>
        <w:numPr>
          <w:ilvl w:val="0"/>
          <w:numId w:val="11"/>
        </w:numPr>
        <w:bidi w:val="0"/>
        <w:ind w:left="0" w:leftChars="0" w:firstLine="420" w:firstLineChars="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总氟化物</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0" w:firstLineChars="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highlight w:val="none"/>
          <w:lang w:val="en-US" w:eastAsia="zh-CN"/>
        </w:rPr>
        <w:t>园区内</w:t>
      </w:r>
      <w:r>
        <w:rPr>
          <w:rFonts w:hint="eastAsia" w:cs="Times New Roman"/>
          <w:color w:val="auto"/>
          <w:sz w:val="24"/>
          <w:highlight w:val="none"/>
          <w:lang w:val="en-US" w:eastAsia="zh-CN"/>
        </w:rPr>
        <w:t>16个土壤样品（不含质控样品）</w:t>
      </w:r>
      <w:r>
        <w:rPr>
          <w:rFonts w:hint="default" w:ascii="Times New Roman" w:hAnsi="Times New Roman" w:cs="Times New Roman"/>
          <w:color w:val="auto"/>
          <w:sz w:val="24"/>
          <w:highlight w:val="none"/>
          <w:lang w:eastAsia="zh-CN"/>
        </w:rPr>
        <w:t>总氟化物均有检出，检出率</w:t>
      </w:r>
      <w:r>
        <w:rPr>
          <w:rFonts w:hint="default" w:ascii="Times New Roman" w:hAnsi="Times New Roman" w:cs="Times New Roman"/>
          <w:color w:val="auto"/>
          <w:sz w:val="24"/>
          <w:highlight w:val="none"/>
          <w:lang w:val="en-US" w:eastAsia="zh-CN"/>
        </w:rPr>
        <w:t>100%</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检测结果显示，</w:t>
      </w:r>
      <w:r>
        <w:rPr>
          <w:rFonts w:hint="default" w:ascii="Times New Roman" w:hAnsi="Times New Roman" w:cs="Times New Roman"/>
          <w:color w:val="auto"/>
          <w:sz w:val="24"/>
          <w:highlight w:val="none"/>
          <w:lang w:val="en-US" w:eastAsia="zh-CN"/>
        </w:rPr>
        <w:t>最大值为779mg/kg，最小值为448mg/kg，见</w:t>
      </w:r>
      <w:r>
        <w:rPr>
          <w:rFonts w:hint="default" w:ascii="Times New Roman" w:hAnsi="Times New Roman" w:cs="Times New Roman"/>
          <w:color w:val="auto"/>
          <w:sz w:val="24"/>
          <w:szCs w:val="24"/>
          <w:highlight w:val="none"/>
        </w:rPr>
        <w:t>表</w:t>
      </w:r>
      <w:r>
        <w:rPr>
          <w:rFonts w:hint="default" w:ascii="Times New Roman" w:hAnsi="Times New Roman" w:cs="Times New Roman"/>
          <w:color w:val="auto"/>
          <w:sz w:val="24"/>
          <w:szCs w:val="24"/>
          <w:highlight w:val="none"/>
          <w:lang w:val="en-US" w:eastAsia="zh-CN"/>
        </w:rPr>
        <w:t>5-3-2</w:t>
      </w:r>
      <w:r>
        <w:rPr>
          <w:rFonts w:hint="default" w:ascii="Times New Roman" w:hAnsi="Times New Roman" w:cs="Times New Roman"/>
          <w:color w:val="auto"/>
          <w:sz w:val="24"/>
          <w:szCs w:val="24"/>
          <w:highlight w:val="none"/>
          <w:lang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24"/>
          <w:szCs w:val="24"/>
          <w:highlight w:val="none"/>
        </w:rPr>
        <w:t>本次调查所有送检土壤样品</w:t>
      </w:r>
      <w:r>
        <w:rPr>
          <w:rFonts w:hint="default" w:ascii="Times New Roman" w:hAnsi="Times New Roman" w:cs="Times New Roman"/>
          <w:color w:val="auto"/>
          <w:sz w:val="24"/>
          <w:szCs w:val="24"/>
          <w:highlight w:val="none"/>
          <w:lang w:val="en-US" w:eastAsia="zh-CN"/>
        </w:rPr>
        <w:t>总氟化物</w:t>
      </w:r>
      <w:r>
        <w:rPr>
          <w:rFonts w:hint="default" w:ascii="Times New Roman" w:hAnsi="Times New Roman" w:cs="Times New Roman"/>
          <w:color w:val="auto"/>
          <w:sz w:val="24"/>
          <w:szCs w:val="24"/>
          <w:highlight w:val="none"/>
        </w:rPr>
        <w:t>检测值均低于</w:t>
      </w:r>
      <w:r>
        <w:rPr>
          <w:rFonts w:hint="default" w:ascii="Times New Roman" w:hAnsi="Times New Roman" w:cs="Times New Roman"/>
          <w:color w:val="auto"/>
          <w:sz w:val="24"/>
          <w:szCs w:val="24"/>
          <w:highlight w:val="none"/>
          <w:lang w:eastAsia="zh-CN"/>
        </w:rPr>
        <w:t>对应的</w:t>
      </w:r>
      <w:r>
        <w:rPr>
          <w:rFonts w:hint="default" w:ascii="Times New Roman" w:hAnsi="Times New Roman" w:cs="Times New Roman"/>
          <w:color w:val="auto"/>
          <w:sz w:val="24"/>
          <w:szCs w:val="24"/>
          <w:highlight w:val="none"/>
          <w:lang w:val="en-US" w:eastAsia="zh-CN"/>
        </w:rPr>
        <w:t>参考标准值，各点位总氟化物监测结果达标</w:t>
      </w:r>
      <w:r>
        <w:rPr>
          <w:rFonts w:hint="default" w:ascii="Times New Roman" w:hAnsi="Times New Roman" w:cs="Times New Roman"/>
          <w:color w:val="auto"/>
          <w:sz w:val="24"/>
          <w:highlight w:val="none"/>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黑体" w:cs="Times New Roman"/>
          <w:color w:val="auto"/>
          <w:highlight w:val="none"/>
          <w:lang w:val="en-US" w:eastAsia="zh-CN"/>
        </w:rPr>
      </w:pPr>
      <w:r>
        <w:rPr>
          <w:rFonts w:hint="default" w:ascii="Times New Roman" w:hAnsi="Times New Roman" w:eastAsia="黑体" w:cs="Times New Roman"/>
          <w:b/>
          <w:bCs/>
          <w:color w:val="auto"/>
          <w:sz w:val="24"/>
          <w:highlight w:val="none"/>
        </w:rPr>
        <w:t>表5-</w:t>
      </w:r>
      <w:r>
        <w:rPr>
          <w:rFonts w:hint="default" w:ascii="Times New Roman" w:hAnsi="Times New Roman" w:eastAsia="黑体" w:cs="Times New Roman"/>
          <w:b/>
          <w:bCs/>
          <w:color w:val="auto"/>
          <w:sz w:val="24"/>
          <w:highlight w:val="none"/>
          <w:lang w:val="en-US" w:eastAsia="zh-CN"/>
        </w:rPr>
        <w:t>3</w:t>
      </w:r>
      <w:r>
        <w:rPr>
          <w:rFonts w:hint="default" w:ascii="Times New Roman" w:hAnsi="Times New Roman" w:eastAsia="黑体" w:cs="Times New Roman"/>
          <w:b/>
          <w:bCs/>
          <w:color w:val="auto"/>
          <w:sz w:val="24"/>
          <w:highlight w:val="none"/>
        </w:rPr>
        <w:t>-</w:t>
      </w:r>
      <w:r>
        <w:rPr>
          <w:rFonts w:hint="default" w:ascii="Times New Roman" w:hAnsi="Times New Roman" w:eastAsia="黑体" w:cs="Times New Roman"/>
          <w:b/>
          <w:bCs/>
          <w:color w:val="auto"/>
          <w:sz w:val="24"/>
          <w:highlight w:val="none"/>
          <w:lang w:val="en-US" w:eastAsia="zh-CN"/>
        </w:rPr>
        <w:t>2</w:t>
      </w:r>
      <w:r>
        <w:rPr>
          <w:rFonts w:hint="default" w:ascii="Times New Roman" w:hAnsi="Times New Roman" w:eastAsia="黑体" w:cs="Times New Roman"/>
          <w:b/>
          <w:bCs/>
          <w:color w:val="auto"/>
          <w:sz w:val="24"/>
          <w:highlight w:val="none"/>
        </w:rPr>
        <w:t xml:space="preserve"> 土壤样</w:t>
      </w:r>
      <w:r>
        <w:rPr>
          <w:rFonts w:hint="default" w:ascii="Times New Roman" w:hAnsi="Times New Roman" w:eastAsia="黑体" w:cs="Times New Roman"/>
          <w:b/>
          <w:bCs/>
          <w:color w:val="auto"/>
          <w:sz w:val="24"/>
          <w:highlight w:val="none"/>
          <w:lang w:eastAsia="zh-CN"/>
        </w:rPr>
        <w:t>品总氟化物监测值</w:t>
      </w:r>
      <w:r>
        <w:rPr>
          <w:rFonts w:hint="default" w:ascii="Times New Roman" w:hAnsi="Times New Roman" w:eastAsia="黑体" w:cs="Times New Roman"/>
          <w:b/>
          <w:bCs/>
          <w:color w:val="auto"/>
          <w:sz w:val="24"/>
          <w:highlight w:val="none"/>
        </w:rPr>
        <w:t>（单位：mg/kg）</w:t>
      </w:r>
    </w:p>
    <w:tbl>
      <w:tblPr>
        <w:tblStyle w:val="21"/>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908"/>
        <w:gridCol w:w="2581"/>
        <w:gridCol w:w="2664"/>
        <w:gridCol w:w="2594"/>
        <w:gridCol w:w="91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tblHeader/>
          <w:jc w:val="center"/>
        </w:trPr>
        <w:tc>
          <w:tcPr>
            <w:tcW w:w="470" w:type="pct"/>
            <w:tcBorders>
              <w:bottom w:val="single" w:color="000000"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序号</w:t>
            </w:r>
          </w:p>
        </w:tc>
        <w:tc>
          <w:tcPr>
            <w:tcW w:w="1335" w:type="pct"/>
            <w:tcBorders>
              <w:bottom w:val="single" w:color="000000"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样品编号</w:t>
            </w:r>
          </w:p>
        </w:tc>
        <w:tc>
          <w:tcPr>
            <w:tcW w:w="1378" w:type="pct"/>
            <w:tcBorders>
              <w:bottom w:val="single" w:color="000000"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i w:val="0"/>
                <w:color w:val="auto"/>
                <w:kern w:val="0"/>
                <w:sz w:val="21"/>
                <w:szCs w:val="21"/>
                <w:highlight w:val="none"/>
                <w:u w:val="none"/>
                <w:lang w:val="en-US" w:eastAsia="zh-CN" w:bidi="ar"/>
              </w:rPr>
            </w:pPr>
            <w:r>
              <w:rPr>
                <w:rFonts w:hint="default" w:ascii="Times New Roman" w:hAnsi="Times New Roman" w:cs="Times New Roman"/>
                <w:b/>
                <w:i w:val="0"/>
                <w:color w:val="auto"/>
                <w:kern w:val="0"/>
                <w:sz w:val="21"/>
                <w:szCs w:val="21"/>
                <w:highlight w:val="none"/>
                <w:u w:val="none"/>
                <w:lang w:val="en-US" w:eastAsia="zh-CN" w:bidi="ar"/>
              </w:rPr>
              <w:t>点位位置</w:t>
            </w:r>
          </w:p>
        </w:tc>
        <w:tc>
          <w:tcPr>
            <w:tcW w:w="1341" w:type="pct"/>
            <w:tcBorders>
              <w:bottom w:val="single" w:color="000000"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i w:val="0"/>
                <w:color w:val="auto"/>
                <w:kern w:val="0"/>
                <w:sz w:val="21"/>
                <w:szCs w:val="21"/>
                <w:highlight w:val="none"/>
                <w:u w:val="none"/>
                <w:lang w:val="en-US" w:eastAsia="zh-CN" w:bidi="ar"/>
              </w:rPr>
            </w:pPr>
            <w:r>
              <w:rPr>
                <w:rFonts w:hint="default" w:ascii="Times New Roman" w:hAnsi="Times New Roman" w:cs="Times New Roman"/>
                <w:b/>
                <w:i w:val="0"/>
                <w:color w:val="auto"/>
                <w:kern w:val="0"/>
                <w:sz w:val="21"/>
                <w:szCs w:val="21"/>
                <w:highlight w:val="none"/>
                <w:u w:val="none"/>
                <w:lang w:val="en-US" w:eastAsia="zh-CN" w:bidi="ar"/>
              </w:rPr>
              <w:t>参考标准</w:t>
            </w:r>
            <w:r>
              <w:rPr>
                <w:rFonts w:hint="default" w:ascii="Times New Roman" w:hAnsi="Times New Roman" w:cs="Times New Roman"/>
                <w:b/>
                <w:i w:val="0"/>
                <w:color w:val="auto"/>
                <w:kern w:val="0"/>
                <w:sz w:val="21"/>
                <w:szCs w:val="21"/>
                <w:highlight w:val="none"/>
                <w:u w:val="none"/>
                <w:vertAlign w:val="superscript"/>
                <w:lang w:val="en-US" w:eastAsia="zh-CN" w:bidi="ar"/>
              </w:rPr>
              <w:t>①</w:t>
            </w:r>
          </w:p>
        </w:tc>
        <w:tc>
          <w:tcPr>
            <w:tcW w:w="474" w:type="pct"/>
            <w:tcBorders>
              <w:bottom w:val="single" w:color="000000"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lang w:val="en-US"/>
              </w:rPr>
            </w:pPr>
            <w:r>
              <w:rPr>
                <w:rFonts w:hint="default" w:ascii="Times New Roman" w:hAnsi="Times New Roman" w:cs="Times New Roman"/>
                <w:b/>
                <w:i w:val="0"/>
                <w:color w:val="auto"/>
                <w:kern w:val="0"/>
                <w:sz w:val="21"/>
                <w:szCs w:val="21"/>
                <w:highlight w:val="none"/>
                <w:u w:val="none"/>
                <w:lang w:val="en-US" w:eastAsia="zh-CN" w:bidi="ar"/>
              </w:rPr>
              <w:t>总氟化物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pct"/>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1335" w:type="pct"/>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SJG-1-75</w:t>
            </w:r>
          </w:p>
        </w:tc>
        <w:tc>
          <w:tcPr>
            <w:tcW w:w="1378" w:type="pct"/>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园区边界西侧下风向75m</w:t>
            </w:r>
          </w:p>
        </w:tc>
        <w:tc>
          <w:tcPr>
            <w:tcW w:w="1341" w:type="pct"/>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第二类用地筛选值</w:t>
            </w:r>
          </w:p>
        </w:tc>
        <w:tc>
          <w:tcPr>
            <w:tcW w:w="474" w:type="pct"/>
            <w:tcBorders>
              <w:top w:val="single" w:color="000000"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485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w:t>
            </w:r>
          </w:p>
        </w:tc>
        <w:tc>
          <w:tcPr>
            <w:tcW w:w="1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SJG-1-200</w:t>
            </w:r>
          </w:p>
        </w:tc>
        <w:tc>
          <w:tcPr>
            <w:tcW w:w="137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园区边界西侧下风向200m</w:t>
            </w:r>
          </w:p>
        </w:tc>
        <w:tc>
          <w:tcPr>
            <w:tcW w:w="1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第一类用地筛选值</w:t>
            </w:r>
          </w:p>
        </w:tc>
        <w:tc>
          <w:tcPr>
            <w:tcW w:w="4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448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w:t>
            </w:r>
          </w:p>
        </w:tc>
        <w:tc>
          <w:tcPr>
            <w:tcW w:w="1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SJG-2-75</w:t>
            </w:r>
          </w:p>
        </w:tc>
        <w:tc>
          <w:tcPr>
            <w:tcW w:w="137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园区边界南侧下风向75m</w:t>
            </w:r>
          </w:p>
        </w:tc>
        <w:tc>
          <w:tcPr>
            <w:tcW w:w="1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第二类用地筛选值</w:t>
            </w:r>
          </w:p>
        </w:tc>
        <w:tc>
          <w:tcPr>
            <w:tcW w:w="4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599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w:t>
            </w:r>
          </w:p>
        </w:tc>
        <w:tc>
          <w:tcPr>
            <w:tcW w:w="1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SJG-2-200</w:t>
            </w:r>
          </w:p>
        </w:tc>
        <w:tc>
          <w:tcPr>
            <w:tcW w:w="137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园区边界南侧下风向200m</w:t>
            </w:r>
          </w:p>
        </w:tc>
        <w:tc>
          <w:tcPr>
            <w:tcW w:w="1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第二类用地筛选值</w:t>
            </w:r>
          </w:p>
        </w:tc>
        <w:tc>
          <w:tcPr>
            <w:tcW w:w="4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524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w:t>
            </w:r>
          </w:p>
        </w:tc>
        <w:tc>
          <w:tcPr>
            <w:tcW w:w="1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SJG-2-400</w:t>
            </w:r>
          </w:p>
        </w:tc>
        <w:tc>
          <w:tcPr>
            <w:tcW w:w="137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园区边界南侧下风向400m</w:t>
            </w:r>
          </w:p>
        </w:tc>
        <w:tc>
          <w:tcPr>
            <w:tcW w:w="1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第二类用地筛选值</w:t>
            </w:r>
          </w:p>
        </w:tc>
        <w:tc>
          <w:tcPr>
            <w:tcW w:w="4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w:t>
            </w:r>
          </w:p>
        </w:tc>
        <w:tc>
          <w:tcPr>
            <w:tcW w:w="1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SJG-3</w:t>
            </w:r>
          </w:p>
        </w:tc>
        <w:tc>
          <w:tcPr>
            <w:tcW w:w="137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园区边界东侧上风向</w:t>
            </w:r>
            <w:r>
              <w:rPr>
                <w:rStyle w:val="69"/>
                <w:rFonts w:hint="default" w:ascii="Times New Roman" w:hAnsi="Times New Roman" w:cs="Times New Roman"/>
                <w:color w:val="auto"/>
                <w:sz w:val="21"/>
                <w:szCs w:val="21"/>
                <w:highlight w:val="none"/>
                <w:lang w:val="en-US" w:eastAsia="zh-CN" w:bidi="ar"/>
              </w:rPr>
              <w:t>800</w:t>
            </w:r>
            <w:r>
              <w:rPr>
                <w:rFonts w:hint="default" w:ascii="Times New Roman" w:hAnsi="Times New Roman" w:eastAsia="宋体" w:cs="Times New Roman"/>
                <w:i w:val="0"/>
                <w:color w:val="auto"/>
                <w:kern w:val="0"/>
                <w:sz w:val="21"/>
                <w:szCs w:val="21"/>
                <w:highlight w:val="none"/>
                <w:u w:val="none"/>
                <w:lang w:val="en-US" w:eastAsia="zh-CN" w:bidi="ar"/>
              </w:rPr>
              <w:t>m</w:t>
            </w:r>
          </w:p>
        </w:tc>
        <w:tc>
          <w:tcPr>
            <w:tcW w:w="1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第二类用地筛选值</w:t>
            </w:r>
          </w:p>
        </w:tc>
        <w:tc>
          <w:tcPr>
            <w:tcW w:w="4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544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w:t>
            </w:r>
          </w:p>
        </w:tc>
        <w:tc>
          <w:tcPr>
            <w:tcW w:w="1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SJG-4</w:t>
            </w:r>
          </w:p>
        </w:tc>
        <w:tc>
          <w:tcPr>
            <w:tcW w:w="137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园区边界北侧上风向</w:t>
            </w:r>
            <w:r>
              <w:rPr>
                <w:rStyle w:val="69"/>
                <w:rFonts w:hint="default" w:ascii="Times New Roman" w:hAnsi="Times New Roman" w:cs="Times New Roman"/>
                <w:color w:val="auto"/>
                <w:sz w:val="21"/>
                <w:szCs w:val="21"/>
                <w:highlight w:val="none"/>
                <w:lang w:val="en-US" w:eastAsia="zh-CN" w:bidi="ar"/>
              </w:rPr>
              <w:t>750</w:t>
            </w:r>
            <w:r>
              <w:rPr>
                <w:rFonts w:hint="default" w:ascii="Times New Roman" w:hAnsi="Times New Roman" w:eastAsia="宋体" w:cs="Times New Roman"/>
                <w:i w:val="0"/>
                <w:color w:val="auto"/>
                <w:kern w:val="0"/>
                <w:sz w:val="21"/>
                <w:szCs w:val="21"/>
                <w:highlight w:val="none"/>
                <w:u w:val="none"/>
                <w:lang w:val="en-US" w:eastAsia="zh-CN" w:bidi="ar"/>
              </w:rPr>
              <w:t>m</w:t>
            </w:r>
          </w:p>
        </w:tc>
        <w:tc>
          <w:tcPr>
            <w:tcW w:w="1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第二类用地筛选值</w:t>
            </w:r>
          </w:p>
        </w:tc>
        <w:tc>
          <w:tcPr>
            <w:tcW w:w="4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582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8</w:t>
            </w:r>
          </w:p>
        </w:tc>
        <w:tc>
          <w:tcPr>
            <w:tcW w:w="1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SJG-JJ-1</w:t>
            </w:r>
          </w:p>
        </w:tc>
        <w:tc>
          <w:tcPr>
            <w:tcW w:w="137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企业聚集区北侧</w:t>
            </w:r>
          </w:p>
        </w:tc>
        <w:tc>
          <w:tcPr>
            <w:tcW w:w="1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第二类用地筛选值</w:t>
            </w:r>
          </w:p>
        </w:tc>
        <w:tc>
          <w:tcPr>
            <w:tcW w:w="4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570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w:t>
            </w:r>
          </w:p>
        </w:tc>
        <w:tc>
          <w:tcPr>
            <w:tcW w:w="1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SJG-JJ-2</w:t>
            </w:r>
          </w:p>
        </w:tc>
        <w:tc>
          <w:tcPr>
            <w:tcW w:w="137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企业聚集区北侧</w:t>
            </w:r>
          </w:p>
        </w:tc>
        <w:tc>
          <w:tcPr>
            <w:tcW w:w="1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第一类用地筛选值</w:t>
            </w:r>
          </w:p>
        </w:tc>
        <w:tc>
          <w:tcPr>
            <w:tcW w:w="4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532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1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SJG-JJ-3</w:t>
            </w:r>
          </w:p>
        </w:tc>
        <w:tc>
          <w:tcPr>
            <w:tcW w:w="137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企业聚集区南侧</w:t>
            </w:r>
          </w:p>
        </w:tc>
        <w:tc>
          <w:tcPr>
            <w:tcW w:w="1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第二类用地筛选值</w:t>
            </w:r>
          </w:p>
        </w:tc>
        <w:tc>
          <w:tcPr>
            <w:tcW w:w="4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574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w:t>
            </w:r>
          </w:p>
        </w:tc>
        <w:tc>
          <w:tcPr>
            <w:tcW w:w="1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SJG-JJ-4</w:t>
            </w:r>
          </w:p>
        </w:tc>
        <w:tc>
          <w:tcPr>
            <w:tcW w:w="137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企业聚集区西侧</w:t>
            </w:r>
          </w:p>
        </w:tc>
        <w:tc>
          <w:tcPr>
            <w:tcW w:w="1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第二类用地筛选值</w:t>
            </w:r>
          </w:p>
        </w:tc>
        <w:tc>
          <w:tcPr>
            <w:tcW w:w="4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527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w:t>
            </w:r>
          </w:p>
        </w:tc>
        <w:tc>
          <w:tcPr>
            <w:tcW w:w="1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SJG-JJ-5</w:t>
            </w:r>
          </w:p>
        </w:tc>
        <w:tc>
          <w:tcPr>
            <w:tcW w:w="137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企业聚集区西侧</w:t>
            </w:r>
          </w:p>
        </w:tc>
        <w:tc>
          <w:tcPr>
            <w:tcW w:w="1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第二类用地筛选值</w:t>
            </w:r>
          </w:p>
        </w:tc>
        <w:tc>
          <w:tcPr>
            <w:tcW w:w="4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508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13</w:t>
            </w:r>
          </w:p>
        </w:tc>
        <w:tc>
          <w:tcPr>
            <w:tcW w:w="1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SJG-JJ-6</w:t>
            </w:r>
          </w:p>
        </w:tc>
        <w:tc>
          <w:tcPr>
            <w:tcW w:w="137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企业聚集区南侧</w:t>
            </w:r>
          </w:p>
        </w:tc>
        <w:tc>
          <w:tcPr>
            <w:tcW w:w="1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第二类用地筛选值</w:t>
            </w:r>
          </w:p>
        </w:tc>
        <w:tc>
          <w:tcPr>
            <w:tcW w:w="4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596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14</w:t>
            </w:r>
          </w:p>
        </w:tc>
        <w:tc>
          <w:tcPr>
            <w:tcW w:w="1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SJG-JJ-7</w:t>
            </w:r>
          </w:p>
        </w:tc>
        <w:tc>
          <w:tcPr>
            <w:tcW w:w="137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企业聚集区北侧</w:t>
            </w:r>
          </w:p>
        </w:tc>
        <w:tc>
          <w:tcPr>
            <w:tcW w:w="1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第二类用地筛选值</w:t>
            </w:r>
          </w:p>
        </w:tc>
        <w:tc>
          <w:tcPr>
            <w:tcW w:w="4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617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w:t>
            </w:r>
          </w:p>
        </w:tc>
        <w:tc>
          <w:tcPr>
            <w:tcW w:w="1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SJG-JJ-8</w:t>
            </w:r>
          </w:p>
        </w:tc>
        <w:tc>
          <w:tcPr>
            <w:tcW w:w="137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企业聚集区北侧</w:t>
            </w:r>
          </w:p>
        </w:tc>
        <w:tc>
          <w:tcPr>
            <w:tcW w:w="1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第二类用地筛选值</w:t>
            </w:r>
          </w:p>
        </w:tc>
        <w:tc>
          <w:tcPr>
            <w:tcW w:w="4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511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16</w:t>
            </w:r>
          </w:p>
        </w:tc>
        <w:tc>
          <w:tcPr>
            <w:tcW w:w="13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SJG-JJ-9</w:t>
            </w:r>
          </w:p>
        </w:tc>
        <w:tc>
          <w:tcPr>
            <w:tcW w:w="137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企业聚集区南侧</w:t>
            </w:r>
          </w:p>
        </w:tc>
        <w:tc>
          <w:tcPr>
            <w:tcW w:w="1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第二类用地筛选值</w:t>
            </w:r>
          </w:p>
        </w:tc>
        <w:tc>
          <w:tcPr>
            <w:tcW w:w="4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779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525" w:type="pct"/>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最大值</w:t>
            </w:r>
          </w:p>
        </w:tc>
        <w:tc>
          <w:tcPr>
            <w:tcW w:w="4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cs="Times New Roman"/>
                <w:i w:val="0"/>
                <w:color w:val="auto"/>
                <w:kern w:val="0"/>
                <w:sz w:val="21"/>
                <w:szCs w:val="21"/>
                <w:highlight w:val="none"/>
                <w:u w:val="none"/>
                <w:lang w:val="en-US" w:eastAsia="zh-CN" w:bidi="ar"/>
              </w:rPr>
              <w:t>779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525" w:type="pct"/>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最小值</w:t>
            </w:r>
          </w:p>
        </w:tc>
        <w:tc>
          <w:tcPr>
            <w:tcW w:w="4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cs="Times New Roman"/>
                <w:i w:val="0"/>
                <w:color w:val="auto"/>
                <w:kern w:val="0"/>
                <w:sz w:val="21"/>
                <w:szCs w:val="21"/>
                <w:highlight w:val="none"/>
                <w:u w:val="none"/>
                <w:lang w:val="en-US" w:eastAsia="zh-CN" w:bidi="ar"/>
              </w:rPr>
              <w:t>448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525" w:type="pct"/>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平均值</w:t>
            </w:r>
          </w:p>
        </w:tc>
        <w:tc>
          <w:tcPr>
            <w:tcW w:w="4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cs="Times New Roman"/>
                <w:i w:val="0"/>
                <w:color w:val="auto"/>
                <w:kern w:val="0"/>
                <w:sz w:val="21"/>
                <w:szCs w:val="21"/>
                <w:highlight w:val="none"/>
                <w:u w:val="none"/>
                <w:lang w:val="en-US" w:eastAsia="zh-CN" w:bidi="ar"/>
              </w:rPr>
              <w:t>563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525" w:type="pct"/>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检出率</w:t>
            </w:r>
          </w:p>
        </w:tc>
        <w:tc>
          <w:tcPr>
            <w:tcW w:w="4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评价标准</w:t>
            </w:r>
          </w:p>
        </w:tc>
        <w:tc>
          <w:tcPr>
            <w:tcW w:w="4054" w:type="pct"/>
            <w:gridSpan w:val="3"/>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建设用地第</w:t>
            </w:r>
            <w:r>
              <w:rPr>
                <w:rFonts w:hint="default" w:ascii="Times New Roman" w:hAnsi="Times New Roman" w:cs="Times New Roman"/>
                <w:i w:val="0"/>
                <w:color w:val="auto"/>
                <w:kern w:val="0"/>
                <w:sz w:val="21"/>
                <w:szCs w:val="21"/>
                <w:highlight w:val="none"/>
                <w:u w:val="none"/>
                <w:lang w:val="en-US" w:eastAsia="zh-CN" w:bidi="ar"/>
              </w:rPr>
              <w:t>一</w:t>
            </w:r>
            <w:r>
              <w:rPr>
                <w:rFonts w:hint="default" w:ascii="Times New Roman" w:hAnsi="Times New Roman" w:eastAsia="宋体" w:cs="Times New Roman"/>
                <w:i w:val="0"/>
                <w:color w:val="auto"/>
                <w:kern w:val="0"/>
                <w:sz w:val="21"/>
                <w:szCs w:val="21"/>
                <w:highlight w:val="none"/>
                <w:u w:val="none"/>
                <w:lang w:val="en-US" w:eastAsia="zh-CN" w:bidi="ar"/>
              </w:rPr>
              <w:t>类用地筛选值</w:t>
            </w:r>
          </w:p>
        </w:tc>
        <w:tc>
          <w:tcPr>
            <w:tcW w:w="4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1960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70"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p>
        </w:tc>
        <w:tc>
          <w:tcPr>
            <w:tcW w:w="4054" w:type="pct"/>
            <w:gridSpan w:val="3"/>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建设用地第二类用地筛选值</w:t>
            </w:r>
          </w:p>
        </w:tc>
        <w:tc>
          <w:tcPr>
            <w:tcW w:w="4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4525" w:type="pct"/>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达标情况</w:t>
            </w:r>
          </w:p>
        </w:tc>
        <w:tc>
          <w:tcPr>
            <w:tcW w:w="47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达标</w:t>
            </w:r>
          </w:p>
        </w:tc>
      </w:tr>
    </w:tbl>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eastAsia="zh-CN"/>
        </w:rPr>
        <w:t>①</w:t>
      </w:r>
      <w:r>
        <w:rPr>
          <w:rFonts w:hint="default" w:ascii="Times New Roman" w:hAnsi="Times New Roman" w:eastAsia="宋体" w:cs="Times New Roman"/>
          <w:b/>
          <w:bCs/>
          <w:sz w:val="18"/>
          <w:szCs w:val="18"/>
        </w:rPr>
        <w:t>表列参考标准选取依据详见5.1.1节表5-1-1相关内容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各点位总氟化物监测浓度散点分布图如下：</w:t>
      </w:r>
    </w:p>
    <w:tbl>
      <w:tblPr>
        <w:tblStyle w:val="22"/>
        <w:tblW w:w="882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8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26"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drawing>
                <wp:inline distT="0" distB="0" distL="114300" distR="114300">
                  <wp:extent cx="5400040" cy="3599815"/>
                  <wp:effectExtent l="9525" t="9525" r="19685" b="48260"/>
                  <wp:docPr id="22"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b/>
                <w:bCs/>
                <w:color w:val="auto"/>
                <w:sz w:val="18"/>
                <w:szCs w:val="18"/>
                <w:highlight w:val="none"/>
                <w:lang w:eastAsia="zh-CN"/>
              </w:rPr>
            </w:pPr>
            <w:r>
              <w:rPr>
                <w:rFonts w:hint="default" w:ascii="Times New Roman" w:hAnsi="Times New Roman" w:cs="Times New Roman"/>
                <w:b/>
                <w:bCs/>
                <w:color w:val="auto"/>
                <w:sz w:val="18"/>
                <w:szCs w:val="18"/>
                <w:highlight w:val="none"/>
                <w:lang w:eastAsia="zh-CN"/>
              </w:rPr>
              <w:t>注：①各点位对应的参考标志均远大于监测浓度值，故不在分布图中展现，下同；</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b/>
                <w:bCs/>
                <w:color w:val="auto"/>
                <w:sz w:val="18"/>
                <w:szCs w:val="18"/>
                <w:highlight w:val="none"/>
                <w:lang w:eastAsia="zh-CN"/>
              </w:rPr>
            </w:pPr>
            <w:r>
              <w:rPr>
                <w:rFonts w:hint="default" w:ascii="Times New Roman" w:hAnsi="Times New Roman" w:cs="Times New Roman"/>
                <w:b/>
                <w:bCs/>
                <w:color w:val="auto"/>
                <w:sz w:val="18"/>
                <w:szCs w:val="18"/>
                <w:highlight w:val="none"/>
                <w:lang w:eastAsia="zh-CN"/>
              </w:rPr>
              <w:t>②已检出指标的检出限均远小于监测浓度值，故不在分布图中展现，下同。</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lang w:eastAsia="zh-CN"/>
              </w:rPr>
              <w:t>图</w:t>
            </w:r>
            <w:r>
              <w:rPr>
                <w:rFonts w:hint="default" w:ascii="Times New Roman" w:hAnsi="Times New Roman" w:cs="Times New Roman"/>
                <w:b/>
                <w:bCs/>
                <w:color w:val="auto"/>
                <w:highlight w:val="none"/>
                <w:lang w:val="en-US" w:eastAsia="zh-CN"/>
              </w:rPr>
              <w:t>5-3-2</w:t>
            </w:r>
            <w:r>
              <w:rPr>
                <w:rFonts w:hint="default" w:ascii="Times New Roman" w:hAnsi="Times New Roman" w:eastAsia="宋体" w:cs="Times New Roman"/>
                <w:b/>
                <w:bCs/>
                <w:color w:val="auto"/>
                <w:highlight w:val="none"/>
                <w:lang w:val="en-US" w:eastAsia="zh-CN"/>
              </w:rPr>
              <w:t xml:space="preserve"> </w:t>
            </w:r>
            <w:r>
              <w:rPr>
                <w:rFonts w:hint="default" w:ascii="Times New Roman" w:hAnsi="Times New Roman" w:cs="Times New Roman"/>
                <w:b/>
                <w:bCs/>
                <w:color w:val="auto"/>
                <w:highlight w:val="none"/>
                <w:lang w:val="en-US" w:eastAsia="zh-CN"/>
              </w:rPr>
              <w:t>总氟化物</w:t>
            </w:r>
            <w:r>
              <w:rPr>
                <w:rFonts w:hint="default" w:ascii="Times New Roman" w:hAnsi="Times New Roman" w:eastAsia="宋体" w:cs="Times New Roman"/>
                <w:b/>
                <w:bCs/>
                <w:color w:val="auto"/>
                <w:highlight w:val="none"/>
                <w:lang w:val="en-US" w:eastAsia="zh-CN"/>
              </w:rPr>
              <w:t>指标</w:t>
            </w:r>
            <w:r>
              <w:rPr>
                <w:rFonts w:hint="default" w:ascii="Times New Roman" w:hAnsi="Times New Roman" w:cs="Times New Roman"/>
                <w:b/>
                <w:bCs/>
                <w:color w:val="auto"/>
                <w:highlight w:val="none"/>
                <w:lang w:val="en-US" w:eastAsia="zh-CN"/>
              </w:rPr>
              <w:t>监测浓度</w:t>
            </w:r>
            <w:r>
              <w:rPr>
                <w:rFonts w:hint="default" w:ascii="Times New Roman" w:hAnsi="Times New Roman" w:eastAsia="宋体" w:cs="Times New Roman"/>
                <w:b/>
                <w:bCs/>
                <w:color w:val="auto"/>
                <w:highlight w:val="none"/>
                <w:lang w:val="en-US" w:eastAsia="zh-CN"/>
              </w:rPr>
              <w:t>分布情况图</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由图可知，各点位总氟化物监测值</w:t>
      </w:r>
      <w:r>
        <w:rPr>
          <w:rFonts w:hint="default" w:ascii="Times New Roman" w:hAnsi="Times New Roman" w:cs="Times New Roman"/>
          <w:color w:val="auto"/>
          <w:highlight w:val="none"/>
          <w:lang w:eastAsia="zh-CN"/>
        </w:rPr>
        <w:t>差别较小，各</w:t>
      </w:r>
      <w:r>
        <w:rPr>
          <w:rFonts w:hint="default" w:ascii="Times New Roman" w:hAnsi="Times New Roman" w:cs="Times New Roman"/>
          <w:color w:val="auto"/>
          <w:highlight w:val="none"/>
        </w:rPr>
        <w:t>检测值与均值</w:t>
      </w:r>
      <w:r>
        <w:rPr>
          <w:rFonts w:hint="default" w:ascii="Times New Roman" w:hAnsi="Times New Roman" w:cs="Times New Roman"/>
          <w:color w:val="auto"/>
          <w:highlight w:val="none"/>
          <w:lang w:eastAsia="zh-CN"/>
        </w:rPr>
        <w:t>差别较小。</w:t>
      </w:r>
    </w:p>
    <w:p>
      <w:pPr>
        <w:numPr>
          <w:ilvl w:val="0"/>
          <w:numId w:val="0"/>
        </w:numPr>
        <w:spacing w:line="360" w:lineRule="auto"/>
        <w:ind w:leftChars="0" w:firstLine="420" w:firstLineChars="0"/>
        <w:rPr>
          <w:rFonts w:hint="default" w:ascii="Times New Roman" w:hAnsi="Times New Roman" w:cs="Times New Roman"/>
          <w:b/>
          <w:bCs/>
          <w:color w:val="auto"/>
          <w:sz w:val="24"/>
          <w:highlight w:val="none"/>
          <w:lang w:val="en-US" w:eastAsia="zh-CN"/>
        </w:rPr>
      </w:pPr>
      <w:r>
        <w:rPr>
          <w:rFonts w:hint="default" w:ascii="Times New Roman" w:hAnsi="Times New Roman" w:cs="Times New Roman"/>
          <w:b/>
          <w:bCs/>
          <w:color w:val="auto"/>
          <w:sz w:val="24"/>
          <w:highlight w:val="none"/>
          <w:lang w:eastAsia="zh-CN"/>
        </w:rPr>
        <w:t>（</w:t>
      </w:r>
      <w:r>
        <w:rPr>
          <w:rFonts w:hint="eastAsia" w:cs="Times New Roman"/>
          <w:b/>
          <w:bCs/>
          <w:color w:val="auto"/>
          <w:sz w:val="24"/>
          <w:highlight w:val="none"/>
          <w:lang w:val="en-US" w:eastAsia="zh-CN"/>
        </w:rPr>
        <w:t>3</w:t>
      </w:r>
      <w:r>
        <w:rPr>
          <w:rFonts w:hint="default" w:ascii="Times New Roman" w:hAnsi="Times New Roman" w:cs="Times New Roman"/>
          <w:b/>
          <w:bCs/>
          <w:color w:val="auto"/>
          <w:sz w:val="24"/>
          <w:highlight w:val="none"/>
          <w:lang w:eastAsia="zh-CN"/>
        </w:rPr>
        <w:t>）</w:t>
      </w:r>
      <w:r>
        <w:rPr>
          <w:rFonts w:hint="default" w:ascii="Times New Roman" w:hAnsi="Times New Roman" w:cs="Times New Roman"/>
          <w:b/>
          <w:bCs/>
          <w:color w:val="auto"/>
          <w:sz w:val="24"/>
          <w:highlight w:val="none"/>
          <w:lang w:val="en-US" w:eastAsia="zh-CN"/>
        </w:rPr>
        <w:t>二噁英</w:t>
      </w:r>
    </w:p>
    <w:p>
      <w:pPr>
        <w:pStyle w:val="2"/>
        <w:keepNext w:val="0"/>
        <w:keepLines w:val="0"/>
        <w:pageBreakBefore w:val="0"/>
        <w:widowControl w:val="0"/>
        <w:kinsoku/>
        <w:wordWrap/>
        <w:overflowPunct/>
        <w:topLinePunct w:val="0"/>
        <w:autoSpaceDE/>
        <w:autoSpaceDN/>
        <w:bidi w:val="0"/>
        <w:adjustRightInd/>
        <w:snapToGrid/>
        <w:spacing w:after="0"/>
        <w:ind w:firstLine="420" w:firstLineChars="0"/>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点位SJG-</w:t>
      </w:r>
      <w:r>
        <w:rPr>
          <w:rFonts w:hint="eastAsia" w:cs="Times New Roman"/>
          <w:color w:val="auto"/>
          <w:sz w:val="24"/>
          <w:highlight w:val="none"/>
          <w:lang w:val="en-US" w:eastAsia="zh-CN"/>
        </w:rPr>
        <w:t>JJ-6</w:t>
      </w:r>
      <w:r>
        <w:rPr>
          <w:rFonts w:hint="default" w:ascii="Times New Roman" w:hAnsi="Times New Roman" w:cs="Times New Roman"/>
          <w:color w:val="auto"/>
          <w:sz w:val="24"/>
          <w:highlight w:val="none"/>
          <w:lang w:val="en-US" w:eastAsia="zh-CN"/>
        </w:rPr>
        <w:t>增测污染物项目二噁英，毒性当量为</w:t>
      </w:r>
      <w:r>
        <w:rPr>
          <w:rFonts w:hint="eastAsia" w:cs="Times New Roman"/>
          <w:color w:val="auto"/>
          <w:sz w:val="24"/>
          <w:highlight w:val="none"/>
          <w:lang w:val="en-US" w:eastAsia="zh-CN"/>
        </w:rPr>
        <w:t>0.36</w:t>
      </w:r>
      <w:r>
        <w:rPr>
          <w:rFonts w:hint="default" w:ascii="Times New Roman" w:hAnsi="Times New Roman" w:cs="Times New Roman"/>
          <w:color w:val="auto"/>
          <w:sz w:val="24"/>
          <w:highlight w:val="none"/>
          <w:lang w:val="en-US" w:eastAsia="zh-CN"/>
        </w:rPr>
        <w:t>ng/kg。具体监测值及对应标准情况见表5-3-</w:t>
      </w: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167" w:beforeLines="50" w:line="240" w:lineRule="auto"/>
        <w:ind w:leftChars="0" w:firstLine="420" w:firstLineChars="0"/>
        <w:jc w:val="center"/>
        <w:textAlignment w:val="auto"/>
        <w:rPr>
          <w:rFonts w:hint="default" w:ascii="Times New Roman" w:hAnsi="Times New Roman" w:eastAsia="黑体" w:cs="Times New Roman"/>
          <w:color w:val="auto"/>
          <w:highlight w:val="none"/>
        </w:rPr>
      </w:pPr>
      <w:r>
        <w:rPr>
          <w:rFonts w:hint="default" w:ascii="Times New Roman" w:hAnsi="Times New Roman" w:eastAsia="黑体" w:cs="Times New Roman"/>
          <w:b/>
          <w:bCs/>
          <w:color w:val="auto"/>
          <w:sz w:val="24"/>
          <w:highlight w:val="none"/>
        </w:rPr>
        <w:t>表5-</w:t>
      </w:r>
      <w:r>
        <w:rPr>
          <w:rFonts w:hint="default" w:ascii="Times New Roman" w:hAnsi="Times New Roman" w:eastAsia="黑体" w:cs="Times New Roman"/>
          <w:b/>
          <w:bCs/>
          <w:color w:val="auto"/>
          <w:sz w:val="24"/>
          <w:highlight w:val="none"/>
          <w:lang w:val="en-US" w:eastAsia="zh-CN"/>
        </w:rPr>
        <w:t>3-</w:t>
      </w:r>
      <w:r>
        <w:rPr>
          <w:rFonts w:hint="eastAsia" w:eastAsia="黑体" w:cs="Times New Roman"/>
          <w:b/>
          <w:bCs/>
          <w:color w:val="auto"/>
          <w:sz w:val="24"/>
          <w:highlight w:val="none"/>
          <w:lang w:val="en-US" w:eastAsia="zh-CN"/>
        </w:rPr>
        <w:t>3</w:t>
      </w:r>
      <w:r>
        <w:rPr>
          <w:rFonts w:hint="default" w:ascii="Times New Roman" w:hAnsi="Times New Roman" w:eastAsia="黑体" w:cs="Times New Roman"/>
          <w:b/>
          <w:bCs/>
          <w:color w:val="auto"/>
          <w:sz w:val="24"/>
          <w:highlight w:val="none"/>
        </w:rPr>
        <w:t xml:space="preserve"> 土壤样品</w:t>
      </w:r>
      <w:r>
        <w:rPr>
          <w:rFonts w:hint="default" w:ascii="Times New Roman" w:hAnsi="Times New Roman" w:eastAsia="黑体" w:cs="Times New Roman"/>
          <w:b/>
          <w:bCs/>
          <w:color w:val="auto"/>
          <w:sz w:val="24"/>
          <w:highlight w:val="none"/>
          <w:lang w:val="en-US" w:eastAsia="zh-CN"/>
        </w:rPr>
        <w:t>二噁英</w:t>
      </w:r>
      <w:r>
        <w:rPr>
          <w:rFonts w:hint="default" w:ascii="Times New Roman" w:hAnsi="Times New Roman" w:eastAsia="黑体" w:cs="Times New Roman"/>
          <w:b/>
          <w:bCs/>
          <w:color w:val="auto"/>
          <w:sz w:val="24"/>
          <w:highlight w:val="none"/>
        </w:rPr>
        <w:t>监测值</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2868"/>
        <w:gridCol w:w="2868"/>
        <w:gridCol w:w="39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tblHeader/>
          <w:jc w:val="center"/>
        </w:trPr>
        <w:tc>
          <w:tcPr>
            <w:tcW w:w="2868"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序号</w:t>
            </w:r>
          </w:p>
        </w:tc>
        <w:tc>
          <w:tcPr>
            <w:tcW w:w="2868"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样品编号</w:t>
            </w:r>
          </w:p>
        </w:tc>
        <w:tc>
          <w:tcPr>
            <w:tcW w:w="3932"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lang w:val="en-US"/>
              </w:rPr>
            </w:pPr>
            <w:r>
              <w:rPr>
                <w:rFonts w:hint="default" w:ascii="Times New Roman" w:hAnsi="Times New Roman" w:eastAsia="宋体" w:cs="Times New Roman"/>
                <w:b/>
                <w:i w:val="0"/>
                <w:color w:val="auto"/>
                <w:kern w:val="0"/>
                <w:sz w:val="21"/>
                <w:szCs w:val="21"/>
                <w:highlight w:val="none"/>
                <w:u w:val="none"/>
                <w:lang w:val="en-US" w:eastAsia="zh-CN" w:bidi="ar"/>
              </w:rPr>
              <w:t>二噁英（I-TEQ2)(ng/kg)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tblHeader/>
          <w:jc w:val="center"/>
        </w:trPr>
        <w:tc>
          <w:tcPr>
            <w:tcW w:w="2868"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2868"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cs="Times New Roman"/>
                <w:i w:val="0"/>
                <w:color w:val="auto"/>
                <w:kern w:val="0"/>
                <w:sz w:val="21"/>
                <w:szCs w:val="21"/>
                <w:highlight w:val="none"/>
                <w:u w:val="none"/>
                <w:lang w:val="en-US" w:eastAsia="zh-CN" w:bidi="ar"/>
              </w:rPr>
              <w:t>SJG</w:t>
            </w:r>
            <w:r>
              <w:rPr>
                <w:rFonts w:hint="default" w:ascii="Times New Roman" w:hAnsi="Times New Roman" w:eastAsia="宋体" w:cs="Times New Roman"/>
                <w:i w:val="0"/>
                <w:color w:val="auto"/>
                <w:kern w:val="0"/>
                <w:sz w:val="21"/>
                <w:szCs w:val="21"/>
                <w:highlight w:val="none"/>
                <w:u w:val="none"/>
                <w:lang w:val="en-US" w:eastAsia="zh-CN" w:bidi="ar"/>
              </w:rPr>
              <w:t>-</w:t>
            </w:r>
            <w:r>
              <w:rPr>
                <w:rFonts w:hint="eastAsia" w:cs="Times New Roman"/>
                <w:i w:val="0"/>
                <w:color w:val="auto"/>
                <w:kern w:val="0"/>
                <w:sz w:val="21"/>
                <w:szCs w:val="21"/>
                <w:highlight w:val="none"/>
                <w:u w:val="none"/>
                <w:lang w:val="en-US" w:eastAsia="zh-CN" w:bidi="ar"/>
              </w:rPr>
              <w:t>JJ-6</w:t>
            </w:r>
          </w:p>
        </w:tc>
        <w:tc>
          <w:tcPr>
            <w:tcW w:w="3932"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eastAsia" w:cs="Times New Roman"/>
                <w:i w:val="0"/>
                <w:color w:val="auto"/>
                <w:kern w:val="0"/>
                <w:sz w:val="21"/>
                <w:szCs w:val="21"/>
                <w:highlight w:val="none"/>
                <w:u w:val="none"/>
                <w:lang w:val="en-US" w:eastAsia="zh-CN" w:bidi="ar"/>
              </w:rPr>
              <w:t>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tblHeader/>
          <w:jc w:val="center"/>
        </w:trPr>
        <w:tc>
          <w:tcPr>
            <w:tcW w:w="5736"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第二类用地筛选值</w:t>
            </w:r>
          </w:p>
        </w:tc>
        <w:tc>
          <w:tcPr>
            <w:tcW w:w="393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tblHeader/>
          <w:jc w:val="center"/>
        </w:trPr>
        <w:tc>
          <w:tcPr>
            <w:tcW w:w="5736"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达标情况</w:t>
            </w:r>
          </w:p>
        </w:tc>
        <w:tc>
          <w:tcPr>
            <w:tcW w:w="393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达标</w:t>
            </w:r>
          </w:p>
        </w:tc>
      </w:tr>
    </w:tbl>
    <w:p>
      <w:pPr>
        <w:numPr>
          <w:ilvl w:val="0"/>
          <w:numId w:val="0"/>
        </w:numPr>
        <w:spacing w:line="360" w:lineRule="auto"/>
        <w:ind w:leftChars="0" w:firstLine="420" w:firstLineChars="0"/>
        <w:rPr>
          <w:rFonts w:hint="default" w:ascii="Times New Roman" w:hAnsi="Times New Roman"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w:t>
      </w:r>
      <w:r>
        <w:rPr>
          <w:rFonts w:hint="eastAsia" w:cs="Times New Roman"/>
          <w:b/>
          <w:bCs/>
          <w:color w:val="auto"/>
          <w:sz w:val="24"/>
          <w:highlight w:val="none"/>
          <w:lang w:val="en-US" w:eastAsia="zh-CN"/>
        </w:rPr>
        <w:t>4</w:t>
      </w:r>
      <w:r>
        <w:rPr>
          <w:rFonts w:hint="default" w:ascii="Times New Roman" w:hAnsi="Times New Roman" w:cs="Times New Roman"/>
          <w:b/>
          <w:bCs/>
          <w:color w:val="auto"/>
          <w:sz w:val="24"/>
          <w:highlight w:val="none"/>
          <w:lang w:val="en-US" w:eastAsia="zh-CN"/>
        </w:rPr>
        <w:t>）石油烃（C</w:t>
      </w:r>
      <w:r>
        <w:rPr>
          <w:rFonts w:hint="default" w:ascii="Times New Roman" w:hAnsi="Times New Roman" w:cs="Times New Roman"/>
          <w:b/>
          <w:bCs/>
          <w:color w:val="auto"/>
          <w:sz w:val="24"/>
          <w:highlight w:val="none"/>
          <w:vertAlign w:val="subscript"/>
          <w:lang w:val="en-US" w:eastAsia="zh-CN"/>
        </w:rPr>
        <w:t>10</w:t>
      </w:r>
      <w:r>
        <w:rPr>
          <w:rFonts w:hint="default" w:ascii="Times New Roman" w:hAnsi="Times New Roman" w:cs="Times New Roman"/>
          <w:b/>
          <w:bCs/>
          <w:color w:val="auto"/>
          <w:sz w:val="24"/>
          <w:highlight w:val="none"/>
          <w:lang w:val="en-US" w:eastAsia="zh-CN"/>
        </w:rPr>
        <w:t>-C</w:t>
      </w:r>
      <w:r>
        <w:rPr>
          <w:rFonts w:hint="default" w:ascii="Times New Roman" w:hAnsi="Times New Roman" w:cs="Times New Roman"/>
          <w:b/>
          <w:bCs/>
          <w:color w:val="auto"/>
          <w:sz w:val="24"/>
          <w:highlight w:val="none"/>
          <w:vertAlign w:val="subscript"/>
          <w:lang w:val="en-US" w:eastAsia="zh-CN"/>
        </w:rPr>
        <w:t>40</w:t>
      </w:r>
      <w:r>
        <w:rPr>
          <w:rFonts w:hint="default" w:ascii="Times New Roman" w:hAnsi="Times New Roman" w:cs="Times New Roman"/>
          <w:b/>
          <w:bCs/>
          <w:color w:val="auto"/>
          <w:sz w:val="24"/>
          <w:highlight w:val="none"/>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sz w:val="24"/>
          <w:highlight w:val="none"/>
        </w:rPr>
        <w:t>检测结果显示，</w:t>
      </w:r>
      <w:r>
        <w:rPr>
          <w:rFonts w:hint="default" w:ascii="Times New Roman" w:hAnsi="Times New Roman" w:cs="Times New Roman"/>
          <w:color w:val="auto"/>
          <w:sz w:val="24"/>
          <w:highlight w:val="none"/>
          <w:lang w:eastAsia="zh-CN"/>
        </w:rPr>
        <w:t>园区内</w:t>
      </w:r>
      <w:r>
        <w:rPr>
          <w:rFonts w:hint="eastAsia" w:cs="Times New Roman"/>
          <w:color w:val="auto"/>
          <w:sz w:val="24"/>
          <w:highlight w:val="none"/>
          <w:lang w:val="en-US" w:eastAsia="zh-CN"/>
        </w:rPr>
        <w:t>16个土壤样品（不含质控样品）</w:t>
      </w:r>
      <w:r>
        <w:rPr>
          <w:rFonts w:hint="default" w:ascii="Times New Roman" w:hAnsi="Times New Roman" w:cs="Times New Roman"/>
          <w:color w:val="auto"/>
          <w:sz w:val="24"/>
          <w:highlight w:val="none"/>
          <w:lang w:eastAsia="zh-CN"/>
        </w:rPr>
        <w:t>中</w:t>
      </w:r>
      <w:r>
        <w:rPr>
          <w:rFonts w:hint="default" w:ascii="Times New Roman" w:hAnsi="Times New Roman" w:cs="Times New Roman"/>
          <w:color w:val="auto"/>
          <w:sz w:val="24"/>
          <w:highlight w:val="none"/>
          <w:lang w:val="en-US" w:eastAsia="zh-CN"/>
        </w:rPr>
        <w:t>SJG-1-75、SJG-1-200、SJG-2-75、SJG-2-200、SJG-4、SJG-JJ-1、SJG-JJ-3、SJG-JJ-4、SJG-JJ-6石油烃未检出，检出样品中石油烃指标最大值为100mg/kg。</w:t>
      </w:r>
      <w:r>
        <w:rPr>
          <w:rFonts w:hint="default" w:ascii="Times New Roman" w:hAnsi="Times New Roman" w:cs="Times New Roman"/>
          <w:color w:val="auto"/>
          <w:sz w:val="24"/>
          <w:szCs w:val="24"/>
          <w:highlight w:val="none"/>
        </w:rPr>
        <w:t>本次调查所有送检土壤样品</w:t>
      </w:r>
      <w:r>
        <w:rPr>
          <w:rFonts w:hint="default" w:ascii="Times New Roman" w:hAnsi="Times New Roman" w:cs="Times New Roman"/>
          <w:color w:val="auto"/>
          <w:sz w:val="24"/>
          <w:szCs w:val="24"/>
          <w:highlight w:val="none"/>
          <w:lang w:eastAsia="zh-CN"/>
        </w:rPr>
        <w:t>无机物污染项目</w:t>
      </w:r>
      <w:r>
        <w:rPr>
          <w:rFonts w:hint="default" w:ascii="Times New Roman" w:hAnsi="Times New Roman" w:cs="Times New Roman"/>
          <w:color w:val="auto"/>
          <w:sz w:val="24"/>
          <w:szCs w:val="24"/>
          <w:highlight w:val="none"/>
        </w:rPr>
        <w:t>检测值均低于</w:t>
      </w:r>
      <w:r>
        <w:rPr>
          <w:rFonts w:hint="default" w:ascii="Times New Roman" w:hAnsi="Times New Roman" w:cs="Times New Roman"/>
          <w:color w:val="auto"/>
          <w:sz w:val="24"/>
          <w:szCs w:val="24"/>
          <w:highlight w:val="none"/>
          <w:lang w:eastAsia="zh-CN"/>
        </w:rPr>
        <w:t>表</w:t>
      </w:r>
      <w:r>
        <w:rPr>
          <w:rFonts w:hint="default" w:ascii="Times New Roman" w:hAnsi="Times New Roman" w:cs="Times New Roman"/>
          <w:color w:val="auto"/>
          <w:sz w:val="24"/>
          <w:szCs w:val="24"/>
          <w:highlight w:val="none"/>
          <w:lang w:val="en-US" w:eastAsia="zh-CN"/>
        </w:rPr>
        <w:t>5-1-1中的参考标准值，</w:t>
      </w:r>
      <w:r>
        <w:rPr>
          <w:rFonts w:hint="default" w:ascii="Times New Roman" w:hAnsi="Times New Roman" w:cs="Times New Roman"/>
          <w:color w:val="auto"/>
          <w:sz w:val="24"/>
          <w:highlight w:val="none"/>
          <w:lang w:val="en-US" w:eastAsia="zh-CN"/>
        </w:rPr>
        <w:t>具体监测值见表5-3-</w:t>
      </w:r>
      <w:r>
        <w:rPr>
          <w:rFonts w:hint="eastAsia" w:cs="Times New Roman"/>
          <w:color w:val="auto"/>
          <w:sz w:val="24"/>
          <w:highlight w:val="none"/>
          <w:lang w:val="en-US" w:eastAsia="zh-CN"/>
        </w:rPr>
        <w:t>4</w:t>
      </w:r>
      <w:r>
        <w:rPr>
          <w:rFonts w:hint="default" w:ascii="Times New Roman" w:hAnsi="Times New Roman" w:cs="Times New Roman"/>
          <w:color w:val="auto"/>
          <w:sz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jc w:val="center"/>
        <w:textAlignment w:val="auto"/>
        <w:rPr>
          <w:rFonts w:hint="default" w:ascii="Times New Roman" w:hAnsi="Times New Roman" w:eastAsia="黑体" w:cs="Times New Roman"/>
          <w:b/>
          <w:color w:val="auto"/>
          <w:highlight w:val="none"/>
        </w:rPr>
      </w:pPr>
      <w:r>
        <w:rPr>
          <w:rFonts w:hint="default" w:ascii="Times New Roman" w:hAnsi="Times New Roman" w:eastAsia="黑体" w:cs="Times New Roman"/>
          <w:b/>
          <w:bCs/>
          <w:color w:val="auto"/>
          <w:sz w:val="24"/>
          <w:highlight w:val="none"/>
        </w:rPr>
        <w:t>表5-</w:t>
      </w:r>
      <w:r>
        <w:rPr>
          <w:rFonts w:hint="default" w:ascii="Times New Roman" w:hAnsi="Times New Roman" w:eastAsia="黑体" w:cs="Times New Roman"/>
          <w:b/>
          <w:bCs/>
          <w:color w:val="auto"/>
          <w:sz w:val="24"/>
          <w:highlight w:val="none"/>
          <w:lang w:val="en-US" w:eastAsia="zh-CN"/>
        </w:rPr>
        <w:t>3</w:t>
      </w:r>
      <w:r>
        <w:rPr>
          <w:rFonts w:hint="default" w:ascii="Times New Roman" w:hAnsi="Times New Roman" w:eastAsia="黑体" w:cs="Times New Roman"/>
          <w:b/>
          <w:bCs/>
          <w:color w:val="auto"/>
          <w:sz w:val="24"/>
          <w:highlight w:val="none"/>
        </w:rPr>
        <w:t>-</w:t>
      </w:r>
      <w:r>
        <w:rPr>
          <w:rFonts w:hint="eastAsia" w:eastAsia="黑体" w:cs="Times New Roman"/>
          <w:b/>
          <w:bCs/>
          <w:color w:val="auto"/>
          <w:sz w:val="24"/>
          <w:highlight w:val="none"/>
          <w:lang w:val="en-US" w:eastAsia="zh-CN"/>
        </w:rPr>
        <w:t>4</w:t>
      </w:r>
      <w:r>
        <w:rPr>
          <w:rFonts w:hint="default" w:ascii="Times New Roman" w:hAnsi="Times New Roman" w:eastAsia="黑体" w:cs="Times New Roman"/>
          <w:b/>
          <w:bCs/>
          <w:color w:val="auto"/>
          <w:sz w:val="24"/>
          <w:highlight w:val="none"/>
        </w:rPr>
        <w:t xml:space="preserve"> </w:t>
      </w:r>
      <w:r>
        <w:rPr>
          <w:rFonts w:hint="default" w:ascii="Times New Roman" w:hAnsi="Times New Roman" w:eastAsia="黑体" w:cs="Times New Roman"/>
          <w:b/>
          <w:bCs/>
          <w:color w:val="auto"/>
          <w:sz w:val="24"/>
          <w:highlight w:val="none"/>
          <w:lang w:val="en-US" w:eastAsia="zh-CN"/>
        </w:rPr>
        <w:t>石油烃（C</w:t>
      </w:r>
      <w:r>
        <w:rPr>
          <w:rFonts w:hint="default" w:ascii="Times New Roman" w:hAnsi="Times New Roman" w:eastAsia="黑体" w:cs="Times New Roman"/>
          <w:b/>
          <w:bCs/>
          <w:color w:val="auto"/>
          <w:sz w:val="24"/>
          <w:highlight w:val="none"/>
          <w:vertAlign w:val="subscript"/>
          <w:lang w:val="en-US" w:eastAsia="zh-CN"/>
        </w:rPr>
        <w:t>10</w:t>
      </w:r>
      <w:r>
        <w:rPr>
          <w:rFonts w:hint="default" w:ascii="Times New Roman" w:hAnsi="Times New Roman" w:eastAsia="黑体" w:cs="Times New Roman"/>
          <w:b/>
          <w:bCs/>
          <w:color w:val="auto"/>
          <w:sz w:val="24"/>
          <w:highlight w:val="none"/>
          <w:lang w:val="en-US" w:eastAsia="zh-CN"/>
        </w:rPr>
        <w:t>-C</w:t>
      </w:r>
      <w:r>
        <w:rPr>
          <w:rFonts w:hint="default" w:ascii="Times New Roman" w:hAnsi="Times New Roman" w:eastAsia="黑体" w:cs="Times New Roman"/>
          <w:b/>
          <w:bCs/>
          <w:color w:val="auto"/>
          <w:sz w:val="24"/>
          <w:highlight w:val="none"/>
          <w:vertAlign w:val="subscript"/>
          <w:lang w:val="en-US" w:eastAsia="zh-CN"/>
        </w:rPr>
        <w:t>40</w:t>
      </w:r>
      <w:r>
        <w:rPr>
          <w:rFonts w:hint="default" w:ascii="Times New Roman" w:hAnsi="Times New Roman" w:eastAsia="黑体" w:cs="Times New Roman"/>
          <w:b/>
          <w:bCs/>
          <w:color w:val="auto"/>
          <w:sz w:val="24"/>
          <w:highlight w:val="none"/>
          <w:lang w:val="en-US" w:eastAsia="zh-CN"/>
        </w:rPr>
        <w:t>）</w:t>
      </w:r>
      <w:r>
        <w:rPr>
          <w:rFonts w:hint="default" w:ascii="Times New Roman" w:hAnsi="Times New Roman" w:eastAsia="黑体" w:cs="Times New Roman"/>
          <w:b/>
          <w:bCs/>
          <w:color w:val="auto"/>
          <w:sz w:val="24"/>
          <w:highlight w:val="none"/>
        </w:rPr>
        <w:t>监测值  （单位：mg/kg）</w:t>
      </w:r>
    </w:p>
    <w:tbl>
      <w:tblPr>
        <w:tblStyle w:val="21"/>
        <w:tblW w:w="49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436"/>
        <w:gridCol w:w="1450"/>
        <w:gridCol w:w="2451"/>
        <w:gridCol w:w="2585"/>
        <w:gridCol w:w="17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tblHeader/>
          <w:jc w:val="center"/>
        </w:trPr>
        <w:tc>
          <w:tcPr>
            <w:tcW w:w="744"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序号</w:t>
            </w:r>
          </w:p>
        </w:tc>
        <w:tc>
          <w:tcPr>
            <w:tcW w:w="751"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样品编号</w:t>
            </w:r>
          </w:p>
        </w:tc>
        <w:tc>
          <w:tcPr>
            <w:tcW w:w="1269"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i w:val="0"/>
                <w:color w:val="auto"/>
                <w:kern w:val="0"/>
                <w:sz w:val="21"/>
                <w:szCs w:val="21"/>
                <w:highlight w:val="none"/>
                <w:u w:val="none"/>
                <w:lang w:val="en-US" w:eastAsia="zh-CN" w:bidi="ar"/>
              </w:rPr>
            </w:pPr>
            <w:r>
              <w:rPr>
                <w:rFonts w:hint="default" w:ascii="Times New Roman" w:hAnsi="Times New Roman" w:cs="Times New Roman"/>
                <w:b/>
                <w:i w:val="0"/>
                <w:color w:val="auto"/>
                <w:kern w:val="0"/>
                <w:sz w:val="21"/>
                <w:szCs w:val="21"/>
                <w:highlight w:val="none"/>
                <w:u w:val="none"/>
                <w:lang w:val="en-US" w:eastAsia="zh-CN" w:bidi="ar"/>
              </w:rPr>
              <w:t>点位位置</w:t>
            </w:r>
          </w:p>
        </w:tc>
        <w:tc>
          <w:tcPr>
            <w:tcW w:w="1338"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i w:val="0"/>
                <w:color w:val="auto"/>
                <w:kern w:val="0"/>
                <w:sz w:val="21"/>
                <w:szCs w:val="21"/>
                <w:highlight w:val="none"/>
                <w:u w:val="none"/>
                <w:lang w:val="en-US" w:eastAsia="zh-CN" w:bidi="ar"/>
              </w:rPr>
            </w:pPr>
            <w:r>
              <w:rPr>
                <w:rFonts w:hint="default" w:ascii="Times New Roman" w:hAnsi="Times New Roman" w:cs="Times New Roman"/>
                <w:b/>
                <w:i w:val="0"/>
                <w:color w:val="auto"/>
                <w:kern w:val="0"/>
                <w:sz w:val="21"/>
                <w:szCs w:val="21"/>
                <w:highlight w:val="none"/>
                <w:u w:val="none"/>
                <w:lang w:val="en-US" w:eastAsia="zh-CN" w:bidi="ar"/>
              </w:rPr>
              <w:t>参考标准</w:t>
            </w:r>
            <w:r>
              <w:rPr>
                <w:rFonts w:hint="default" w:ascii="Times New Roman" w:hAnsi="Times New Roman" w:cs="Times New Roman"/>
                <w:b/>
                <w:i w:val="0"/>
                <w:color w:val="auto"/>
                <w:kern w:val="0"/>
                <w:sz w:val="21"/>
                <w:szCs w:val="21"/>
                <w:highlight w:val="none"/>
                <w:u w:val="none"/>
                <w:vertAlign w:val="superscript"/>
                <w:lang w:val="en-US" w:eastAsia="zh-CN" w:bidi="ar"/>
              </w:rPr>
              <w:t>①</w:t>
            </w:r>
          </w:p>
        </w:tc>
        <w:tc>
          <w:tcPr>
            <w:tcW w:w="896"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sz w:val="21"/>
                <w:szCs w:val="21"/>
                <w:highlight w:val="none"/>
                <w:u w:val="none"/>
              </w:rPr>
              <w:t>石油烃（C</w:t>
            </w:r>
            <w:r>
              <w:rPr>
                <w:rFonts w:hint="default" w:ascii="Times New Roman" w:hAnsi="Times New Roman" w:eastAsia="宋体" w:cs="Times New Roman"/>
                <w:b/>
                <w:i w:val="0"/>
                <w:color w:val="auto"/>
                <w:sz w:val="21"/>
                <w:szCs w:val="21"/>
                <w:highlight w:val="none"/>
                <w:u w:val="none"/>
                <w:vertAlign w:val="subscript"/>
              </w:rPr>
              <w:t>10</w:t>
            </w:r>
            <w:r>
              <w:rPr>
                <w:rFonts w:hint="default" w:ascii="Times New Roman" w:hAnsi="Times New Roman" w:eastAsia="宋体" w:cs="Times New Roman"/>
                <w:b/>
                <w:i w:val="0"/>
                <w:color w:val="auto"/>
                <w:sz w:val="21"/>
                <w:szCs w:val="21"/>
                <w:highlight w:val="none"/>
                <w:u w:val="none"/>
              </w:rPr>
              <w:t>-C</w:t>
            </w:r>
            <w:r>
              <w:rPr>
                <w:rFonts w:hint="default" w:ascii="Times New Roman" w:hAnsi="Times New Roman" w:eastAsia="宋体" w:cs="Times New Roman"/>
                <w:b/>
                <w:i w:val="0"/>
                <w:color w:val="auto"/>
                <w:sz w:val="21"/>
                <w:szCs w:val="21"/>
                <w:highlight w:val="none"/>
                <w:u w:val="none"/>
                <w:vertAlign w:val="subscript"/>
              </w:rPr>
              <w:t>40</w:t>
            </w:r>
            <w:r>
              <w:rPr>
                <w:rFonts w:hint="default" w:ascii="Times New Roman" w:hAnsi="Times New Roman" w:eastAsia="宋体" w:cs="Times New Roman"/>
                <w:b/>
                <w:i w:val="0"/>
                <w:color w:val="auto"/>
                <w:sz w:val="21"/>
                <w:szCs w:val="21"/>
                <w:highlight w:val="none"/>
                <w:u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744"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751"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SJG-1-75</w:t>
            </w:r>
          </w:p>
        </w:tc>
        <w:tc>
          <w:tcPr>
            <w:tcW w:w="1269"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园区边界西侧下风向75m</w:t>
            </w:r>
          </w:p>
        </w:tc>
        <w:tc>
          <w:tcPr>
            <w:tcW w:w="1338"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GB36600第二类用地筛选值</w:t>
            </w:r>
          </w:p>
        </w:tc>
        <w:tc>
          <w:tcPr>
            <w:tcW w:w="896"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&lt;6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74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w:t>
            </w:r>
          </w:p>
        </w:tc>
        <w:tc>
          <w:tcPr>
            <w:tcW w:w="7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SJG-1-200</w:t>
            </w:r>
          </w:p>
        </w:tc>
        <w:tc>
          <w:tcPr>
            <w:tcW w:w="126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园区边界西侧下风向200m</w:t>
            </w:r>
          </w:p>
        </w:tc>
        <w:tc>
          <w:tcPr>
            <w:tcW w:w="1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GB36600第一类用地筛选值</w:t>
            </w:r>
          </w:p>
        </w:tc>
        <w:tc>
          <w:tcPr>
            <w:tcW w:w="89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&lt;6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74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w:t>
            </w:r>
          </w:p>
        </w:tc>
        <w:tc>
          <w:tcPr>
            <w:tcW w:w="7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SJG-2-75</w:t>
            </w:r>
          </w:p>
        </w:tc>
        <w:tc>
          <w:tcPr>
            <w:tcW w:w="126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园区边界南侧下风向75m</w:t>
            </w:r>
          </w:p>
        </w:tc>
        <w:tc>
          <w:tcPr>
            <w:tcW w:w="1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GB36600第二类用地筛选值</w:t>
            </w:r>
          </w:p>
        </w:tc>
        <w:tc>
          <w:tcPr>
            <w:tcW w:w="89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&lt;6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74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w:t>
            </w:r>
          </w:p>
        </w:tc>
        <w:tc>
          <w:tcPr>
            <w:tcW w:w="7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SJG-2-200</w:t>
            </w:r>
          </w:p>
        </w:tc>
        <w:tc>
          <w:tcPr>
            <w:tcW w:w="126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园区边界南侧下风向200m</w:t>
            </w:r>
          </w:p>
        </w:tc>
        <w:tc>
          <w:tcPr>
            <w:tcW w:w="1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GB36600第二类用地筛选值</w:t>
            </w:r>
          </w:p>
        </w:tc>
        <w:tc>
          <w:tcPr>
            <w:tcW w:w="89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&lt;6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74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w:t>
            </w:r>
          </w:p>
        </w:tc>
        <w:tc>
          <w:tcPr>
            <w:tcW w:w="7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SJG-2-400</w:t>
            </w:r>
          </w:p>
        </w:tc>
        <w:tc>
          <w:tcPr>
            <w:tcW w:w="126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园区边界南侧下风向400m</w:t>
            </w:r>
          </w:p>
        </w:tc>
        <w:tc>
          <w:tcPr>
            <w:tcW w:w="1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GB36600第二类用地筛选值</w:t>
            </w:r>
          </w:p>
        </w:tc>
        <w:tc>
          <w:tcPr>
            <w:tcW w:w="89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74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w:t>
            </w:r>
          </w:p>
        </w:tc>
        <w:tc>
          <w:tcPr>
            <w:tcW w:w="7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SJG-3</w:t>
            </w:r>
          </w:p>
        </w:tc>
        <w:tc>
          <w:tcPr>
            <w:tcW w:w="126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园区边界东侧上风向</w:t>
            </w:r>
            <w:r>
              <w:rPr>
                <w:rStyle w:val="69"/>
                <w:rFonts w:hint="default" w:ascii="Times New Roman" w:hAnsi="Times New Roman" w:cs="Times New Roman"/>
                <w:color w:val="auto"/>
                <w:sz w:val="21"/>
                <w:szCs w:val="21"/>
                <w:highlight w:val="none"/>
                <w:lang w:val="en-US" w:eastAsia="zh-CN" w:bidi="ar"/>
              </w:rPr>
              <w:t>800</w:t>
            </w:r>
            <w:r>
              <w:rPr>
                <w:rFonts w:hint="default" w:ascii="Times New Roman" w:hAnsi="Times New Roman" w:eastAsia="宋体" w:cs="Times New Roman"/>
                <w:i w:val="0"/>
                <w:color w:val="auto"/>
                <w:kern w:val="0"/>
                <w:sz w:val="21"/>
                <w:szCs w:val="21"/>
                <w:highlight w:val="none"/>
                <w:u w:val="none"/>
                <w:lang w:val="en-US" w:eastAsia="zh-CN" w:bidi="ar"/>
              </w:rPr>
              <w:t>m</w:t>
            </w:r>
          </w:p>
        </w:tc>
        <w:tc>
          <w:tcPr>
            <w:tcW w:w="1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GB36600第二类用地筛选值</w:t>
            </w:r>
          </w:p>
        </w:tc>
        <w:tc>
          <w:tcPr>
            <w:tcW w:w="89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74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w:t>
            </w:r>
          </w:p>
        </w:tc>
        <w:tc>
          <w:tcPr>
            <w:tcW w:w="7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SJG-4</w:t>
            </w:r>
          </w:p>
        </w:tc>
        <w:tc>
          <w:tcPr>
            <w:tcW w:w="126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园区边界北侧上风向</w:t>
            </w:r>
            <w:r>
              <w:rPr>
                <w:rStyle w:val="69"/>
                <w:rFonts w:hint="default" w:ascii="Times New Roman" w:hAnsi="Times New Roman" w:cs="Times New Roman"/>
                <w:color w:val="auto"/>
                <w:sz w:val="21"/>
                <w:szCs w:val="21"/>
                <w:highlight w:val="none"/>
                <w:lang w:val="en-US" w:eastAsia="zh-CN" w:bidi="ar"/>
              </w:rPr>
              <w:t>750</w:t>
            </w:r>
            <w:r>
              <w:rPr>
                <w:rFonts w:hint="default" w:ascii="Times New Roman" w:hAnsi="Times New Roman" w:eastAsia="宋体" w:cs="Times New Roman"/>
                <w:i w:val="0"/>
                <w:color w:val="auto"/>
                <w:kern w:val="0"/>
                <w:sz w:val="21"/>
                <w:szCs w:val="21"/>
                <w:highlight w:val="none"/>
                <w:u w:val="none"/>
                <w:lang w:val="en-US" w:eastAsia="zh-CN" w:bidi="ar"/>
              </w:rPr>
              <w:t>m</w:t>
            </w:r>
          </w:p>
        </w:tc>
        <w:tc>
          <w:tcPr>
            <w:tcW w:w="1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GB36600第二类用地筛选值</w:t>
            </w:r>
          </w:p>
        </w:tc>
        <w:tc>
          <w:tcPr>
            <w:tcW w:w="89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&lt;6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74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8</w:t>
            </w:r>
          </w:p>
        </w:tc>
        <w:tc>
          <w:tcPr>
            <w:tcW w:w="7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SJG-JJ-1</w:t>
            </w:r>
          </w:p>
        </w:tc>
        <w:tc>
          <w:tcPr>
            <w:tcW w:w="126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企业聚集区北侧</w:t>
            </w:r>
          </w:p>
        </w:tc>
        <w:tc>
          <w:tcPr>
            <w:tcW w:w="1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GB36600第二类用地筛选值</w:t>
            </w:r>
          </w:p>
        </w:tc>
        <w:tc>
          <w:tcPr>
            <w:tcW w:w="89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&lt;6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74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w:t>
            </w:r>
          </w:p>
        </w:tc>
        <w:tc>
          <w:tcPr>
            <w:tcW w:w="7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SJG-JJ-2</w:t>
            </w:r>
          </w:p>
        </w:tc>
        <w:tc>
          <w:tcPr>
            <w:tcW w:w="126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企业聚集区北侧</w:t>
            </w:r>
          </w:p>
        </w:tc>
        <w:tc>
          <w:tcPr>
            <w:tcW w:w="1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GB36600第一类用地筛选值</w:t>
            </w:r>
          </w:p>
        </w:tc>
        <w:tc>
          <w:tcPr>
            <w:tcW w:w="89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74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7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SJG-JJ-3</w:t>
            </w:r>
          </w:p>
        </w:tc>
        <w:tc>
          <w:tcPr>
            <w:tcW w:w="126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企业聚集区南侧</w:t>
            </w:r>
          </w:p>
        </w:tc>
        <w:tc>
          <w:tcPr>
            <w:tcW w:w="1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GB36600第二类用地筛选值</w:t>
            </w:r>
          </w:p>
        </w:tc>
        <w:tc>
          <w:tcPr>
            <w:tcW w:w="89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&lt;6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74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w:t>
            </w:r>
          </w:p>
        </w:tc>
        <w:tc>
          <w:tcPr>
            <w:tcW w:w="7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SJG-JJ-4</w:t>
            </w:r>
          </w:p>
        </w:tc>
        <w:tc>
          <w:tcPr>
            <w:tcW w:w="126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企业聚集区西侧</w:t>
            </w:r>
          </w:p>
        </w:tc>
        <w:tc>
          <w:tcPr>
            <w:tcW w:w="1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GB36600第二类用地筛选值</w:t>
            </w:r>
          </w:p>
        </w:tc>
        <w:tc>
          <w:tcPr>
            <w:tcW w:w="89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&lt;6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74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w:t>
            </w:r>
          </w:p>
        </w:tc>
        <w:tc>
          <w:tcPr>
            <w:tcW w:w="7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SJG-JJ-5</w:t>
            </w:r>
          </w:p>
        </w:tc>
        <w:tc>
          <w:tcPr>
            <w:tcW w:w="126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企业聚集区西侧</w:t>
            </w:r>
          </w:p>
        </w:tc>
        <w:tc>
          <w:tcPr>
            <w:tcW w:w="1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GB36600第二类用地筛选值</w:t>
            </w:r>
          </w:p>
        </w:tc>
        <w:tc>
          <w:tcPr>
            <w:tcW w:w="89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74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13</w:t>
            </w:r>
          </w:p>
        </w:tc>
        <w:tc>
          <w:tcPr>
            <w:tcW w:w="7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SJG-JJ-6</w:t>
            </w:r>
          </w:p>
        </w:tc>
        <w:tc>
          <w:tcPr>
            <w:tcW w:w="126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企业聚集区南侧</w:t>
            </w:r>
          </w:p>
        </w:tc>
        <w:tc>
          <w:tcPr>
            <w:tcW w:w="1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GB36600第二类用地筛选值</w:t>
            </w:r>
          </w:p>
        </w:tc>
        <w:tc>
          <w:tcPr>
            <w:tcW w:w="89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&lt;6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74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14</w:t>
            </w:r>
          </w:p>
        </w:tc>
        <w:tc>
          <w:tcPr>
            <w:tcW w:w="7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SJG-JJ-7</w:t>
            </w:r>
          </w:p>
        </w:tc>
        <w:tc>
          <w:tcPr>
            <w:tcW w:w="126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企业聚集区北侧</w:t>
            </w:r>
          </w:p>
        </w:tc>
        <w:tc>
          <w:tcPr>
            <w:tcW w:w="1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GB36600第二类用地筛选值</w:t>
            </w:r>
          </w:p>
        </w:tc>
        <w:tc>
          <w:tcPr>
            <w:tcW w:w="89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74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w:t>
            </w:r>
          </w:p>
        </w:tc>
        <w:tc>
          <w:tcPr>
            <w:tcW w:w="7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SJG-JJ-8</w:t>
            </w:r>
          </w:p>
        </w:tc>
        <w:tc>
          <w:tcPr>
            <w:tcW w:w="126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企业聚集区北侧</w:t>
            </w:r>
          </w:p>
        </w:tc>
        <w:tc>
          <w:tcPr>
            <w:tcW w:w="1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GB36600第二类用地筛选值</w:t>
            </w:r>
          </w:p>
        </w:tc>
        <w:tc>
          <w:tcPr>
            <w:tcW w:w="89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74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16</w:t>
            </w:r>
          </w:p>
        </w:tc>
        <w:tc>
          <w:tcPr>
            <w:tcW w:w="7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SJG-JJ-9</w:t>
            </w:r>
          </w:p>
        </w:tc>
        <w:tc>
          <w:tcPr>
            <w:tcW w:w="126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企业聚集区南侧</w:t>
            </w:r>
          </w:p>
        </w:tc>
        <w:tc>
          <w:tcPr>
            <w:tcW w:w="1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GB36600第二类用地筛选值</w:t>
            </w:r>
          </w:p>
        </w:tc>
        <w:tc>
          <w:tcPr>
            <w:tcW w:w="89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20" w:hRule="atLeast"/>
          <w:jc w:val="center"/>
        </w:trPr>
        <w:tc>
          <w:tcPr>
            <w:tcW w:w="4103" w:type="pct"/>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最大值</w:t>
            </w:r>
          </w:p>
        </w:tc>
        <w:tc>
          <w:tcPr>
            <w:tcW w:w="89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4103" w:type="pct"/>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最小值</w:t>
            </w:r>
          </w:p>
        </w:tc>
        <w:tc>
          <w:tcPr>
            <w:tcW w:w="89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&lt;6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4103" w:type="pct"/>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平均值</w:t>
            </w:r>
          </w:p>
        </w:tc>
        <w:tc>
          <w:tcPr>
            <w:tcW w:w="89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4103" w:type="pct"/>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检出率</w:t>
            </w:r>
          </w:p>
        </w:tc>
        <w:tc>
          <w:tcPr>
            <w:tcW w:w="89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44</w:t>
            </w:r>
            <w:r>
              <w:rPr>
                <w:rFonts w:hint="default" w:ascii="Times New Roman" w:hAnsi="Times New Roman" w:cs="Times New Roman"/>
                <w:i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4103" w:type="pct"/>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第一类用地筛选值</w:t>
            </w:r>
          </w:p>
        </w:tc>
        <w:tc>
          <w:tcPr>
            <w:tcW w:w="89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826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4103" w:type="pct"/>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第二类用地筛选值</w:t>
            </w:r>
          </w:p>
        </w:tc>
        <w:tc>
          <w:tcPr>
            <w:tcW w:w="89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4500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4103" w:type="pct"/>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达标情况</w:t>
            </w:r>
          </w:p>
        </w:tc>
        <w:tc>
          <w:tcPr>
            <w:tcW w:w="89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达标</w:t>
            </w:r>
          </w:p>
        </w:tc>
      </w:tr>
    </w:tbl>
    <w:p>
      <w:pPr>
        <w:pStyle w:val="2"/>
        <w:rPr>
          <w:rFonts w:hint="default"/>
          <w:lang w:eastAsia="zh-CN"/>
        </w:rPr>
      </w:pPr>
    </w:p>
    <w:p>
      <w:pPr>
        <w:spacing w:before="156" w:beforeLines="50"/>
        <w:ind w:firstLine="420" w:firstLineChars="0"/>
        <w:rPr>
          <w:rFonts w:hint="default" w:ascii="Times New Roman" w:hAnsi="Times New Roman" w:eastAsia="宋体" w:cs="Times New Roman"/>
          <w:b/>
          <w:bCs/>
          <w:color w:val="auto"/>
          <w:sz w:val="24"/>
          <w:highlight w:val="none"/>
          <w:lang w:eastAsia="zh-CN"/>
        </w:rPr>
      </w:pPr>
      <w:r>
        <w:rPr>
          <w:rStyle w:val="64"/>
          <w:rFonts w:hint="default" w:ascii="Times New Roman" w:hAnsi="Times New Roman" w:eastAsia="黑体" w:cs="Times New Roman"/>
          <w:color w:val="auto"/>
          <w:highlight w:val="none"/>
          <w:lang w:eastAsia="zh-CN"/>
        </w:rPr>
        <w:t>（</w:t>
      </w:r>
      <w:r>
        <w:rPr>
          <w:rStyle w:val="64"/>
          <w:rFonts w:hint="eastAsia" w:eastAsia="黑体" w:cs="Times New Roman"/>
          <w:color w:val="auto"/>
          <w:highlight w:val="none"/>
          <w:lang w:val="en-US" w:eastAsia="zh-CN"/>
        </w:rPr>
        <w:t>5</w:t>
      </w:r>
      <w:r>
        <w:rPr>
          <w:rStyle w:val="64"/>
          <w:rFonts w:hint="default" w:ascii="Times New Roman" w:hAnsi="Times New Roman" w:eastAsia="黑体" w:cs="Times New Roman"/>
          <w:color w:val="auto"/>
          <w:highlight w:val="none"/>
          <w:lang w:eastAsia="zh-CN"/>
        </w:rPr>
        <w:t>）</w:t>
      </w:r>
      <w:r>
        <w:rPr>
          <w:rFonts w:hint="default" w:ascii="Times New Roman" w:hAnsi="Times New Roman" w:cs="Times New Roman"/>
          <w:b/>
          <w:bCs/>
          <w:color w:val="auto"/>
          <w:highlight w:val="none"/>
        </w:rPr>
        <w:t>重金属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园区</w:t>
      </w:r>
      <w:r>
        <w:rPr>
          <w:rFonts w:hint="default" w:ascii="Times New Roman" w:hAnsi="Times New Roman" w:cs="Times New Roman"/>
          <w:color w:val="auto"/>
          <w:sz w:val="24"/>
          <w:highlight w:val="none"/>
        </w:rPr>
        <w:t>内</w:t>
      </w:r>
      <w:r>
        <w:rPr>
          <w:rFonts w:hint="eastAsia" w:cs="Times New Roman"/>
          <w:color w:val="auto"/>
          <w:sz w:val="24"/>
          <w:highlight w:val="none"/>
          <w:lang w:val="en-US" w:eastAsia="zh-CN"/>
        </w:rPr>
        <w:t>16个土壤样品（不含质控样品）</w:t>
      </w:r>
      <w:r>
        <w:rPr>
          <w:rFonts w:hint="default" w:ascii="Times New Roman" w:hAnsi="Times New Roman" w:cs="Times New Roman"/>
          <w:color w:val="auto"/>
          <w:sz w:val="24"/>
          <w:highlight w:val="none"/>
        </w:rPr>
        <w:t>重金属测试项目除</w:t>
      </w:r>
      <w:r>
        <w:rPr>
          <w:rFonts w:hint="default" w:ascii="Times New Roman" w:hAnsi="Times New Roman" w:cs="Times New Roman"/>
          <w:color w:val="auto"/>
          <w:sz w:val="24"/>
          <w:highlight w:val="none"/>
          <w:lang w:eastAsia="zh-CN"/>
        </w:rPr>
        <w:t>铬（六价）</w:t>
      </w:r>
      <w:r>
        <w:rPr>
          <w:rFonts w:hint="default" w:ascii="Times New Roman" w:hAnsi="Times New Roman" w:cs="Times New Roman"/>
          <w:color w:val="auto"/>
          <w:sz w:val="24"/>
          <w:highlight w:val="none"/>
        </w:rPr>
        <w:t>以外均有检出</w:t>
      </w:r>
      <w:r>
        <w:rPr>
          <w:rFonts w:hint="default" w:ascii="Times New Roman" w:hAnsi="Times New Roman" w:cs="Times New Roman"/>
          <w:color w:val="auto"/>
          <w:sz w:val="24"/>
          <w:highlight w:val="none"/>
          <w:lang w:eastAsia="zh-CN"/>
        </w:rPr>
        <w:t>，锑检出率为</w:t>
      </w:r>
      <w:r>
        <w:rPr>
          <w:rFonts w:hint="eastAsia" w:cs="Times New Roman"/>
          <w:color w:val="auto"/>
          <w:sz w:val="24"/>
          <w:highlight w:val="none"/>
          <w:lang w:val="en-US" w:eastAsia="zh-CN"/>
        </w:rPr>
        <w:t>81</w:t>
      </w:r>
      <w:r>
        <w:rPr>
          <w:rFonts w:hint="default"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镉</w:t>
      </w:r>
      <w:r>
        <w:rPr>
          <w:rFonts w:hint="default" w:ascii="Times New Roman" w:hAnsi="Times New Roman" w:cs="Times New Roman"/>
          <w:color w:val="auto"/>
          <w:sz w:val="24"/>
          <w:highlight w:val="none"/>
          <w:lang w:eastAsia="zh-CN"/>
        </w:rPr>
        <w:t>检出率为</w:t>
      </w:r>
      <w:r>
        <w:rPr>
          <w:rFonts w:hint="eastAsia" w:cs="Times New Roman"/>
          <w:color w:val="auto"/>
          <w:sz w:val="24"/>
          <w:highlight w:val="none"/>
          <w:lang w:val="en-US" w:eastAsia="zh-CN"/>
        </w:rPr>
        <w:t>94</w:t>
      </w:r>
      <w:r>
        <w:rPr>
          <w:rFonts w:hint="default" w:ascii="Times New Roman" w:hAnsi="Times New Roman" w:cs="Times New Roman"/>
          <w:color w:val="auto"/>
          <w:sz w:val="24"/>
          <w:highlight w:val="none"/>
          <w:lang w:val="en-US" w:eastAsia="zh-CN"/>
        </w:rPr>
        <w:t>%，其余污染物指标</w:t>
      </w:r>
      <w:r>
        <w:rPr>
          <w:rFonts w:hint="default" w:ascii="Times New Roman" w:hAnsi="Times New Roman" w:cs="Times New Roman"/>
          <w:color w:val="auto"/>
          <w:sz w:val="24"/>
          <w:highlight w:val="none"/>
          <w:lang w:eastAsia="zh-CN"/>
        </w:rPr>
        <w:t>检出率</w:t>
      </w:r>
      <w:r>
        <w:rPr>
          <w:rFonts w:hint="default" w:ascii="Times New Roman" w:hAnsi="Times New Roman" w:cs="Times New Roman"/>
          <w:color w:val="auto"/>
          <w:sz w:val="24"/>
          <w:highlight w:val="none"/>
          <w:lang w:val="en-US" w:eastAsia="zh-CN"/>
        </w:rPr>
        <w:t>100%</w:t>
      </w:r>
      <w:r>
        <w:rPr>
          <w:rFonts w:hint="default" w:ascii="Times New Roman" w:hAnsi="Times New Roman" w:cs="Times New Roman"/>
          <w:color w:val="auto"/>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各点位检出的</w:t>
      </w:r>
      <w:r>
        <w:rPr>
          <w:rFonts w:hint="default" w:ascii="Times New Roman" w:hAnsi="Times New Roman" w:cs="Times New Roman"/>
          <w:color w:val="auto"/>
          <w:highlight w:val="none"/>
        </w:rPr>
        <w:t>重金属</w:t>
      </w:r>
      <w:r>
        <w:rPr>
          <w:rFonts w:hint="default" w:ascii="Times New Roman" w:hAnsi="Times New Roman" w:cs="Times New Roman"/>
          <w:color w:val="auto"/>
          <w:highlight w:val="none"/>
          <w:lang w:eastAsia="zh-CN"/>
        </w:rPr>
        <w:t>浓度均未超过对应的</w:t>
      </w:r>
      <w:r>
        <w:rPr>
          <w:rFonts w:hint="default" w:ascii="Times New Roman" w:hAnsi="Times New Roman" w:cs="Times New Roman"/>
          <w:color w:val="auto"/>
          <w:sz w:val="24"/>
          <w:szCs w:val="24"/>
          <w:highlight w:val="none"/>
          <w:lang w:val="en-US" w:eastAsia="zh-CN"/>
        </w:rPr>
        <w:t>参考标准值，各点位重金属监测结果均达标</w:t>
      </w:r>
      <w:r>
        <w:rPr>
          <w:rFonts w:hint="default" w:ascii="Times New Roman" w:hAnsi="Times New Roman" w:cs="Times New Roman"/>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highlight w:val="none"/>
        </w:rPr>
      </w:pPr>
      <w:r>
        <w:rPr>
          <w:rFonts w:hint="default" w:ascii="Times New Roman" w:hAnsi="Times New Roman" w:eastAsia="黑体" w:cs="Times New Roman"/>
          <w:b/>
          <w:bCs/>
          <w:color w:val="auto"/>
          <w:sz w:val="24"/>
          <w:highlight w:val="none"/>
        </w:rPr>
        <w:t>表5-</w:t>
      </w:r>
      <w:r>
        <w:rPr>
          <w:rFonts w:hint="default" w:ascii="Times New Roman" w:hAnsi="Times New Roman" w:eastAsia="黑体" w:cs="Times New Roman"/>
          <w:b/>
          <w:bCs/>
          <w:color w:val="auto"/>
          <w:sz w:val="24"/>
          <w:highlight w:val="none"/>
          <w:lang w:val="en-US" w:eastAsia="zh-CN"/>
        </w:rPr>
        <w:t>3-</w:t>
      </w:r>
      <w:r>
        <w:rPr>
          <w:rFonts w:hint="eastAsia" w:eastAsia="黑体" w:cs="Times New Roman"/>
          <w:b/>
          <w:bCs/>
          <w:color w:val="auto"/>
          <w:sz w:val="24"/>
          <w:highlight w:val="none"/>
          <w:lang w:val="en-US" w:eastAsia="zh-CN"/>
        </w:rPr>
        <w:t>5</w:t>
      </w:r>
      <w:r>
        <w:rPr>
          <w:rFonts w:hint="default" w:ascii="Times New Roman" w:hAnsi="Times New Roman" w:eastAsia="黑体" w:cs="Times New Roman"/>
          <w:b/>
          <w:bCs/>
          <w:color w:val="auto"/>
          <w:sz w:val="24"/>
          <w:highlight w:val="none"/>
        </w:rPr>
        <w:t xml:space="preserve">  土壤样品</w:t>
      </w:r>
      <w:r>
        <w:rPr>
          <w:rFonts w:hint="default" w:ascii="Times New Roman" w:hAnsi="Times New Roman" w:eastAsia="黑体" w:cs="Times New Roman"/>
          <w:b/>
          <w:bCs/>
          <w:color w:val="auto"/>
          <w:sz w:val="24"/>
          <w:highlight w:val="none"/>
          <w:lang w:eastAsia="zh-CN"/>
        </w:rPr>
        <w:t>检出</w:t>
      </w:r>
      <w:r>
        <w:rPr>
          <w:rFonts w:hint="default" w:ascii="Times New Roman" w:hAnsi="Times New Roman" w:eastAsia="黑体" w:cs="Times New Roman"/>
          <w:b/>
          <w:bCs/>
          <w:color w:val="auto"/>
          <w:sz w:val="24"/>
          <w:highlight w:val="none"/>
        </w:rPr>
        <w:t>重金属</w:t>
      </w:r>
      <w:r>
        <w:rPr>
          <w:rFonts w:hint="default" w:ascii="Times New Roman" w:hAnsi="Times New Roman" w:eastAsia="黑体" w:cs="Times New Roman"/>
          <w:b/>
          <w:bCs/>
          <w:color w:val="auto"/>
          <w:sz w:val="24"/>
          <w:highlight w:val="none"/>
          <w:lang w:eastAsia="zh-CN"/>
        </w:rPr>
        <w:t>指标</w:t>
      </w:r>
      <w:r>
        <w:rPr>
          <w:rFonts w:hint="default" w:ascii="Times New Roman" w:hAnsi="Times New Roman" w:eastAsia="黑体" w:cs="Times New Roman"/>
          <w:b/>
          <w:bCs/>
          <w:color w:val="auto"/>
          <w:sz w:val="24"/>
          <w:highlight w:val="none"/>
        </w:rPr>
        <w:t>监测值</w:t>
      </w:r>
      <w:r>
        <w:rPr>
          <w:rFonts w:hint="default" w:ascii="Times New Roman" w:hAnsi="Times New Roman" w:eastAsia="黑体" w:cs="Times New Roman"/>
          <w:b/>
          <w:bCs/>
          <w:color w:val="auto"/>
          <w:sz w:val="24"/>
          <w:highlight w:val="none"/>
          <w:lang w:eastAsia="zh-CN"/>
        </w:rPr>
        <w:t>（建设用地标准）</w:t>
      </w:r>
      <w:r>
        <w:rPr>
          <w:rFonts w:hint="default" w:ascii="Times New Roman" w:hAnsi="Times New Roman" w:eastAsia="黑体" w:cs="Times New Roman"/>
          <w:b/>
          <w:bCs/>
          <w:color w:val="auto"/>
          <w:sz w:val="24"/>
          <w:highlight w:val="none"/>
        </w:rPr>
        <w:t xml:space="preserve">  （单位：mg/kg）</w:t>
      </w:r>
    </w:p>
    <w:tbl>
      <w:tblPr>
        <w:tblStyle w:val="21"/>
        <w:tblW w:w="505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342"/>
        <w:gridCol w:w="1000"/>
        <w:gridCol w:w="1376"/>
        <w:gridCol w:w="1367"/>
        <w:gridCol w:w="568"/>
        <w:gridCol w:w="568"/>
        <w:gridCol w:w="568"/>
        <w:gridCol w:w="568"/>
        <w:gridCol w:w="568"/>
        <w:gridCol w:w="568"/>
        <w:gridCol w:w="568"/>
        <w:gridCol w:w="568"/>
        <w:gridCol w:w="568"/>
        <w:gridCol w:w="5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tblHeader/>
          <w:jc w:val="center"/>
        </w:trPr>
        <w:tc>
          <w:tcPr>
            <w:tcW w:w="175"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lang w:val="en-US"/>
              </w:rPr>
            </w:pPr>
            <w:r>
              <w:rPr>
                <w:rFonts w:hint="default" w:ascii="Times New Roman" w:hAnsi="Times New Roman" w:eastAsia="宋体" w:cs="Times New Roman"/>
                <w:b/>
                <w:i w:val="0"/>
                <w:color w:val="auto"/>
                <w:kern w:val="0"/>
                <w:sz w:val="21"/>
                <w:szCs w:val="21"/>
                <w:highlight w:val="none"/>
                <w:u w:val="none"/>
                <w:lang w:val="en-US" w:eastAsia="zh-CN" w:bidi="ar"/>
              </w:rPr>
              <w:t>序号</w:t>
            </w:r>
          </w:p>
        </w:tc>
        <w:tc>
          <w:tcPr>
            <w:tcW w:w="511"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kern w:val="0"/>
                <w:sz w:val="21"/>
                <w:szCs w:val="21"/>
                <w:highlight w:val="none"/>
                <w:u w:val="none"/>
                <w:lang w:val="en-US" w:eastAsia="zh-CN" w:bidi="ar"/>
              </w:rPr>
            </w:pPr>
            <w:r>
              <w:rPr>
                <w:rFonts w:hint="default" w:ascii="Times New Roman" w:hAnsi="Times New Roman" w:cs="Times New Roman"/>
                <w:b/>
                <w:i w:val="0"/>
                <w:color w:val="auto"/>
                <w:kern w:val="0"/>
                <w:sz w:val="21"/>
                <w:szCs w:val="21"/>
                <w:highlight w:val="none"/>
                <w:u w:val="none"/>
                <w:lang w:val="en-US" w:eastAsia="zh-CN" w:bidi="ar"/>
              </w:rPr>
              <w:t>样品</w:t>
            </w:r>
            <w:r>
              <w:rPr>
                <w:rFonts w:hint="default" w:ascii="Times New Roman" w:hAnsi="Times New Roman" w:eastAsia="宋体" w:cs="Times New Roman"/>
                <w:b/>
                <w:i w:val="0"/>
                <w:color w:val="auto"/>
                <w:kern w:val="0"/>
                <w:sz w:val="21"/>
                <w:szCs w:val="21"/>
                <w:highlight w:val="none"/>
                <w:u w:val="none"/>
                <w:lang w:val="en-US" w:eastAsia="zh-CN" w:bidi="ar"/>
              </w:rPr>
              <w:t>编号</w:t>
            </w:r>
          </w:p>
        </w:tc>
        <w:tc>
          <w:tcPr>
            <w:tcW w:w="704"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i w:val="0"/>
                <w:color w:val="auto"/>
                <w:kern w:val="0"/>
                <w:sz w:val="21"/>
                <w:szCs w:val="21"/>
                <w:highlight w:val="none"/>
                <w:u w:val="none"/>
                <w:lang w:val="en-US" w:eastAsia="zh-CN" w:bidi="ar"/>
              </w:rPr>
            </w:pPr>
            <w:r>
              <w:rPr>
                <w:rFonts w:hint="default" w:ascii="Times New Roman" w:hAnsi="Times New Roman" w:cs="Times New Roman"/>
                <w:b/>
                <w:i w:val="0"/>
                <w:color w:val="auto"/>
                <w:kern w:val="0"/>
                <w:sz w:val="21"/>
                <w:szCs w:val="21"/>
                <w:highlight w:val="none"/>
                <w:u w:val="none"/>
                <w:lang w:val="en-US" w:eastAsia="zh-CN" w:bidi="ar"/>
              </w:rPr>
              <w:t>点位位置</w:t>
            </w:r>
          </w:p>
        </w:tc>
        <w:tc>
          <w:tcPr>
            <w:tcW w:w="699"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i w:val="0"/>
                <w:color w:val="auto"/>
                <w:kern w:val="0"/>
                <w:sz w:val="21"/>
                <w:szCs w:val="21"/>
                <w:highlight w:val="none"/>
                <w:u w:val="none"/>
                <w:lang w:val="en-US" w:eastAsia="zh-CN" w:bidi="ar"/>
              </w:rPr>
            </w:pPr>
            <w:r>
              <w:rPr>
                <w:rFonts w:hint="default" w:ascii="Times New Roman" w:hAnsi="Times New Roman" w:cs="Times New Roman"/>
                <w:b/>
                <w:i w:val="0"/>
                <w:color w:val="auto"/>
                <w:kern w:val="0"/>
                <w:sz w:val="21"/>
                <w:szCs w:val="21"/>
                <w:highlight w:val="none"/>
                <w:u w:val="none"/>
                <w:lang w:val="en-US" w:eastAsia="zh-CN" w:bidi="ar"/>
              </w:rPr>
              <w:t>参考标准</w:t>
            </w:r>
          </w:p>
        </w:tc>
        <w:tc>
          <w:tcPr>
            <w:tcW w:w="290"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铅</w:t>
            </w:r>
          </w:p>
        </w:tc>
        <w:tc>
          <w:tcPr>
            <w:tcW w:w="290"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汞</w:t>
            </w:r>
          </w:p>
        </w:tc>
        <w:tc>
          <w:tcPr>
            <w:tcW w:w="290"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钴</w:t>
            </w:r>
          </w:p>
        </w:tc>
        <w:tc>
          <w:tcPr>
            <w:tcW w:w="290"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镉</w:t>
            </w:r>
            <w:r>
              <w:rPr>
                <w:rFonts w:hint="default" w:ascii="Times New Roman" w:hAnsi="Times New Roman" w:cs="Times New Roman"/>
                <w:b/>
                <w:i w:val="0"/>
                <w:color w:val="auto"/>
                <w:kern w:val="0"/>
                <w:sz w:val="21"/>
                <w:szCs w:val="21"/>
                <w:highlight w:val="none"/>
                <w:u w:val="none"/>
                <w:vertAlign w:val="superscript"/>
                <w:lang w:val="en-US" w:eastAsia="zh-CN" w:bidi="ar"/>
              </w:rPr>
              <w:t>①</w:t>
            </w:r>
          </w:p>
        </w:tc>
        <w:tc>
          <w:tcPr>
            <w:tcW w:w="290"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铜</w:t>
            </w:r>
          </w:p>
        </w:tc>
        <w:tc>
          <w:tcPr>
            <w:tcW w:w="290"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镍</w:t>
            </w:r>
          </w:p>
        </w:tc>
        <w:tc>
          <w:tcPr>
            <w:tcW w:w="290"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铬</w:t>
            </w:r>
          </w:p>
        </w:tc>
        <w:tc>
          <w:tcPr>
            <w:tcW w:w="290"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砷</w:t>
            </w:r>
          </w:p>
        </w:tc>
        <w:tc>
          <w:tcPr>
            <w:tcW w:w="290"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kern w:val="0"/>
                <w:sz w:val="21"/>
                <w:szCs w:val="21"/>
                <w:highlight w:val="none"/>
                <w:u w:val="none"/>
                <w:lang w:val="en-US" w:eastAsia="zh-CN" w:bidi="ar"/>
              </w:rPr>
            </w:pPr>
            <w:r>
              <w:rPr>
                <w:rFonts w:hint="default" w:ascii="Times New Roman" w:hAnsi="Times New Roman" w:cs="Times New Roman"/>
                <w:b/>
                <w:i w:val="0"/>
                <w:color w:val="auto"/>
                <w:kern w:val="0"/>
                <w:sz w:val="21"/>
                <w:szCs w:val="21"/>
                <w:highlight w:val="none"/>
                <w:u w:val="none"/>
                <w:lang w:val="en-US" w:eastAsia="zh-CN" w:bidi="ar"/>
              </w:rPr>
              <w:t>钼</w:t>
            </w:r>
          </w:p>
        </w:tc>
        <w:tc>
          <w:tcPr>
            <w:tcW w:w="293" w:type="pct"/>
            <w:tcBorders>
              <w:bottom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kern w:val="0"/>
                <w:sz w:val="21"/>
                <w:szCs w:val="21"/>
                <w:highlight w:val="none"/>
                <w:u w:val="none"/>
                <w:lang w:val="en-US" w:eastAsia="zh-CN" w:bidi="ar"/>
              </w:rPr>
            </w:pPr>
            <w:r>
              <w:rPr>
                <w:rFonts w:hint="default" w:ascii="Times New Roman" w:hAnsi="Times New Roman" w:cs="Times New Roman"/>
                <w:b/>
                <w:i w:val="0"/>
                <w:color w:val="auto"/>
                <w:kern w:val="0"/>
                <w:sz w:val="21"/>
                <w:szCs w:val="21"/>
                <w:highlight w:val="none"/>
                <w:u w:val="none"/>
                <w:lang w:val="en-US" w:eastAsia="zh-CN" w:bidi="ar"/>
              </w:rPr>
              <w:t>锑</w:t>
            </w:r>
            <w:r>
              <w:rPr>
                <w:rFonts w:hint="eastAsia" w:cs="Times New Roman"/>
                <w:b/>
                <w:i w:val="0"/>
                <w:color w:val="auto"/>
                <w:kern w:val="0"/>
                <w:sz w:val="21"/>
                <w:szCs w:val="21"/>
                <w:highlight w:val="none"/>
                <w:u w:val="none"/>
                <w:vertAlign w:val="superscript"/>
                <w:lang w:val="en-US" w:eastAsia="zh-CN" w:bidi="ar"/>
              </w:rPr>
              <w:t>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5"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511"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SJG-1-75</w:t>
            </w:r>
          </w:p>
        </w:tc>
        <w:tc>
          <w:tcPr>
            <w:tcW w:w="704"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园区边界西侧下风向75m</w:t>
            </w:r>
          </w:p>
        </w:tc>
        <w:tc>
          <w:tcPr>
            <w:tcW w:w="699"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第二类用地筛选值</w:t>
            </w:r>
          </w:p>
        </w:tc>
        <w:tc>
          <w:tcPr>
            <w:tcW w:w="290"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24.7</w:t>
            </w:r>
          </w:p>
        </w:tc>
        <w:tc>
          <w:tcPr>
            <w:tcW w:w="290"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0.09</w:t>
            </w:r>
          </w:p>
        </w:tc>
        <w:tc>
          <w:tcPr>
            <w:tcW w:w="290"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11.4</w:t>
            </w:r>
          </w:p>
        </w:tc>
        <w:tc>
          <w:tcPr>
            <w:tcW w:w="290"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0.04</w:t>
            </w:r>
          </w:p>
        </w:tc>
        <w:tc>
          <w:tcPr>
            <w:tcW w:w="290"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21</w:t>
            </w:r>
          </w:p>
        </w:tc>
        <w:tc>
          <w:tcPr>
            <w:tcW w:w="290"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28</w:t>
            </w:r>
          </w:p>
        </w:tc>
        <w:tc>
          <w:tcPr>
            <w:tcW w:w="290"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58</w:t>
            </w:r>
          </w:p>
        </w:tc>
        <w:tc>
          <w:tcPr>
            <w:tcW w:w="290"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7.3</w:t>
            </w:r>
          </w:p>
        </w:tc>
        <w:tc>
          <w:tcPr>
            <w:tcW w:w="290"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0.3</w:t>
            </w:r>
          </w:p>
        </w:tc>
        <w:tc>
          <w:tcPr>
            <w:tcW w:w="293"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&lt;0.3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w:t>
            </w:r>
          </w:p>
        </w:tc>
        <w:tc>
          <w:tcPr>
            <w:tcW w:w="51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SJG-1-200</w:t>
            </w:r>
          </w:p>
        </w:tc>
        <w:tc>
          <w:tcPr>
            <w:tcW w:w="70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园区边界西侧下风向200m</w:t>
            </w:r>
          </w:p>
        </w:tc>
        <w:tc>
          <w:tcPr>
            <w:tcW w:w="6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第一类用地筛选值</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19.4</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0.11</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12</w:t>
            </w:r>
            <w:r>
              <w:rPr>
                <w:rFonts w:hint="default" w:ascii="Times New Roman" w:hAnsi="Times New Roman" w:cs="Times New Roman"/>
                <w:i w:val="0"/>
                <w:color w:val="auto"/>
                <w:kern w:val="0"/>
                <w:sz w:val="21"/>
                <w:szCs w:val="21"/>
                <w:highlight w:val="none"/>
                <w:u w:val="none"/>
                <w:lang w:val="en-US" w:eastAsia="zh-CN" w:bidi="ar"/>
              </w:rPr>
              <w:t>.0</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0.04</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22</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29</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61</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9.9</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0.4</w:t>
            </w:r>
          </w:p>
        </w:tc>
        <w:tc>
          <w:tcPr>
            <w:tcW w:w="2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w:t>
            </w:r>
          </w:p>
        </w:tc>
        <w:tc>
          <w:tcPr>
            <w:tcW w:w="51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SJG-2-75</w:t>
            </w:r>
          </w:p>
        </w:tc>
        <w:tc>
          <w:tcPr>
            <w:tcW w:w="70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园区边界南侧下风向75m</w:t>
            </w:r>
          </w:p>
        </w:tc>
        <w:tc>
          <w:tcPr>
            <w:tcW w:w="6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第二类用地筛选值</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18.8</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0.07</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7.82</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&lt;0.01</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23</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49</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100</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9.4</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0.3</w:t>
            </w:r>
          </w:p>
        </w:tc>
        <w:tc>
          <w:tcPr>
            <w:tcW w:w="2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w:t>
            </w:r>
          </w:p>
        </w:tc>
        <w:tc>
          <w:tcPr>
            <w:tcW w:w="51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SJG-2-200</w:t>
            </w:r>
          </w:p>
        </w:tc>
        <w:tc>
          <w:tcPr>
            <w:tcW w:w="70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园区边界南侧下风向200m</w:t>
            </w:r>
          </w:p>
        </w:tc>
        <w:tc>
          <w:tcPr>
            <w:tcW w:w="6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第二类用地筛选值</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19.4</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0.09</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8</w:t>
            </w:r>
            <w:r>
              <w:rPr>
                <w:rFonts w:hint="default" w:ascii="Times New Roman" w:hAnsi="Times New Roman" w:cs="Times New Roman"/>
                <w:i w:val="0"/>
                <w:color w:val="auto"/>
                <w:kern w:val="0"/>
                <w:sz w:val="21"/>
                <w:szCs w:val="21"/>
                <w:highlight w:val="none"/>
                <w:u w:val="none"/>
                <w:lang w:val="en-US" w:eastAsia="zh-CN" w:bidi="ar"/>
              </w:rPr>
              <w:t>.00</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0.04</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22</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36</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85</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9.8</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0.4</w:t>
            </w:r>
          </w:p>
        </w:tc>
        <w:tc>
          <w:tcPr>
            <w:tcW w:w="2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w:t>
            </w:r>
          </w:p>
        </w:tc>
        <w:tc>
          <w:tcPr>
            <w:tcW w:w="51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SJG-2-400</w:t>
            </w:r>
          </w:p>
        </w:tc>
        <w:tc>
          <w:tcPr>
            <w:tcW w:w="70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园区边界南侧下风向400m</w:t>
            </w:r>
          </w:p>
        </w:tc>
        <w:tc>
          <w:tcPr>
            <w:tcW w:w="6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第二类用地筛选值</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22</w:t>
            </w:r>
            <w:r>
              <w:rPr>
                <w:rFonts w:hint="default" w:ascii="Times New Roman" w:hAnsi="Times New Roman" w:cs="Times New Roman"/>
                <w:i w:val="0"/>
                <w:color w:val="auto"/>
                <w:kern w:val="0"/>
                <w:sz w:val="21"/>
                <w:szCs w:val="21"/>
                <w:highlight w:val="none"/>
                <w:u w:val="none"/>
                <w:lang w:val="en-US" w:eastAsia="zh-CN" w:bidi="ar"/>
              </w:rPr>
              <w:t>.0</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0.09</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7.9</w:t>
            </w:r>
            <w:r>
              <w:rPr>
                <w:rFonts w:hint="default" w:ascii="Times New Roman" w:hAnsi="Times New Roman" w:cs="Times New Roman"/>
                <w:i w:val="0"/>
                <w:color w:val="auto"/>
                <w:kern w:val="0"/>
                <w:sz w:val="21"/>
                <w:szCs w:val="21"/>
                <w:highlight w:val="none"/>
                <w:u w:val="none"/>
                <w:lang w:val="en-US" w:eastAsia="zh-CN" w:bidi="ar"/>
              </w:rPr>
              <w:t>0</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0.08</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28</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38</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86</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11.5</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0.4</w:t>
            </w:r>
          </w:p>
        </w:tc>
        <w:tc>
          <w:tcPr>
            <w:tcW w:w="2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w:t>
            </w:r>
          </w:p>
        </w:tc>
        <w:tc>
          <w:tcPr>
            <w:tcW w:w="51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SJG-3</w:t>
            </w:r>
          </w:p>
        </w:tc>
        <w:tc>
          <w:tcPr>
            <w:tcW w:w="70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园区边界东侧上风向</w:t>
            </w:r>
            <w:r>
              <w:rPr>
                <w:rStyle w:val="69"/>
                <w:rFonts w:hint="default" w:ascii="Times New Roman" w:hAnsi="Times New Roman" w:cs="Times New Roman"/>
                <w:color w:val="auto"/>
                <w:sz w:val="21"/>
                <w:szCs w:val="21"/>
                <w:highlight w:val="none"/>
                <w:lang w:val="en-US" w:eastAsia="zh-CN" w:bidi="ar"/>
              </w:rPr>
              <w:t>800</w:t>
            </w:r>
            <w:r>
              <w:rPr>
                <w:rFonts w:hint="default" w:ascii="Times New Roman" w:hAnsi="Times New Roman" w:eastAsia="宋体" w:cs="Times New Roman"/>
                <w:i w:val="0"/>
                <w:color w:val="auto"/>
                <w:kern w:val="0"/>
                <w:sz w:val="21"/>
                <w:szCs w:val="21"/>
                <w:highlight w:val="none"/>
                <w:u w:val="none"/>
                <w:lang w:val="en-US" w:eastAsia="zh-CN" w:bidi="ar"/>
              </w:rPr>
              <w:t>m</w:t>
            </w:r>
          </w:p>
        </w:tc>
        <w:tc>
          <w:tcPr>
            <w:tcW w:w="6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第二类用地筛选值</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26.3</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0.11</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12.1</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0.19</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41</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39</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37</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9.7</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0.9</w:t>
            </w:r>
          </w:p>
        </w:tc>
        <w:tc>
          <w:tcPr>
            <w:tcW w:w="2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w:t>
            </w:r>
          </w:p>
        </w:tc>
        <w:tc>
          <w:tcPr>
            <w:tcW w:w="51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SJG-4</w:t>
            </w:r>
          </w:p>
        </w:tc>
        <w:tc>
          <w:tcPr>
            <w:tcW w:w="70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园区边界北侧上风向</w:t>
            </w:r>
            <w:r>
              <w:rPr>
                <w:rStyle w:val="69"/>
                <w:rFonts w:hint="default" w:ascii="Times New Roman" w:hAnsi="Times New Roman" w:cs="Times New Roman"/>
                <w:color w:val="auto"/>
                <w:sz w:val="21"/>
                <w:szCs w:val="21"/>
                <w:highlight w:val="none"/>
                <w:lang w:val="en-US" w:eastAsia="zh-CN" w:bidi="ar"/>
              </w:rPr>
              <w:t>750</w:t>
            </w:r>
            <w:r>
              <w:rPr>
                <w:rFonts w:hint="default" w:ascii="Times New Roman" w:hAnsi="Times New Roman" w:eastAsia="宋体" w:cs="Times New Roman"/>
                <w:i w:val="0"/>
                <w:color w:val="auto"/>
                <w:kern w:val="0"/>
                <w:sz w:val="21"/>
                <w:szCs w:val="21"/>
                <w:highlight w:val="none"/>
                <w:u w:val="none"/>
                <w:lang w:val="en-US" w:eastAsia="zh-CN" w:bidi="ar"/>
              </w:rPr>
              <w:t>m</w:t>
            </w:r>
          </w:p>
        </w:tc>
        <w:tc>
          <w:tcPr>
            <w:tcW w:w="6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第二类用地筛选值</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20</w:t>
            </w:r>
            <w:r>
              <w:rPr>
                <w:rFonts w:hint="default" w:ascii="Times New Roman" w:hAnsi="Times New Roman" w:cs="Times New Roman"/>
                <w:i w:val="0"/>
                <w:color w:val="auto"/>
                <w:kern w:val="0"/>
                <w:sz w:val="21"/>
                <w:szCs w:val="21"/>
                <w:highlight w:val="none"/>
                <w:u w:val="none"/>
                <w:lang w:val="en-US" w:eastAsia="zh-CN" w:bidi="ar"/>
              </w:rPr>
              <w:t>.0</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0.08</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10.7</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0.13</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24</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32</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45</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8</w:t>
            </w:r>
            <w:r>
              <w:rPr>
                <w:rFonts w:hint="default" w:ascii="Times New Roman" w:hAnsi="Times New Roman" w:cs="Times New Roman"/>
                <w:i w:val="0"/>
                <w:color w:val="000000"/>
                <w:kern w:val="0"/>
                <w:sz w:val="21"/>
                <w:szCs w:val="21"/>
                <w:highlight w:val="none"/>
                <w:u w:val="none"/>
                <w:lang w:val="en-US" w:eastAsia="zh-CN" w:bidi="ar"/>
              </w:rPr>
              <w:t>.0</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0.4</w:t>
            </w:r>
          </w:p>
        </w:tc>
        <w:tc>
          <w:tcPr>
            <w:tcW w:w="2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8</w:t>
            </w:r>
          </w:p>
        </w:tc>
        <w:tc>
          <w:tcPr>
            <w:tcW w:w="51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SJG-JJ-1</w:t>
            </w:r>
          </w:p>
        </w:tc>
        <w:tc>
          <w:tcPr>
            <w:tcW w:w="70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企业聚集区北侧</w:t>
            </w:r>
          </w:p>
        </w:tc>
        <w:tc>
          <w:tcPr>
            <w:tcW w:w="6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第二类用地筛选值</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17.5</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0.09</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12.2</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0.06</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26</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36</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68</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11</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0.5</w:t>
            </w:r>
          </w:p>
        </w:tc>
        <w:tc>
          <w:tcPr>
            <w:tcW w:w="2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w:t>
            </w:r>
          </w:p>
        </w:tc>
        <w:tc>
          <w:tcPr>
            <w:tcW w:w="51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SJG-JJ-2</w:t>
            </w:r>
          </w:p>
        </w:tc>
        <w:tc>
          <w:tcPr>
            <w:tcW w:w="70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企业聚集区北侧</w:t>
            </w:r>
          </w:p>
        </w:tc>
        <w:tc>
          <w:tcPr>
            <w:tcW w:w="6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第一类用地筛选值</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25.8</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0.09</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10.1</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0.13</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26</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30</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63</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9.6</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0.5</w:t>
            </w:r>
          </w:p>
        </w:tc>
        <w:tc>
          <w:tcPr>
            <w:tcW w:w="2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51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SJG-JJ-3</w:t>
            </w:r>
          </w:p>
        </w:tc>
        <w:tc>
          <w:tcPr>
            <w:tcW w:w="70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企业聚集区南侧</w:t>
            </w:r>
          </w:p>
        </w:tc>
        <w:tc>
          <w:tcPr>
            <w:tcW w:w="6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第二类用地筛选值</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17.1</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0.16</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8.86</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0.04</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22</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24</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57</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8.2</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0.4</w:t>
            </w:r>
          </w:p>
        </w:tc>
        <w:tc>
          <w:tcPr>
            <w:tcW w:w="2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w:t>
            </w:r>
          </w:p>
        </w:tc>
        <w:tc>
          <w:tcPr>
            <w:tcW w:w="51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SJG-JJ-4</w:t>
            </w:r>
          </w:p>
        </w:tc>
        <w:tc>
          <w:tcPr>
            <w:tcW w:w="70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企业聚集区西侧</w:t>
            </w:r>
          </w:p>
        </w:tc>
        <w:tc>
          <w:tcPr>
            <w:tcW w:w="6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第二类用地筛选值</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17.3</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0.09</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9.67</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0.05</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23</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32</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67</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8.8</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0.3</w:t>
            </w:r>
          </w:p>
        </w:tc>
        <w:tc>
          <w:tcPr>
            <w:tcW w:w="2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&lt;0.3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w:t>
            </w:r>
          </w:p>
        </w:tc>
        <w:tc>
          <w:tcPr>
            <w:tcW w:w="51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SJG-JJ-5</w:t>
            </w:r>
          </w:p>
        </w:tc>
        <w:tc>
          <w:tcPr>
            <w:tcW w:w="70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企业聚集区西侧</w:t>
            </w:r>
          </w:p>
        </w:tc>
        <w:tc>
          <w:tcPr>
            <w:tcW w:w="6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第二类用地筛选值</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17.6</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0.13</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9.11</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0.08</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27</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31</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65</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6.8</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0.6</w:t>
            </w:r>
          </w:p>
        </w:tc>
        <w:tc>
          <w:tcPr>
            <w:tcW w:w="2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&lt;0.3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13</w:t>
            </w:r>
          </w:p>
        </w:tc>
        <w:tc>
          <w:tcPr>
            <w:tcW w:w="51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SJG-JJ-6</w:t>
            </w:r>
          </w:p>
        </w:tc>
        <w:tc>
          <w:tcPr>
            <w:tcW w:w="70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企业聚集区南侧</w:t>
            </w:r>
          </w:p>
        </w:tc>
        <w:tc>
          <w:tcPr>
            <w:tcW w:w="6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第二类用地筛选值</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16.9</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0.1</w:t>
            </w:r>
            <w:r>
              <w:rPr>
                <w:rFonts w:hint="default" w:ascii="Times New Roman" w:hAnsi="Times New Roman" w:cs="Times New Roman"/>
                <w:color w:val="auto"/>
                <w:sz w:val="21"/>
                <w:szCs w:val="21"/>
                <w:highlight w:val="none"/>
                <w:lang w:val="en-US" w:eastAsia="zh-CN"/>
              </w:rPr>
              <w:t>0</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9.06</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0.06</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28</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29</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47</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6.6</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0.4</w:t>
            </w:r>
          </w:p>
        </w:tc>
        <w:tc>
          <w:tcPr>
            <w:tcW w:w="2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14</w:t>
            </w:r>
          </w:p>
        </w:tc>
        <w:tc>
          <w:tcPr>
            <w:tcW w:w="51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SJG-JJ-7</w:t>
            </w:r>
          </w:p>
        </w:tc>
        <w:tc>
          <w:tcPr>
            <w:tcW w:w="70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企业聚集区北侧</w:t>
            </w:r>
          </w:p>
        </w:tc>
        <w:tc>
          <w:tcPr>
            <w:tcW w:w="6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第二类用地筛选值</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22</w:t>
            </w:r>
            <w:r>
              <w:rPr>
                <w:rFonts w:hint="default" w:ascii="Times New Roman" w:hAnsi="Times New Roman" w:cs="Times New Roman"/>
                <w:i w:val="0"/>
                <w:color w:val="auto"/>
                <w:kern w:val="0"/>
                <w:sz w:val="21"/>
                <w:szCs w:val="21"/>
                <w:highlight w:val="none"/>
                <w:u w:val="none"/>
                <w:lang w:val="en-US" w:eastAsia="zh-CN" w:bidi="ar"/>
              </w:rPr>
              <w:t>.0</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0.09</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9.89</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0.04</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27</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32</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58</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9.8</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0.5</w:t>
            </w:r>
          </w:p>
        </w:tc>
        <w:tc>
          <w:tcPr>
            <w:tcW w:w="2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w:t>
            </w:r>
          </w:p>
        </w:tc>
        <w:tc>
          <w:tcPr>
            <w:tcW w:w="51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SJG-JJ-8</w:t>
            </w:r>
          </w:p>
        </w:tc>
        <w:tc>
          <w:tcPr>
            <w:tcW w:w="70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企业聚集区北侧</w:t>
            </w:r>
          </w:p>
        </w:tc>
        <w:tc>
          <w:tcPr>
            <w:tcW w:w="6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第二类用地筛选值</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27.1</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0.09</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8.93</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0.07</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31</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27</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45</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10.2</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0.6</w:t>
            </w:r>
          </w:p>
        </w:tc>
        <w:tc>
          <w:tcPr>
            <w:tcW w:w="2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16</w:t>
            </w:r>
          </w:p>
        </w:tc>
        <w:tc>
          <w:tcPr>
            <w:tcW w:w="51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SJG-JJ-9</w:t>
            </w:r>
          </w:p>
        </w:tc>
        <w:tc>
          <w:tcPr>
            <w:tcW w:w="70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企业聚集区南侧</w:t>
            </w:r>
          </w:p>
        </w:tc>
        <w:tc>
          <w:tcPr>
            <w:tcW w:w="6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sz w:val="21"/>
                <w:szCs w:val="21"/>
                <w:highlight w:val="none"/>
                <w:u w:val="none"/>
                <w:lang w:val="en-US" w:eastAsia="zh-CN"/>
              </w:rPr>
              <w:t>第二类用地筛选值</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38.2</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0.14</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12.3</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0.09</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35</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33</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60</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10.7</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0.8</w:t>
            </w:r>
          </w:p>
        </w:tc>
        <w:tc>
          <w:tcPr>
            <w:tcW w:w="2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090" w:type="pct"/>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最大值</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2"/>
                <w:szCs w:val="22"/>
                <w:highlight w:val="none"/>
                <w:u w:val="none"/>
                <w:lang w:val="en-US" w:eastAsia="zh-CN" w:bidi="ar"/>
              </w:rPr>
              <w:t>38.2</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2"/>
                <w:szCs w:val="22"/>
                <w:highlight w:val="none"/>
                <w:u w:val="none"/>
                <w:lang w:val="en-US" w:eastAsia="zh-CN" w:bidi="ar"/>
              </w:rPr>
              <w:t>0.16</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2"/>
                <w:szCs w:val="22"/>
                <w:highlight w:val="none"/>
                <w:u w:val="none"/>
                <w:lang w:val="en-US" w:eastAsia="zh-CN" w:bidi="ar"/>
              </w:rPr>
              <w:t>12.3</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2"/>
                <w:szCs w:val="22"/>
                <w:highlight w:val="none"/>
                <w:u w:val="none"/>
                <w:lang w:val="en-US" w:eastAsia="zh-CN" w:bidi="ar"/>
              </w:rPr>
              <w:t>0.19</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2"/>
                <w:szCs w:val="22"/>
                <w:highlight w:val="none"/>
                <w:u w:val="none"/>
                <w:lang w:val="en-US" w:eastAsia="zh-CN" w:bidi="ar"/>
              </w:rPr>
              <w:t>41</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2"/>
                <w:szCs w:val="22"/>
                <w:highlight w:val="none"/>
                <w:u w:val="none"/>
                <w:lang w:val="en-US" w:eastAsia="zh-CN" w:bidi="ar"/>
              </w:rPr>
              <w:t>49</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2"/>
                <w:szCs w:val="22"/>
                <w:highlight w:val="none"/>
                <w:u w:val="none"/>
                <w:lang w:val="en-US" w:eastAsia="zh-CN" w:bidi="ar"/>
              </w:rPr>
              <w:t>100</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11.5</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0.9</w:t>
            </w:r>
          </w:p>
        </w:tc>
        <w:tc>
          <w:tcPr>
            <w:tcW w:w="2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090" w:type="pct"/>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最小值</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2"/>
                <w:szCs w:val="22"/>
                <w:highlight w:val="none"/>
                <w:u w:val="none"/>
                <w:lang w:val="en-US" w:eastAsia="zh-CN" w:bidi="ar"/>
              </w:rPr>
              <w:t>16.9</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2"/>
                <w:szCs w:val="22"/>
                <w:highlight w:val="none"/>
                <w:u w:val="none"/>
                <w:lang w:val="en-US" w:eastAsia="zh-CN" w:bidi="ar"/>
              </w:rPr>
              <w:t>0.07</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2"/>
                <w:szCs w:val="22"/>
                <w:highlight w:val="none"/>
                <w:u w:val="none"/>
                <w:lang w:val="en-US" w:eastAsia="zh-CN" w:bidi="ar"/>
              </w:rPr>
              <w:t>7.82</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2"/>
                <w:szCs w:val="22"/>
                <w:highlight w:val="none"/>
                <w:u w:val="none"/>
                <w:lang w:val="en-US" w:eastAsia="zh-CN" w:bidi="ar"/>
              </w:rPr>
              <w:t>0.005</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2"/>
                <w:szCs w:val="22"/>
                <w:highlight w:val="none"/>
                <w:u w:val="none"/>
                <w:lang w:val="en-US" w:eastAsia="zh-CN" w:bidi="ar"/>
              </w:rPr>
              <w:t>21</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2"/>
                <w:szCs w:val="22"/>
                <w:highlight w:val="none"/>
                <w:u w:val="none"/>
                <w:lang w:val="en-US" w:eastAsia="zh-CN" w:bidi="ar"/>
              </w:rPr>
              <w:t>24</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2"/>
                <w:szCs w:val="22"/>
                <w:highlight w:val="none"/>
                <w:u w:val="none"/>
                <w:lang w:val="en-US" w:eastAsia="zh-CN" w:bidi="ar"/>
              </w:rPr>
              <w:t>37</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2"/>
                <w:szCs w:val="22"/>
                <w:highlight w:val="none"/>
                <w:u w:val="none"/>
                <w:lang w:val="en-US" w:eastAsia="zh-CN" w:bidi="ar"/>
              </w:rPr>
              <w:t>6.6</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2"/>
                <w:szCs w:val="22"/>
                <w:highlight w:val="none"/>
                <w:u w:val="none"/>
                <w:lang w:val="en-US" w:eastAsia="zh-CN" w:bidi="ar"/>
              </w:rPr>
              <w:t>0.3</w:t>
            </w:r>
          </w:p>
        </w:tc>
        <w:tc>
          <w:tcPr>
            <w:tcW w:w="2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2"/>
                <w:szCs w:val="22"/>
                <w:highlight w:val="none"/>
                <w:u w:val="none"/>
                <w:lang w:val="en-US" w:eastAsia="zh-CN" w:bidi="ar"/>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090" w:type="pct"/>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平均值</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2"/>
                <w:szCs w:val="22"/>
                <w:highlight w:val="none"/>
                <w:u w:val="none"/>
                <w:lang w:val="en-US" w:eastAsia="zh-CN" w:bidi="ar"/>
              </w:rPr>
              <w:t>21.88</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2"/>
                <w:szCs w:val="22"/>
                <w:highlight w:val="none"/>
                <w:u w:val="none"/>
                <w:lang w:val="en-US" w:eastAsia="zh-CN" w:bidi="ar"/>
              </w:rPr>
              <w:t>0.10</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2"/>
                <w:szCs w:val="22"/>
                <w:highlight w:val="none"/>
                <w:u w:val="none"/>
                <w:lang w:val="en-US" w:eastAsia="zh-CN" w:bidi="ar"/>
              </w:rPr>
              <w:t>10.0</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2"/>
                <w:szCs w:val="22"/>
                <w:highlight w:val="none"/>
                <w:u w:val="none"/>
                <w:lang w:val="en-US" w:eastAsia="zh-CN" w:bidi="ar"/>
              </w:rPr>
              <w:t>0.07</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2"/>
                <w:szCs w:val="22"/>
                <w:highlight w:val="none"/>
                <w:u w:val="none"/>
                <w:lang w:val="en-US" w:eastAsia="zh-CN" w:bidi="ar"/>
              </w:rPr>
              <w:t>2</w:t>
            </w:r>
            <w:r>
              <w:rPr>
                <w:rFonts w:hint="default" w:ascii="Times New Roman" w:hAnsi="Times New Roman" w:cs="Times New Roman"/>
                <w:i w:val="0"/>
                <w:color w:val="auto"/>
                <w:kern w:val="0"/>
                <w:sz w:val="22"/>
                <w:szCs w:val="22"/>
                <w:highlight w:val="none"/>
                <w:u w:val="none"/>
                <w:lang w:val="en-US" w:eastAsia="zh-CN" w:bidi="ar"/>
              </w:rPr>
              <w:t>7</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2"/>
                <w:szCs w:val="22"/>
                <w:highlight w:val="none"/>
                <w:u w:val="none"/>
                <w:lang w:val="en-US" w:eastAsia="zh-CN" w:bidi="ar"/>
              </w:rPr>
              <w:t>33</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2"/>
                <w:szCs w:val="22"/>
                <w:highlight w:val="none"/>
                <w:u w:val="none"/>
                <w:lang w:val="en-US" w:eastAsia="zh-CN" w:bidi="ar"/>
              </w:rPr>
              <w:t>63</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2"/>
                <w:szCs w:val="22"/>
                <w:highlight w:val="none"/>
                <w:u w:val="none"/>
                <w:lang w:val="en-US" w:eastAsia="zh-CN" w:bidi="ar"/>
              </w:rPr>
              <w:t>9.2</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2"/>
                <w:szCs w:val="22"/>
                <w:highlight w:val="none"/>
                <w:u w:val="none"/>
                <w:lang w:val="en-US" w:eastAsia="zh-CN" w:bidi="ar"/>
              </w:rPr>
              <w:t>0.</w:t>
            </w:r>
            <w:r>
              <w:rPr>
                <w:rFonts w:hint="default" w:ascii="Times New Roman" w:hAnsi="Times New Roman" w:cs="Times New Roman"/>
                <w:i w:val="0"/>
                <w:color w:val="auto"/>
                <w:kern w:val="0"/>
                <w:sz w:val="22"/>
                <w:szCs w:val="22"/>
                <w:highlight w:val="none"/>
                <w:u w:val="none"/>
                <w:lang w:val="en-US" w:eastAsia="zh-CN" w:bidi="ar"/>
              </w:rPr>
              <w:t>5</w:t>
            </w:r>
          </w:p>
        </w:tc>
        <w:tc>
          <w:tcPr>
            <w:tcW w:w="2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2"/>
                <w:szCs w:val="22"/>
                <w:highlight w:val="none"/>
                <w:u w:val="none"/>
                <w:lang w:val="en-US" w:eastAsia="zh-CN" w:bidi="ar"/>
              </w:rPr>
              <w:t>0.</w:t>
            </w:r>
            <w:r>
              <w:rPr>
                <w:rFonts w:hint="default" w:ascii="Times New Roman" w:hAnsi="Times New Roman" w:cs="Times New Roman"/>
                <w:i w:val="0"/>
                <w:color w:val="auto"/>
                <w:kern w:val="0"/>
                <w:sz w:val="22"/>
                <w:szCs w:val="22"/>
                <w:highlight w:val="none"/>
                <w:u w:val="none"/>
                <w:lang w:val="en-US" w:eastAsia="zh-CN" w:bidi="ar"/>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090" w:type="pct"/>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检出率</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100%</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100%</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100%</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94%</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100%</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100%</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100%</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100%</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100%</w:t>
            </w:r>
          </w:p>
        </w:tc>
        <w:tc>
          <w:tcPr>
            <w:tcW w:w="2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090" w:type="pct"/>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第一类建设用地筛选值</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400</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8</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20</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20</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2000</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150</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1210</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20</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232</w:t>
            </w:r>
          </w:p>
        </w:tc>
        <w:tc>
          <w:tcPr>
            <w:tcW w:w="2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1940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090" w:type="pct"/>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第二类建设用地筛选值</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800</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38</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70</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65</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18000</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900</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2910</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60</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20</w:t>
            </w:r>
          </w:p>
        </w:tc>
        <w:tc>
          <w:tcPr>
            <w:tcW w:w="2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090" w:type="pct"/>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区域背景值</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42.3</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0.193</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40</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0.564</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56.4</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54.2</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146.8</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40</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8.9</w:t>
            </w:r>
          </w:p>
        </w:tc>
        <w:tc>
          <w:tcPr>
            <w:tcW w:w="2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2.23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090" w:type="pct"/>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达标情况</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达标</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达标</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达标</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达标</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达标</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达标</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达标</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达标</w:t>
            </w:r>
          </w:p>
        </w:tc>
        <w:tc>
          <w:tcPr>
            <w:tcW w:w="2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达标</w:t>
            </w:r>
          </w:p>
        </w:tc>
        <w:tc>
          <w:tcPr>
            <w:tcW w:w="29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达标</w:t>
            </w:r>
          </w:p>
        </w:tc>
      </w:tr>
    </w:tbl>
    <w:p>
      <w:pPr>
        <w:numPr>
          <w:ilvl w:val="0"/>
          <w:numId w:val="0"/>
        </w:numPr>
        <w:spacing w:line="240" w:lineRule="auto"/>
        <w:ind w:leftChars="0"/>
        <w:rPr>
          <w:rFonts w:hint="default" w:ascii="Times New Roman" w:hAnsi="Times New Roman" w:eastAsia="黑体" w:cs="Times New Roman"/>
          <w:b/>
          <w:bCs/>
          <w:color w:val="auto"/>
          <w:sz w:val="24"/>
          <w:highlight w:val="none"/>
        </w:rPr>
      </w:pPr>
      <w:bookmarkStart w:id="69" w:name="_Toc21346_WPSOffice_Level2"/>
      <w:bookmarkEnd w:id="69"/>
      <w:bookmarkStart w:id="70" w:name="_Toc20828_WPSOffice_Level2"/>
      <w:bookmarkEnd w:id="70"/>
      <w:r>
        <w:rPr>
          <w:rFonts w:hint="default" w:ascii="Times New Roman" w:hAnsi="Times New Roman" w:cs="Times New Roman"/>
          <w:b/>
          <w:bCs/>
          <w:color w:val="auto"/>
          <w:sz w:val="18"/>
          <w:szCs w:val="18"/>
          <w:highlight w:val="none"/>
          <w:lang w:eastAsia="zh-CN"/>
        </w:rPr>
        <w:t>注：①根据《土壤环境监测技术规范（</w:t>
      </w:r>
      <w:r>
        <w:rPr>
          <w:rFonts w:hint="default" w:ascii="Times New Roman" w:hAnsi="Times New Roman" w:cs="Times New Roman"/>
          <w:b/>
          <w:bCs/>
          <w:color w:val="auto"/>
          <w:sz w:val="18"/>
          <w:szCs w:val="18"/>
          <w:highlight w:val="none"/>
          <w:lang w:val="en-US" w:eastAsia="zh-CN"/>
        </w:rPr>
        <w:t>HJ/T 166-2004</w:t>
      </w:r>
      <w:r>
        <w:rPr>
          <w:rFonts w:hint="default" w:ascii="Times New Roman" w:hAnsi="Times New Roman" w:cs="Times New Roman"/>
          <w:b/>
          <w:bCs/>
          <w:color w:val="auto"/>
          <w:sz w:val="18"/>
          <w:szCs w:val="18"/>
          <w:highlight w:val="none"/>
          <w:lang w:eastAsia="zh-CN"/>
        </w:rPr>
        <w:t>）》低于分析方法检出限的测定结果参加统计时按二分之一最低检出限计算，下同。</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auto"/>
          <w:highlight w:val="none"/>
          <w:lang w:eastAsia="zh-CN"/>
        </w:rPr>
      </w:pPr>
      <w:r>
        <w:rPr>
          <w:rFonts w:hint="default" w:ascii="Times New Roman" w:hAnsi="Times New Roman" w:eastAsia="黑体" w:cs="Times New Roman"/>
          <w:b/>
          <w:bCs/>
          <w:color w:val="auto"/>
          <w:sz w:val="24"/>
          <w:highlight w:val="none"/>
        </w:rPr>
        <w:t>表5-</w:t>
      </w:r>
      <w:r>
        <w:rPr>
          <w:rFonts w:hint="default" w:ascii="Times New Roman" w:hAnsi="Times New Roman" w:eastAsia="黑体" w:cs="Times New Roman"/>
          <w:b/>
          <w:bCs/>
          <w:color w:val="auto"/>
          <w:sz w:val="24"/>
          <w:highlight w:val="none"/>
          <w:lang w:val="en-US" w:eastAsia="zh-CN"/>
        </w:rPr>
        <w:t>3-</w:t>
      </w:r>
      <w:r>
        <w:rPr>
          <w:rFonts w:hint="eastAsia" w:eastAsia="黑体" w:cs="Times New Roman"/>
          <w:b/>
          <w:bCs/>
          <w:color w:val="auto"/>
          <w:sz w:val="24"/>
          <w:highlight w:val="none"/>
          <w:lang w:val="en-US" w:eastAsia="zh-CN"/>
        </w:rPr>
        <w:t>6</w:t>
      </w:r>
      <w:r>
        <w:rPr>
          <w:rFonts w:hint="default" w:ascii="Times New Roman" w:hAnsi="Times New Roman" w:eastAsia="黑体" w:cs="Times New Roman"/>
          <w:b/>
          <w:bCs/>
          <w:color w:val="auto"/>
          <w:sz w:val="24"/>
          <w:highlight w:val="none"/>
        </w:rPr>
        <w:t xml:space="preserve"> 土壤样品</w:t>
      </w:r>
      <w:r>
        <w:rPr>
          <w:rFonts w:hint="default" w:ascii="Times New Roman" w:hAnsi="Times New Roman" w:eastAsia="黑体" w:cs="Times New Roman"/>
          <w:b/>
          <w:bCs/>
          <w:color w:val="auto"/>
          <w:sz w:val="24"/>
          <w:highlight w:val="none"/>
          <w:lang w:eastAsia="zh-CN"/>
        </w:rPr>
        <w:t>已检出</w:t>
      </w:r>
      <w:r>
        <w:rPr>
          <w:rFonts w:hint="default" w:ascii="Times New Roman" w:hAnsi="Times New Roman" w:eastAsia="黑体" w:cs="Times New Roman"/>
          <w:b/>
          <w:bCs/>
          <w:color w:val="auto"/>
          <w:sz w:val="24"/>
          <w:highlight w:val="none"/>
        </w:rPr>
        <w:t>重金属</w:t>
      </w:r>
      <w:r>
        <w:rPr>
          <w:rFonts w:hint="default" w:ascii="Times New Roman" w:hAnsi="Times New Roman" w:eastAsia="黑体" w:cs="Times New Roman"/>
          <w:b/>
          <w:bCs/>
          <w:color w:val="auto"/>
          <w:sz w:val="24"/>
          <w:highlight w:val="none"/>
          <w:lang w:eastAsia="zh-CN"/>
        </w:rPr>
        <w:t>指标</w:t>
      </w:r>
      <w:r>
        <w:rPr>
          <w:rFonts w:hint="default" w:ascii="Times New Roman" w:hAnsi="Times New Roman" w:eastAsia="黑体" w:cs="Times New Roman"/>
          <w:b/>
          <w:bCs/>
          <w:color w:val="auto"/>
          <w:sz w:val="24"/>
          <w:highlight w:val="none"/>
        </w:rPr>
        <w:t>监测值</w:t>
      </w:r>
      <w:r>
        <w:rPr>
          <w:rFonts w:hint="default" w:ascii="Times New Roman" w:hAnsi="Times New Roman" w:eastAsia="黑体" w:cs="Times New Roman"/>
          <w:b/>
          <w:bCs/>
          <w:color w:val="auto"/>
          <w:sz w:val="24"/>
          <w:highlight w:val="none"/>
          <w:lang w:eastAsia="zh-CN"/>
        </w:rPr>
        <w:t>（农用地标准）</w:t>
      </w:r>
      <w:r>
        <w:rPr>
          <w:rFonts w:hint="default" w:ascii="Times New Roman" w:hAnsi="Times New Roman" w:eastAsia="黑体" w:cs="Times New Roman"/>
          <w:b/>
          <w:bCs/>
          <w:color w:val="auto"/>
          <w:sz w:val="24"/>
          <w:highlight w:val="none"/>
        </w:rPr>
        <w:t xml:space="preserve">  （单位：mg/kg）</w:t>
      </w:r>
    </w:p>
    <w:tbl>
      <w:tblPr>
        <w:tblStyle w:val="21"/>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137"/>
        <w:gridCol w:w="1076"/>
        <w:gridCol w:w="2451"/>
        <w:gridCol w:w="446"/>
        <w:gridCol w:w="446"/>
        <w:gridCol w:w="446"/>
        <w:gridCol w:w="446"/>
        <w:gridCol w:w="446"/>
        <w:gridCol w:w="446"/>
        <w:gridCol w:w="446"/>
        <w:gridCol w:w="447"/>
        <w:gridCol w:w="447"/>
        <w:gridCol w:w="9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tblHeader/>
          <w:jc w:val="center"/>
        </w:trPr>
        <w:tc>
          <w:tcPr>
            <w:tcW w:w="376"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pH范围</w:t>
            </w:r>
          </w:p>
        </w:tc>
        <w:tc>
          <w:tcPr>
            <w:tcW w:w="667"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样品编号</w:t>
            </w:r>
          </w:p>
        </w:tc>
        <w:tc>
          <w:tcPr>
            <w:tcW w:w="341"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cs="Times New Roman"/>
                <w:b/>
                <w:bCs/>
                <w:i w:val="0"/>
                <w:color w:val="auto"/>
                <w:kern w:val="0"/>
                <w:sz w:val="21"/>
                <w:szCs w:val="21"/>
                <w:highlight w:val="none"/>
                <w:u w:val="none"/>
                <w:lang w:val="en-US" w:eastAsia="zh-CN" w:bidi="ar"/>
              </w:rPr>
              <w:t>点位位置</w:t>
            </w:r>
          </w:p>
        </w:tc>
        <w:tc>
          <w:tcPr>
            <w:tcW w:w="341"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pH</w:t>
            </w:r>
          </w:p>
        </w:tc>
        <w:tc>
          <w:tcPr>
            <w:tcW w:w="341"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铅</w:t>
            </w:r>
          </w:p>
        </w:tc>
        <w:tc>
          <w:tcPr>
            <w:tcW w:w="341"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汞</w:t>
            </w:r>
          </w:p>
        </w:tc>
        <w:tc>
          <w:tcPr>
            <w:tcW w:w="341"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镉</w:t>
            </w:r>
          </w:p>
        </w:tc>
        <w:tc>
          <w:tcPr>
            <w:tcW w:w="341"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铜</w:t>
            </w:r>
          </w:p>
        </w:tc>
        <w:tc>
          <w:tcPr>
            <w:tcW w:w="341"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镍</w:t>
            </w:r>
          </w:p>
        </w:tc>
        <w:tc>
          <w:tcPr>
            <w:tcW w:w="341"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铬</w:t>
            </w:r>
          </w:p>
        </w:tc>
        <w:tc>
          <w:tcPr>
            <w:tcW w:w="341"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锌</w:t>
            </w:r>
          </w:p>
        </w:tc>
        <w:tc>
          <w:tcPr>
            <w:tcW w:w="341"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砷</w:t>
            </w:r>
          </w:p>
        </w:tc>
        <w:tc>
          <w:tcPr>
            <w:tcW w:w="540"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sz w:val="21"/>
                <w:szCs w:val="21"/>
                <w:highlight w:val="none"/>
                <w:u w:val="none"/>
              </w:rPr>
            </w:pPr>
            <w:r>
              <w:rPr>
                <w:rFonts w:hint="default" w:ascii="Times New Roman" w:hAnsi="Times New Roman" w:eastAsia="宋体" w:cs="Times New Roman"/>
                <w:b/>
                <w:bCs/>
                <w:i w:val="0"/>
                <w:color w:val="auto"/>
                <w:kern w:val="0"/>
                <w:sz w:val="21"/>
                <w:szCs w:val="21"/>
                <w:highlight w:val="none"/>
                <w:u w:val="none"/>
                <w:lang w:val="en-US" w:eastAsia="zh-CN" w:bidi="ar"/>
              </w:rPr>
              <w:t>达标情况</w:t>
            </w:r>
            <w:r>
              <w:rPr>
                <w:rFonts w:hint="default" w:ascii="Times New Roman" w:hAnsi="Times New Roman" w:cs="Times New Roman"/>
                <w:b/>
                <w:bCs/>
                <w:i w:val="0"/>
                <w:color w:val="auto"/>
                <w:kern w:val="0"/>
                <w:sz w:val="21"/>
                <w:szCs w:val="21"/>
                <w:highlight w:val="none"/>
                <w:u w:val="none"/>
                <w:vertAlign w:val="superscript"/>
                <w:lang w:val="en-US" w:eastAsia="zh-CN" w:bidi="ar"/>
              </w:rPr>
              <w:t>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376" w:type="pct"/>
            <w:vMerge w:val="restart"/>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i w:val="0"/>
                <w:color w:val="auto"/>
                <w:sz w:val="21"/>
                <w:szCs w:val="21"/>
                <w:highlight w:val="none"/>
                <w:u w:val="none"/>
              </w:rPr>
            </w:pPr>
            <w:r>
              <w:rPr>
                <w:rFonts w:hint="default" w:ascii="Times New Roman" w:hAnsi="Times New Roman" w:eastAsia="宋体" w:cs="Times New Roman"/>
                <w:b w:val="0"/>
                <w:bCs w:val="0"/>
                <w:i w:val="0"/>
                <w:color w:val="auto"/>
                <w:kern w:val="0"/>
                <w:sz w:val="21"/>
                <w:szCs w:val="21"/>
                <w:highlight w:val="none"/>
                <w:u w:val="none"/>
                <w:lang w:val="en-US" w:eastAsia="zh-CN" w:bidi="ar"/>
              </w:rPr>
              <w:t>6.5＜pH≤7.5</w:t>
            </w:r>
          </w:p>
        </w:tc>
        <w:tc>
          <w:tcPr>
            <w:tcW w:w="66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val="0"/>
                <w:bCs w:val="0"/>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SJG-2-200</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园区边界南侧下风向200m</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auto"/>
                <w:sz w:val="21"/>
                <w:szCs w:val="21"/>
                <w:highlight w:val="none"/>
                <w:u w:val="none"/>
                <w:lang w:val="en-US" w:eastAsia="zh-CN"/>
              </w:rPr>
            </w:pPr>
            <w:r>
              <w:rPr>
                <w:rFonts w:hint="default" w:ascii="Times New Roman" w:hAnsi="Times New Roman" w:cs="Times New Roman"/>
                <w:b w:val="0"/>
                <w:bCs w:val="0"/>
                <w:i w:val="0"/>
                <w:color w:val="auto"/>
                <w:sz w:val="21"/>
                <w:szCs w:val="21"/>
                <w:highlight w:val="none"/>
                <w:u w:val="none"/>
                <w:lang w:val="en-US" w:eastAsia="zh-CN"/>
              </w:rPr>
              <w:t>7.19</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19.4</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0.11</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0.04</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22</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29</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auto"/>
                <w:sz w:val="21"/>
                <w:szCs w:val="21"/>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61</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auto"/>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40</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auto"/>
                <w:sz w:val="21"/>
                <w:szCs w:val="21"/>
                <w:highlight w:val="none"/>
                <w:u w:val="none"/>
                <w:lang w:val="en-US"/>
              </w:rPr>
            </w:pPr>
            <w:r>
              <w:rPr>
                <w:rFonts w:hint="default" w:ascii="Times New Roman" w:hAnsi="Times New Roman" w:eastAsia="宋体" w:cs="Times New Roman"/>
                <w:i w:val="0"/>
                <w:color w:val="000000"/>
                <w:kern w:val="0"/>
                <w:sz w:val="21"/>
                <w:szCs w:val="21"/>
                <w:highlight w:val="none"/>
                <w:u w:val="none"/>
                <w:lang w:val="en-US" w:eastAsia="zh-CN" w:bidi="ar"/>
              </w:rPr>
              <w:t>9.9</w:t>
            </w:r>
          </w:p>
        </w:tc>
        <w:tc>
          <w:tcPr>
            <w:tcW w:w="54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auto"/>
                <w:sz w:val="21"/>
                <w:szCs w:val="21"/>
                <w:highlight w:val="none"/>
                <w:u w:val="none"/>
              </w:rPr>
            </w:pPr>
            <w:r>
              <w:rPr>
                <w:rFonts w:hint="default" w:ascii="Times New Roman" w:hAnsi="Times New Roman" w:eastAsia="宋体" w:cs="Times New Roman"/>
                <w:b w:val="0"/>
                <w:bCs w:val="0"/>
                <w:i w:val="0"/>
                <w:color w:val="auto"/>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376" w:type="pct"/>
            <w:vMerge w:val="continue"/>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i w:val="0"/>
                <w:color w:val="auto"/>
                <w:sz w:val="21"/>
                <w:szCs w:val="21"/>
                <w:highlight w:val="none"/>
                <w:u w:val="none"/>
              </w:rPr>
            </w:pPr>
          </w:p>
        </w:tc>
        <w:tc>
          <w:tcPr>
            <w:tcW w:w="1008" w:type="pct"/>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eastAsia" w:cs="Times New Roman"/>
                <w:b w:val="0"/>
                <w:bCs w:val="0"/>
                <w:i w:val="0"/>
                <w:color w:val="auto"/>
                <w:kern w:val="0"/>
                <w:sz w:val="21"/>
                <w:szCs w:val="21"/>
                <w:highlight w:val="none"/>
                <w:u w:val="none"/>
                <w:lang w:val="en-US" w:eastAsia="zh-CN" w:bidi="ar"/>
              </w:rPr>
              <w:t>GB15618表1其它</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auto"/>
                <w:sz w:val="21"/>
                <w:szCs w:val="21"/>
                <w:highlight w:val="none"/>
                <w:u w:val="none"/>
              </w:rPr>
            </w:pPr>
            <w:r>
              <w:rPr>
                <w:rFonts w:hint="default" w:ascii="Times New Roman" w:hAnsi="Times New Roman" w:eastAsia="宋体" w:cs="Times New Roman"/>
                <w:b w:val="0"/>
                <w:bCs w:val="0"/>
                <w:i w:val="0"/>
                <w:color w:val="auto"/>
                <w:kern w:val="0"/>
                <w:sz w:val="21"/>
                <w:szCs w:val="21"/>
                <w:highlight w:val="none"/>
                <w:u w:val="none"/>
                <w:lang w:val="en-US" w:eastAsia="zh-CN" w:bidi="ar"/>
              </w:rPr>
              <w:t>/</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auto"/>
                <w:sz w:val="21"/>
                <w:szCs w:val="21"/>
                <w:highlight w:val="none"/>
                <w:u w:val="none"/>
              </w:rPr>
            </w:pPr>
            <w:r>
              <w:rPr>
                <w:rFonts w:hint="default" w:ascii="Times New Roman" w:hAnsi="Times New Roman" w:eastAsia="宋体" w:cs="Times New Roman"/>
                <w:b w:val="0"/>
                <w:bCs w:val="0"/>
                <w:i w:val="0"/>
                <w:color w:val="auto"/>
                <w:kern w:val="0"/>
                <w:sz w:val="21"/>
                <w:szCs w:val="21"/>
                <w:highlight w:val="none"/>
                <w:u w:val="none"/>
                <w:lang w:val="en-US" w:eastAsia="zh-CN" w:bidi="ar"/>
              </w:rPr>
              <w:t>120</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auto"/>
                <w:sz w:val="21"/>
                <w:szCs w:val="21"/>
                <w:highlight w:val="none"/>
                <w:u w:val="none"/>
              </w:rPr>
            </w:pPr>
            <w:r>
              <w:rPr>
                <w:rFonts w:hint="default" w:ascii="Times New Roman" w:hAnsi="Times New Roman" w:eastAsia="宋体" w:cs="Times New Roman"/>
                <w:b w:val="0"/>
                <w:bCs w:val="0"/>
                <w:i w:val="0"/>
                <w:color w:val="auto"/>
                <w:kern w:val="0"/>
                <w:sz w:val="21"/>
                <w:szCs w:val="21"/>
                <w:highlight w:val="none"/>
                <w:u w:val="none"/>
                <w:lang w:val="en-US" w:eastAsia="zh-CN" w:bidi="ar"/>
              </w:rPr>
              <w:t>2.4</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auto"/>
                <w:sz w:val="21"/>
                <w:szCs w:val="21"/>
                <w:highlight w:val="none"/>
                <w:u w:val="none"/>
                <w:lang w:val="en-US"/>
              </w:rPr>
            </w:pPr>
            <w:r>
              <w:rPr>
                <w:rFonts w:hint="default" w:ascii="Times New Roman" w:hAnsi="Times New Roman" w:eastAsia="宋体" w:cs="Times New Roman"/>
                <w:b w:val="0"/>
                <w:bCs w:val="0"/>
                <w:i w:val="0"/>
                <w:color w:val="auto"/>
                <w:kern w:val="0"/>
                <w:sz w:val="21"/>
                <w:szCs w:val="21"/>
                <w:highlight w:val="none"/>
                <w:u w:val="none"/>
                <w:lang w:val="en-US" w:eastAsia="zh-CN" w:bidi="ar"/>
              </w:rPr>
              <w:t>0.3</w:t>
            </w:r>
            <w:r>
              <w:rPr>
                <w:rFonts w:hint="default" w:ascii="Times New Roman" w:hAnsi="Times New Roman" w:cs="Times New Roman"/>
                <w:b w:val="0"/>
                <w:bCs w:val="0"/>
                <w:i w:val="0"/>
                <w:color w:val="auto"/>
                <w:kern w:val="0"/>
                <w:sz w:val="21"/>
                <w:szCs w:val="21"/>
                <w:highlight w:val="none"/>
                <w:u w:val="none"/>
                <w:lang w:val="en-US" w:eastAsia="zh-CN" w:bidi="ar"/>
              </w:rPr>
              <w:t>0</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auto"/>
                <w:sz w:val="21"/>
                <w:szCs w:val="21"/>
                <w:highlight w:val="none"/>
                <w:u w:val="none"/>
              </w:rPr>
            </w:pPr>
            <w:r>
              <w:rPr>
                <w:rFonts w:hint="default" w:ascii="Times New Roman" w:hAnsi="Times New Roman" w:eastAsia="宋体" w:cs="Times New Roman"/>
                <w:b w:val="0"/>
                <w:bCs w:val="0"/>
                <w:i w:val="0"/>
                <w:color w:val="auto"/>
                <w:kern w:val="0"/>
                <w:sz w:val="21"/>
                <w:szCs w:val="21"/>
                <w:highlight w:val="none"/>
                <w:u w:val="none"/>
                <w:lang w:val="en-US" w:eastAsia="zh-CN" w:bidi="ar"/>
              </w:rPr>
              <w:t>100</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auto"/>
                <w:sz w:val="21"/>
                <w:szCs w:val="21"/>
                <w:highlight w:val="none"/>
                <w:u w:val="none"/>
              </w:rPr>
            </w:pPr>
            <w:r>
              <w:rPr>
                <w:rFonts w:hint="default" w:ascii="Times New Roman" w:hAnsi="Times New Roman" w:eastAsia="宋体" w:cs="Times New Roman"/>
                <w:b w:val="0"/>
                <w:bCs w:val="0"/>
                <w:i w:val="0"/>
                <w:color w:val="auto"/>
                <w:kern w:val="0"/>
                <w:sz w:val="21"/>
                <w:szCs w:val="21"/>
                <w:highlight w:val="none"/>
                <w:u w:val="none"/>
                <w:lang w:val="en-US" w:eastAsia="zh-CN" w:bidi="ar"/>
              </w:rPr>
              <w:t>100</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auto"/>
                <w:sz w:val="21"/>
                <w:szCs w:val="21"/>
                <w:highlight w:val="none"/>
                <w:u w:val="none"/>
              </w:rPr>
            </w:pPr>
            <w:r>
              <w:rPr>
                <w:rFonts w:hint="default" w:ascii="Times New Roman" w:hAnsi="Times New Roman" w:eastAsia="宋体" w:cs="Times New Roman"/>
                <w:b w:val="0"/>
                <w:bCs w:val="0"/>
                <w:i w:val="0"/>
                <w:color w:val="auto"/>
                <w:kern w:val="0"/>
                <w:sz w:val="21"/>
                <w:szCs w:val="21"/>
                <w:highlight w:val="none"/>
                <w:u w:val="none"/>
                <w:lang w:val="en-US" w:eastAsia="zh-CN" w:bidi="ar"/>
              </w:rPr>
              <w:t>200</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auto"/>
                <w:sz w:val="21"/>
                <w:szCs w:val="21"/>
                <w:highlight w:val="none"/>
                <w:u w:val="none"/>
              </w:rPr>
            </w:pPr>
            <w:r>
              <w:rPr>
                <w:rFonts w:hint="default" w:ascii="Times New Roman" w:hAnsi="Times New Roman" w:eastAsia="宋体" w:cs="Times New Roman"/>
                <w:b w:val="0"/>
                <w:bCs w:val="0"/>
                <w:i w:val="0"/>
                <w:color w:val="auto"/>
                <w:kern w:val="0"/>
                <w:sz w:val="21"/>
                <w:szCs w:val="21"/>
                <w:highlight w:val="none"/>
                <w:u w:val="none"/>
                <w:lang w:val="en-US" w:eastAsia="zh-CN" w:bidi="ar"/>
              </w:rPr>
              <w:t>250</w:t>
            </w:r>
          </w:p>
        </w:tc>
        <w:tc>
          <w:tcPr>
            <w:tcW w:w="34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auto"/>
                <w:sz w:val="21"/>
                <w:szCs w:val="21"/>
                <w:highlight w:val="none"/>
                <w:u w:val="none"/>
              </w:rPr>
            </w:pPr>
            <w:r>
              <w:rPr>
                <w:rFonts w:hint="default" w:ascii="Times New Roman" w:hAnsi="Times New Roman" w:eastAsia="宋体" w:cs="Times New Roman"/>
                <w:b w:val="0"/>
                <w:bCs w:val="0"/>
                <w:i w:val="0"/>
                <w:color w:val="auto"/>
                <w:kern w:val="0"/>
                <w:sz w:val="21"/>
                <w:szCs w:val="21"/>
                <w:highlight w:val="none"/>
                <w:u w:val="none"/>
                <w:lang w:val="en-US" w:eastAsia="zh-CN" w:bidi="ar"/>
              </w:rPr>
              <w:t>30</w:t>
            </w:r>
          </w:p>
        </w:tc>
        <w:tc>
          <w:tcPr>
            <w:tcW w:w="54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auto"/>
                <w:sz w:val="21"/>
                <w:szCs w:val="21"/>
                <w:highlight w:val="none"/>
                <w:u w:val="none"/>
              </w:rPr>
            </w:pPr>
            <w:r>
              <w:rPr>
                <w:rFonts w:hint="default" w:ascii="Times New Roman" w:hAnsi="Times New Roman" w:eastAsia="宋体" w:cs="Times New Roman"/>
                <w:b w:val="0"/>
                <w:bCs w:val="0"/>
                <w:i w:val="0"/>
                <w:color w:val="auto"/>
                <w:kern w:val="0"/>
                <w:sz w:val="21"/>
                <w:szCs w:val="21"/>
                <w:highlight w:val="none"/>
                <w:u w:val="none"/>
                <w:lang w:val="en-US" w:eastAsia="zh-CN" w:bidi="ar"/>
              </w:rPr>
              <w:t>/</w:t>
            </w:r>
          </w:p>
        </w:tc>
      </w:tr>
    </w:tbl>
    <w:p>
      <w:pPr>
        <w:pStyle w:val="2"/>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cs="Times New Roman"/>
          <w:color w:val="auto"/>
          <w:highlight w:val="none"/>
          <w:lang w:eastAsia="zh-CN"/>
        </w:rPr>
      </w:pPr>
      <w:r>
        <w:rPr>
          <w:rFonts w:hint="default" w:ascii="Times New Roman" w:hAnsi="Times New Roman" w:cs="Times New Roman"/>
          <w:b/>
          <w:bCs/>
          <w:color w:val="auto"/>
          <w:sz w:val="18"/>
          <w:szCs w:val="18"/>
          <w:highlight w:val="none"/>
          <w:lang w:eastAsia="zh-CN"/>
        </w:rPr>
        <w:t>注：①达标情况中“达标”指该点位所有污染物指标均达到对应</w:t>
      </w:r>
      <w:r>
        <w:rPr>
          <w:rFonts w:hint="default" w:ascii="Times New Roman" w:hAnsi="Times New Roman" w:cs="Times New Roman"/>
          <w:b/>
          <w:bCs/>
          <w:color w:val="auto"/>
          <w:sz w:val="18"/>
          <w:szCs w:val="18"/>
          <w:highlight w:val="none"/>
          <w:lang w:val="en-US" w:eastAsia="zh-CN"/>
        </w:rPr>
        <w:t>pH值的</w:t>
      </w:r>
      <w:r>
        <w:rPr>
          <w:rFonts w:hint="default" w:ascii="Times New Roman" w:hAnsi="Times New Roman" w:cs="Times New Roman"/>
          <w:b/>
          <w:bCs/>
          <w:color w:val="auto"/>
          <w:sz w:val="18"/>
          <w:szCs w:val="18"/>
          <w:highlight w:val="none"/>
          <w:lang w:eastAsia="zh-CN"/>
        </w:rPr>
        <w:t>农用地标准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各点位重金属监测浓度散点分布图如下：</w:t>
      </w:r>
    </w:p>
    <w:tbl>
      <w:tblPr>
        <w:tblStyle w:val="22"/>
        <w:tblW w:w="882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8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26"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drawing>
                <wp:inline distT="0" distB="0" distL="114300" distR="114300">
                  <wp:extent cx="5400040" cy="3599815"/>
                  <wp:effectExtent l="9525" t="9525" r="19685" b="48260"/>
                  <wp:docPr id="24"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eastAsia="zh-CN"/>
              </w:rPr>
              <w:t>图</w:t>
            </w:r>
            <w:r>
              <w:rPr>
                <w:rFonts w:hint="default" w:ascii="Times New Roman" w:hAnsi="Times New Roman" w:eastAsia="宋体" w:cs="Times New Roman"/>
                <w:b/>
                <w:bCs/>
                <w:color w:val="auto"/>
                <w:highlight w:val="none"/>
                <w:lang w:val="en-US" w:eastAsia="zh-CN"/>
              </w:rPr>
              <w:t>5-</w:t>
            </w:r>
            <w:r>
              <w:rPr>
                <w:rFonts w:hint="default" w:ascii="Times New Roman" w:hAnsi="Times New Roman" w:cs="Times New Roman"/>
                <w:b/>
                <w:bCs/>
                <w:color w:val="auto"/>
                <w:highlight w:val="none"/>
                <w:lang w:val="en-US" w:eastAsia="zh-CN"/>
              </w:rPr>
              <w:t>3-3铅</w:t>
            </w:r>
            <w:r>
              <w:rPr>
                <w:rFonts w:hint="default" w:ascii="Times New Roman" w:hAnsi="Times New Roman" w:eastAsia="宋体" w:cs="Times New Roman"/>
                <w:b/>
                <w:bCs/>
                <w:color w:val="auto"/>
                <w:highlight w:val="none"/>
                <w:lang w:val="en-US" w:eastAsia="zh-CN"/>
              </w:rPr>
              <w:t>指标</w:t>
            </w:r>
            <w:r>
              <w:rPr>
                <w:rFonts w:hint="default" w:ascii="Times New Roman" w:hAnsi="Times New Roman" w:cs="Times New Roman"/>
                <w:b/>
                <w:bCs/>
                <w:color w:val="auto"/>
                <w:highlight w:val="none"/>
                <w:lang w:val="en-US" w:eastAsia="zh-CN"/>
              </w:rPr>
              <w:t>监测浓度</w:t>
            </w:r>
            <w:r>
              <w:rPr>
                <w:rFonts w:hint="default" w:ascii="Times New Roman" w:hAnsi="Times New Roman" w:eastAsia="宋体" w:cs="Times New Roman"/>
                <w:b/>
                <w:bCs/>
                <w:color w:val="auto"/>
                <w:highlight w:val="none"/>
                <w:lang w:val="en-US" w:eastAsia="zh-CN"/>
              </w:rPr>
              <w:t>分布情况图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53" w:hRule="atLeast"/>
          <w:jc w:val="center"/>
        </w:trPr>
        <w:tc>
          <w:tcPr>
            <w:tcW w:w="8826"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drawing>
                <wp:inline distT="0" distB="0" distL="114300" distR="114300">
                  <wp:extent cx="5400040" cy="3599815"/>
                  <wp:effectExtent l="9525" t="9525" r="19685" b="48260"/>
                  <wp:docPr id="2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lang w:eastAsia="zh-CN"/>
              </w:rPr>
              <w:t>图</w:t>
            </w:r>
            <w:r>
              <w:rPr>
                <w:rFonts w:hint="default" w:ascii="Times New Roman" w:hAnsi="Times New Roman" w:eastAsia="宋体" w:cs="Times New Roman"/>
                <w:b/>
                <w:bCs/>
                <w:color w:val="auto"/>
                <w:highlight w:val="none"/>
                <w:lang w:val="en-US" w:eastAsia="zh-CN"/>
              </w:rPr>
              <w:t>5-3-4汞指标</w:t>
            </w:r>
            <w:r>
              <w:rPr>
                <w:rFonts w:hint="default" w:ascii="Times New Roman" w:hAnsi="Times New Roman" w:cs="Times New Roman"/>
                <w:b/>
                <w:bCs/>
                <w:color w:val="auto"/>
                <w:highlight w:val="none"/>
                <w:lang w:val="en-US" w:eastAsia="zh-CN"/>
              </w:rPr>
              <w:t>监测浓度</w:t>
            </w:r>
            <w:r>
              <w:rPr>
                <w:rFonts w:hint="default" w:ascii="Times New Roman" w:hAnsi="Times New Roman" w:eastAsia="宋体" w:cs="Times New Roman"/>
                <w:b/>
                <w:bCs/>
                <w:color w:val="auto"/>
                <w:highlight w:val="none"/>
                <w:lang w:val="en-US" w:eastAsia="zh-CN"/>
              </w:rPr>
              <w:t>分布图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26"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drawing>
                <wp:inline distT="0" distB="0" distL="114300" distR="114300">
                  <wp:extent cx="5400040" cy="3599815"/>
                  <wp:effectExtent l="9525" t="9525" r="19685" b="48260"/>
                  <wp:docPr id="27"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lang w:eastAsia="zh-CN"/>
              </w:rPr>
              <w:t>图</w:t>
            </w:r>
            <w:r>
              <w:rPr>
                <w:rFonts w:hint="default" w:ascii="Times New Roman" w:hAnsi="Times New Roman" w:eastAsia="宋体" w:cs="Times New Roman"/>
                <w:b/>
                <w:bCs/>
                <w:color w:val="auto"/>
                <w:highlight w:val="none"/>
                <w:lang w:val="en-US" w:eastAsia="zh-CN"/>
              </w:rPr>
              <w:t>5-</w:t>
            </w:r>
            <w:r>
              <w:rPr>
                <w:rFonts w:hint="default" w:ascii="Times New Roman" w:hAnsi="Times New Roman" w:cs="Times New Roman"/>
                <w:b/>
                <w:bCs/>
                <w:color w:val="auto"/>
                <w:highlight w:val="none"/>
                <w:lang w:val="en-US" w:eastAsia="zh-CN"/>
              </w:rPr>
              <w:t>3-5</w:t>
            </w:r>
            <w:r>
              <w:rPr>
                <w:rFonts w:hint="default" w:ascii="Times New Roman" w:hAnsi="Times New Roman" w:eastAsia="宋体" w:cs="Times New Roman"/>
                <w:b/>
                <w:bCs/>
                <w:color w:val="auto"/>
                <w:highlight w:val="none"/>
                <w:lang w:val="en-US" w:eastAsia="zh-CN"/>
              </w:rPr>
              <w:t xml:space="preserve"> </w:t>
            </w:r>
            <w:r>
              <w:rPr>
                <w:rFonts w:hint="default" w:ascii="Times New Roman" w:hAnsi="Times New Roman" w:cs="Times New Roman"/>
                <w:b/>
                <w:bCs/>
                <w:color w:val="auto"/>
                <w:highlight w:val="none"/>
                <w:lang w:val="en-US" w:eastAsia="zh-CN"/>
              </w:rPr>
              <w:t>钴</w:t>
            </w:r>
            <w:r>
              <w:rPr>
                <w:rFonts w:hint="default" w:ascii="Times New Roman" w:hAnsi="Times New Roman" w:eastAsia="宋体" w:cs="Times New Roman"/>
                <w:b/>
                <w:bCs/>
                <w:color w:val="auto"/>
                <w:highlight w:val="none"/>
                <w:lang w:val="en-US" w:eastAsia="zh-CN"/>
              </w:rPr>
              <w:t>指标</w:t>
            </w:r>
            <w:r>
              <w:rPr>
                <w:rFonts w:hint="default" w:ascii="Times New Roman" w:hAnsi="Times New Roman" w:cs="Times New Roman"/>
                <w:b/>
                <w:bCs/>
                <w:color w:val="auto"/>
                <w:highlight w:val="none"/>
                <w:lang w:val="en-US" w:eastAsia="zh-CN"/>
              </w:rPr>
              <w:t>监测浓度</w:t>
            </w:r>
            <w:r>
              <w:rPr>
                <w:rFonts w:hint="default" w:ascii="Times New Roman" w:hAnsi="Times New Roman" w:eastAsia="宋体" w:cs="Times New Roman"/>
                <w:b/>
                <w:bCs/>
                <w:color w:val="auto"/>
                <w:highlight w:val="none"/>
                <w:lang w:val="en-US" w:eastAsia="zh-CN"/>
              </w:rPr>
              <w:t>分布图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26"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drawing>
                <wp:inline distT="0" distB="0" distL="114300" distR="114300">
                  <wp:extent cx="5400040" cy="3599815"/>
                  <wp:effectExtent l="9525" t="9525" r="19685" b="48260"/>
                  <wp:docPr id="2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lang w:eastAsia="zh-CN"/>
              </w:rPr>
              <w:t>图</w:t>
            </w:r>
            <w:r>
              <w:rPr>
                <w:rFonts w:hint="default" w:ascii="Times New Roman" w:hAnsi="Times New Roman" w:eastAsia="宋体" w:cs="Times New Roman"/>
                <w:b/>
                <w:bCs/>
                <w:color w:val="auto"/>
                <w:highlight w:val="none"/>
                <w:lang w:val="en-US" w:eastAsia="zh-CN"/>
              </w:rPr>
              <w:t>5-</w:t>
            </w:r>
            <w:r>
              <w:rPr>
                <w:rFonts w:hint="default" w:ascii="Times New Roman" w:hAnsi="Times New Roman" w:cs="Times New Roman"/>
                <w:b/>
                <w:bCs/>
                <w:color w:val="auto"/>
                <w:highlight w:val="none"/>
                <w:lang w:val="en-US" w:eastAsia="zh-CN"/>
              </w:rPr>
              <w:t>3-6</w:t>
            </w:r>
            <w:r>
              <w:rPr>
                <w:rFonts w:hint="default" w:ascii="Times New Roman" w:hAnsi="Times New Roman" w:eastAsia="宋体" w:cs="Times New Roman"/>
                <w:b/>
                <w:bCs/>
                <w:color w:val="auto"/>
                <w:highlight w:val="none"/>
                <w:lang w:val="en-US" w:eastAsia="zh-CN"/>
              </w:rPr>
              <w:t xml:space="preserve"> 镉指标</w:t>
            </w:r>
            <w:r>
              <w:rPr>
                <w:rFonts w:hint="default" w:ascii="Times New Roman" w:hAnsi="Times New Roman" w:cs="Times New Roman"/>
                <w:b/>
                <w:bCs/>
                <w:color w:val="auto"/>
                <w:highlight w:val="none"/>
                <w:lang w:val="en-US" w:eastAsia="zh-CN"/>
              </w:rPr>
              <w:t>监测浓度</w:t>
            </w:r>
            <w:r>
              <w:rPr>
                <w:rFonts w:hint="default" w:ascii="Times New Roman" w:hAnsi="Times New Roman" w:eastAsia="宋体" w:cs="Times New Roman"/>
                <w:b/>
                <w:bCs/>
                <w:color w:val="auto"/>
                <w:highlight w:val="none"/>
                <w:lang w:val="en-US" w:eastAsia="zh-CN"/>
              </w:rPr>
              <w:t>分布图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26"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drawing>
                <wp:inline distT="0" distB="0" distL="114300" distR="114300">
                  <wp:extent cx="5400040" cy="3599815"/>
                  <wp:effectExtent l="9525" t="9525" r="19685" b="48260"/>
                  <wp:docPr id="29"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lang w:eastAsia="zh-CN"/>
              </w:rPr>
              <w:t>图</w:t>
            </w:r>
            <w:r>
              <w:rPr>
                <w:rFonts w:hint="default" w:ascii="Times New Roman" w:hAnsi="Times New Roman" w:eastAsia="宋体" w:cs="Times New Roman"/>
                <w:b/>
                <w:bCs/>
                <w:color w:val="auto"/>
                <w:highlight w:val="none"/>
                <w:lang w:val="en-US" w:eastAsia="zh-CN"/>
              </w:rPr>
              <w:t>5-</w:t>
            </w:r>
            <w:r>
              <w:rPr>
                <w:rFonts w:hint="default" w:ascii="Times New Roman" w:hAnsi="Times New Roman" w:cs="Times New Roman"/>
                <w:b/>
                <w:bCs/>
                <w:color w:val="auto"/>
                <w:highlight w:val="none"/>
                <w:lang w:val="en-US" w:eastAsia="zh-CN"/>
              </w:rPr>
              <w:t>3-7</w:t>
            </w:r>
            <w:r>
              <w:rPr>
                <w:rFonts w:hint="default" w:ascii="Times New Roman" w:hAnsi="Times New Roman" w:eastAsia="宋体" w:cs="Times New Roman"/>
                <w:b/>
                <w:bCs/>
                <w:color w:val="auto"/>
                <w:highlight w:val="none"/>
                <w:lang w:val="en-US" w:eastAsia="zh-CN"/>
              </w:rPr>
              <w:t xml:space="preserve"> </w:t>
            </w:r>
            <w:r>
              <w:rPr>
                <w:rFonts w:hint="default" w:ascii="Times New Roman" w:hAnsi="Times New Roman" w:cs="Times New Roman"/>
                <w:b/>
                <w:bCs/>
                <w:color w:val="auto"/>
                <w:highlight w:val="none"/>
                <w:lang w:val="en-US" w:eastAsia="zh-CN"/>
              </w:rPr>
              <w:t>铜</w:t>
            </w:r>
            <w:r>
              <w:rPr>
                <w:rFonts w:hint="default" w:ascii="Times New Roman" w:hAnsi="Times New Roman" w:eastAsia="宋体" w:cs="Times New Roman"/>
                <w:b/>
                <w:bCs/>
                <w:color w:val="auto"/>
                <w:highlight w:val="none"/>
                <w:lang w:val="en-US" w:eastAsia="zh-CN"/>
              </w:rPr>
              <w:t>指标</w:t>
            </w:r>
            <w:r>
              <w:rPr>
                <w:rFonts w:hint="default" w:ascii="Times New Roman" w:hAnsi="Times New Roman" w:cs="Times New Roman"/>
                <w:b/>
                <w:bCs/>
                <w:color w:val="auto"/>
                <w:highlight w:val="none"/>
                <w:lang w:val="en-US" w:eastAsia="zh-CN"/>
              </w:rPr>
              <w:t>监测浓度</w:t>
            </w:r>
            <w:r>
              <w:rPr>
                <w:rFonts w:hint="default" w:ascii="Times New Roman" w:hAnsi="Times New Roman" w:eastAsia="宋体" w:cs="Times New Roman"/>
                <w:b/>
                <w:bCs/>
                <w:color w:val="auto"/>
                <w:highlight w:val="none"/>
                <w:lang w:val="en-US" w:eastAsia="zh-CN"/>
              </w:rPr>
              <w:t>分布图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26"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drawing>
                <wp:inline distT="0" distB="0" distL="114300" distR="114300">
                  <wp:extent cx="5400040" cy="3599815"/>
                  <wp:effectExtent l="9525" t="9525" r="19685" b="48260"/>
                  <wp:docPr id="32"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lang w:eastAsia="zh-CN"/>
              </w:rPr>
              <w:t>图</w:t>
            </w:r>
            <w:r>
              <w:rPr>
                <w:rFonts w:hint="default" w:ascii="Times New Roman" w:hAnsi="Times New Roman" w:eastAsia="宋体" w:cs="Times New Roman"/>
                <w:b/>
                <w:bCs/>
                <w:color w:val="auto"/>
                <w:highlight w:val="none"/>
                <w:lang w:val="en-US" w:eastAsia="zh-CN"/>
              </w:rPr>
              <w:t>5-</w:t>
            </w:r>
            <w:r>
              <w:rPr>
                <w:rFonts w:hint="default" w:ascii="Times New Roman" w:hAnsi="Times New Roman" w:cs="Times New Roman"/>
                <w:b/>
                <w:bCs/>
                <w:color w:val="auto"/>
                <w:highlight w:val="none"/>
                <w:lang w:val="en-US" w:eastAsia="zh-CN"/>
              </w:rPr>
              <w:t>3-8</w:t>
            </w:r>
            <w:r>
              <w:rPr>
                <w:rFonts w:hint="default" w:ascii="Times New Roman" w:hAnsi="Times New Roman" w:eastAsia="宋体" w:cs="Times New Roman"/>
                <w:b/>
                <w:bCs/>
                <w:color w:val="auto"/>
                <w:highlight w:val="none"/>
                <w:lang w:val="en-US" w:eastAsia="zh-CN"/>
              </w:rPr>
              <w:t xml:space="preserve"> </w:t>
            </w:r>
            <w:r>
              <w:rPr>
                <w:rFonts w:hint="default" w:ascii="Times New Roman" w:hAnsi="Times New Roman" w:cs="Times New Roman"/>
                <w:b/>
                <w:bCs/>
                <w:color w:val="auto"/>
                <w:highlight w:val="none"/>
                <w:lang w:val="en-US" w:eastAsia="zh-CN"/>
              </w:rPr>
              <w:t>镍</w:t>
            </w:r>
            <w:r>
              <w:rPr>
                <w:rFonts w:hint="default" w:ascii="Times New Roman" w:hAnsi="Times New Roman" w:eastAsia="宋体" w:cs="Times New Roman"/>
                <w:b/>
                <w:bCs/>
                <w:color w:val="auto"/>
                <w:highlight w:val="none"/>
                <w:lang w:val="en-US" w:eastAsia="zh-CN"/>
              </w:rPr>
              <w:t>指标</w:t>
            </w:r>
            <w:r>
              <w:rPr>
                <w:rFonts w:hint="default" w:ascii="Times New Roman" w:hAnsi="Times New Roman" w:cs="Times New Roman"/>
                <w:b/>
                <w:bCs/>
                <w:color w:val="auto"/>
                <w:highlight w:val="none"/>
                <w:lang w:val="en-US" w:eastAsia="zh-CN"/>
              </w:rPr>
              <w:t>监测浓度</w:t>
            </w:r>
            <w:r>
              <w:rPr>
                <w:rFonts w:hint="default" w:ascii="Times New Roman" w:hAnsi="Times New Roman" w:eastAsia="宋体" w:cs="Times New Roman"/>
                <w:b/>
                <w:bCs/>
                <w:color w:val="auto"/>
                <w:highlight w:val="none"/>
                <w:lang w:val="en-US" w:eastAsia="zh-CN"/>
              </w:rPr>
              <w:t>分布图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26"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400040" cy="3599815"/>
                  <wp:effectExtent l="9525" t="9525" r="19685" b="48260"/>
                  <wp:docPr id="4"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highlight w:val="none"/>
                <w:lang w:eastAsia="zh-CN"/>
              </w:rPr>
            </w:pPr>
            <w:r>
              <w:rPr>
                <w:rFonts w:hint="default" w:ascii="Times New Roman" w:hAnsi="Times New Roman" w:eastAsia="宋体" w:cs="Times New Roman"/>
                <w:b/>
                <w:bCs/>
                <w:color w:val="auto"/>
                <w:highlight w:val="none"/>
                <w:lang w:eastAsia="zh-CN"/>
              </w:rPr>
              <w:t>图</w:t>
            </w:r>
            <w:r>
              <w:rPr>
                <w:rFonts w:hint="default" w:ascii="Times New Roman" w:hAnsi="Times New Roman" w:eastAsia="宋体" w:cs="Times New Roman"/>
                <w:b/>
                <w:bCs/>
                <w:color w:val="auto"/>
                <w:highlight w:val="none"/>
                <w:lang w:val="en-US" w:eastAsia="zh-CN"/>
              </w:rPr>
              <w:t>5-</w:t>
            </w:r>
            <w:r>
              <w:rPr>
                <w:rFonts w:hint="default" w:ascii="Times New Roman" w:hAnsi="Times New Roman" w:cs="Times New Roman"/>
                <w:b/>
                <w:bCs/>
                <w:color w:val="auto"/>
                <w:highlight w:val="none"/>
                <w:lang w:val="en-US" w:eastAsia="zh-CN"/>
              </w:rPr>
              <w:t>3-9</w:t>
            </w:r>
            <w:r>
              <w:rPr>
                <w:rFonts w:hint="default" w:ascii="Times New Roman" w:hAnsi="Times New Roman" w:eastAsia="宋体" w:cs="Times New Roman"/>
                <w:b/>
                <w:bCs/>
                <w:color w:val="auto"/>
                <w:highlight w:val="none"/>
                <w:lang w:val="en-US" w:eastAsia="zh-CN"/>
              </w:rPr>
              <w:t xml:space="preserve"> </w:t>
            </w:r>
            <w:r>
              <w:rPr>
                <w:rFonts w:hint="default" w:ascii="Times New Roman" w:hAnsi="Times New Roman" w:cs="Times New Roman"/>
                <w:b/>
                <w:bCs/>
                <w:color w:val="auto"/>
                <w:highlight w:val="none"/>
                <w:lang w:val="en-US" w:eastAsia="zh-CN"/>
              </w:rPr>
              <w:t>砷</w:t>
            </w:r>
            <w:r>
              <w:rPr>
                <w:rFonts w:hint="default" w:ascii="Times New Roman" w:hAnsi="Times New Roman" w:eastAsia="宋体" w:cs="Times New Roman"/>
                <w:b/>
                <w:bCs/>
                <w:color w:val="auto"/>
                <w:highlight w:val="none"/>
                <w:lang w:val="en-US" w:eastAsia="zh-CN"/>
              </w:rPr>
              <w:t>指标</w:t>
            </w:r>
            <w:r>
              <w:rPr>
                <w:rFonts w:hint="default" w:ascii="Times New Roman" w:hAnsi="Times New Roman" w:cs="Times New Roman"/>
                <w:b/>
                <w:bCs/>
                <w:color w:val="auto"/>
                <w:highlight w:val="none"/>
                <w:lang w:val="en-US" w:eastAsia="zh-CN"/>
              </w:rPr>
              <w:t>监测浓度</w:t>
            </w:r>
            <w:r>
              <w:rPr>
                <w:rFonts w:hint="default" w:ascii="Times New Roman" w:hAnsi="Times New Roman" w:eastAsia="宋体" w:cs="Times New Roman"/>
                <w:b/>
                <w:bCs/>
                <w:color w:val="auto"/>
                <w:highlight w:val="none"/>
                <w:lang w:val="en-US" w:eastAsia="zh-CN"/>
              </w:rPr>
              <w:t>分布图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26"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drawing>
                <wp:inline distT="0" distB="0" distL="114300" distR="114300">
                  <wp:extent cx="5400040" cy="3599815"/>
                  <wp:effectExtent l="9525" t="9525" r="19685" b="48260"/>
                  <wp:docPr id="34"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lang w:eastAsia="zh-CN"/>
              </w:rPr>
              <w:t>图</w:t>
            </w:r>
            <w:r>
              <w:rPr>
                <w:rFonts w:hint="default" w:ascii="Times New Roman" w:hAnsi="Times New Roman" w:eastAsia="宋体" w:cs="Times New Roman"/>
                <w:b/>
                <w:bCs/>
                <w:color w:val="auto"/>
                <w:highlight w:val="none"/>
                <w:lang w:val="en-US" w:eastAsia="zh-CN"/>
              </w:rPr>
              <w:t>5-</w:t>
            </w:r>
            <w:r>
              <w:rPr>
                <w:rFonts w:hint="default" w:ascii="Times New Roman" w:hAnsi="Times New Roman" w:cs="Times New Roman"/>
                <w:b/>
                <w:bCs/>
                <w:color w:val="auto"/>
                <w:highlight w:val="none"/>
                <w:lang w:val="en-US" w:eastAsia="zh-CN"/>
              </w:rPr>
              <w:t>3-10铬</w:t>
            </w:r>
            <w:r>
              <w:rPr>
                <w:rFonts w:hint="default" w:ascii="Times New Roman" w:hAnsi="Times New Roman" w:eastAsia="宋体" w:cs="Times New Roman"/>
                <w:b/>
                <w:bCs/>
                <w:color w:val="auto"/>
                <w:highlight w:val="none"/>
                <w:lang w:val="en-US" w:eastAsia="zh-CN"/>
              </w:rPr>
              <w:t>指标</w:t>
            </w:r>
            <w:r>
              <w:rPr>
                <w:rFonts w:hint="default" w:ascii="Times New Roman" w:hAnsi="Times New Roman" w:cs="Times New Roman"/>
                <w:b/>
                <w:bCs/>
                <w:color w:val="auto"/>
                <w:highlight w:val="none"/>
                <w:lang w:val="en-US" w:eastAsia="zh-CN"/>
              </w:rPr>
              <w:t>监测浓度</w:t>
            </w:r>
            <w:r>
              <w:rPr>
                <w:rFonts w:hint="default" w:ascii="Times New Roman" w:hAnsi="Times New Roman" w:eastAsia="宋体" w:cs="Times New Roman"/>
                <w:b/>
                <w:bCs/>
                <w:color w:val="auto"/>
                <w:highlight w:val="none"/>
                <w:lang w:val="en-US" w:eastAsia="zh-CN"/>
              </w:rPr>
              <w:t>分布图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26"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drawing>
                <wp:inline distT="0" distB="0" distL="114300" distR="114300">
                  <wp:extent cx="5400040" cy="3599815"/>
                  <wp:effectExtent l="9525" t="9525" r="19685" b="48260"/>
                  <wp:docPr id="37"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lang w:eastAsia="zh-CN"/>
              </w:rPr>
              <w:t>图</w:t>
            </w:r>
            <w:r>
              <w:rPr>
                <w:rFonts w:hint="default" w:ascii="Times New Roman" w:hAnsi="Times New Roman" w:eastAsia="宋体" w:cs="Times New Roman"/>
                <w:b/>
                <w:bCs/>
                <w:color w:val="auto"/>
                <w:highlight w:val="none"/>
                <w:lang w:val="en-US" w:eastAsia="zh-CN"/>
              </w:rPr>
              <w:t>5-</w:t>
            </w:r>
            <w:r>
              <w:rPr>
                <w:rFonts w:hint="default" w:ascii="Times New Roman" w:hAnsi="Times New Roman" w:cs="Times New Roman"/>
                <w:b/>
                <w:bCs/>
                <w:color w:val="auto"/>
                <w:highlight w:val="none"/>
                <w:lang w:val="en-US" w:eastAsia="zh-CN"/>
              </w:rPr>
              <w:t>3-11</w:t>
            </w:r>
            <w:r>
              <w:rPr>
                <w:rFonts w:hint="default" w:ascii="Times New Roman" w:hAnsi="Times New Roman" w:eastAsia="宋体" w:cs="Times New Roman"/>
                <w:b/>
                <w:bCs/>
                <w:color w:val="auto"/>
                <w:highlight w:val="none"/>
                <w:lang w:val="en-US" w:eastAsia="zh-CN"/>
              </w:rPr>
              <w:t xml:space="preserve"> </w:t>
            </w:r>
            <w:r>
              <w:rPr>
                <w:rFonts w:hint="default" w:ascii="Times New Roman" w:hAnsi="Times New Roman" w:cs="Times New Roman"/>
                <w:b/>
                <w:bCs/>
                <w:color w:val="auto"/>
                <w:highlight w:val="none"/>
                <w:lang w:val="en-US" w:eastAsia="zh-CN"/>
              </w:rPr>
              <w:t>钼</w:t>
            </w:r>
            <w:r>
              <w:rPr>
                <w:rFonts w:hint="default" w:ascii="Times New Roman" w:hAnsi="Times New Roman" w:eastAsia="宋体" w:cs="Times New Roman"/>
                <w:b/>
                <w:bCs/>
                <w:color w:val="auto"/>
                <w:highlight w:val="none"/>
                <w:lang w:val="en-US" w:eastAsia="zh-CN"/>
              </w:rPr>
              <w:t>指标</w:t>
            </w:r>
            <w:r>
              <w:rPr>
                <w:rFonts w:hint="default" w:ascii="Times New Roman" w:hAnsi="Times New Roman" w:cs="Times New Roman"/>
                <w:b/>
                <w:bCs/>
                <w:color w:val="auto"/>
                <w:highlight w:val="none"/>
                <w:lang w:val="en-US" w:eastAsia="zh-CN"/>
              </w:rPr>
              <w:t>监测浓度</w:t>
            </w:r>
            <w:r>
              <w:rPr>
                <w:rFonts w:hint="default" w:ascii="Times New Roman" w:hAnsi="Times New Roman" w:eastAsia="宋体" w:cs="Times New Roman"/>
                <w:b/>
                <w:bCs/>
                <w:color w:val="auto"/>
                <w:highlight w:val="none"/>
                <w:lang w:val="en-US" w:eastAsia="zh-CN"/>
              </w:rPr>
              <w:t>分布图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826"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drawing>
                <wp:inline distT="0" distB="0" distL="114300" distR="114300">
                  <wp:extent cx="5400040" cy="3599815"/>
                  <wp:effectExtent l="9525" t="9525" r="19685" b="48260"/>
                  <wp:docPr id="3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b/>
                <w:bCs/>
                <w:color w:val="auto"/>
                <w:highlight w:val="none"/>
                <w:lang w:eastAsia="zh-CN"/>
              </w:rPr>
              <w:t>图</w:t>
            </w:r>
            <w:r>
              <w:rPr>
                <w:rFonts w:hint="default" w:ascii="Times New Roman" w:hAnsi="Times New Roman" w:eastAsia="宋体" w:cs="Times New Roman"/>
                <w:b/>
                <w:bCs/>
                <w:color w:val="auto"/>
                <w:highlight w:val="none"/>
                <w:lang w:val="en-US" w:eastAsia="zh-CN"/>
              </w:rPr>
              <w:t>5-</w:t>
            </w:r>
            <w:r>
              <w:rPr>
                <w:rFonts w:hint="default" w:ascii="Times New Roman" w:hAnsi="Times New Roman" w:cs="Times New Roman"/>
                <w:b/>
                <w:bCs/>
                <w:color w:val="auto"/>
                <w:highlight w:val="none"/>
                <w:lang w:val="en-US" w:eastAsia="zh-CN"/>
              </w:rPr>
              <w:t>3-12锑</w:t>
            </w:r>
            <w:r>
              <w:rPr>
                <w:rFonts w:hint="default" w:ascii="Times New Roman" w:hAnsi="Times New Roman" w:eastAsia="宋体" w:cs="Times New Roman"/>
                <w:b/>
                <w:bCs/>
                <w:color w:val="auto"/>
                <w:highlight w:val="none"/>
                <w:lang w:val="en-US" w:eastAsia="zh-CN"/>
              </w:rPr>
              <w:t>指标</w:t>
            </w:r>
            <w:r>
              <w:rPr>
                <w:rFonts w:hint="default" w:ascii="Times New Roman" w:hAnsi="Times New Roman" w:cs="Times New Roman"/>
                <w:b/>
                <w:bCs/>
                <w:color w:val="auto"/>
                <w:highlight w:val="none"/>
                <w:lang w:val="en-US" w:eastAsia="zh-CN"/>
              </w:rPr>
              <w:t>监测浓度</w:t>
            </w:r>
            <w:r>
              <w:rPr>
                <w:rFonts w:hint="default" w:ascii="Times New Roman" w:hAnsi="Times New Roman" w:eastAsia="宋体" w:cs="Times New Roman"/>
                <w:b/>
                <w:bCs/>
                <w:color w:val="auto"/>
                <w:highlight w:val="none"/>
                <w:lang w:val="en-US" w:eastAsia="zh-CN"/>
              </w:rPr>
              <w:t>分布图</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highlight w:val="none"/>
          <w:lang w:eastAsia="zh-CN"/>
        </w:rPr>
        <w:t>由各点位重金属监测浓度散点分布图可知，</w:t>
      </w:r>
      <w:r>
        <w:rPr>
          <w:rFonts w:hint="default" w:ascii="Times New Roman" w:hAnsi="Times New Roman" w:cs="Times New Roman"/>
          <w:color w:val="auto"/>
          <w:sz w:val="24"/>
          <w:szCs w:val="24"/>
          <w:highlight w:val="none"/>
          <w:lang w:eastAsia="zh-CN"/>
        </w:rPr>
        <w:t>园区内</w:t>
      </w:r>
      <w:r>
        <w:rPr>
          <w:rFonts w:hint="default" w:ascii="Times New Roman" w:hAnsi="Times New Roman" w:cs="Times New Roman"/>
          <w:color w:val="auto"/>
          <w:sz w:val="24"/>
          <w:szCs w:val="24"/>
          <w:highlight w:val="none"/>
        </w:rPr>
        <w:t>各测试项目检测值</w:t>
      </w:r>
      <w:r>
        <w:rPr>
          <w:rFonts w:hint="default" w:ascii="Times New Roman" w:hAnsi="Times New Roman" w:cs="Times New Roman"/>
          <w:color w:val="auto"/>
          <w:sz w:val="24"/>
          <w:szCs w:val="24"/>
          <w:highlight w:val="none"/>
          <w:lang w:eastAsia="zh-CN"/>
        </w:rPr>
        <w:t>中，下列点位的对应测试项目检测值较其它点位高于该指标平均值：</w:t>
      </w:r>
      <w:r>
        <w:rPr>
          <w:rFonts w:hint="default" w:ascii="Times New Roman" w:hAnsi="Times New Roman" w:cs="Times New Roman"/>
          <w:color w:val="auto"/>
          <w:highlight w:val="none"/>
          <w:lang w:val="en-US" w:eastAsia="zh-CN"/>
        </w:rPr>
        <w:t>①SJG-3：汞；②SJG-2-75：镍、铬；③SJG-JJ-3：汞；④SJG-JJ-9：铅，且所有</w:t>
      </w:r>
      <w:r>
        <w:rPr>
          <w:rFonts w:hint="default" w:ascii="Times New Roman" w:hAnsi="Times New Roman" w:eastAsia="宋体" w:cs="Times New Roman"/>
          <w:color w:val="auto"/>
          <w:kern w:val="2"/>
          <w:sz w:val="24"/>
          <w:szCs w:val="24"/>
          <w:highlight w:val="none"/>
          <w:lang w:val="en-US" w:eastAsia="zh-CN" w:bidi="ar-SA"/>
        </w:rPr>
        <w:t>点位的</w:t>
      </w:r>
      <w:r>
        <w:rPr>
          <w:rFonts w:hint="default" w:ascii="Times New Roman" w:hAnsi="Times New Roman" w:cs="Times New Roman"/>
          <w:color w:val="auto"/>
          <w:kern w:val="2"/>
          <w:sz w:val="24"/>
          <w:szCs w:val="24"/>
          <w:highlight w:val="none"/>
          <w:lang w:val="en-US" w:eastAsia="zh-CN" w:bidi="ar-SA"/>
        </w:rPr>
        <w:t>测试项目检测值</w:t>
      </w:r>
      <w:r>
        <w:rPr>
          <w:rFonts w:hint="default" w:ascii="Times New Roman" w:hAnsi="Times New Roman" w:eastAsia="宋体" w:cs="Times New Roman"/>
          <w:color w:val="auto"/>
          <w:kern w:val="2"/>
          <w:sz w:val="24"/>
          <w:szCs w:val="24"/>
          <w:highlight w:val="none"/>
          <w:lang w:val="en-US" w:eastAsia="zh-CN" w:bidi="ar-SA"/>
        </w:rPr>
        <w:t>均低于调查区域背景值。其余点位各项污染项目监测值差别较小。</w:t>
      </w:r>
    </w:p>
    <w:p>
      <w:pPr>
        <w:numPr>
          <w:ilvl w:val="0"/>
          <w:numId w:val="0"/>
        </w:numPr>
        <w:spacing w:line="360" w:lineRule="auto"/>
        <w:ind w:leftChars="0" w:firstLine="420" w:firstLineChars="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eastAsia="zh-CN"/>
        </w:rPr>
        <w:t>（</w:t>
      </w:r>
      <w:r>
        <w:rPr>
          <w:rFonts w:hint="eastAsia" w:cs="Times New Roman"/>
          <w:b/>
          <w:bCs/>
          <w:color w:val="auto"/>
          <w:sz w:val="24"/>
          <w:highlight w:val="none"/>
          <w:lang w:val="en-US" w:eastAsia="zh-CN"/>
        </w:rPr>
        <w:t>6</w:t>
      </w:r>
      <w:r>
        <w:rPr>
          <w:rFonts w:hint="default" w:ascii="Times New Roman" w:hAnsi="Times New Roman" w:cs="Times New Roman"/>
          <w:b/>
          <w:bCs/>
          <w:color w:val="auto"/>
          <w:sz w:val="24"/>
          <w:highlight w:val="none"/>
          <w:lang w:eastAsia="zh-CN"/>
        </w:rPr>
        <w:t>）</w:t>
      </w:r>
      <w:r>
        <w:rPr>
          <w:rFonts w:hint="default" w:ascii="Times New Roman" w:hAnsi="Times New Roman" w:cs="Times New Roman"/>
          <w:b/>
          <w:bCs/>
          <w:color w:val="auto"/>
          <w:sz w:val="24"/>
          <w:highlight w:val="none"/>
        </w:rPr>
        <w:t>挥发性有机物和半挥发性有机物</w:t>
      </w:r>
    </w:p>
    <w:p>
      <w:pPr>
        <w:spacing w:line="360" w:lineRule="auto"/>
        <w:ind w:firstLine="482"/>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rPr>
        <w:t>基于《土壤环境质量建设用地土壤污染风险管控标准（试行）》的基本项目要求，送检的土壤样品均进行</w:t>
      </w:r>
      <w:r>
        <w:rPr>
          <w:rFonts w:hint="default" w:ascii="Times New Roman" w:hAnsi="Times New Roman" w:cs="Times New Roman"/>
          <w:color w:val="auto"/>
          <w:kern w:val="0"/>
          <w:sz w:val="24"/>
          <w:highlight w:val="none"/>
        </w:rPr>
        <w:t>了</w:t>
      </w:r>
      <w:r>
        <w:rPr>
          <w:rFonts w:hint="default" w:ascii="Times New Roman" w:hAnsi="Times New Roman" w:cs="Times New Roman"/>
          <w:color w:val="auto"/>
          <w:kern w:val="0"/>
          <w:sz w:val="24"/>
          <w:highlight w:val="none"/>
          <w:lang w:val="en-US" w:eastAsia="zh-CN"/>
        </w:rPr>
        <w:t>GB36600</w:t>
      </w:r>
      <w:r>
        <w:rPr>
          <w:rFonts w:hint="default" w:ascii="Times New Roman" w:hAnsi="Times New Roman" w:cs="Times New Roman"/>
          <w:color w:val="auto"/>
          <w:kern w:val="0"/>
          <w:sz w:val="24"/>
          <w:highlight w:val="none"/>
          <w:lang w:eastAsia="zh-CN"/>
        </w:rPr>
        <w:t>基本项目中</w:t>
      </w:r>
      <w:r>
        <w:rPr>
          <w:rFonts w:hint="default" w:ascii="Times New Roman" w:hAnsi="Times New Roman" w:cs="Times New Roman"/>
          <w:color w:val="auto"/>
          <w:kern w:val="0"/>
          <w:sz w:val="24"/>
          <w:highlight w:val="none"/>
        </w:rPr>
        <w:t>27项挥发性有机物和11项半挥发性有</w:t>
      </w:r>
      <w:r>
        <w:rPr>
          <w:rFonts w:hint="default" w:ascii="Times New Roman" w:hAnsi="Times New Roman" w:cs="Times New Roman"/>
          <w:color w:val="auto"/>
          <w:sz w:val="24"/>
          <w:highlight w:val="none"/>
        </w:rPr>
        <w:t>机物的检测</w:t>
      </w:r>
      <w:r>
        <w:rPr>
          <w:rFonts w:hint="default" w:ascii="Times New Roman" w:hAnsi="Times New Roman" w:cs="Times New Roman"/>
          <w:color w:val="auto"/>
          <w:sz w:val="24"/>
          <w:highlight w:val="none"/>
          <w:lang w:eastAsia="zh-CN"/>
        </w:rPr>
        <w:t>，并</w:t>
      </w:r>
      <w:r>
        <w:rPr>
          <w:rFonts w:hint="default" w:ascii="Times New Roman" w:hAnsi="Times New Roman" w:cs="Times New Roman"/>
          <w:color w:val="auto"/>
          <w:sz w:val="24"/>
          <w:highlight w:val="none"/>
          <w:lang w:val="en-US" w:eastAsia="zh-CN"/>
        </w:rPr>
        <w:t>对部分点位</w:t>
      </w:r>
      <w:r>
        <w:rPr>
          <w:rFonts w:hint="default" w:ascii="Times New Roman" w:hAnsi="Times New Roman" w:cs="Times New Roman"/>
          <w:color w:val="auto"/>
          <w:sz w:val="24"/>
          <w:highlight w:val="none"/>
          <w:lang w:eastAsia="zh-CN"/>
        </w:rPr>
        <w:t>增测了特征污染物：苯酚</w:t>
      </w:r>
      <w:r>
        <w:rPr>
          <w:rFonts w:hint="default" w:ascii="Times New Roman" w:hAnsi="Times New Roman" w:cs="Times New Roman"/>
          <w:color w:val="auto"/>
          <w:sz w:val="24"/>
          <w:highlight w:val="none"/>
          <w:lang w:val="en-US" w:eastAsia="zh-CN"/>
        </w:rPr>
        <w:t>。</w:t>
      </w:r>
    </w:p>
    <w:p>
      <w:pPr>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监测报告显示：</w:t>
      </w:r>
      <w:r>
        <w:rPr>
          <w:rFonts w:hint="default" w:ascii="Times New Roman" w:hAnsi="Times New Roman" w:cs="Times New Roman"/>
          <w:color w:val="auto"/>
          <w:sz w:val="24"/>
          <w:highlight w:val="none"/>
          <w:lang w:eastAsia="zh-CN"/>
        </w:rPr>
        <w:t>园区</w:t>
      </w:r>
      <w:r>
        <w:rPr>
          <w:rFonts w:hint="default" w:ascii="Times New Roman" w:hAnsi="Times New Roman" w:cs="Times New Roman"/>
          <w:color w:val="auto"/>
          <w:sz w:val="24"/>
          <w:highlight w:val="none"/>
        </w:rPr>
        <w:t>内</w:t>
      </w:r>
      <w:r>
        <w:rPr>
          <w:rFonts w:hint="eastAsia" w:cs="Times New Roman"/>
          <w:color w:val="auto"/>
          <w:sz w:val="24"/>
          <w:highlight w:val="none"/>
          <w:lang w:val="en-US" w:eastAsia="zh-CN"/>
        </w:rPr>
        <w:t>土壤样品（不含质控样品）</w:t>
      </w:r>
      <w:r>
        <w:rPr>
          <w:rFonts w:hint="default" w:ascii="Times New Roman" w:hAnsi="Times New Roman" w:cs="Times New Roman"/>
          <w:color w:val="auto"/>
          <w:sz w:val="24"/>
          <w:highlight w:val="none"/>
          <w:lang w:eastAsia="zh-CN"/>
        </w:rPr>
        <w:t>中除</w:t>
      </w:r>
      <w:r>
        <w:rPr>
          <w:rFonts w:hint="default" w:ascii="Times New Roman" w:hAnsi="Times New Roman" w:cs="Times New Roman"/>
          <w:color w:val="auto"/>
          <w:sz w:val="24"/>
          <w:highlight w:val="none"/>
          <w:lang w:val="en-US" w:eastAsia="zh-CN"/>
        </w:rPr>
        <w:t>SJG-JJ-8、SJG-JJ-9点位的多环芳烃类半挥发有机物有检出外，其它样品</w:t>
      </w:r>
      <w:r>
        <w:rPr>
          <w:rFonts w:hint="default" w:ascii="Times New Roman" w:hAnsi="Times New Roman" w:cs="Times New Roman"/>
          <w:color w:val="auto"/>
          <w:sz w:val="24"/>
          <w:highlight w:val="none"/>
        </w:rPr>
        <w:t>的挥发性有机物、半挥发性有机物均未检出</w:t>
      </w:r>
      <w:r>
        <w:rPr>
          <w:rFonts w:hint="default" w:ascii="Times New Roman" w:hAnsi="Times New Roman" w:cs="Times New Roman"/>
          <w:color w:val="auto"/>
          <w:sz w:val="24"/>
          <w:highlight w:val="none"/>
          <w:lang w:eastAsia="zh-CN"/>
        </w:rPr>
        <w:t>。检出样品的浓度见表</w:t>
      </w:r>
      <w:r>
        <w:rPr>
          <w:rFonts w:hint="default" w:ascii="Times New Roman" w:hAnsi="Times New Roman" w:cs="Times New Roman"/>
          <w:color w:val="auto"/>
          <w:sz w:val="24"/>
          <w:highlight w:val="none"/>
          <w:lang w:val="en-US" w:eastAsia="zh-CN"/>
        </w:rPr>
        <w:t>5-3-</w:t>
      </w:r>
      <w:r>
        <w:rPr>
          <w:rFonts w:hint="eastAsia" w:cs="Times New Roman"/>
          <w:color w:val="auto"/>
          <w:sz w:val="24"/>
          <w:highlight w:val="none"/>
          <w:lang w:val="en-US" w:eastAsia="zh-CN"/>
        </w:rPr>
        <w:t>7</w:t>
      </w:r>
      <w:r>
        <w:rPr>
          <w:rFonts w:hint="default" w:ascii="Times New Roman" w:hAnsi="Times New Roman" w:cs="Times New Roman"/>
          <w:color w:val="auto"/>
          <w:sz w:val="24"/>
          <w:highlight w:val="none"/>
          <w:lang w:val="en-US" w:eastAsia="zh-CN"/>
        </w:rPr>
        <w:t>。</w:t>
      </w:r>
    </w:p>
    <w:p>
      <w:pPr>
        <w:pStyle w:val="2"/>
        <w:keepNext w:val="0"/>
        <w:keepLines w:val="0"/>
        <w:pageBreakBefore w:val="0"/>
        <w:widowControl w:val="0"/>
        <w:kinsoku/>
        <w:wordWrap/>
        <w:overflowPunct/>
        <w:topLinePunct w:val="0"/>
        <w:autoSpaceDE/>
        <w:autoSpaceDN/>
        <w:bidi w:val="0"/>
        <w:adjustRightInd/>
        <w:snapToGrid/>
        <w:spacing w:before="167" w:beforeLines="50" w:after="0" w:line="240" w:lineRule="auto"/>
        <w:jc w:val="center"/>
        <w:textAlignment w:val="auto"/>
        <w:rPr>
          <w:rFonts w:hint="default" w:ascii="Times New Roman" w:hAnsi="Times New Roman" w:cs="Times New Roman"/>
        </w:rPr>
      </w:pPr>
      <w:r>
        <w:rPr>
          <w:rFonts w:hint="default" w:ascii="Times New Roman" w:hAnsi="Times New Roman" w:eastAsia="黑体" w:cs="Times New Roman"/>
          <w:b/>
          <w:bCs/>
          <w:color w:val="auto"/>
          <w:sz w:val="24"/>
          <w:highlight w:val="none"/>
        </w:rPr>
        <w:t>表5-</w:t>
      </w:r>
      <w:r>
        <w:rPr>
          <w:rFonts w:hint="default" w:ascii="Times New Roman" w:hAnsi="Times New Roman" w:eastAsia="黑体" w:cs="Times New Roman"/>
          <w:b/>
          <w:bCs/>
          <w:color w:val="auto"/>
          <w:sz w:val="24"/>
          <w:highlight w:val="none"/>
          <w:lang w:val="en-US" w:eastAsia="zh-CN"/>
        </w:rPr>
        <w:t>3</w:t>
      </w:r>
      <w:r>
        <w:rPr>
          <w:rFonts w:hint="eastAsia" w:eastAsia="黑体" w:cs="Times New Roman"/>
          <w:b/>
          <w:bCs/>
          <w:color w:val="auto"/>
          <w:sz w:val="24"/>
          <w:highlight w:val="none"/>
          <w:lang w:val="en-US" w:eastAsia="zh-CN"/>
        </w:rPr>
        <w:t>-7</w:t>
      </w:r>
      <w:r>
        <w:rPr>
          <w:rFonts w:hint="default" w:ascii="Times New Roman" w:hAnsi="Times New Roman" w:eastAsia="黑体" w:cs="Times New Roman"/>
          <w:b/>
          <w:bCs/>
          <w:color w:val="auto"/>
          <w:sz w:val="24"/>
          <w:highlight w:val="none"/>
        </w:rPr>
        <w:t xml:space="preserve"> 土壤样品</w:t>
      </w:r>
      <w:r>
        <w:rPr>
          <w:rFonts w:hint="default" w:ascii="Times New Roman" w:hAnsi="Times New Roman" w:eastAsia="黑体" w:cs="Times New Roman"/>
          <w:b/>
          <w:bCs/>
          <w:color w:val="auto"/>
          <w:sz w:val="24"/>
          <w:highlight w:val="none"/>
          <w:lang w:val="en-US" w:eastAsia="zh-CN"/>
        </w:rPr>
        <w:t>多环芳烃类半挥发有机物</w:t>
      </w:r>
      <w:r>
        <w:rPr>
          <w:rFonts w:hint="default" w:ascii="Times New Roman" w:hAnsi="Times New Roman" w:eastAsia="黑体" w:cs="Times New Roman"/>
          <w:b/>
          <w:bCs/>
          <w:color w:val="auto"/>
          <w:sz w:val="24"/>
          <w:highlight w:val="none"/>
        </w:rPr>
        <w:t>监测值</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377"/>
        <w:gridCol w:w="921"/>
        <w:gridCol w:w="1593"/>
        <w:gridCol w:w="534"/>
        <w:gridCol w:w="947"/>
        <w:gridCol w:w="707"/>
        <w:gridCol w:w="827"/>
        <w:gridCol w:w="827"/>
        <w:gridCol w:w="831"/>
        <w:gridCol w:w="1215"/>
        <w:gridCol w:w="8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00" w:hRule="atLeast"/>
          <w:tblHeader/>
          <w:jc w:val="center"/>
        </w:trPr>
        <w:tc>
          <w:tcPr>
            <w:tcW w:w="194"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000000"/>
                <w:sz w:val="21"/>
                <w:szCs w:val="21"/>
                <w:u w:val="none"/>
              </w:rPr>
            </w:pPr>
            <w:r>
              <w:rPr>
                <w:rFonts w:hint="default" w:ascii="Times New Roman" w:hAnsi="Times New Roman" w:eastAsia="宋体" w:cs="Times New Roman"/>
                <w:b/>
                <w:bCs w:val="0"/>
                <w:i w:val="0"/>
                <w:color w:val="000000"/>
                <w:kern w:val="0"/>
                <w:sz w:val="21"/>
                <w:szCs w:val="21"/>
                <w:u w:val="none"/>
                <w:lang w:val="en-US" w:eastAsia="zh-CN" w:bidi="ar"/>
              </w:rPr>
              <w:t>序号</w:t>
            </w:r>
          </w:p>
        </w:tc>
        <w:tc>
          <w:tcPr>
            <w:tcW w:w="476"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000000"/>
                <w:sz w:val="21"/>
                <w:szCs w:val="21"/>
                <w:u w:val="none"/>
              </w:rPr>
            </w:pPr>
            <w:r>
              <w:rPr>
                <w:rFonts w:hint="default" w:ascii="Times New Roman" w:hAnsi="Times New Roman" w:eastAsia="宋体" w:cs="Times New Roman"/>
                <w:b/>
                <w:bCs w:val="0"/>
                <w:i w:val="0"/>
                <w:color w:val="000000"/>
                <w:kern w:val="0"/>
                <w:sz w:val="21"/>
                <w:szCs w:val="21"/>
                <w:u w:val="none"/>
                <w:lang w:val="en-US" w:eastAsia="zh-CN" w:bidi="ar"/>
              </w:rPr>
              <w:t>样品编号</w:t>
            </w:r>
          </w:p>
        </w:tc>
        <w:tc>
          <w:tcPr>
            <w:tcW w:w="823"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000000"/>
                <w:sz w:val="21"/>
                <w:szCs w:val="21"/>
                <w:u w:val="none"/>
              </w:rPr>
            </w:pPr>
            <w:r>
              <w:rPr>
                <w:rFonts w:hint="default" w:ascii="Times New Roman" w:hAnsi="Times New Roman" w:eastAsia="宋体" w:cs="Times New Roman"/>
                <w:b/>
                <w:bCs w:val="0"/>
                <w:i w:val="0"/>
                <w:color w:val="000000"/>
                <w:kern w:val="0"/>
                <w:sz w:val="21"/>
                <w:szCs w:val="21"/>
                <w:u w:val="none"/>
                <w:lang w:val="en-US" w:eastAsia="zh-CN" w:bidi="ar"/>
              </w:rPr>
              <w:t>点位位置</w:t>
            </w:r>
          </w:p>
        </w:tc>
        <w:tc>
          <w:tcPr>
            <w:tcW w:w="276"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000000"/>
                <w:sz w:val="21"/>
                <w:szCs w:val="21"/>
                <w:u w:val="none"/>
              </w:rPr>
            </w:pPr>
            <w:r>
              <w:rPr>
                <w:rFonts w:hint="default" w:ascii="Times New Roman" w:hAnsi="Times New Roman" w:eastAsia="宋体" w:cs="Times New Roman"/>
                <w:b/>
                <w:bCs w:val="0"/>
                <w:i w:val="0"/>
                <w:color w:val="000000"/>
                <w:kern w:val="0"/>
                <w:sz w:val="21"/>
                <w:szCs w:val="21"/>
                <w:u w:val="none"/>
                <w:lang w:val="en-US" w:eastAsia="zh-CN" w:bidi="ar"/>
              </w:rPr>
              <w:t>萘</w:t>
            </w:r>
          </w:p>
        </w:tc>
        <w:tc>
          <w:tcPr>
            <w:tcW w:w="489"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000000"/>
                <w:sz w:val="21"/>
                <w:szCs w:val="21"/>
                <w:u w:val="none"/>
              </w:rPr>
            </w:pPr>
            <w:r>
              <w:rPr>
                <w:rFonts w:hint="default" w:ascii="Times New Roman" w:hAnsi="Times New Roman" w:eastAsia="宋体" w:cs="Times New Roman"/>
                <w:b/>
                <w:bCs w:val="0"/>
                <w:i w:val="0"/>
                <w:color w:val="000000"/>
                <w:kern w:val="0"/>
                <w:sz w:val="21"/>
                <w:szCs w:val="21"/>
                <w:u w:val="none"/>
                <w:lang w:val="en-US" w:eastAsia="zh-CN" w:bidi="ar"/>
              </w:rPr>
              <w:t>苯并(a)蒽</w:t>
            </w:r>
          </w:p>
        </w:tc>
        <w:tc>
          <w:tcPr>
            <w:tcW w:w="365"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000000"/>
                <w:sz w:val="21"/>
                <w:szCs w:val="21"/>
                <w:u w:val="none"/>
              </w:rPr>
            </w:pPr>
            <w:r>
              <w:rPr>
                <w:rFonts w:hint="default" w:ascii="Times New Roman" w:hAnsi="Times New Roman" w:eastAsia="宋体" w:cs="Times New Roman"/>
                <w:b/>
                <w:bCs w:val="0"/>
                <w:i w:val="0"/>
                <w:color w:val="000000"/>
                <w:kern w:val="0"/>
                <w:sz w:val="21"/>
                <w:szCs w:val="21"/>
                <w:u w:val="none"/>
                <w:lang w:val="en-US" w:eastAsia="zh-CN" w:bidi="ar"/>
              </w:rPr>
              <w:t>䓛</w:t>
            </w:r>
          </w:p>
        </w:tc>
        <w:tc>
          <w:tcPr>
            <w:tcW w:w="427"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000000"/>
                <w:sz w:val="21"/>
                <w:szCs w:val="21"/>
                <w:u w:val="none"/>
              </w:rPr>
            </w:pPr>
            <w:r>
              <w:rPr>
                <w:rFonts w:hint="default" w:ascii="Times New Roman" w:hAnsi="Times New Roman" w:eastAsia="宋体" w:cs="Times New Roman"/>
                <w:b/>
                <w:bCs w:val="0"/>
                <w:i w:val="0"/>
                <w:color w:val="000000"/>
                <w:kern w:val="0"/>
                <w:sz w:val="21"/>
                <w:szCs w:val="21"/>
                <w:u w:val="none"/>
                <w:lang w:val="en-US" w:eastAsia="zh-CN" w:bidi="ar"/>
              </w:rPr>
              <w:t>苯并(b)荧蒽</w:t>
            </w:r>
          </w:p>
        </w:tc>
        <w:tc>
          <w:tcPr>
            <w:tcW w:w="427"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000000"/>
                <w:sz w:val="21"/>
                <w:szCs w:val="21"/>
                <w:u w:val="none"/>
              </w:rPr>
            </w:pPr>
            <w:r>
              <w:rPr>
                <w:rFonts w:hint="default" w:ascii="Times New Roman" w:hAnsi="Times New Roman" w:eastAsia="宋体" w:cs="Times New Roman"/>
                <w:b/>
                <w:bCs w:val="0"/>
                <w:i w:val="0"/>
                <w:color w:val="000000"/>
                <w:kern w:val="0"/>
                <w:sz w:val="21"/>
                <w:szCs w:val="21"/>
                <w:u w:val="none"/>
                <w:lang w:val="en-US" w:eastAsia="zh-CN" w:bidi="ar"/>
              </w:rPr>
              <w:t>苯并(k)荧蒽</w:t>
            </w:r>
          </w:p>
        </w:tc>
        <w:tc>
          <w:tcPr>
            <w:tcW w:w="429"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000000"/>
                <w:sz w:val="21"/>
                <w:szCs w:val="21"/>
                <w:u w:val="none"/>
              </w:rPr>
            </w:pPr>
            <w:r>
              <w:rPr>
                <w:rFonts w:hint="default" w:ascii="Times New Roman" w:hAnsi="Times New Roman" w:eastAsia="宋体" w:cs="Times New Roman"/>
                <w:b/>
                <w:bCs w:val="0"/>
                <w:i w:val="0"/>
                <w:color w:val="000000"/>
                <w:kern w:val="0"/>
                <w:sz w:val="21"/>
                <w:szCs w:val="21"/>
                <w:u w:val="none"/>
                <w:lang w:val="en-US" w:eastAsia="zh-CN" w:bidi="ar"/>
              </w:rPr>
              <w:t>苯并(a)芘</w:t>
            </w:r>
          </w:p>
        </w:tc>
        <w:tc>
          <w:tcPr>
            <w:tcW w:w="628"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000000"/>
                <w:sz w:val="21"/>
                <w:szCs w:val="21"/>
                <w:u w:val="none"/>
              </w:rPr>
            </w:pPr>
            <w:r>
              <w:rPr>
                <w:rFonts w:hint="default" w:ascii="Times New Roman" w:hAnsi="Times New Roman" w:eastAsia="宋体" w:cs="Times New Roman"/>
                <w:b/>
                <w:bCs w:val="0"/>
                <w:i w:val="0"/>
                <w:color w:val="000000"/>
                <w:kern w:val="0"/>
                <w:sz w:val="21"/>
                <w:szCs w:val="21"/>
                <w:u w:val="none"/>
                <w:lang w:val="en-US" w:eastAsia="zh-CN" w:bidi="ar"/>
              </w:rPr>
              <w:t>茚并(1,2,3-cd)芘</w:t>
            </w:r>
          </w:p>
        </w:tc>
        <w:tc>
          <w:tcPr>
            <w:tcW w:w="459"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000000"/>
                <w:sz w:val="21"/>
                <w:szCs w:val="21"/>
                <w:u w:val="none"/>
              </w:rPr>
            </w:pPr>
            <w:r>
              <w:rPr>
                <w:rFonts w:hint="default" w:ascii="Times New Roman" w:hAnsi="Times New Roman" w:eastAsia="宋体" w:cs="Times New Roman"/>
                <w:b/>
                <w:bCs w:val="0"/>
                <w:i w:val="0"/>
                <w:color w:val="000000"/>
                <w:kern w:val="0"/>
                <w:sz w:val="21"/>
                <w:szCs w:val="21"/>
                <w:u w:val="none"/>
                <w:lang w:val="en-US" w:eastAsia="zh-CN" w:bidi="ar"/>
              </w:rPr>
              <w:t>二苯并(a,h)蒽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194"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sz w:val="21"/>
                <w:szCs w:val="21"/>
                <w:u w:val="none"/>
              </w:rPr>
            </w:pPr>
            <w:r>
              <w:rPr>
                <w:rFonts w:hint="default" w:ascii="Times New Roman" w:hAnsi="Times New Roman" w:eastAsia="宋体" w:cs="Times New Roman"/>
                <w:b w:val="0"/>
                <w:bCs/>
                <w:i w:val="0"/>
                <w:color w:val="000000"/>
                <w:kern w:val="0"/>
                <w:sz w:val="21"/>
                <w:szCs w:val="21"/>
                <w:u w:val="none"/>
                <w:lang w:val="en-US" w:eastAsia="zh-CN" w:bidi="ar"/>
              </w:rPr>
              <w:t>1</w:t>
            </w:r>
          </w:p>
        </w:tc>
        <w:tc>
          <w:tcPr>
            <w:tcW w:w="476"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sz w:val="21"/>
                <w:szCs w:val="21"/>
                <w:u w:val="none"/>
              </w:rPr>
            </w:pPr>
            <w:r>
              <w:rPr>
                <w:rFonts w:hint="default" w:ascii="Times New Roman" w:hAnsi="Times New Roman" w:eastAsia="宋体" w:cs="Times New Roman"/>
                <w:b w:val="0"/>
                <w:bCs/>
                <w:i w:val="0"/>
                <w:color w:val="000000"/>
                <w:kern w:val="0"/>
                <w:sz w:val="21"/>
                <w:szCs w:val="21"/>
                <w:u w:val="none"/>
                <w:lang w:val="en-US" w:eastAsia="zh-CN" w:bidi="ar"/>
              </w:rPr>
              <w:t>SJG-JJ-8</w:t>
            </w:r>
          </w:p>
        </w:tc>
        <w:tc>
          <w:tcPr>
            <w:tcW w:w="823"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sz w:val="21"/>
                <w:szCs w:val="21"/>
                <w:u w:val="none"/>
              </w:rPr>
            </w:pPr>
            <w:r>
              <w:rPr>
                <w:rFonts w:hint="default" w:ascii="Times New Roman" w:hAnsi="Times New Roman" w:eastAsia="宋体" w:cs="Times New Roman"/>
                <w:b w:val="0"/>
                <w:bCs/>
                <w:i w:val="0"/>
                <w:color w:val="000000"/>
                <w:kern w:val="0"/>
                <w:sz w:val="21"/>
                <w:szCs w:val="21"/>
                <w:u w:val="none"/>
                <w:lang w:val="en-US" w:eastAsia="zh-CN" w:bidi="ar"/>
              </w:rPr>
              <w:t>企业聚集区北侧</w:t>
            </w:r>
          </w:p>
        </w:tc>
        <w:tc>
          <w:tcPr>
            <w:tcW w:w="276"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sz w:val="21"/>
                <w:szCs w:val="21"/>
                <w:u w:val="none"/>
              </w:rPr>
            </w:pPr>
            <w:r>
              <w:rPr>
                <w:rFonts w:hint="default" w:ascii="Times New Roman" w:hAnsi="Times New Roman" w:eastAsia="宋体" w:cs="Times New Roman"/>
                <w:b w:val="0"/>
                <w:bCs/>
                <w:i w:val="0"/>
                <w:color w:val="000000"/>
                <w:kern w:val="0"/>
                <w:sz w:val="21"/>
                <w:szCs w:val="21"/>
                <w:u w:val="none"/>
                <w:lang w:val="en-US" w:eastAsia="zh-CN" w:bidi="ar"/>
              </w:rPr>
              <w:t>0.3</w:t>
            </w:r>
          </w:p>
        </w:tc>
        <w:tc>
          <w:tcPr>
            <w:tcW w:w="489"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sz w:val="21"/>
                <w:szCs w:val="21"/>
                <w:u w:val="none"/>
              </w:rPr>
            </w:pPr>
            <w:r>
              <w:rPr>
                <w:rFonts w:hint="default" w:ascii="Times New Roman" w:hAnsi="Times New Roman" w:eastAsia="宋体" w:cs="Times New Roman"/>
                <w:b w:val="0"/>
                <w:bCs/>
                <w:i w:val="0"/>
                <w:color w:val="000000"/>
                <w:kern w:val="0"/>
                <w:sz w:val="21"/>
                <w:szCs w:val="21"/>
                <w:u w:val="none"/>
                <w:lang w:val="en-US" w:eastAsia="zh-CN" w:bidi="ar"/>
              </w:rPr>
              <w:t>2.3</w:t>
            </w:r>
          </w:p>
        </w:tc>
        <w:tc>
          <w:tcPr>
            <w:tcW w:w="365"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sz w:val="21"/>
                <w:szCs w:val="21"/>
                <w:u w:val="none"/>
              </w:rPr>
            </w:pPr>
            <w:r>
              <w:rPr>
                <w:rFonts w:hint="default" w:ascii="Times New Roman" w:hAnsi="Times New Roman" w:eastAsia="宋体" w:cs="Times New Roman"/>
                <w:b w:val="0"/>
                <w:bCs/>
                <w:i w:val="0"/>
                <w:color w:val="000000"/>
                <w:kern w:val="0"/>
                <w:sz w:val="21"/>
                <w:szCs w:val="21"/>
                <w:u w:val="none"/>
                <w:lang w:val="en-US" w:eastAsia="zh-CN" w:bidi="ar"/>
              </w:rPr>
              <w:t>2.3</w:t>
            </w:r>
          </w:p>
        </w:tc>
        <w:tc>
          <w:tcPr>
            <w:tcW w:w="427"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sz w:val="21"/>
                <w:szCs w:val="21"/>
                <w:u w:val="none"/>
              </w:rPr>
            </w:pPr>
            <w:r>
              <w:rPr>
                <w:rFonts w:hint="default" w:ascii="Times New Roman" w:hAnsi="Times New Roman" w:eastAsia="宋体" w:cs="Times New Roman"/>
                <w:b w:val="0"/>
                <w:bCs/>
                <w:i w:val="0"/>
                <w:color w:val="000000"/>
                <w:kern w:val="0"/>
                <w:sz w:val="21"/>
                <w:szCs w:val="21"/>
                <w:u w:val="none"/>
                <w:lang w:val="en-US" w:eastAsia="zh-CN" w:bidi="ar"/>
              </w:rPr>
              <w:t>2.4</w:t>
            </w:r>
          </w:p>
        </w:tc>
        <w:tc>
          <w:tcPr>
            <w:tcW w:w="427"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sz w:val="21"/>
                <w:szCs w:val="21"/>
                <w:u w:val="none"/>
              </w:rPr>
            </w:pPr>
            <w:r>
              <w:rPr>
                <w:rFonts w:hint="default" w:ascii="Times New Roman" w:hAnsi="Times New Roman" w:eastAsia="宋体" w:cs="Times New Roman"/>
                <w:b w:val="0"/>
                <w:bCs/>
                <w:i w:val="0"/>
                <w:color w:val="000000"/>
                <w:kern w:val="0"/>
                <w:sz w:val="21"/>
                <w:szCs w:val="21"/>
                <w:u w:val="none"/>
                <w:lang w:val="en-US" w:eastAsia="zh-CN" w:bidi="ar"/>
              </w:rPr>
              <w:t>2.1</w:t>
            </w:r>
          </w:p>
        </w:tc>
        <w:tc>
          <w:tcPr>
            <w:tcW w:w="429"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sz w:val="21"/>
                <w:szCs w:val="21"/>
                <w:u w:val="none"/>
              </w:rPr>
            </w:pPr>
            <w:r>
              <w:rPr>
                <w:rFonts w:hint="default" w:ascii="Times New Roman" w:hAnsi="Times New Roman" w:eastAsia="宋体" w:cs="Times New Roman"/>
                <w:b/>
                <w:bCs w:val="0"/>
                <w:i w:val="0"/>
                <w:color w:val="000000"/>
                <w:kern w:val="0"/>
                <w:sz w:val="21"/>
                <w:szCs w:val="21"/>
                <w:u w:val="none"/>
                <w:lang w:val="en-US" w:eastAsia="zh-CN" w:bidi="ar"/>
              </w:rPr>
              <w:t>2.2</w:t>
            </w:r>
          </w:p>
        </w:tc>
        <w:tc>
          <w:tcPr>
            <w:tcW w:w="628"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sz w:val="21"/>
                <w:szCs w:val="21"/>
                <w:u w:val="none"/>
              </w:rPr>
            </w:pPr>
            <w:r>
              <w:rPr>
                <w:rFonts w:hint="default" w:ascii="Times New Roman" w:hAnsi="Times New Roman" w:eastAsia="宋体" w:cs="Times New Roman"/>
                <w:b w:val="0"/>
                <w:bCs/>
                <w:i w:val="0"/>
                <w:color w:val="000000"/>
                <w:kern w:val="0"/>
                <w:sz w:val="21"/>
                <w:szCs w:val="21"/>
                <w:u w:val="none"/>
                <w:lang w:val="en-US" w:eastAsia="zh-CN" w:bidi="ar"/>
              </w:rPr>
              <w:t>1.1</w:t>
            </w:r>
          </w:p>
        </w:tc>
        <w:tc>
          <w:tcPr>
            <w:tcW w:w="459"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sz w:val="21"/>
                <w:szCs w:val="21"/>
                <w:u w:val="none"/>
              </w:rPr>
            </w:pPr>
            <w:r>
              <w:rPr>
                <w:rFonts w:hint="default" w:ascii="Times New Roman" w:hAnsi="Times New Roman" w:eastAsia="宋体" w:cs="Times New Roman"/>
                <w:b w:val="0"/>
                <w:bCs/>
                <w:i w:val="0"/>
                <w:color w:val="000000"/>
                <w:kern w:val="0"/>
                <w:sz w:val="21"/>
                <w:szCs w:val="21"/>
                <w:u w:val="none"/>
                <w:lang w:val="en-US" w:eastAsia="zh-CN" w:bidi="ar"/>
              </w:rPr>
              <w:t>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19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sz w:val="21"/>
                <w:szCs w:val="21"/>
                <w:u w:val="none"/>
              </w:rPr>
            </w:pPr>
            <w:r>
              <w:rPr>
                <w:rFonts w:hint="default" w:ascii="Times New Roman" w:hAnsi="Times New Roman" w:eastAsia="宋体" w:cs="Times New Roman"/>
                <w:b w:val="0"/>
                <w:bCs/>
                <w:i w:val="0"/>
                <w:color w:val="000000"/>
                <w:kern w:val="0"/>
                <w:sz w:val="21"/>
                <w:szCs w:val="21"/>
                <w:u w:val="none"/>
                <w:lang w:val="en-US" w:eastAsia="zh-CN" w:bidi="ar"/>
              </w:rPr>
              <w:t>2</w:t>
            </w:r>
          </w:p>
        </w:tc>
        <w:tc>
          <w:tcPr>
            <w:tcW w:w="47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sz w:val="21"/>
                <w:szCs w:val="21"/>
                <w:u w:val="none"/>
              </w:rPr>
            </w:pPr>
            <w:r>
              <w:rPr>
                <w:rFonts w:hint="default" w:ascii="Times New Roman" w:hAnsi="Times New Roman" w:eastAsia="宋体" w:cs="Times New Roman"/>
                <w:b w:val="0"/>
                <w:bCs/>
                <w:i w:val="0"/>
                <w:color w:val="000000"/>
                <w:kern w:val="0"/>
                <w:sz w:val="21"/>
                <w:szCs w:val="21"/>
                <w:u w:val="none"/>
                <w:lang w:val="en-US" w:eastAsia="zh-CN" w:bidi="ar"/>
              </w:rPr>
              <w:t>SJG-JJ-9</w:t>
            </w:r>
          </w:p>
        </w:tc>
        <w:tc>
          <w:tcPr>
            <w:tcW w:w="82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sz w:val="21"/>
                <w:szCs w:val="21"/>
                <w:u w:val="none"/>
              </w:rPr>
            </w:pPr>
            <w:r>
              <w:rPr>
                <w:rFonts w:hint="default" w:ascii="Times New Roman" w:hAnsi="Times New Roman" w:eastAsia="宋体" w:cs="Times New Roman"/>
                <w:b w:val="0"/>
                <w:bCs/>
                <w:i w:val="0"/>
                <w:color w:val="000000"/>
                <w:kern w:val="0"/>
                <w:sz w:val="21"/>
                <w:szCs w:val="21"/>
                <w:u w:val="none"/>
                <w:lang w:val="en-US" w:eastAsia="zh-CN" w:bidi="ar"/>
              </w:rPr>
              <w:t>企业聚集区南侧</w:t>
            </w:r>
          </w:p>
        </w:tc>
        <w:tc>
          <w:tcPr>
            <w:tcW w:w="27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sz w:val="21"/>
                <w:szCs w:val="21"/>
                <w:u w:val="none"/>
              </w:rPr>
            </w:pPr>
            <w:r>
              <w:rPr>
                <w:rFonts w:hint="default" w:ascii="Times New Roman" w:hAnsi="Times New Roman" w:eastAsia="宋体" w:cs="Times New Roman"/>
                <w:b w:val="0"/>
                <w:bCs/>
                <w:i w:val="0"/>
                <w:color w:val="000000"/>
                <w:kern w:val="0"/>
                <w:sz w:val="21"/>
                <w:szCs w:val="21"/>
                <w:u w:val="none"/>
                <w:lang w:val="en-US" w:eastAsia="zh-CN" w:bidi="ar"/>
              </w:rPr>
              <w:t>&lt;0.09</w:t>
            </w:r>
          </w:p>
        </w:tc>
        <w:tc>
          <w:tcPr>
            <w:tcW w:w="48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sz w:val="21"/>
                <w:szCs w:val="21"/>
                <w:u w:val="none"/>
              </w:rPr>
            </w:pPr>
            <w:r>
              <w:rPr>
                <w:rFonts w:hint="default" w:ascii="Times New Roman" w:hAnsi="Times New Roman" w:eastAsia="宋体" w:cs="Times New Roman"/>
                <w:b w:val="0"/>
                <w:bCs/>
                <w:i w:val="0"/>
                <w:color w:val="000000"/>
                <w:kern w:val="0"/>
                <w:sz w:val="21"/>
                <w:szCs w:val="21"/>
                <w:u w:val="none"/>
                <w:lang w:val="en-US" w:eastAsia="zh-CN" w:bidi="ar"/>
              </w:rPr>
              <w:t>0.1</w:t>
            </w:r>
          </w:p>
        </w:tc>
        <w:tc>
          <w:tcPr>
            <w:tcW w:w="36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sz w:val="21"/>
                <w:szCs w:val="21"/>
                <w:u w:val="none"/>
              </w:rPr>
            </w:pPr>
            <w:r>
              <w:rPr>
                <w:rFonts w:hint="default" w:ascii="Times New Roman" w:hAnsi="Times New Roman" w:eastAsia="宋体" w:cs="Times New Roman"/>
                <w:b w:val="0"/>
                <w:bCs/>
                <w:i w:val="0"/>
                <w:color w:val="000000"/>
                <w:kern w:val="0"/>
                <w:sz w:val="21"/>
                <w:szCs w:val="21"/>
                <w:u w:val="none"/>
                <w:lang w:val="en-US" w:eastAsia="zh-CN" w:bidi="ar"/>
              </w:rPr>
              <w:t>0.4</w:t>
            </w:r>
          </w:p>
        </w:tc>
        <w:tc>
          <w:tcPr>
            <w:tcW w:w="4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sz w:val="21"/>
                <w:szCs w:val="21"/>
                <w:u w:val="none"/>
              </w:rPr>
            </w:pPr>
            <w:r>
              <w:rPr>
                <w:rFonts w:hint="default" w:ascii="Times New Roman" w:hAnsi="Times New Roman" w:eastAsia="宋体" w:cs="Times New Roman"/>
                <w:b w:val="0"/>
                <w:bCs/>
                <w:i w:val="0"/>
                <w:color w:val="000000"/>
                <w:kern w:val="0"/>
                <w:sz w:val="21"/>
                <w:szCs w:val="21"/>
                <w:u w:val="none"/>
                <w:lang w:val="en-US" w:eastAsia="zh-CN" w:bidi="ar"/>
              </w:rPr>
              <w:t>0.6</w:t>
            </w:r>
          </w:p>
        </w:tc>
        <w:tc>
          <w:tcPr>
            <w:tcW w:w="4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sz w:val="21"/>
                <w:szCs w:val="21"/>
                <w:u w:val="none"/>
              </w:rPr>
            </w:pPr>
            <w:r>
              <w:rPr>
                <w:rFonts w:hint="default" w:ascii="Times New Roman" w:hAnsi="Times New Roman" w:eastAsia="宋体" w:cs="Times New Roman"/>
                <w:b w:val="0"/>
                <w:bCs/>
                <w:i w:val="0"/>
                <w:color w:val="000000"/>
                <w:kern w:val="0"/>
                <w:sz w:val="21"/>
                <w:szCs w:val="21"/>
                <w:u w:val="none"/>
                <w:lang w:val="en-US" w:eastAsia="zh-CN" w:bidi="ar"/>
              </w:rPr>
              <w:t>0.2</w:t>
            </w:r>
          </w:p>
        </w:tc>
        <w:tc>
          <w:tcPr>
            <w:tcW w:w="4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sz w:val="21"/>
                <w:szCs w:val="21"/>
                <w:u w:val="none"/>
              </w:rPr>
            </w:pPr>
            <w:r>
              <w:rPr>
                <w:rFonts w:hint="default" w:ascii="Times New Roman" w:hAnsi="Times New Roman" w:eastAsia="宋体" w:cs="Times New Roman"/>
                <w:b w:val="0"/>
                <w:bCs/>
                <w:i w:val="0"/>
                <w:color w:val="000000"/>
                <w:kern w:val="0"/>
                <w:sz w:val="21"/>
                <w:szCs w:val="21"/>
                <w:u w:val="none"/>
                <w:lang w:val="en-US" w:eastAsia="zh-CN" w:bidi="ar"/>
              </w:rPr>
              <w:t>0.3</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sz w:val="21"/>
                <w:szCs w:val="21"/>
                <w:u w:val="none"/>
              </w:rPr>
            </w:pPr>
            <w:r>
              <w:rPr>
                <w:rFonts w:hint="default" w:ascii="Times New Roman" w:hAnsi="Times New Roman" w:eastAsia="宋体" w:cs="Times New Roman"/>
                <w:b w:val="0"/>
                <w:bCs/>
                <w:i w:val="0"/>
                <w:color w:val="000000"/>
                <w:kern w:val="0"/>
                <w:sz w:val="21"/>
                <w:szCs w:val="21"/>
                <w:u w:val="none"/>
                <w:lang w:val="en-US" w:eastAsia="zh-CN" w:bidi="ar"/>
              </w:rPr>
              <w:t>0.4</w:t>
            </w:r>
          </w:p>
        </w:tc>
        <w:tc>
          <w:tcPr>
            <w:tcW w:w="45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sz w:val="21"/>
                <w:szCs w:val="21"/>
                <w:u w:val="none"/>
              </w:rPr>
            </w:pPr>
            <w:r>
              <w:rPr>
                <w:rFonts w:hint="default" w:ascii="Times New Roman" w:hAnsi="Times New Roman" w:eastAsia="宋体" w:cs="Times New Roman"/>
                <w:b w:val="0"/>
                <w:bCs/>
                <w:i w:val="0"/>
                <w:color w:val="000000"/>
                <w:kern w:val="0"/>
                <w:sz w:val="21"/>
                <w:szCs w:val="21"/>
                <w:u w:val="none"/>
                <w:lang w:val="en-US" w:eastAsia="zh-CN" w:bidi="ar"/>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1495" w:type="pct"/>
            <w:gridSpan w:val="3"/>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sz w:val="21"/>
                <w:szCs w:val="21"/>
                <w:u w:val="none"/>
              </w:rPr>
            </w:pPr>
            <w:r>
              <w:rPr>
                <w:rFonts w:hint="eastAsia" w:cs="Times New Roman"/>
                <w:b w:val="0"/>
                <w:bCs/>
                <w:i w:val="0"/>
                <w:color w:val="000000"/>
                <w:kern w:val="0"/>
                <w:sz w:val="21"/>
                <w:szCs w:val="21"/>
                <w:u w:val="none"/>
                <w:lang w:val="en-US" w:eastAsia="zh-CN" w:bidi="ar"/>
              </w:rPr>
              <w:t>GB36600</w:t>
            </w:r>
            <w:r>
              <w:rPr>
                <w:rFonts w:hint="default" w:ascii="Times New Roman" w:hAnsi="Times New Roman" w:eastAsia="宋体" w:cs="Times New Roman"/>
                <w:b w:val="0"/>
                <w:bCs/>
                <w:i w:val="0"/>
                <w:color w:val="000000"/>
                <w:kern w:val="0"/>
                <w:sz w:val="21"/>
                <w:szCs w:val="21"/>
                <w:u w:val="none"/>
                <w:lang w:val="en-US" w:eastAsia="zh-CN" w:bidi="ar"/>
              </w:rPr>
              <w:t>第二类用地筛选值</w:t>
            </w:r>
          </w:p>
        </w:tc>
        <w:tc>
          <w:tcPr>
            <w:tcW w:w="27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sz w:val="21"/>
                <w:szCs w:val="21"/>
                <w:u w:val="none"/>
              </w:rPr>
            </w:pPr>
            <w:r>
              <w:rPr>
                <w:rFonts w:hint="default" w:ascii="Times New Roman" w:hAnsi="Times New Roman" w:eastAsia="宋体" w:cs="Times New Roman"/>
                <w:b w:val="0"/>
                <w:bCs/>
                <w:i w:val="0"/>
                <w:color w:val="000000"/>
                <w:kern w:val="0"/>
                <w:sz w:val="21"/>
                <w:szCs w:val="21"/>
                <w:u w:val="none"/>
                <w:lang w:val="en-US" w:eastAsia="zh-CN" w:bidi="ar"/>
              </w:rPr>
              <w:t>70</w:t>
            </w:r>
          </w:p>
        </w:tc>
        <w:tc>
          <w:tcPr>
            <w:tcW w:w="48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sz w:val="21"/>
                <w:szCs w:val="21"/>
                <w:u w:val="none"/>
              </w:rPr>
            </w:pPr>
            <w:r>
              <w:rPr>
                <w:rFonts w:hint="default" w:ascii="Times New Roman" w:hAnsi="Times New Roman" w:eastAsia="宋体" w:cs="Times New Roman"/>
                <w:b w:val="0"/>
                <w:bCs/>
                <w:i w:val="0"/>
                <w:color w:val="000000"/>
                <w:kern w:val="0"/>
                <w:sz w:val="21"/>
                <w:szCs w:val="21"/>
                <w:u w:val="none"/>
                <w:lang w:val="en-US" w:eastAsia="zh-CN" w:bidi="ar"/>
              </w:rPr>
              <w:t>15</w:t>
            </w:r>
          </w:p>
        </w:tc>
        <w:tc>
          <w:tcPr>
            <w:tcW w:w="36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sz w:val="21"/>
                <w:szCs w:val="21"/>
                <w:u w:val="none"/>
              </w:rPr>
            </w:pPr>
            <w:r>
              <w:rPr>
                <w:rFonts w:hint="default" w:ascii="Times New Roman" w:hAnsi="Times New Roman" w:eastAsia="宋体" w:cs="Times New Roman"/>
                <w:b w:val="0"/>
                <w:bCs/>
                <w:i w:val="0"/>
                <w:color w:val="000000"/>
                <w:kern w:val="0"/>
                <w:sz w:val="21"/>
                <w:szCs w:val="21"/>
                <w:u w:val="none"/>
                <w:lang w:val="en-US" w:eastAsia="zh-CN" w:bidi="ar"/>
              </w:rPr>
              <w:t>1293</w:t>
            </w:r>
          </w:p>
        </w:tc>
        <w:tc>
          <w:tcPr>
            <w:tcW w:w="4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sz w:val="21"/>
                <w:szCs w:val="21"/>
                <w:u w:val="none"/>
              </w:rPr>
            </w:pPr>
            <w:r>
              <w:rPr>
                <w:rFonts w:hint="default" w:ascii="Times New Roman" w:hAnsi="Times New Roman" w:eastAsia="宋体" w:cs="Times New Roman"/>
                <w:b w:val="0"/>
                <w:bCs/>
                <w:i w:val="0"/>
                <w:color w:val="000000"/>
                <w:kern w:val="0"/>
                <w:sz w:val="21"/>
                <w:szCs w:val="21"/>
                <w:u w:val="none"/>
                <w:lang w:val="en-US" w:eastAsia="zh-CN" w:bidi="ar"/>
              </w:rPr>
              <w:t>15</w:t>
            </w:r>
          </w:p>
        </w:tc>
        <w:tc>
          <w:tcPr>
            <w:tcW w:w="4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sz w:val="21"/>
                <w:szCs w:val="21"/>
                <w:u w:val="none"/>
              </w:rPr>
            </w:pPr>
            <w:r>
              <w:rPr>
                <w:rFonts w:hint="default" w:ascii="Times New Roman" w:hAnsi="Times New Roman" w:eastAsia="宋体" w:cs="Times New Roman"/>
                <w:b w:val="0"/>
                <w:bCs/>
                <w:i w:val="0"/>
                <w:color w:val="000000"/>
                <w:kern w:val="0"/>
                <w:sz w:val="21"/>
                <w:szCs w:val="21"/>
                <w:u w:val="none"/>
                <w:lang w:val="en-US" w:eastAsia="zh-CN" w:bidi="ar"/>
              </w:rPr>
              <w:t>151</w:t>
            </w:r>
          </w:p>
        </w:tc>
        <w:tc>
          <w:tcPr>
            <w:tcW w:w="4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000000"/>
                <w:sz w:val="21"/>
                <w:szCs w:val="21"/>
                <w:u w:val="none"/>
              </w:rPr>
            </w:pPr>
            <w:r>
              <w:rPr>
                <w:rFonts w:hint="default" w:ascii="Times New Roman" w:hAnsi="Times New Roman" w:eastAsia="宋体" w:cs="Times New Roman"/>
                <w:b w:val="0"/>
                <w:bCs/>
                <w:i w:val="0"/>
                <w:color w:val="000000"/>
                <w:kern w:val="0"/>
                <w:sz w:val="21"/>
                <w:szCs w:val="21"/>
                <w:u w:val="none"/>
                <w:lang w:val="en-US" w:eastAsia="zh-CN" w:bidi="ar"/>
              </w:rPr>
              <w:t>1.5</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sz w:val="21"/>
                <w:szCs w:val="21"/>
                <w:u w:val="none"/>
              </w:rPr>
            </w:pPr>
            <w:r>
              <w:rPr>
                <w:rFonts w:hint="default" w:ascii="Times New Roman" w:hAnsi="Times New Roman" w:eastAsia="宋体" w:cs="Times New Roman"/>
                <w:b w:val="0"/>
                <w:bCs/>
                <w:i w:val="0"/>
                <w:color w:val="000000"/>
                <w:kern w:val="0"/>
                <w:sz w:val="21"/>
                <w:szCs w:val="21"/>
                <w:u w:val="none"/>
                <w:lang w:val="en-US" w:eastAsia="zh-CN" w:bidi="ar"/>
              </w:rPr>
              <w:t>15</w:t>
            </w:r>
          </w:p>
        </w:tc>
        <w:tc>
          <w:tcPr>
            <w:tcW w:w="45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sz w:val="21"/>
                <w:szCs w:val="21"/>
                <w:u w:val="none"/>
              </w:rPr>
            </w:pPr>
            <w:r>
              <w:rPr>
                <w:rFonts w:hint="default" w:ascii="Times New Roman" w:hAnsi="Times New Roman" w:eastAsia="宋体" w:cs="Times New Roman"/>
                <w:b w:val="0"/>
                <w:bCs/>
                <w:i w:val="0"/>
                <w:color w:val="000000"/>
                <w:kern w:val="0"/>
                <w:sz w:val="21"/>
                <w:szCs w:val="21"/>
                <w:u w:val="none"/>
                <w:lang w:val="en-US" w:eastAsia="zh-CN" w:bidi="ar"/>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495" w:type="pct"/>
            <w:gridSpan w:val="3"/>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sz w:val="21"/>
                <w:szCs w:val="21"/>
                <w:u w:val="none"/>
              </w:rPr>
            </w:pPr>
            <w:r>
              <w:rPr>
                <w:rFonts w:hint="default" w:ascii="Times New Roman" w:hAnsi="Times New Roman" w:eastAsia="宋体" w:cs="Times New Roman"/>
                <w:b w:val="0"/>
                <w:bCs/>
                <w:i w:val="0"/>
                <w:color w:val="000000"/>
                <w:kern w:val="0"/>
                <w:sz w:val="21"/>
                <w:szCs w:val="21"/>
                <w:u w:val="none"/>
                <w:lang w:val="en-US" w:eastAsia="zh-CN" w:bidi="ar"/>
              </w:rPr>
              <w:t>达标情况</w:t>
            </w:r>
          </w:p>
        </w:tc>
        <w:tc>
          <w:tcPr>
            <w:tcW w:w="27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sz w:val="21"/>
                <w:szCs w:val="21"/>
                <w:u w:val="none"/>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48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sz w:val="21"/>
                <w:szCs w:val="21"/>
                <w:u w:val="none"/>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36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sz w:val="21"/>
                <w:szCs w:val="21"/>
                <w:u w:val="none"/>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4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sz w:val="21"/>
                <w:szCs w:val="21"/>
                <w:u w:val="none"/>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42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sz w:val="21"/>
                <w:szCs w:val="21"/>
                <w:u w:val="none"/>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4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000000"/>
                <w:sz w:val="21"/>
                <w:szCs w:val="21"/>
                <w:u w:val="none"/>
              </w:rPr>
            </w:pPr>
            <w:r>
              <w:rPr>
                <w:rFonts w:hint="default" w:ascii="Times New Roman" w:hAnsi="Times New Roman" w:eastAsia="宋体" w:cs="Times New Roman"/>
                <w:b/>
                <w:bCs w:val="0"/>
                <w:i w:val="0"/>
                <w:color w:val="000000"/>
                <w:kern w:val="0"/>
                <w:sz w:val="21"/>
                <w:szCs w:val="21"/>
                <w:u w:val="none"/>
                <w:lang w:val="en-US" w:eastAsia="zh-CN" w:bidi="ar"/>
              </w:rPr>
              <w:t>超标</w:t>
            </w:r>
          </w:p>
        </w:tc>
        <w:tc>
          <w:tcPr>
            <w:tcW w:w="62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sz w:val="21"/>
                <w:szCs w:val="21"/>
                <w:u w:val="none"/>
              </w:rPr>
            </w:pPr>
            <w:r>
              <w:rPr>
                <w:rFonts w:hint="default" w:ascii="Times New Roman" w:hAnsi="Times New Roman" w:eastAsia="宋体" w:cs="Times New Roman"/>
                <w:b w:val="0"/>
                <w:bCs/>
                <w:i w:val="0"/>
                <w:color w:val="000000"/>
                <w:kern w:val="0"/>
                <w:sz w:val="21"/>
                <w:szCs w:val="21"/>
                <w:u w:val="none"/>
                <w:lang w:val="en-US" w:eastAsia="zh-CN" w:bidi="ar"/>
              </w:rPr>
              <w:t>达标</w:t>
            </w:r>
          </w:p>
        </w:tc>
        <w:tc>
          <w:tcPr>
            <w:tcW w:w="45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i w:val="0"/>
                <w:color w:val="000000"/>
                <w:sz w:val="21"/>
                <w:szCs w:val="21"/>
                <w:u w:val="none"/>
              </w:rPr>
            </w:pPr>
            <w:r>
              <w:rPr>
                <w:rFonts w:hint="default" w:ascii="Times New Roman" w:hAnsi="Times New Roman" w:eastAsia="宋体" w:cs="Times New Roman"/>
                <w:b w:val="0"/>
                <w:bCs/>
                <w:i w:val="0"/>
                <w:color w:val="000000"/>
                <w:kern w:val="0"/>
                <w:sz w:val="21"/>
                <w:szCs w:val="21"/>
                <w:u w:val="none"/>
                <w:lang w:val="en-US" w:eastAsia="zh-CN" w:bidi="ar"/>
              </w:rPr>
              <w:t>达标</w:t>
            </w:r>
          </w:p>
        </w:tc>
      </w:tr>
    </w:tbl>
    <w:p>
      <w:pPr>
        <w:numPr>
          <w:ilvl w:val="0"/>
          <w:numId w:val="0"/>
        </w:numPr>
        <w:spacing w:line="360" w:lineRule="auto"/>
        <w:ind w:firstLine="420" w:firstLineChars="0"/>
        <w:rPr>
          <w:rFonts w:hint="default"/>
          <w:lang w:val="en-US" w:eastAsia="zh-CN"/>
        </w:rPr>
      </w:pPr>
      <w:r>
        <w:rPr>
          <w:rFonts w:hint="default" w:ascii="Times New Roman" w:hAnsi="Times New Roman" w:cs="Times New Roman"/>
          <w:highlight w:val="none"/>
          <w:lang w:eastAsia="zh-CN"/>
        </w:rPr>
        <w:t>由上表可知，</w:t>
      </w:r>
      <w:r>
        <w:rPr>
          <w:rFonts w:hint="default" w:ascii="Times New Roman" w:hAnsi="Times New Roman" w:cs="Times New Roman"/>
          <w:highlight w:val="none"/>
          <w:lang w:val="en-US" w:eastAsia="zh-CN"/>
        </w:rPr>
        <w:t>除</w:t>
      </w:r>
      <w:r>
        <w:rPr>
          <w:rFonts w:hint="default" w:ascii="Times New Roman" w:hAnsi="Times New Roman" w:cs="Times New Roman"/>
          <w:highlight w:val="none"/>
          <w:lang w:eastAsia="zh-CN"/>
        </w:rPr>
        <w:t>SJG-JJ-8点位苯并（a）芘高于《土壤环境质量 建设用地土壤污染风险管控标准（试行）》（GB36600-2018）第二类建设用地筛选值且未超过第二类用地管制值</w:t>
      </w:r>
      <w:r>
        <w:rPr>
          <w:rFonts w:hint="default" w:ascii="Times New Roman" w:hAnsi="Times New Roman" w:cs="Times New Roman"/>
          <w:highlight w:val="none"/>
          <w:lang w:val="en-US" w:eastAsia="zh-CN"/>
        </w:rPr>
        <w:t>外</w:t>
      </w:r>
      <w:r>
        <w:rPr>
          <w:rFonts w:hint="default" w:ascii="Times New Roman" w:hAnsi="Times New Roman" w:cs="Times New Roman"/>
          <w:highlight w:val="none"/>
          <w:lang w:eastAsia="zh-CN"/>
        </w:rPr>
        <w:t>，其他</w:t>
      </w:r>
      <w:r>
        <w:rPr>
          <w:rFonts w:hint="default" w:ascii="Times New Roman" w:hAnsi="Times New Roman" w:cs="Times New Roman"/>
          <w:highlight w:val="none"/>
          <w:lang w:val="en-US" w:eastAsia="zh-CN"/>
        </w:rPr>
        <w:t>各点位</w:t>
      </w:r>
      <w:r>
        <w:rPr>
          <w:rFonts w:hint="default" w:ascii="Times New Roman" w:hAnsi="Times New Roman" w:cs="Times New Roman"/>
          <w:highlight w:val="none"/>
          <w:lang w:eastAsia="zh-CN"/>
        </w:rPr>
        <w:t>指标均满足《土壤环境质量 建设用地土壤污染风险管控标准（试行）》（-2018）标准要求。</w:t>
      </w:r>
    </w:p>
    <w:p>
      <w:pPr>
        <w:pStyle w:val="5"/>
        <w:tabs>
          <w:tab w:val="left" w:pos="425"/>
        </w:tabs>
        <w:bidi w:val="0"/>
        <w:rPr>
          <w:rFonts w:hint="default" w:ascii="Times New Roman" w:hAnsi="Times New Roman" w:cs="Times New Roman"/>
          <w:color w:val="auto"/>
          <w:highlight w:val="none"/>
          <w:lang w:eastAsia="zh-CN"/>
        </w:rPr>
      </w:pPr>
      <w:r>
        <w:rPr>
          <w:rFonts w:hint="default" w:cs="Times New Roman"/>
          <w:color w:val="auto"/>
          <w:highlight w:val="none"/>
          <w:lang w:val="en-US" w:eastAsia="zh-CN"/>
        </w:rPr>
        <w:t>补充采样及结果</w:t>
      </w:r>
    </w:p>
    <w:p>
      <w:pPr>
        <w:bidi w:val="0"/>
        <w:ind w:firstLine="420" w:firstLineChars="0"/>
        <w:rPr>
          <w:rFonts w:hint="default" w:ascii="Times New Roman" w:hAnsi="Times New Roman" w:eastAsia="宋体" w:cs="Times New Roman"/>
        </w:rPr>
      </w:pPr>
      <w:r>
        <w:rPr>
          <w:rFonts w:hint="default" w:ascii="Times New Roman" w:hAnsi="Times New Roman" w:eastAsia="宋体" w:cs="Times New Roman"/>
        </w:rPr>
        <w:t>本园区土壤超标点位SJG-JJ-8为孤立点位，该点位土壤样品来源于</w:t>
      </w:r>
      <w:r>
        <w:rPr>
          <w:rFonts w:hint="eastAsia" w:cs="Times New Roman"/>
          <w:lang w:eastAsia="zh-CN"/>
        </w:rPr>
        <w:t>表层（0-0.5m）</w:t>
      </w:r>
      <w:r>
        <w:rPr>
          <w:rFonts w:hint="default" w:ascii="Times New Roman" w:hAnsi="Times New Roman" w:eastAsia="宋体" w:cs="Times New Roman"/>
        </w:rPr>
        <w:t>杂填土。该点位第一阶段采样单一类型的污染物苯并(a)芘指标超过</w:t>
      </w:r>
      <w:r>
        <w:rPr>
          <w:rFonts w:eastAsiaTheme="minorEastAsia"/>
        </w:rPr>
        <w:t>《土壤环境质量建设用地土壤污染风险管控标准（试行）（GB36600-2018）》</w:t>
      </w:r>
      <w:r>
        <w:rPr>
          <w:rFonts w:hint="default" w:ascii="Times New Roman" w:hAnsi="Times New Roman" w:eastAsia="宋体" w:cs="Times New Roman"/>
        </w:rPr>
        <w:t>第</w:t>
      </w:r>
      <w:r>
        <w:rPr>
          <w:rFonts w:hint="eastAsia" w:cs="Times New Roman"/>
          <w:lang w:val="en-US" w:eastAsia="zh-CN"/>
        </w:rPr>
        <w:t>二</w:t>
      </w:r>
      <w:r>
        <w:rPr>
          <w:rFonts w:hint="default" w:ascii="Times New Roman" w:hAnsi="Times New Roman" w:eastAsia="宋体" w:cs="Times New Roman"/>
        </w:rPr>
        <w:t>类用地筛选值，与园区内其他点位污染物检测值存在较大差异（园区内其他点位均达标）</w:t>
      </w:r>
      <w:r>
        <w:rPr>
          <w:rFonts w:hint="eastAsia" w:cs="Times New Roman"/>
          <w:lang w:eastAsia="zh-CN"/>
        </w:rPr>
        <w:t>。</w:t>
      </w:r>
      <w:r>
        <w:rPr>
          <w:rFonts w:hint="default" w:ascii="Times New Roman" w:hAnsi="Times New Roman" w:eastAsia="宋体" w:cs="Times New Roman"/>
        </w:rPr>
        <w:t>为进一步分析</w:t>
      </w:r>
      <w:r>
        <w:rPr>
          <w:rFonts w:hint="eastAsia" w:cs="Times New Roman"/>
          <w:lang w:val="en-US" w:eastAsia="zh-CN"/>
        </w:rPr>
        <w:t>该点位</w:t>
      </w:r>
      <w:r>
        <w:rPr>
          <w:rFonts w:hint="default" w:ascii="Times New Roman" w:hAnsi="Times New Roman" w:eastAsia="宋体" w:cs="Times New Roman"/>
        </w:rPr>
        <w:t>苯并(a)芘监测值</w:t>
      </w:r>
      <w:r>
        <w:rPr>
          <w:rFonts w:hint="eastAsia" w:cs="Times New Roman"/>
          <w:lang w:val="en-US" w:eastAsia="zh-CN"/>
        </w:rPr>
        <w:t>是否属于异常情况</w:t>
      </w:r>
      <w:r>
        <w:rPr>
          <w:rFonts w:hint="default" w:ascii="Times New Roman" w:hAnsi="Times New Roman" w:eastAsia="宋体" w:cs="Times New Roman"/>
        </w:rPr>
        <w:t>，我公司参考《上海市建设用地土壤污染状况调查、风险评估、风险管控与修复方案编制、风险管控与修复效果评估工作的补充规定（试行）》（沪环土（2020）62号）要求，于2020年11月17日前往三江港经济区进行补充采样。</w:t>
      </w:r>
    </w:p>
    <w:p>
      <w:pPr>
        <w:pStyle w:val="6"/>
        <w:numPr>
          <w:ilvl w:val="0"/>
          <w:numId w:val="0"/>
        </w:numPr>
        <w:bidi w:val="0"/>
        <w:spacing w:after="0"/>
        <w:ind w:left="851" w:hanging="709" w:firstLineChars="0"/>
        <w:jc w:val="left"/>
        <w:rPr>
          <w:rFonts w:hint="default" w:ascii="Times New Roman" w:hAnsi="Times New Roman" w:eastAsia="宋体" w:cs="Times New Roman"/>
          <w:color w:val="auto"/>
          <w:kern w:val="0"/>
          <w:highlight w:val="none"/>
          <w:lang w:eastAsia="zh-CN"/>
        </w:rPr>
      </w:pPr>
      <w:r>
        <w:rPr>
          <w:rFonts w:hint="eastAsia" w:cs="Times New Roman"/>
          <w:color w:val="auto"/>
          <w:kern w:val="0"/>
          <w:highlight w:val="none"/>
          <w:lang w:val="en-US" w:eastAsia="zh-CN"/>
        </w:rPr>
        <w:t xml:space="preserve">5.3.2.1. </w:t>
      </w:r>
      <w:r>
        <w:rPr>
          <w:rFonts w:hint="default" w:ascii="Times New Roman" w:hAnsi="Times New Roman" w:eastAsia="宋体" w:cs="Times New Roman"/>
          <w:color w:val="auto"/>
          <w:kern w:val="0"/>
          <w:highlight w:val="none"/>
          <w:lang w:val="en-US" w:eastAsia="zh-CN"/>
        </w:rPr>
        <w:t>补充布点方案</w:t>
      </w:r>
    </w:p>
    <w:p>
      <w:pPr>
        <w:numPr>
          <w:ilvl w:val="0"/>
          <w:numId w:val="0"/>
        </w:numPr>
        <w:spacing w:line="360" w:lineRule="auto"/>
        <w:ind w:leftChars="0" w:firstLine="420" w:firstLineChars="0"/>
        <w:rPr>
          <w:rFonts w:hint="default" w:ascii="Times New Roman" w:hAnsi="Times New Roman" w:cs="Times New Roman"/>
          <w:lang w:eastAsia="zh-CN"/>
        </w:rPr>
      </w:pPr>
      <w:r>
        <w:rPr>
          <w:rFonts w:hint="default" w:ascii="Times New Roman" w:hAnsi="Times New Roman" w:cs="Times New Roman"/>
          <w:lang w:eastAsia="zh-CN"/>
        </w:rPr>
        <w:t>土壤超标点位补充采样工作</w:t>
      </w:r>
      <w:r>
        <w:rPr>
          <w:rFonts w:hint="default" w:ascii="Times New Roman" w:hAnsi="Times New Roman" w:cs="Times New Roman"/>
          <w:lang w:val="en-US" w:eastAsia="zh-CN"/>
        </w:rPr>
        <w:t>布点方案</w:t>
      </w:r>
      <w:r>
        <w:rPr>
          <w:rFonts w:hint="default" w:ascii="Times New Roman" w:hAnsi="Times New Roman" w:cs="Times New Roman"/>
          <w:lang w:eastAsia="zh-CN"/>
        </w:rPr>
        <w:t>：</w:t>
      </w:r>
    </w:p>
    <w:p>
      <w:pPr>
        <w:numPr>
          <w:ilvl w:val="0"/>
          <w:numId w:val="12"/>
        </w:numPr>
        <w:spacing w:line="360" w:lineRule="auto"/>
        <w:ind w:leftChars="0" w:firstLine="420" w:firstLineChars="0"/>
        <w:rPr>
          <w:rFonts w:hint="default" w:ascii="Times New Roman" w:hAnsi="Times New Roman" w:cs="Times New Roman"/>
        </w:rPr>
      </w:pPr>
      <w:r>
        <w:rPr>
          <w:rFonts w:hint="default" w:ascii="Times New Roman" w:hAnsi="Times New Roman" w:cs="Times New Roman"/>
          <w:lang w:val="en-US" w:eastAsia="zh-CN"/>
        </w:rPr>
        <w:t>点位位置：</w:t>
      </w:r>
      <w:r>
        <w:rPr>
          <w:rFonts w:hint="default" w:ascii="Times New Roman" w:hAnsi="Times New Roman" w:cs="Times New Roman"/>
        </w:rPr>
        <w:t>于</w:t>
      </w:r>
      <w:r>
        <w:rPr>
          <w:rFonts w:hint="default" w:ascii="Times New Roman" w:hAnsi="Times New Roman" w:cs="Times New Roman"/>
          <w:color w:val="000000"/>
          <w:sz w:val="24"/>
          <w:lang w:val="en-US" w:eastAsia="zh-CN"/>
        </w:rPr>
        <w:t>SJG-JJ-8原点位</w:t>
      </w:r>
      <w:r>
        <w:rPr>
          <w:rFonts w:hint="default" w:ascii="Times New Roman" w:hAnsi="Times New Roman" w:cs="Times New Roman"/>
        </w:rPr>
        <w:t>四个垂直轴向1m布设</w:t>
      </w:r>
      <w:r>
        <w:rPr>
          <w:rFonts w:hint="default" w:ascii="Times New Roman" w:hAnsi="Times New Roman" w:cs="Times New Roman"/>
          <w:lang w:val="en-US" w:eastAsia="zh-CN"/>
        </w:rPr>
        <w:t>4</w:t>
      </w:r>
      <w:r>
        <w:rPr>
          <w:rFonts w:hint="default" w:ascii="Times New Roman" w:hAnsi="Times New Roman" w:cs="Times New Roman"/>
        </w:rPr>
        <w:t>个采样点</w:t>
      </w:r>
      <w:r>
        <w:rPr>
          <w:rFonts w:hint="default" w:ascii="Times New Roman" w:hAnsi="Times New Roman" w:cs="Times New Roman"/>
          <w:lang w:eastAsia="zh-CN"/>
        </w:rPr>
        <w:t>；</w:t>
      </w:r>
      <w:r>
        <w:rPr>
          <w:rFonts w:hint="default" w:ascii="Times New Roman" w:hAnsi="Times New Roman" w:cs="Times New Roman"/>
          <w:lang w:val="en-US" w:eastAsia="zh-CN"/>
        </w:rPr>
        <w:t>于</w:t>
      </w:r>
      <w:r>
        <w:rPr>
          <w:rFonts w:hint="default" w:ascii="Times New Roman" w:hAnsi="Times New Roman" w:cs="Times New Roman"/>
          <w:color w:val="000000"/>
          <w:sz w:val="24"/>
          <w:lang w:val="en-US" w:eastAsia="zh-CN"/>
        </w:rPr>
        <w:t>SJG-JJ-8原点位旁约0.2m布设1个采样点；</w:t>
      </w:r>
    </w:p>
    <w:p>
      <w:pPr>
        <w:numPr>
          <w:ilvl w:val="0"/>
          <w:numId w:val="12"/>
        </w:numPr>
        <w:spacing w:line="360" w:lineRule="auto"/>
        <w:ind w:leftChars="0" w:firstLine="420" w:firstLineChars="0"/>
        <w:rPr>
          <w:rFonts w:hint="default" w:ascii="Times New Roman" w:hAnsi="Times New Roman" w:cs="Times New Roman"/>
          <w:lang w:eastAsia="zh-CN"/>
        </w:rPr>
      </w:pPr>
      <w:r>
        <w:rPr>
          <w:rFonts w:hint="default" w:ascii="Times New Roman" w:hAnsi="Times New Roman" w:cs="Times New Roman"/>
          <w:lang w:val="en-US" w:eastAsia="zh-CN"/>
        </w:rPr>
        <w:t>采样深度：根据</w:t>
      </w:r>
      <w:r>
        <w:rPr>
          <w:rFonts w:hint="default" w:ascii="Times New Roman" w:hAnsi="Times New Roman" w:cs="Times New Roman"/>
          <w:lang w:eastAsia="zh-CN"/>
        </w:rPr>
        <w:t>沪环土（</w:t>
      </w:r>
      <w:r>
        <w:rPr>
          <w:rFonts w:hint="default" w:ascii="Times New Roman" w:hAnsi="Times New Roman" w:cs="Times New Roman"/>
          <w:lang w:val="en-US" w:eastAsia="zh-CN"/>
        </w:rPr>
        <w:t>2020</w:t>
      </w:r>
      <w:r>
        <w:rPr>
          <w:rFonts w:hint="default" w:ascii="Times New Roman" w:hAnsi="Times New Roman" w:cs="Times New Roman"/>
          <w:lang w:eastAsia="zh-CN"/>
        </w:rPr>
        <w:t>）</w:t>
      </w:r>
      <w:r>
        <w:rPr>
          <w:rFonts w:hint="default" w:ascii="Times New Roman" w:hAnsi="Times New Roman" w:cs="Times New Roman"/>
          <w:lang w:val="en-US" w:eastAsia="zh-CN"/>
        </w:rPr>
        <w:t>62号要求，</w:t>
      </w:r>
      <w:r>
        <w:rPr>
          <w:rFonts w:hint="default" w:ascii="Times New Roman" w:hAnsi="Times New Roman" w:cs="Times New Roman"/>
        </w:rPr>
        <w:t>每个采样点位在超标样品所在深度及其相邻不同深度</w:t>
      </w:r>
      <w:r>
        <w:rPr>
          <w:rFonts w:hint="default" w:ascii="Times New Roman" w:hAnsi="Times New Roman" w:cs="Times New Roman"/>
          <w:lang w:eastAsia="zh-CN"/>
        </w:rPr>
        <w:t>至少</w:t>
      </w:r>
      <w:r>
        <w:rPr>
          <w:rFonts w:hint="default" w:ascii="Times New Roman" w:hAnsi="Times New Roman" w:cs="Times New Roman"/>
        </w:rPr>
        <w:t>采</w:t>
      </w:r>
      <w:r>
        <w:rPr>
          <w:rFonts w:hint="default" w:ascii="Times New Roman" w:hAnsi="Times New Roman" w:cs="Times New Roman"/>
          <w:lang w:eastAsia="zh-CN"/>
        </w:rPr>
        <w:t>集</w:t>
      </w:r>
      <w:r>
        <w:rPr>
          <w:rFonts w:hint="default" w:ascii="Times New Roman" w:hAnsi="Times New Roman" w:cs="Times New Roman"/>
          <w:lang w:val="en-US" w:eastAsia="zh-CN"/>
        </w:rPr>
        <w:t>3</w:t>
      </w:r>
      <w:r>
        <w:rPr>
          <w:rFonts w:hint="default" w:ascii="Times New Roman" w:hAnsi="Times New Roman" w:cs="Times New Roman"/>
        </w:rPr>
        <w:t>个土壤样品</w:t>
      </w:r>
      <w:r>
        <w:rPr>
          <w:rFonts w:hint="default" w:ascii="Times New Roman" w:hAnsi="Times New Roman" w:cs="Times New Roman"/>
          <w:lang w:eastAsia="zh-CN"/>
        </w:rPr>
        <w:t>；</w:t>
      </w:r>
      <w:r>
        <w:rPr>
          <w:rFonts w:hint="default" w:ascii="Times New Roman" w:hAnsi="Times New Roman" w:cs="Times New Roman"/>
          <w:lang w:val="en-US" w:eastAsia="zh-CN"/>
        </w:rPr>
        <w:t>考虑到</w:t>
      </w:r>
      <w:r>
        <w:rPr>
          <w:rFonts w:hint="default" w:ascii="Times New Roman" w:hAnsi="Times New Roman" w:cs="Times New Roman"/>
          <w:color w:val="000000"/>
          <w:sz w:val="24"/>
          <w:lang w:val="en-US" w:eastAsia="zh-CN"/>
        </w:rPr>
        <w:t>SJG-JJ-8原点位</w:t>
      </w:r>
      <w:r>
        <w:rPr>
          <w:rFonts w:hint="default" w:ascii="Times New Roman" w:hAnsi="Times New Roman" w:cs="Times New Roman"/>
        </w:rPr>
        <w:t>超标样品</w:t>
      </w:r>
      <w:r>
        <w:rPr>
          <w:rFonts w:hint="default" w:ascii="Times New Roman" w:hAnsi="Times New Roman" w:cs="Times New Roman"/>
          <w:lang w:val="en-US" w:eastAsia="zh-CN"/>
        </w:rPr>
        <w:t>位表层（0-0.5m）样品，其相邻深度仅为下层，因此采样深度设置为表层（0-0.5m）、下层（0.5-1.0m），每个点位采集</w:t>
      </w:r>
      <w:r>
        <w:rPr>
          <w:rFonts w:hint="eastAsia" w:cs="Times New Roman"/>
          <w:lang w:val="en-US" w:eastAsia="zh-CN"/>
        </w:rPr>
        <w:t>2</w:t>
      </w:r>
      <w:r>
        <w:rPr>
          <w:rFonts w:hint="default" w:ascii="Times New Roman" w:hAnsi="Times New Roman" w:cs="Times New Roman"/>
          <w:lang w:val="en-US" w:eastAsia="zh-CN"/>
        </w:rPr>
        <w:t>个土壤样品。</w:t>
      </w:r>
    </w:p>
    <w:p>
      <w:pPr>
        <w:ind w:firstLine="420" w:firstLineChars="0"/>
        <w:rPr>
          <w:rFonts w:hint="default" w:ascii="Times New Roman" w:hAnsi="Times New Roman" w:cs="Times New Roman"/>
          <w:lang w:eastAsia="zh-CN"/>
        </w:rPr>
      </w:pPr>
      <w:r>
        <w:rPr>
          <w:rFonts w:hint="default" w:ascii="Times New Roman" w:hAnsi="Times New Roman" w:cs="Times New Roman"/>
          <w:lang w:eastAsia="zh-CN"/>
        </w:rPr>
        <w:t>（</w:t>
      </w:r>
      <w:r>
        <w:rPr>
          <w:rFonts w:hint="default" w:ascii="Times New Roman" w:hAnsi="Times New Roman" w:cs="Times New Roman"/>
          <w:lang w:val="en-US" w:eastAsia="zh-CN"/>
        </w:rPr>
        <w:t>3</w:t>
      </w:r>
      <w:r>
        <w:rPr>
          <w:rFonts w:hint="default" w:ascii="Times New Roman" w:hAnsi="Times New Roman" w:cs="Times New Roman"/>
          <w:lang w:eastAsia="zh-CN"/>
        </w:rPr>
        <w:t>）测试项目为</w:t>
      </w:r>
      <w:r>
        <w:rPr>
          <w:rFonts w:hint="default" w:ascii="Times New Roman" w:hAnsi="Times New Roman" w:cs="Times New Roman"/>
          <w:color w:val="000000"/>
          <w:sz w:val="24"/>
          <w:lang w:val="en-US" w:eastAsia="zh-CN"/>
        </w:rPr>
        <w:t>原点位SJG-JJ-8的</w:t>
      </w:r>
      <w:r>
        <w:rPr>
          <w:rFonts w:hint="default" w:ascii="Times New Roman" w:hAnsi="Times New Roman" w:cs="Times New Roman"/>
          <w:lang w:eastAsia="zh-CN"/>
        </w:rPr>
        <w:t>超标污染物：</w:t>
      </w:r>
      <w:r>
        <w:rPr>
          <w:rFonts w:hint="default" w:ascii="Times New Roman" w:hAnsi="Times New Roman" w:cs="Times New Roman"/>
          <w:highlight w:val="none"/>
          <w:lang w:val="en-US" w:eastAsia="zh-CN"/>
        </w:rPr>
        <w:t>苯并(a)芘。</w:t>
      </w:r>
    </w:p>
    <w:p>
      <w:pPr>
        <w:pStyle w:val="6"/>
        <w:numPr>
          <w:ilvl w:val="0"/>
          <w:numId w:val="0"/>
        </w:numPr>
        <w:bidi w:val="0"/>
        <w:spacing w:after="0"/>
        <w:jc w:val="left"/>
        <w:rPr>
          <w:rFonts w:hint="eastAsia" w:ascii="Times New Roman" w:hAnsi="Times New Roman" w:cs="Times New Roman"/>
          <w:color w:val="auto"/>
          <w:kern w:val="0"/>
          <w:highlight w:val="none"/>
          <w:lang w:eastAsia="zh-CN"/>
        </w:rPr>
      </w:pPr>
      <w:r>
        <w:rPr>
          <w:rFonts w:hint="eastAsia" w:cs="Times New Roman"/>
          <w:color w:val="auto"/>
          <w:kern w:val="0"/>
          <w:highlight w:val="none"/>
          <w:lang w:val="en-US" w:eastAsia="zh-CN"/>
        </w:rPr>
        <w:t xml:space="preserve">5.3.2.2. </w:t>
      </w:r>
      <w:r>
        <w:rPr>
          <w:rFonts w:hint="eastAsia" w:ascii="Times New Roman" w:hAnsi="Times New Roman" w:cs="Times New Roman"/>
          <w:color w:val="auto"/>
          <w:kern w:val="0"/>
          <w:highlight w:val="none"/>
          <w:lang w:eastAsia="zh-CN"/>
        </w:rPr>
        <w:t>现场记录</w:t>
      </w:r>
    </w:p>
    <w:p>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补充采样阶段共布设土壤监测点</w:t>
      </w:r>
      <w:r>
        <w:rPr>
          <w:rFonts w:hint="default" w:ascii="Times New Roman" w:hAnsi="Times New Roman" w:cs="Times New Roman"/>
          <w:lang w:val="en-US" w:eastAsia="zh-CN"/>
        </w:rPr>
        <w:t>5个，</w:t>
      </w:r>
      <w:r>
        <w:rPr>
          <w:rFonts w:hint="default" w:ascii="Times New Roman" w:hAnsi="Times New Roman" w:cs="Times New Roman"/>
          <w:lang w:eastAsia="zh-CN"/>
        </w:rPr>
        <w:t>共采集</w:t>
      </w:r>
      <w:r>
        <w:rPr>
          <w:rFonts w:hint="default" w:ascii="Times New Roman" w:hAnsi="Times New Roman" w:cs="Times New Roman"/>
          <w:lang w:val="en-US" w:eastAsia="zh-CN"/>
        </w:rPr>
        <w:t>10个土壤样品，另采集1个土壤平行盲样及1个运输空白样，共送检样品12个，</w:t>
      </w:r>
      <w:r>
        <w:rPr>
          <w:rFonts w:hint="default" w:ascii="Times New Roman" w:hAnsi="Times New Roman" w:cs="Times New Roman"/>
        </w:rPr>
        <w:t>送检</w:t>
      </w:r>
      <w:r>
        <w:rPr>
          <w:rFonts w:hint="default" w:ascii="Times New Roman" w:hAnsi="Times New Roman" w:cs="Times New Roman"/>
          <w:lang w:eastAsia="zh-CN"/>
        </w:rPr>
        <w:t>半挥发性有机物指标</w:t>
      </w:r>
      <w:r>
        <w:rPr>
          <w:rFonts w:hint="default" w:ascii="Times New Roman" w:hAnsi="Times New Roman" w:cs="Times New Roman"/>
          <w:lang w:val="en-US" w:eastAsia="zh-CN"/>
        </w:rPr>
        <w:t>并(a)芘</w:t>
      </w:r>
      <w:r>
        <w:rPr>
          <w:rFonts w:hint="default" w:ascii="Times New Roman" w:hAnsi="Times New Roman" w:cs="Times New Roman"/>
        </w:rPr>
        <w:t>。</w:t>
      </w:r>
      <w:r>
        <w:rPr>
          <w:rFonts w:hint="default" w:ascii="Times New Roman" w:hAnsi="Times New Roman" w:cs="Times New Roman"/>
          <w:color w:val="auto"/>
          <w:highlight w:val="none"/>
        </w:rPr>
        <w:t>各采样点位土层土壤类型、颜色、湿度、气味、夹杂物情况等性状，以及土壤样品采集情况详见表</w:t>
      </w:r>
      <w:r>
        <w:rPr>
          <w:rFonts w:hint="eastAsia" w:cs="Times New Roman"/>
          <w:color w:val="auto"/>
          <w:highlight w:val="none"/>
          <w:lang w:val="en-US" w:eastAsia="zh-CN"/>
        </w:rPr>
        <w:t>5-3-8</w:t>
      </w:r>
      <w:r>
        <w:rPr>
          <w:rFonts w:hint="default" w:ascii="Times New Roman" w:hAnsi="Times New Roman" w:cs="Times New Roman"/>
          <w:color w:val="auto"/>
          <w:sz w:val="24"/>
          <w:highlight w:val="none"/>
        </w:rPr>
        <w:t>典型监测点位现场采样及样品照片</w:t>
      </w:r>
      <w:r>
        <w:rPr>
          <w:rFonts w:hint="default" w:ascii="Times New Roman" w:hAnsi="Times New Roman" w:cs="Times New Roman"/>
          <w:color w:val="auto"/>
          <w:sz w:val="24"/>
          <w:highlight w:val="none"/>
          <w:lang w:eastAsia="zh-CN"/>
        </w:rPr>
        <w:t>见图</w:t>
      </w:r>
      <w:r>
        <w:rPr>
          <w:rFonts w:hint="eastAsia" w:cs="Times New Roman"/>
          <w:color w:val="auto"/>
          <w:sz w:val="24"/>
          <w:highlight w:val="none"/>
          <w:lang w:val="en-US" w:eastAsia="zh-CN"/>
        </w:rPr>
        <w:t>5-3-13</w:t>
      </w:r>
      <w:r>
        <w:rPr>
          <w:rFonts w:hint="default" w:ascii="Times New Roman" w:hAnsi="Times New Roman" w:cs="Times New Roman"/>
          <w:color w:val="auto"/>
          <w:sz w:val="24"/>
          <w:highlight w:val="none"/>
        </w:rPr>
        <w:t>。</w:t>
      </w:r>
    </w:p>
    <w:p>
      <w:pPr>
        <w:spacing w:line="400" w:lineRule="atLeast"/>
        <w:jc w:val="center"/>
        <w:rPr>
          <w:rFonts w:hint="default" w:ascii="Times New Roman" w:hAnsi="Times New Roman" w:cs="Times New Roman"/>
          <w:lang w:eastAsia="zh-CN"/>
        </w:rPr>
      </w:pPr>
      <w:r>
        <w:rPr>
          <w:rFonts w:hint="default" w:ascii="Times New Roman" w:hAnsi="Times New Roman" w:eastAsia="黑体" w:cs="Times New Roman"/>
          <w:b/>
          <w:color w:val="auto"/>
          <w:sz w:val="24"/>
          <w:szCs w:val="20"/>
          <w:highlight w:val="none"/>
        </w:rPr>
        <w:t>表</w:t>
      </w:r>
      <w:r>
        <w:rPr>
          <w:rFonts w:hint="eastAsia" w:eastAsia="黑体" w:cs="Times New Roman"/>
          <w:b/>
          <w:color w:val="auto"/>
          <w:sz w:val="24"/>
          <w:szCs w:val="20"/>
          <w:highlight w:val="none"/>
          <w:lang w:val="en-US" w:eastAsia="zh-CN"/>
        </w:rPr>
        <w:t>5-3-8</w:t>
      </w:r>
      <w:r>
        <w:rPr>
          <w:rFonts w:hint="default" w:ascii="Times New Roman" w:hAnsi="Times New Roman" w:eastAsia="黑体" w:cs="Times New Roman"/>
          <w:b/>
          <w:color w:val="auto"/>
          <w:sz w:val="24"/>
          <w:szCs w:val="20"/>
          <w:highlight w:val="none"/>
        </w:rPr>
        <w:t xml:space="preserve"> </w:t>
      </w:r>
      <w:r>
        <w:rPr>
          <w:rFonts w:hint="default" w:ascii="Times New Roman" w:hAnsi="Times New Roman" w:eastAsia="黑体" w:cs="Times New Roman"/>
          <w:b/>
          <w:color w:val="auto"/>
          <w:sz w:val="24"/>
          <w:szCs w:val="20"/>
          <w:highlight w:val="none"/>
          <w:lang w:val="en-US" w:eastAsia="zh-CN"/>
        </w:rPr>
        <w:t xml:space="preserve"> </w:t>
      </w:r>
      <w:r>
        <w:rPr>
          <w:rFonts w:hint="default" w:ascii="Times New Roman" w:hAnsi="Times New Roman" w:eastAsia="黑体" w:cs="Times New Roman"/>
          <w:b/>
          <w:color w:val="auto"/>
          <w:sz w:val="24"/>
          <w:szCs w:val="20"/>
          <w:highlight w:val="none"/>
        </w:rPr>
        <w:t>土壤</w:t>
      </w:r>
      <w:r>
        <w:rPr>
          <w:rFonts w:hint="default" w:ascii="Times New Roman" w:hAnsi="Times New Roman" w:eastAsia="黑体" w:cs="Times New Roman"/>
          <w:b/>
          <w:color w:val="auto"/>
          <w:sz w:val="24"/>
          <w:szCs w:val="20"/>
          <w:highlight w:val="none"/>
          <w:lang w:eastAsia="zh-CN"/>
        </w:rPr>
        <w:t>补充</w:t>
      </w:r>
      <w:r>
        <w:rPr>
          <w:rFonts w:hint="default" w:ascii="Times New Roman" w:hAnsi="Times New Roman" w:eastAsia="黑体" w:cs="Times New Roman"/>
          <w:b/>
          <w:color w:val="auto"/>
          <w:sz w:val="24"/>
          <w:szCs w:val="20"/>
          <w:highlight w:val="none"/>
        </w:rPr>
        <w:t>采样点位现场记录统计表</w:t>
      </w:r>
    </w:p>
    <w:tbl>
      <w:tblPr>
        <w:tblStyle w:val="21"/>
        <w:tblW w:w="424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452"/>
        <w:gridCol w:w="874"/>
        <w:gridCol w:w="874"/>
        <w:gridCol w:w="660"/>
        <w:gridCol w:w="452"/>
        <w:gridCol w:w="452"/>
        <w:gridCol w:w="663"/>
        <w:gridCol w:w="3390"/>
        <w:gridCol w:w="870"/>
        <w:gridCol w:w="8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00" w:hRule="atLeast"/>
          <w:tblHeader/>
          <w:jc w:val="center"/>
        </w:trPr>
        <w:tc>
          <w:tcPr>
            <w:tcW w:w="236"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序号</w:t>
            </w:r>
          </w:p>
        </w:tc>
        <w:tc>
          <w:tcPr>
            <w:tcW w:w="456"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b/>
                <w:i w:val="0"/>
                <w:color w:val="000000"/>
                <w:kern w:val="0"/>
                <w:sz w:val="21"/>
                <w:szCs w:val="21"/>
                <w:u w:val="none"/>
                <w:lang w:val="en-US" w:eastAsia="zh-CN" w:bidi="ar"/>
              </w:rPr>
            </w:pPr>
            <w:r>
              <w:rPr>
                <w:rFonts w:hint="default" w:ascii="Times New Roman" w:hAnsi="Times New Roman" w:eastAsia="宋体" w:cs="Times New Roman"/>
                <w:b/>
                <w:i w:val="0"/>
                <w:color w:val="000000"/>
                <w:kern w:val="0"/>
                <w:sz w:val="21"/>
                <w:szCs w:val="21"/>
                <w:u w:val="none"/>
                <w:lang w:val="en-US" w:eastAsia="zh-CN" w:bidi="ar"/>
              </w:rPr>
              <w:t>点位编号</w:t>
            </w:r>
          </w:p>
        </w:tc>
        <w:tc>
          <w:tcPr>
            <w:tcW w:w="456"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土壤类型</w:t>
            </w:r>
          </w:p>
        </w:tc>
        <w:tc>
          <w:tcPr>
            <w:tcW w:w="345"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颜色</w:t>
            </w:r>
          </w:p>
        </w:tc>
        <w:tc>
          <w:tcPr>
            <w:tcW w:w="237"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湿度</w:t>
            </w:r>
          </w:p>
        </w:tc>
        <w:tc>
          <w:tcPr>
            <w:tcW w:w="237"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气味</w:t>
            </w:r>
          </w:p>
        </w:tc>
        <w:tc>
          <w:tcPr>
            <w:tcW w:w="347"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可塑性</w:t>
            </w:r>
          </w:p>
        </w:tc>
        <w:tc>
          <w:tcPr>
            <w:tcW w:w="1771"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夹杂物</w:t>
            </w:r>
          </w:p>
        </w:tc>
        <w:tc>
          <w:tcPr>
            <w:tcW w:w="454"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采样深度</w:t>
            </w:r>
          </w:p>
        </w:tc>
        <w:tc>
          <w:tcPr>
            <w:tcW w:w="456"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b/>
                <w:i w:val="0"/>
                <w:color w:val="000000"/>
                <w:kern w:val="2"/>
                <w:sz w:val="21"/>
                <w:szCs w:val="21"/>
                <w:u w:val="none"/>
                <w:lang w:val="en-US" w:eastAsia="zh-CN" w:bidi="ar-SA"/>
              </w:rPr>
            </w:pPr>
            <w:r>
              <w:rPr>
                <w:rFonts w:hint="default" w:ascii="Times New Roman" w:hAnsi="Times New Roman" w:eastAsia="宋体" w:cs="Times New Roman"/>
                <w:b/>
                <w:i w:val="0"/>
                <w:color w:val="000000"/>
                <w:kern w:val="0"/>
                <w:sz w:val="21"/>
                <w:szCs w:val="21"/>
                <w:u w:val="none"/>
                <w:lang w:val="en-US" w:eastAsia="zh-CN" w:bidi="ar"/>
              </w:rPr>
              <w:t>样品编号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236"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c>
          <w:tcPr>
            <w:tcW w:w="456" w:type="pct"/>
            <w:vMerge w:val="restar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C-1</w:t>
            </w:r>
          </w:p>
        </w:tc>
        <w:tc>
          <w:tcPr>
            <w:tcW w:w="456"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杂填土</w:t>
            </w:r>
          </w:p>
        </w:tc>
        <w:tc>
          <w:tcPr>
            <w:tcW w:w="345"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棕褐色</w:t>
            </w:r>
          </w:p>
        </w:tc>
        <w:tc>
          <w:tcPr>
            <w:tcW w:w="237"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稍湿</w:t>
            </w:r>
          </w:p>
        </w:tc>
        <w:tc>
          <w:tcPr>
            <w:tcW w:w="237"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无</w:t>
            </w:r>
          </w:p>
        </w:tc>
        <w:tc>
          <w:tcPr>
            <w:tcW w:w="347"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松散</w:t>
            </w:r>
          </w:p>
        </w:tc>
        <w:tc>
          <w:tcPr>
            <w:tcW w:w="1771"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含较多石子，含少量根系</w:t>
            </w:r>
          </w:p>
        </w:tc>
        <w:tc>
          <w:tcPr>
            <w:tcW w:w="454"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0.2-0.5</w:t>
            </w:r>
          </w:p>
        </w:tc>
        <w:tc>
          <w:tcPr>
            <w:tcW w:w="456"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C-1-1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8" w:hRule="atLeast"/>
          <w:jc w:val="center"/>
        </w:trPr>
        <w:tc>
          <w:tcPr>
            <w:tcW w:w="236"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w:t>
            </w:r>
          </w:p>
        </w:tc>
        <w:tc>
          <w:tcPr>
            <w:tcW w:w="456"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kern w:val="0"/>
                <w:sz w:val="21"/>
                <w:szCs w:val="21"/>
                <w:u w:val="none"/>
                <w:lang w:val="en-US" w:eastAsia="zh-CN" w:bidi="ar"/>
              </w:rPr>
            </w:pPr>
          </w:p>
        </w:tc>
        <w:tc>
          <w:tcPr>
            <w:tcW w:w="456"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杂填土</w:t>
            </w:r>
          </w:p>
        </w:tc>
        <w:tc>
          <w:tcPr>
            <w:tcW w:w="345"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棕褐色</w:t>
            </w:r>
          </w:p>
        </w:tc>
        <w:tc>
          <w:tcPr>
            <w:tcW w:w="237"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稍湿</w:t>
            </w:r>
          </w:p>
        </w:tc>
        <w:tc>
          <w:tcPr>
            <w:tcW w:w="237"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无</w:t>
            </w:r>
          </w:p>
        </w:tc>
        <w:tc>
          <w:tcPr>
            <w:tcW w:w="347"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松散</w:t>
            </w:r>
          </w:p>
        </w:tc>
        <w:tc>
          <w:tcPr>
            <w:tcW w:w="1771"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以粘土为主，含少量的砂质</w:t>
            </w:r>
          </w:p>
        </w:tc>
        <w:tc>
          <w:tcPr>
            <w:tcW w:w="454"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0.5-1.0</w:t>
            </w:r>
          </w:p>
        </w:tc>
        <w:tc>
          <w:tcPr>
            <w:tcW w:w="4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C-1-2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8" w:hRule="atLeast"/>
          <w:jc w:val="center"/>
        </w:trPr>
        <w:tc>
          <w:tcPr>
            <w:tcW w:w="236"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cs="Times New Roman"/>
              </w:rPr>
            </w:pPr>
          </w:p>
        </w:tc>
        <w:tc>
          <w:tcPr>
            <w:tcW w:w="456"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cs="Times New Roman"/>
              </w:rPr>
            </w:pPr>
          </w:p>
        </w:tc>
        <w:tc>
          <w:tcPr>
            <w:tcW w:w="456"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cs="Times New Roman"/>
              </w:rPr>
            </w:pPr>
          </w:p>
        </w:tc>
        <w:tc>
          <w:tcPr>
            <w:tcW w:w="345"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cs="Times New Roman"/>
              </w:rPr>
            </w:pPr>
          </w:p>
        </w:tc>
        <w:tc>
          <w:tcPr>
            <w:tcW w:w="237"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cs="Times New Roman"/>
              </w:rPr>
            </w:pPr>
          </w:p>
        </w:tc>
        <w:tc>
          <w:tcPr>
            <w:tcW w:w="237"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cs="Times New Roman"/>
              </w:rPr>
            </w:pPr>
          </w:p>
        </w:tc>
        <w:tc>
          <w:tcPr>
            <w:tcW w:w="347"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cs="Times New Roman"/>
              </w:rPr>
            </w:pPr>
          </w:p>
        </w:tc>
        <w:tc>
          <w:tcPr>
            <w:tcW w:w="177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cs="Times New Roman"/>
              </w:rPr>
            </w:pPr>
          </w:p>
        </w:tc>
        <w:tc>
          <w:tcPr>
            <w:tcW w:w="454"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cs="Times New Roman"/>
              </w:rPr>
            </w:pPr>
          </w:p>
        </w:tc>
        <w:tc>
          <w:tcPr>
            <w:tcW w:w="4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i w:val="0"/>
                <w:color w:val="000000"/>
                <w:kern w:val="0"/>
                <w:sz w:val="21"/>
                <w:szCs w:val="21"/>
                <w:u w:val="none"/>
                <w:lang w:val="en-US" w:eastAsia="zh-CN" w:bidi="ar"/>
              </w:rPr>
              <w:t>QC-8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23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w:t>
            </w:r>
          </w:p>
        </w:tc>
        <w:tc>
          <w:tcPr>
            <w:tcW w:w="456"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C-2</w:t>
            </w:r>
          </w:p>
        </w:tc>
        <w:tc>
          <w:tcPr>
            <w:tcW w:w="4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杂填土</w:t>
            </w:r>
          </w:p>
        </w:tc>
        <w:tc>
          <w:tcPr>
            <w:tcW w:w="3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棕褐色</w:t>
            </w:r>
          </w:p>
        </w:tc>
        <w:tc>
          <w:tcPr>
            <w:tcW w:w="2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稍湿</w:t>
            </w:r>
          </w:p>
        </w:tc>
        <w:tc>
          <w:tcPr>
            <w:tcW w:w="2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无</w:t>
            </w:r>
          </w:p>
        </w:tc>
        <w:tc>
          <w:tcPr>
            <w:tcW w:w="34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松散</w:t>
            </w:r>
          </w:p>
        </w:tc>
        <w:tc>
          <w:tcPr>
            <w:tcW w:w="177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含石子，含少量根系</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0.3-0.5</w:t>
            </w:r>
          </w:p>
        </w:tc>
        <w:tc>
          <w:tcPr>
            <w:tcW w:w="4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C-2-1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23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4</w:t>
            </w:r>
          </w:p>
        </w:tc>
        <w:tc>
          <w:tcPr>
            <w:tcW w:w="456"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kern w:val="0"/>
                <w:sz w:val="21"/>
                <w:szCs w:val="21"/>
                <w:u w:val="none"/>
                <w:lang w:val="en-US" w:eastAsia="zh-CN" w:bidi="ar"/>
              </w:rPr>
            </w:pPr>
          </w:p>
        </w:tc>
        <w:tc>
          <w:tcPr>
            <w:tcW w:w="4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杂填土</w:t>
            </w:r>
          </w:p>
        </w:tc>
        <w:tc>
          <w:tcPr>
            <w:tcW w:w="3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棕褐色</w:t>
            </w:r>
          </w:p>
        </w:tc>
        <w:tc>
          <w:tcPr>
            <w:tcW w:w="2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稍湿</w:t>
            </w:r>
          </w:p>
        </w:tc>
        <w:tc>
          <w:tcPr>
            <w:tcW w:w="2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无</w:t>
            </w:r>
          </w:p>
        </w:tc>
        <w:tc>
          <w:tcPr>
            <w:tcW w:w="34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松散</w:t>
            </w:r>
          </w:p>
        </w:tc>
        <w:tc>
          <w:tcPr>
            <w:tcW w:w="177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以粉质粘土为主，含少量铁锰质矿物</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0.5-1.0</w:t>
            </w:r>
          </w:p>
        </w:tc>
        <w:tc>
          <w:tcPr>
            <w:tcW w:w="4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C-2-2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23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5</w:t>
            </w:r>
          </w:p>
        </w:tc>
        <w:tc>
          <w:tcPr>
            <w:tcW w:w="456"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C-3</w:t>
            </w:r>
          </w:p>
        </w:tc>
        <w:tc>
          <w:tcPr>
            <w:tcW w:w="4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杂填土</w:t>
            </w:r>
          </w:p>
        </w:tc>
        <w:tc>
          <w:tcPr>
            <w:tcW w:w="3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棕褐色</w:t>
            </w:r>
          </w:p>
        </w:tc>
        <w:tc>
          <w:tcPr>
            <w:tcW w:w="2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稍湿</w:t>
            </w:r>
          </w:p>
        </w:tc>
        <w:tc>
          <w:tcPr>
            <w:tcW w:w="2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无</w:t>
            </w:r>
          </w:p>
        </w:tc>
        <w:tc>
          <w:tcPr>
            <w:tcW w:w="34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松散</w:t>
            </w:r>
          </w:p>
        </w:tc>
        <w:tc>
          <w:tcPr>
            <w:tcW w:w="177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表面含石子、根系</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0.2-0.5</w:t>
            </w:r>
          </w:p>
        </w:tc>
        <w:tc>
          <w:tcPr>
            <w:tcW w:w="4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C-3-1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23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6</w:t>
            </w:r>
          </w:p>
        </w:tc>
        <w:tc>
          <w:tcPr>
            <w:tcW w:w="456"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kern w:val="0"/>
                <w:sz w:val="21"/>
                <w:szCs w:val="21"/>
                <w:u w:val="none"/>
                <w:lang w:val="en-US" w:eastAsia="zh-CN" w:bidi="ar"/>
              </w:rPr>
            </w:pPr>
          </w:p>
        </w:tc>
        <w:tc>
          <w:tcPr>
            <w:tcW w:w="4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杂填土</w:t>
            </w:r>
          </w:p>
        </w:tc>
        <w:tc>
          <w:tcPr>
            <w:tcW w:w="3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棕褐色</w:t>
            </w:r>
          </w:p>
        </w:tc>
        <w:tc>
          <w:tcPr>
            <w:tcW w:w="2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稍湿</w:t>
            </w:r>
          </w:p>
        </w:tc>
        <w:tc>
          <w:tcPr>
            <w:tcW w:w="2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无</w:t>
            </w:r>
          </w:p>
        </w:tc>
        <w:tc>
          <w:tcPr>
            <w:tcW w:w="34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松散</w:t>
            </w:r>
          </w:p>
        </w:tc>
        <w:tc>
          <w:tcPr>
            <w:tcW w:w="177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以粘土为主，含少量铁锰质矿物</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0.5-1.0</w:t>
            </w:r>
          </w:p>
        </w:tc>
        <w:tc>
          <w:tcPr>
            <w:tcW w:w="4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C-3-2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23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7</w:t>
            </w:r>
          </w:p>
        </w:tc>
        <w:tc>
          <w:tcPr>
            <w:tcW w:w="456"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C-4</w:t>
            </w:r>
          </w:p>
        </w:tc>
        <w:tc>
          <w:tcPr>
            <w:tcW w:w="4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杂填土</w:t>
            </w:r>
          </w:p>
        </w:tc>
        <w:tc>
          <w:tcPr>
            <w:tcW w:w="3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棕褐色</w:t>
            </w:r>
          </w:p>
        </w:tc>
        <w:tc>
          <w:tcPr>
            <w:tcW w:w="2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稍湿</w:t>
            </w:r>
          </w:p>
        </w:tc>
        <w:tc>
          <w:tcPr>
            <w:tcW w:w="2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无</w:t>
            </w:r>
          </w:p>
        </w:tc>
        <w:tc>
          <w:tcPr>
            <w:tcW w:w="34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松散</w:t>
            </w:r>
          </w:p>
        </w:tc>
        <w:tc>
          <w:tcPr>
            <w:tcW w:w="177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表面含石子、根系</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0.2-0.5</w:t>
            </w:r>
          </w:p>
        </w:tc>
        <w:tc>
          <w:tcPr>
            <w:tcW w:w="4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C-4-1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23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8</w:t>
            </w:r>
          </w:p>
        </w:tc>
        <w:tc>
          <w:tcPr>
            <w:tcW w:w="456"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kern w:val="0"/>
                <w:sz w:val="21"/>
                <w:szCs w:val="21"/>
                <w:u w:val="none"/>
                <w:lang w:val="en-US" w:eastAsia="zh-CN" w:bidi="ar"/>
              </w:rPr>
            </w:pPr>
          </w:p>
        </w:tc>
        <w:tc>
          <w:tcPr>
            <w:tcW w:w="4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杂填土</w:t>
            </w:r>
          </w:p>
        </w:tc>
        <w:tc>
          <w:tcPr>
            <w:tcW w:w="3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棕褐色</w:t>
            </w:r>
          </w:p>
        </w:tc>
        <w:tc>
          <w:tcPr>
            <w:tcW w:w="2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稍湿</w:t>
            </w:r>
          </w:p>
        </w:tc>
        <w:tc>
          <w:tcPr>
            <w:tcW w:w="2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无</w:t>
            </w:r>
          </w:p>
        </w:tc>
        <w:tc>
          <w:tcPr>
            <w:tcW w:w="34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松散</w:t>
            </w:r>
          </w:p>
        </w:tc>
        <w:tc>
          <w:tcPr>
            <w:tcW w:w="177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以粉质粘土为主，含少量铁锰质矿物</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0.5-1.0</w:t>
            </w:r>
          </w:p>
        </w:tc>
        <w:tc>
          <w:tcPr>
            <w:tcW w:w="4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C-4-2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23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9</w:t>
            </w:r>
          </w:p>
        </w:tc>
        <w:tc>
          <w:tcPr>
            <w:tcW w:w="456"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C-5</w:t>
            </w:r>
          </w:p>
        </w:tc>
        <w:tc>
          <w:tcPr>
            <w:tcW w:w="4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杂填土</w:t>
            </w:r>
          </w:p>
        </w:tc>
        <w:tc>
          <w:tcPr>
            <w:tcW w:w="3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棕褐色</w:t>
            </w:r>
          </w:p>
        </w:tc>
        <w:tc>
          <w:tcPr>
            <w:tcW w:w="2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稍湿</w:t>
            </w:r>
          </w:p>
        </w:tc>
        <w:tc>
          <w:tcPr>
            <w:tcW w:w="2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无</w:t>
            </w:r>
          </w:p>
        </w:tc>
        <w:tc>
          <w:tcPr>
            <w:tcW w:w="34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松散</w:t>
            </w:r>
          </w:p>
        </w:tc>
        <w:tc>
          <w:tcPr>
            <w:tcW w:w="177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表面含石子、根系</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0.2-0.5</w:t>
            </w:r>
          </w:p>
        </w:tc>
        <w:tc>
          <w:tcPr>
            <w:tcW w:w="4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C-5-1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23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c>
          <w:tcPr>
            <w:tcW w:w="456"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kern w:val="0"/>
                <w:sz w:val="21"/>
                <w:szCs w:val="21"/>
                <w:u w:val="none"/>
                <w:lang w:val="en-US" w:eastAsia="zh-CN" w:bidi="ar"/>
              </w:rPr>
            </w:pPr>
          </w:p>
        </w:tc>
        <w:tc>
          <w:tcPr>
            <w:tcW w:w="4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杂填土</w:t>
            </w:r>
          </w:p>
        </w:tc>
        <w:tc>
          <w:tcPr>
            <w:tcW w:w="3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棕褐色</w:t>
            </w:r>
          </w:p>
        </w:tc>
        <w:tc>
          <w:tcPr>
            <w:tcW w:w="2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稍湿</w:t>
            </w:r>
          </w:p>
        </w:tc>
        <w:tc>
          <w:tcPr>
            <w:tcW w:w="23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无</w:t>
            </w:r>
          </w:p>
        </w:tc>
        <w:tc>
          <w:tcPr>
            <w:tcW w:w="34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松散</w:t>
            </w:r>
          </w:p>
        </w:tc>
        <w:tc>
          <w:tcPr>
            <w:tcW w:w="177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以粉质粘土为主，含少量铁锰质矿物</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0.5-1.0</w:t>
            </w:r>
          </w:p>
        </w:tc>
        <w:tc>
          <w:tcPr>
            <w:tcW w:w="4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320" w:lineRule="exact"/>
              <w:ind w:left="0" w:right="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C-5-2</w:t>
            </w:r>
          </w:p>
        </w:tc>
      </w:tr>
    </w:tbl>
    <w:p>
      <w:pPr>
        <w:rPr>
          <w:rFonts w:hint="default" w:ascii="Times New Roman" w:hAnsi="Times New Roman" w:cs="Times New Roman"/>
        </w:rPr>
      </w:pPr>
    </w:p>
    <w:tbl>
      <w:tblPr>
        <w:tblStyle w:val="21"/>
        <w:tblW w:w="490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938"/>
        <w:gridCol w:w="47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741" w:type="pct"/>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drawing>
                <wp:inline distT="0" distB="0" distL="114300" distR="114300">
                  <wp:extent cx="2903220" cy="2177415"/>
                  <wp:effectExtent l="0" t="0" r="7620" b="1905"/>
                  <wp:docPr id="3" name="图片 3" descr="3ee753f8bd3b36d391d75363a81bf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ee753f8bd3b36d391d75363a81bf8a"/>
                          <pic:cNvPicPr>
                            <a:picLocks noChangeAspect="1"/>
                          </pic:cNvPicPr>
                        </pic:nvPicPr>
                        <pic:blipFill>
                          <a:blip r:embed="rId45"/>
                          <a:stretch>
                            <a:fillRect/>
                          </a:stretch>
                        </pic:blipFill>
                        <pic:spPr>
                          <a:xfrm>
                            <a:off x="0" y="0"/>
                            <a:ext cx="2903220" cy="2177415"/>
                          </a:xfrm>
                          <a:prstGeom prst="rect">
                            <a:avLst/>
                          </a:prstGeom>
                        </pic:spPr>
                      </pic:pic>
                    </a:graphicData>
                  </a:graphic>
                </wp:inline>
              </w:drawing>
            </w:r>
          </w:p>
        </w:tc>
        <w:tc>
          <w:tcPr>
            <w:tcW w:w="2258" w:type="pct"/>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drawing>
                <wp:inline distT="0" distB="0" distL="114300" distR="114300">
                  <wp:extent cx="2853055" cy="2139950"/>
                  <wp:effectExtent l="0" t="0" r="12065" b="8890"/>
                  <wp:docPr id="11" name="图片 11" descr="326aa73dc0742c7f0a4eea8e1878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26aa73dc0742c7f0a4eea8e1878ce1"/>
                          <pic:cNvPicPr>
                            <a:picLocks noChangeAspect="1"/>
                          </pic:cNvPicPr>
                        </pic:nvPicPr>
                        <pic:blipFill>
                          <a:blip r:embed="rId46"/>
                          <a:stretch>
                            <a:fillRect/>
                          </a:stretch>
                        </pic:blipFill>
                        <pic:spPr>
                          <a:xfrm>
                            <a:off x="0" y="0"/>
                            <a:ext cx="2853055" cy="2139950"/>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741" w:type="pct"/>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b/>
                <w:bCs/>
                <w:color w:val="auto"/>
                <w:highlight w:val="none"/>
              </w:rPr>
              <w:t>现场采样照片</w:t>
            </w:r>
          </w:p>
        </w:tc>
        <w:tc>
          <w:tcPr>
            <w:tcW w:w="2258" w:type="pct"/>
            <w:noWrap w:val="0"/>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b/>
                <w:bCs/>
                <w:color w:val="auto"/>
                <w:highlight w:val="none"/>
              </w:rPr>
              <w:t>现场</w:t>
            </w:r>
            <w:r>
              <w:rPr>
                <w:rFonts w:hint="default" w:ascii="Times New Roman" w:hAnsi="Times New Roman" w:cs="Times New Roman"/>
                <w:b/>
                <w:bCs/>
                <w:color w:val="auto"/>
                <w:highlight w:val="none"/>
                <w:lang w:eastAsia="zh-CN"/>
              </w:rPr>
              <w:t>样品</w:t>
            </w:r>
            <w:r>
              <w:rPr>
                <w:rFonts w:hint="default" w:ascii="Times New Roman" w:hAnsi="Times New Roman" w:cs="Times New Roman"/>
                <w:b/>
                <w:bCs/>
                <w:color w:val="auto"/>
                <w:highlight w:val="none"/>
              </w:rPr>
              <w:t>照片</w:t>
            </w:r>
          </w:p>
        </w:tc>
      </w:tr>
    </w:tbl>
    <w:p>
      <w:pPr>
        <w:spacing w:line="360" w:lineRule="auto"/>
        <w:jc w:val="center"/>
        <w:rPr>
          <w:rFonts w:hint="default" w:ascii="Times New Roman" w:hAnsi="Times New Roman" w:cs="Times New Roman"/>
          <w:lang w:eastAsia="zh-CN"/>
        </w:rPr>
      </w:pPr>
      <w:r>
        <w:rPr>
          <w:rFonts w:hint="default" w:ascii="Times New Roman" w:hAnsi="Times New Roman" w:eastAsia="黑体" w:cs="Times New Roman"/>
          <w:b/>
          <w:color w:val="auto"/>
          <w:sz w:val="24"/>
          <w:szCs w:val="20"/>
          <w:highlight w:val="none"/>
        </w:rPr>
        <w:t>图</w:t>
      </w:r>
      <w:r>
        <w:rPr>
          <w:rFonts w:hint="eastAsia" w:eastAsia="黑体" w:cs="Times New Roman"/>
          <w:b/>
          <w:color w:val="auto"/>
          <w:sz w:val="24"/>
          <w:szCs w:val="20"/>
          <w:highlight w:val="none"/>
          <w:lang w:val="en-US" w:eastAsia="zh-CN"/>
        </w:rPr>
        <w:t>5-3-13</w:t>
      </w:r>
      <w:r>
        <w:rPr>
          <w:rFonts w:hint="default" w:ascii="Times New Roman" w:hAnsi="Times New Roman" w:eastAsia="黑体" w:cs="Times New Roman"/>
          <w:b/>
          <w:color w:val="auto"/>
          <w:sz w:val="24"/>
          <w:szCs w:val="20"/>
          <w:highlight w:val="none"/>
        </w:rPr>
        <w:t xml:space="preserve">  典型监测点位现场采样及样品照片</w:t>
      </w:r>
    </w:p>
    <w:p>
      <w:pPr>
        <w:pStyle w:val="6"/>
        <w:numPr>
          <w:ilvl w:val="0"/>
          <w:numId w:val="0"/>
        </w:numPr>
        <w:bidi w:val="0"/>
        <w:spacing w:after="0"/>
        <w:jc w:val="left"/>
        <w:rPr>
          <w:rFonts w:hint="eastAsia" w:ascii="Times New Roman" w:hAnsi="Times New Roman" w:cs="Times New Roman"/>
          <w:color w:val="auto"/>
          <w:kern w:val="0"/>
          <w:highlight w:val="none"/>
          <w:lang w:eastAsia="zh-CN"/>
        </w:rPr>
      </w:pPr>
      <w:r>
        <w:rPr>
          <w:rFonts w:hint="eastAsia" w:cs="Times New Roman"/>
          <w:color w:val="auto"/>
          <w:kern w:val="0"/>
          <w:highlight w:val="none"/>
          <w:lang w:val="en-US" w:eastAsia="zh-CN"/>
        </w:rPr>
        <w:t>5.3.2.3.</w:t>
      </w:r>
      <w:r>
        <w:rPr>
          <w:rFonts w:hint="eastAsia" w:ascii="Times New Roman" w:hAnsi="Times New Roman" w:cs="Times New Roman"/>
          <w:color w:val="auto"/>
          <w:kern w:val="0"/>
          <w:highlight w:val="none"/>
          <w:lang w:eastAsia="zh-CN"/>
        </w:rPr>
        <w:t>现场质量控制</w:t>
      </w:r>
    </w:p>
    <w:p>
      <w:pPr>
        <w:ind w:firstLine="420" w:firstLineChars="0"/>
        <w:rPr>
          <w:rFonts w:hint="default" w:ascii="Times New Roman" w:hAnsi="Times New Roman" w:cs="Times New Roman"/>
          <w:lang w:val="en-US" w:eastAsia="zh-CN"/>
        </w:rPr>
      </w:pPr>
      <w:r>
        <w:rPr>
          <w:rFonts w:hint="default" w:ascii="Times New Roman" w:hAnsi="Times New Roman" w:cs="Times New Roman"/>
          <w:lang w:eastAsia="zh-CN"/>
        </w:rPr>
        <w:t>送检的土壤平行盲样（</w:t>
      </w:r>
      <w:r>
        <w:rPr>
          <w:rFonts w:hint="default" w:ascii="Times New Roman" w:hAnsi="Times New Roman" w:cs="Times New Roman"/>
          <w:lang w:val="en-US" w:eastAsia="zh-CN"/>
        </w:rPr>
        <w:t>QC-8</w:t>
      </w:r>
      <w:r>
        <w:rPr>
          <w:rFonts w:hint="default" w:ascii="Times New Roman" w:hAnsi="Times New Roman" w:cs="Times New Roman"/>
          <w:lang w:eastAsia="zh-CN"/>
        </w:rPr>
        <w:t>）和对应采样点位</w:t>
      </w:r>
      <w:r>
        <w:rPr>
          <w:rFonts w:hint="default" w:ascii="Times New Roman" w:hAnsi="Times New Roman" w:cs="Times New Roman"/>
          <w:lang w:val="en-US" w:eastAsia="zh-CN"/>
        </w:rPr>
        <w:t>C-1-2</w:t>
      </w:r>
      <w:r>
        <w:rPr>
          <w:rFonts w:hint="default" w:ascii="Times New Roman" w:hAnsi="Times New Roman" w:cs="Times New Roman"/>
          <w:lang w:eastAsia="zh-CN"/>
        </w:rPr>
        <w:t>半挥发性有机物指标</w:t>
      </w:r>
      <w:r>
        <w:rPr>
          <w:rFonts w:hint="default" w:ascii="Times New Roman" w:hAnsi="Times New Roman" w:cs="Times New Roman"/>
          <w:lang w:val="en-US" w:eastAsia="zh-CN"/>
        </w:rPr>
        <w:t>并(a)芘均未检出，因此不作相对偏差的分析。</w:t>
      </w:r>
    </w:p>
    <w:p>
      <w:pPr>
        <w:pStyle w:val="6"/>
        <w:numPr>
          <w:ilvl w:val="0"/>
          <w:numId w:val="0"/>
        </w:numPr>
        <w:bidi w:val="0"/>
        <w:spacing w:after="0"/>
        <w:jc w:val="left"/>
        <w:rPr>
          <w:rFonts w:hint="eastAsia" w:ascii="Times New Roman" w:hAnsi="Times New Roman" w:cs="Times New Roman"/>
          <w:color w:val="auto"/>
          <w:kern w:val="0"/>
          <w:highlight w:val="none"/>
          <w:lang w:eastAsia="zh-CN"/>
        </w:rPr>
      </w:pPr>
      <w:r>
        <w:rPr>
          <w:rFonts w:hint="eastAsia" w:cs="Times New Roman"/>
          <w:color w:val="auto"/>
          <w:kern w:val="0"/>
          <w:highlight w:val="none"/>
          <w:lang w:val="en-US" w:eastAsia="zh-CN"/>
        </w:rPr>
        <w:t>5.3.2.4. 补充监测结果</w:t>
      </w:r>
    </w:p>
    <w:p>
      <w:pPr>
        <w:pStyle w:val="2"/>
        <w:bidi w:val="0"/>
        <w:spacing w:after="0"/>
        <w:ind w:firstLine="480" w:firstLineChars="200"/>
        <w:rPr>
          <w:rFonts w:hint="default" w:ascii="Times New Roman" w:hAnsi="Times New Roman" w:cs="Times New Roman"/>
          <w:color w:val="auto"/>
          <w:highlight w:val="none"/>
          <w:lang w:eastAsia="zh-CN"/>
        </w:rPr>
      </w:pPr>
      <w:r>
        <w:rPr>
          <w:rFonts w:hint="default" w:ascii="Times New Roman" w:hAnsi="Times New Roman" w:cs="Times New Roman"/>
          <w:highlight w:val="none"/>
          <w:lang w:eastAsia="zh-CN"/>
        </w:rPr>
        <w:t>根据</w:t>
      </w:r>
      <w:r>
        <w:rPr>
          <w:rFonts w:hint="default" w:ascii="Times New Roman" w:hAnsi="Times New Roman" w:cs="Times New Roman"/>
          <w:color w:val="auto"/>
          <w:sz w:val="24"/>
          <w:highlight w:val="none"/>
          <w:lang w:val="en-US" w:eastAsia="zh-CN"/>
        </w:rPr>
        <w:t>检测结果</w:t>
      </w:r>
      <w:r>
        <w:rPr>
          <w:rFonts w:hint="default"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eastAsia="zh-CN"/>
        </w:rPr>
        <w:t>见</w:t>
      </w:r>
      <w:r>
        <w:rPr>
          <w:rFonts w:hint="default" w:ascii="Times New Roman" w:hAnsi="Times New Roman" w:cs="Times New Roman"/>
          <w:sz w:val="24"/>
          <w:szCs w:val="24"/>
          <w:highlight w:val="none"/>
          <w:lang w:val="en-US" w:eastAsia="zh-CN"/>
        </w:rPr>
        <w:t>附件3</w:t>
      </w:r>
      <w:r>
        <w:rPr>
          <w:rFonts w:hint="default" w:ascii="Times New Roman" w:hAnsi="Times New Roman" w:eastAsia="宋体" w:cs="Times New Roman"/>
          <w:sz w:val="24"/>
          <w:szCs w:val="24"/>
          <w:highlight w:val="none"/>
          <w:lang w:eastAsia="zh-CN"/>
        </w:rPr>
        <w:t>监测报告</w:t>
      </w:r>
      <w:r>
        <w:rPr>
          <w:rFonts w:hint="default" w:ascii="Times New Roman" w:hAnsi="Times New Roman" w:eastAsia="宋体" w:cs="Times New Roman"/>
          <w:sz w:val="24"/>
          <w:szCs w:val="24"/>
          <w:highlight w:val="none"/>
          <w:lang w:val="en-US" w:eastAsia="zh-CN"/>
        </w:rPr>
        <w:t>BJ20A0964</w:t>
      </w:r>
      <w:r>
        <w:rPr>
          <w:rFonts w:hint="default" w:ascii="Times New Roman" w:hAnsi="Times New Roman" w:cs="Times New Roman"/>
          <w:sz w:val="24"/>
          <w:szCs w:val="24"/>
          <w:highlight w:val="none"/>
          <w:lang w:val="en-US" w:eastAsia="zh-CN"/>
        </w:rPr>
        <w:t>）</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highlight w:val="none"/>
          <w:lang w:val="en-US" w:eastAsia="zh-CN"/>
        </w:rPr>
        <w:t>SJG-JJ-8</w:t>
      </w:r>
      <w:r>
        <w:rPr>
          <w:rFonts w:hint="default" w:ascii="Times New Roman" w:hAnsi="Times New Roman" w:cs="Times New Roman"/>
          <w:sz w:val="24"/>
          <w:szCs w:val="24"/>
          <w:highlight w:val="none"/>
          <w:lang w:val="en-US" w:eastAsia="zh-CN"/>
        </w:rPr>
        <w:t>周边</w:t>
      </w:r>
      <w:r>
        <w:rPr>
          <w:rFonts w:hint="default" w:ascii="Times New Roman" w:hAnsi="Times New Roman" w:eastAsia="宋体" w:cs="Times New Roman"/>
          <w:sz w:val="24"/>
          <w:szCs w:val="24"/>
          <w:highlight w:val="none"/>
        </w:rPr>
        <w:t>1m范围内布设</w:t>
      </w:r>
      <w:r>
        <w:rPr>
          <w:rFonts w:hint="default" w:ascii="Times New Roman" w:hAnsi="Times New Roman" w:cs="Times New Roman"/>
          <w:sz w:val="24"/>
          <w:szCs w:val="24"/>
          <w:highlight w:val="none"/>
          <w:lang w:eastAsia="zh-CN"/>
        </w:rPr>
        <w:t>的</w:t>
      </w:r>
      <w:r>
        <w:rPr>
          <w:rFonts w:hint="default" w:ascii="Times New Roman" w:hAnsi="Times New Roman" w:cs="Times New Roman"/>
          <w:sz w:val="24"/>
          <w:szCs w:val="24"/>
          <w:highlight w:val="none"/>
          <w:lang w:val="en-US" w:eastAsia="zh-CN"/>
        </w:rPr>
        <w:t>5</w:t>
      </w:r>
      <w:r>
        <w:rPr>
          <w:rFonts w:hint="default" w:ascii="Times New Roman" w:hAnsi="Times New Roman" w:eastAsia="宋体" w:cs="Times New Roman"/>
          <w:sz w:val="24"/>
          <w:szCs w:val="24"/>
          <w:highlight w:val="none"/>
        </w:rPr>
        <w:t>个采样点</w:t>
      </w:r>
      <w:r>
        <w:rPr>
          <w:rFonts w:hint="default" w:ascii="Times New Roman" w:hAnsi="Times New Roman" w:cs="Times New Roman"/>
          <w:sz w:val="24"/>
          <w:szCs w:val="24"/>
          <w:highlight w:val="none"/>
          <w:lang w:val="en-US" w:eastAsia="zh-CN"/>
        </w:rPr>
        <w:t>10个送检样品中污染物</w:t>
      </w:r>
      <w:r>
        <w:rPr>
          <w:rFonts w:hint="default" w:ascii="Times New Roman" w:hAnsi="Times New Roman" w:cs="Times New Roman"/>
          <w:sz w:val="24"/>
          <w:szCs w:val="24"/>
          <w:highlight w:val="none"/>
          <w:lang w:eastAsia="zh-CN"/>
        </w:rPr>
        <w:t>指标</w:t>
      </w:r>
      <w:r>
        <w:rPr>
          <w:rFonts w:hint="default" w:ascii="Times New Roman" w:hAnsi="Times New Roman" w:cs="Times New Roman"/>
          <w:highlight w:val="none"/>
          <w:lang w:val="en-US" w:eastAsia="zh-CN"/>
        </w:rPr>
        <w:t>苯并(a)芘均为未检出。因此，可以判断</w:t>
      </w:r>
      <w:r>
        <w:rPr>
          <w:rFonts w:hint="default" w:ascii="Times New Roman" w:hAnsi="Times New Roman" w:eastAsia="宋体" w:cs="Times New Roman"/>
          <w:sz w:val="24"/>
          <w:szCs w:val="24"/>
          <w:highlight w:val="none"/>
          <w:lang w:val="en-US" w:eastAsia="zh-CN"/>
        </w:rPr>
        <w:t>SJG-JJ-8</w:t>
      </w:r>
      <w:r>
        <w:rPr>
          <w:rFonts w:hint="default" w:ascii="Times New Roman" w:hAnsi="Times New Roman" w:cs="Times New Roman"/>
          <w:sz w:val="24"/>
          <w:szCs w:val="24"/>
          <w:highlight w:val="none"/>
          <w:lang w:val="en-US" w:eastAsia="zh-CN"/>
        </w:rPr>
        <w:t>点位</w:t>
      </w:r>
      <w:r>
        <w:rPr>
          <w:rFonts w:hint="default" w:ascii="Times New Roman" w:hAnsi="Times New Roman" w:cs="Times New Roman"/>
          <w:highlight w:val="none"/>
          <w:lang w:val="en-US" w:eastAsia="zh-CN"/>
        </w:rPr>
        <w:t>苯并(a)芘超标属于异常情况，不具代表性。</w:t>
      </w:r>
    </w:p>
    <w:p>
      <w:pPr>
        <w:pStyle w:val="5"/>
        <w:tabs>
          <w:tab w:val="left" w:pos="425"/>
        </w:tabs>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地下水样品检测结果分析</w:t>
      </w:r>
    </w:p>
    <w:p>
      <w:pPr>
        <w:spacing w:line="360" w:lineRule="auto"/>
        <w:ind w:left="1"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本次调查</w:t>
      </w:r>
      <w:r>
        <w:rPr>
          <w:rFonts w:hint="default" w:ascii="Times New Roman" w:hAnsi="Times New Roman" w:cs="Times New Roman"/>
          <w:color w:val="auto"/>
          <w:sz w:val="24"/>
          <w:highlight w:val="none"/>
          <w:lang w:eastAsia="zh-CN"/>
        </w:rPr>
        <w:t>园区</w:t>
      </w:r>
      <w:r>
        <w:rPr>
          <w:rFonts w:hint="default" w:ascii="Times New Roman" w:hAnsi="Times New Roman" w:cs="Times New Roman"/>
          <w:color w:val="auto"/>
          <w:sz w:val="24"/>
          <w:highlight w:val="none"/>
        </w:rPr>
        <w:t>内共采集</w:t>
      </w:r>
      <w:r>
        <w:rPr>
          <w:rFonts w:hint="default" w:ascii="Times New Roman" w:hAnsi="Times New Roman" w:cs="Times New Roman"/>
          <w:color w:val="auto"/>
          <w:sz w:val="24"/>
          <w:highlight w:val="none"/>
          <w:lang w:eastAsia="zh-CN"/>
        </w:rPr>
        <w:t>地下水样品</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个（</w:t>
      </w:r>
      <w:r>
        <w:rPr>
          <w:rFonts w:hint="default" w:ascii="Times New Roman" w:hAnsi="Times New Roman" w:cs="Times New Roman"/>
          <w:color w:val="auto"/>
          <w:sz w:val="24"/>
          <w:highlight w:val="none"/>
          <w:lang w:eastAsia="zh-CN"/>
        </w:rPr>
        <w:t>不</w:t>
      </w:r>
      <w:r>
        <w:rPr>
          <w:rFonts w:hint="default" w:ascii="Times New Roman" w:hAnsi="Times New Roman" w:cs="Times New Roman"/>
          <w:color w:val="auto"/>
          <w:sz w:val="24"/>
          <w:highlight w:val="none"/>
        </w:rPr>
        <w:t>含现场平行样），所有样品全部送检</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测试项目中</w:t>
      </w:r>
      <w:r>
        <w:rPr>
          <w:rFonts w:hint="default" w:ascii="Times New Roman" w:hAnsi="Times New Roman" w:cs="Times New Roman"/>
          <w:color w:val="auto"/>
          <w:sz w:val="24"/>
          <w:highlight w:val="none"/>
          <w:lang w:eastAsia="zh-CN"/>
        </w:rPr>
        <w:t>未检出项目包括：阴离子表面活性剂、铁、铜、铝、锌、铅、铬、汞、硒、镉、铬（六价）、氰化物、挥发酚、硫化物、氯仿、四氯化碳、苯、甲苯。</w:t>
      </w:r>
      <w:r>
        <w:rPr>
          <w:rFonts w:hint="default" w:ascii="Times New Roman" w:hAnsi="Times New Roman" w:cs="Times New Roman"/>
          <w:color w:val="auto"/>
          <w:sz w:val="24"/>
          <w:highlight w:val="none"/>
          <w:lang w:val="en-US" w:eastAsia="zh-CN"/>
        </w:rPr>
        <w:t>其余检出指标均满足</w:t>
      </w:r>
      <w:r>
        <w:rPr>
          <w:rFonts w:hint="default" w:ascii="Times New Roman" w:hAnsi="Times New Roman" w:cs="Times New Roman"/>
          <w:color w:val="auto"/>
          <w:sz w:val="24"/>
          <w:highlight w:val="none"/>
        </w:rPr>
        <w:t>《地下水质量标准》（</w:t>
      </w:r>
      <w:r>
        <w:rPr>
          <w:rFonts w:hint="default" w:ascii="Times New Roman" w:hAnsi="Times New Roman" w:cs="Times New Roman"/>
          <w:color w:val="auto"/>
          <w:sz w:val="24"/>
          <w:highlight w:val="none"/>
          <w:lang w:eastAsia="zh-CN"/>
        </w:rPr>
        <w:t>GB/T 14848-2017</w:t>
      </w:r>
      <w:r>
        <w:rPr>
          <w:rFonts w:hint="default" w:ascii="Times New Roman" w:hAnsi="Times New Roman" w:cs="Times New Roman"/>
          <w:color w:val="auto"/>
          <w:sz w:val="24"/>
          <w:highlight w:val="none"/>
        </w:rPr>
        <w:t>）中</w:t>
      </w:r>
      <w:r>
        <w:rPr>
          <w:rFonts w:hint="default" w:ascii="Times New Roman" w:hAnsi="Times New Roman" w:cs="Times New Roman"/>
          <w:color w:val="auto"/>
          <w:sz w:val="24"/>
          <w:highlight w:val="none"/>
          <w:lang w:eastAsia="zh-CN"/>
        </w:rPr>
        <w:t>Ⅳ</w:t>
      </w:r>
      <w:r>
        <w:rPr>
          <w:rFonts w:hint="default" w:ascii="Times New Roman" w:hAnsi="Times New Roman" w:cs="Times New Roman"/>
          <w:color w:val="auto"/>
          <w:sz w:val="24"/>
          <w:highlight w:val="none"/>
        </w:rPr>
        <w:t>类标准限值</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具体</w:t>
      </w:r>
      <w:r>
        <w:rPr>
          <w:rFonts w:hint="default" w:ascii="Times New Roman" w:hAnsi="Times New Roman" w:cs="Times New Roman"/>
          <w:color w:val="auto"/>
          <w:sz w:val="24"/>
          <w:highlight w:val="none"/>
          <w:lang w:eastAsia="zh-CN"/>
        </w:rPr>
        <w:t>检测</w:t>
      </w:r>
      <w:r>
        <w:rPr>
          <w:rFonts w:hint="default" w:ascii="Times New Roman" w:hAnsi="Times New Roman" w:cs="Times New Roman"/>
          <w:color w:val="auto"/>
          <w:sz w:val="24"/>
          <w:highlight w:val="none"/>
        </w:rPr>
        <w:t>结果见表</w:t>
      </w:r>
      <w:r>
        <w:rPr>
          <w:rFonts w:hint="default" w:ascii="Times New Roman" w:hAnsi="Times New Roman" w:cs="Times New Roman"/>
          <w:color w:val="auto"/>
          <w:sz w:val="24"/>
          <w:highlight w:val="none"/>
          <w:lang w:val="en-US" w:eastAsia="zh-CN"/>
        </w:rPr>
        <w:t>5-3-</w:t>
      </w:r>
      <w:r>
        <w:rPr>
          <w:rFonts w:hint="eastAsia" w:cs="Times New Roman"/>
          <w:color w:val="auto"/>
          <w:sz w:val="24"/>
          <w:highlight w:val="none"/>
          <w:lang w:val="en-US" w:eastAsia="zh-CN"/>
        </w:rPr>
        <w:t>9</w:t>
      </w:r>
      <w:r>
        <w:rPr>
          <w:rFonts w:hint="default" w:ascii="Times New Roman" w:hAnsi="Times New Roman" w:cs="Times New Roman"/>
          <w:color w:val="auto"/>
          <w:sz w:val="24"/>
          <w:highlight w:val="none"/>
        </w:rPr>
        <w:t>。</w:t>
      </w:r>
    </w:p>
    <w:p>
      <w:pPr>
        <w:jc w:val="center"/>
        <w:rPr>
          <w:rFonts w:hint="default" w:ascii="Times New Roman" w:hAnsi="Times New Roman" w:cs="Times New Roman"/>
          <w:color w:val="auto"/>
          <w:highlight w:val="none"/>
          <w:lang w:eastAsia="zh-CN"/>
        </w:rPr>
      </w:pPr>
      <w:r>
        <w:rPr>
          <w:rFonts w:hint="default" w:ascii="Times New Roman" w:hAnsi="Times New Roman" w:eastAsia="黑体" w:cs="Times New Roman"/>
          <w:b/>
          <w:bCs/>
          <w:color w:val="auto"/>
          <w:sz w:val="24"/>
          <w:highlight w:val="none"/>
        </w:rPr>
        <w:t>表5-3-</w:t>
      </w:r>
      <w:r>
        <w:rPr>
          <w:rFonts w:hint="eastAsia" w:eastAsia="黑体" w:cs="Times New Roman"/>
          <w:b/>
          <w:bCs/>
          <w:color w:val="auto"/>
          <w:sz w:val="24"/>
          <w:highlight w:val="none"/>
          <w:lang w:val="en-US" w:eastAsia="zh-CN"/>
        </w:rPr>
        <w:t>9</w:t>
      </w:r>
      <w:r>
        <w:rPr>
          <w:rFonts w:hint="default" w:ascii="Times New Roman" w:hAnsi="Times New Roman" w:eastAsia="黑体" w:cs="Times New Roman"/>
          <w:b/>
          <w:bCs/>
          <w:color w:val="auto"/>
          <w:sz w:val="24"/>
          <w:highlight w:val="none"/>
        </w:rPr>
        <w:t xml:space="preserve"> </w:t>
      </w:r>
      <w:r>
        <w:rPr>
          <w:rFonts w:hint="default" w:ascii="Times New Roman" w:hAnsi="Times New Roman" w:eastAsia="黑体" w:cs="Times New Roman"/>
          <w:b/>
          <w:bCs/>
          <w:color w:val="auto"/>
          <w:sz w:val="24"/>
          <w:highlight w:val="none"/>
          <w:lang w:eastAsia="zh-CN"/>
        </w:rPr>
        <w:t>地下水样品已检出指标监测结果</w:t>
      </w:r>
    </w:p>
    <w:tbl>
      <w:tblPr>
        <w:tblStyle w:val="21"/>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669"/>
        <w:gridCol w:w="2542"/>
        <w:gridCol w:w="1548"/>
        <w:gridCol w:w="1216"/>
        <w:gridCol w:w="1299"/>
        <w:gridCol w:w="1084"/>
        <w:gridCol w:w="12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tblHeader/>
          <w:jc w:val="center"/>
        </w:trPr>
        <w:tc>
          <w:tcPr>
            <w:tcW w:w="346"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序号</w:t>
            </w:r>
          </w:p>
        </w:tc>
        <w:tc>
          <w:tcPr>
            <w:tcW w:w="1315"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指标</w:t>
            </w:r>
          </w:p>
        </w:tc>
        <w:tc>
          <w:tcPr>
            <w:tcW w:w="801"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kern w:val="0"/>
                <w:sz w:val="21"/>
                <w:szCs w:val="21"/>
                <w:highlight w:val="none"/>
                <w:u w:val="none"/>
                <w:lang w:val="en-US" w:eastAsia="zh-CN" w:bidi="ar"/>
              </w:rPr>
            </w:pPr>
            <w:r>
              <w:rPr>
                <w:rFonts w:hint="default" w:ascii="Times New Roman" w:hAnsi="Times New Roman" w:eastAsia="宋体" w:cs="Times New Roman"/>
                <w:b/>
                <w:i w:val="0"/>
                <w:color w:val="auto"/>
                <w:kern w:val="0"/>
                <w:sz w:val="21"/>
                <w:szCs w:val="21"/>
                <w:highlight w:val="none"/>
                <w:u w:val="none"/>
                <w:lang w:val="en-US" w:eastAsia="zh-CN" w:bidi="ar"/>
              </w:rPr>
              <w:t>标准值</w:t>
            </w:r>
          </w:p>
        </w:tc>
        <w:tc>
          <w:tcPr>
            <w:tcW w:w="629"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kern w:val="2"/>
                <w:sz w:val="21"/>
                <w:szCs w:val="21"/>
                <w:highlight w:val="none"/>
                <w:u w:val="none"/>
                <w:lang w:val="en-US" w:eastAsia="zh-CN" w:bidi="ar-SA"/>
              </w:rPr>
            </w:pPr>
            <w:r>
              <w:rPr>
                <w:rFonts w:hint="default" w:ascii="Times New Roman" w:hAnsi="Times New Roman" w:cs="Times New Roman"/>
                <w:b/>
                <w:i w:val="0"/>
                <w:color w:val="auto"/>
                <w:kern w:val="0"/>
                <w:sz w:val="21"/>
                <w:szCs w:val="21"/>
                <w:highlight w:val="none"/>
                <w:u w:val="none"/>
                <w:lang w:val="en-US" w:eastAsia="zh-CN" w:bidi="ar"/>
              </w:rPr>
              <w:t>SJG</w:t>
            </w:r>
            <w:r>
              <w:rPr>
                <w:rFonts w:hint="default" w:ascii="Times New Roman" w:hAnsi="Times New Roman" w:eastAsia="宋体" w:cs="Times New Roman"/>
                <w:b/>
                <w:i w:val="0"/>
                <w:color w:val="auto"/>
                <w:kern w:val="0"/>
                <w:sz w:val="21"/>
                <w:szCs w:val="21"/>
                <w:highlight w:val="none"/>
                <w:u w:val="none"/>
                <w:lang w:val="en-US" w:eastAsia="zh-CN" w:bidi="ar"/>
              </w:rPr>
              <w:t>-W1</w:t>
            </w:r>
          </w:p>
        </w:tc>
        <w:tc>
          <w:tcPr>
            <w:tcW w:w="672"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kern w:val="0"/>
                <w:sz w:val="21"/>
                <w:szCs w:val="21"/>
                <w:highlight w:val="none"/>
                <w:u w:val="none"/>
                <w:lang w:val="en-US" w:eastAsia="zh-CN" w:bidi="ar"/>
              </w:rPr>
            </w:pPr>
            <w:r>
              <w:rPr>
                <w:rFonts w:hint="default" w:ascii="Times New Roman" w:hAnsi="Times New Roman" w:eastAsia="宋体" w:cs="Times New Roman"/>
                <w:b/>
                <w:i w:val="0"/>
                <w:color w:val="auto"/>
                <w:kern w:val="0"/>
                <w:sz w:val="21"/>
                <w:szCs w:val="21"/>
                <w:highlight w:val="none"/>
                <w:u w:val="none"/>
                <w:lang w:val="en-US" w:eastAsia="zh-CN" w:bidi="ar"/>
              </w:rPr>
              <w:t>达标情况</w:t>
            </w:r>
          </w:p>
        </w:tc>
        <w:tc>
          <w:tcPr>
            <w:tcW w:w="561"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cs="Times New Roman"/>
                <w:b/>
                <w:i w:val="0"/>
                <w:color w:val="auto"/>
                <w:kern w:val="0"/>
                <w:sz w:val="21"/>
                <w:szCs w:val="21"/>
                <w:highlight w:val="none"/>
                <w:u w:val="none"/>
                <w:lang w:val="en-US" w:eastAsia="zh-CN" w:bidi="ar"/>
              </w:rPr>
              <w:t>SJG</w:t>
            </w:r>
            <w:r>
              <w:rPr>
                <w:rFonts w:hint="default" w:ascii="Times New Roman" w:hAnsi="Times New Roman" w:eastAsia="宋体" w:cs="Times New Roman"/>
                <w:b/>
                <w:i w:val="0"/>
                <w:color w:val="auto"/>
                <w:kern w:val="0"/>
                <w:sz w:val="21"/>
                <w:szCs w:val="21"/>
                <w:highlight w:val="none"/>
                <w:u w:val="none"/>
                <w:lang w:val="en-US" w:eastAsia="zh-CN" w:bidi="ar"/>
              </w:rPr>
              <w:t>-W2</w:t>
            </w:r>
          </w:p>
        </w:tc>
        <w:tc>
          <w:tcPr>
            <w:tcW w:w="672" w:type="pct"/>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kern w:val="0"/>
                <w:sz w:val="21"/>
                <w:szCs w:val="21"/>
                <w:highlight w:val="none"/>
                <w:u w:val="none"/>
                <w:lang w:val="en-US" w:eastAsia="zh-CN" w:bidi="ar"/>
              </w:rPr>
            </w:pPr>
            <w:r>
              <w:rPr>
                <w:rFonts w:hint="default" w:ascii="Times New Roman" w:hAnsi="Times New Roman" w:eastAsia="宋体" w:cs="Times New Roman"/>
                <w:b/>
                <w:i w:val="0"/>
                <w:color w:val="auto"/>
                <w:kern w:val="0"/>
                <w:sz w:val="21"/>
                <w:szCs w:val="21"/>
                <w:highlight w:val="none"/>
                <w:u w:val="none"/>
                <w:lang w:val="en-US" w:eastAsia="zh-CN" w:bidi="ar"/>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5" w:hRule="atLeast"/>
          <w:jc w:val="center"/>
        </w:trPr>
        <w:tc>
          <w:tcPr>
            <w:tcW w:w="346"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1315"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pH 值</w:t>
            </w:r>
          </w:p>
        </w:tc>
        <w:tc>
          <w:tcPr>
            <w:tcW w:w="801"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5.</w:t>
            </w:r>
            <w:r>
              <w:rPr>
                <w:rFonts w:hint="default" w:ascii="Times New Roman" w:hAnsi="Times New Roman" w:cs="Times New Roman"/>
                <w:i w:val="0"/>
                <w:color w:val="auto"/>
                <w:kern w:val="0"/>
                <w:sz w:val="21"/>
                <w:szCs w:val="21"/>
                <w:highlight w:val="none"/>
                <w:u w:val="none"/>
                <w:lang w:val="en-US" w:eastAsia="zh-CN" w:bidi="ar"/>
              </w:rPr>
              <w:t>5</w:t>
            </w: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pH＜6.5</w:t>
            </w:r>
          </w:p>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或8.5＜pH</w:t>
            </w:r>
            <w:r>
              <w:rPr>
                <w:rFonts w:hint="default" w:ascii="Times New Roman" w:hAnsi="Times New Roman" w:eastAsia="宋体" w:cs="Times New Roman"/>
                <w:i w:val="0"/>
                <w:color w:val="auto"/>
                <w:kern w:val="0"/>
                <w:sz w:val="21"/>
                <w:szCs w:val="21"/>
                <w:highlight w:val="none"/>
                <w:u w:val="none"/>
                <w:lang w:val="en-US" w:eastAsia="zh-CN" w:bidi="ar"/>
              </w:rPr>
              <w:t>≤9.0</w:t>
            </w:r>
          </w:p>
        </w:tc>
        <w:tc>
          <w:tcPr>
            <w:tcW w:w="629"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7.23</w:t>
            </w:r>
          </w:p>
        </w:tc>
        <w:tc>
          <w:tcPr>
            <w:tcW w:w="672"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c>
          <w:tcPr>
            <w:tcW w:w="561"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7.61</w:t>
            </w:r>
          </w:p>
        </w:tc>
        <w:tc>
          <w:tcPr>
            <w:tcW w:w="672" w:type="pct"/>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34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w:t>
            </w:r>
          </w:p>
        </w:tc>
        <w:tc>
          <w:tcPr>
            <w:tcW w:w="131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总硬度</w:t>
            </w:r>
          </w:p>
        </w:tc>
        <w:tc>
          <w:tcPr>
            <w:tcW w:w="80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650</w:t>
            </w:r>
          </w:p>
        </w:tc>
        <w:tc>
          <w:tcPr>
            <w:tcW w:w="6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290</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c>
          <w:tcPr>
            <w:tcW w:w="5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315</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34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w:t>
            </w:r>
          </w:p>
        </w:tc>
        <w:tc>
          <w:tcPr>
            <w:tcW w:w="131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溶解性总固体</w:t>
            </w:r>
          </w:p>
        </w:tc>
        <w:tc>
          <w:tcPr>
            <w:tcW w:w="80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2</w:t>
            </w:r>
            <w:r>
              <w:rPr>
                <w:rFonts w:hint="default" w:ascii="Times New Roman" w:hAnsi="Times New Roman" w:eastAsia="宋体" w:cs="Times New Roman"/>
                <w:i w:val="0"/>
                <w:color w:val="auto"/>
                <w:kern w:val="0"/>
                <w:sz w:val="21"/>
                <w:szCs w:val="21"/>
                <w:highlight w:val="none"/>
                <w:u w:val="none"/>
                <w:lang w:val="en-US" w:eastAsia="zh-CN" w:bidi="ar"/>
              </w:rPr>
              <w:t>000</w:t>
            </w:r>
          </w:p>
        </w:tc>
        <w:tc>
          <w:tcPr>
            <w:tcW w:w="6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391</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c>
          <w:tcPr>
            <w:tcW w:w="5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335</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jc w:val="center"/>
        </w:trPr>
        <w:tc>
          <w:tcPr>
            <w:tcW w:w="34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w:t>
            </w:r>
          </w:p>
        </w:tc>
        <w:tc>
          <w:tcPr>
            <w:tcW w:w="131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耗氧量</w:t>
            </w:r>
            <w:r>
              <w:rPr>
                <w:rFonts w:hint="default" w:ascii="Times New Roman" w:hAnsi="Times New Roman" w:cs="Times New Roman"/>
                <w:i w:val="0"/>
                <w:color w:val="auto"/>
                <w:kern w:val="0"/>
                <w:sz w:val="21"/>
                <w:szCs w:val="21"/>
                <w:highlight w:val="none"/>
                <w:u w:val="none"/>
                <w:lang w:val="en-US" w:eastAsia="zh-CN" w:bidi="ar"/>
              </w:rPr>
              <w:t>（高锰酸盐指数）</w:t>
            </w:r>
          </w:p>
        </w:tc>
        <w:tc>
          <w:tcPr>
            <w:tcW w:w="80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10</w:t>
            </w:r>
          </w:p>
        </w:tc>
        <w:tc>
          <w:tcPr>
            <w:tcW w:w="6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0.611</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c>
          <w:tcPr>
            <w:tcW w:w="5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0.889</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jc w:val="center"/>
        </w:trPr>
        <w:tc>
          <w:tcPr>
            <w:tcW w:w="34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w:t>
            </w:r>
          </w:p>
        </w:tc>
        <w:tc>
          <w:tcPr>
            <w:tcW w:w="131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硫酸盐</w:t>
            </w:r>
          </w:p>
        </w:tc>
        <w:tc>
          <w:tcPr>
            <w:tcW w:w="80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3</w:t>
            </w:r>
            <w:r>
              <w:rPr>
                <w:rFonts w:hint="default" w:ascii="Times New Roman" w:hAnsi="Times New Roman" w:eastAsia="宋体" w:cs="Times New Roman"/>
                <w:i w:val="0"/>
                <w:color w:val="auto"/>
                <w:kern w:val="0"/>
                <w:sz w:val="21"/>
                <w:szCs w:val="21"/>
                <w:highlight w:val="none"/>
                <w:u w:val="none"/>
                <w:lang w:val="en-US" w:eastAsia="zh-CN" w:bidi="ar"/>
              </w:rPr>
              <w:t>50</w:t>
            </w:r>
          </w:p>
        </w:tc>
        <w:tc>
          <w:tcPr>
            <w:tcW w:w="6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1.93</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c>
          <w:tcPr>
            <w:tcW w:w="5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7.37</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jc w:val="center"/>
        </w:trPr>
        <w:tc>
          <w:tcPr>
            <w:tcW w:w="34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w:t>
            </w:r>
          </w:p>
        </w:tc>
        <w:tc>
          <w:tcPr>
            <w:tcW w:w="131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硝酸盐(以氮计)</w:t>
            </w:r>
          </w:p>
        </w:tc>
        <w:tc>
          <w:tcPr>
            <w:tcW w:w="80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3</w:t>
            </w:r>
            <w:r>
              <w:rPr>
                <w:rFonts w:hint="default" w:ascii="Times New Roman" w:hAnsi="Times New Roman" w:eastAsia="宋体" w:cs="Times New Roman"/>
                <w:i w:val="0"/>
                <w:color w:val="auto"/>
                <w:kern w:val="0"/>
                <w:sz w:val="21"/>
                <w:szCs w:val="21"/>
                <w:highlight w:val="none"/>
                <w:u w:val="none"/>
                <w:lang w:val="en-US" w:eastAsia="zh-CN" w:bidi="ar"/>
              </w:rPr>
              <w:t>0</w:t>
            </w:r>
          </w:p>
        </w:tc>
        <w:tc>
          <w:tcPr>
            <w:tcW w:w="6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0.492</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c>
          <w:tcPr>
            <w:tcW w:w="5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0.968</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34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w:t>
            </w:r>
          </w:p>
        </w:tc>
        <w:tc>
          <w:tcPr>
            <w:tcW w:w="131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氯化物</w:t>
            </w:r>
          </w:p>
        </w:tc>
        <w:tc>
          <w:tcPr>
            <w:tcW w:w="80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350</w:t>
            </w:r>
          </w:p>
        </w:tc>
        <w:tc>
          <w:tcPr>
            <w:tcW w:w="6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6.05</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c>
          <w:tcPr>
            <w:tcW w:w="5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4.57</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34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8</w:t>
            </w:r>
          </w:p>
        </w:tc>
        <w:tc>
          <w:tcPr>
            <w:tcW w:w="131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cs="Times New Roman"/>
                <w:i w:val="0"/>
                <w:color w:val="auto"/>
                <w:kern w:val="0"/>
                <w:sz w:val="21"/>
                <w:szCs w:val="21"/>
                <w:highlight w:val="none"/>
                <w:u w:val="none"/>
                <w:lang w:val="en-US" w:eastAsia="zh-CN" w:bidi="ar"/>
              </w:rPr>
              <w:t>总氟化物</w:t>
            </w:r>
          </w:p>
        </w:tc>
        <w:tc>
          <w:tcPr>
            <w:tcW w:w="80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2.0</w:t>
            </w:r>
          </w:p>
        </w:tc>
        <w:tc>
          <w:tcPr>
            <w:tcW w:w="6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0.202</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c>
          <w:tcPr>
            <w:tcW w:w="5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0.168</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jc w:val="center"/>
        </w:trPr>
        <w:tc>
          <w:tcPr>
            <w:tcW w:w="34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cs="Times New Roman"/>
                <w:i w:val="0"/>
                <w:color w:val="auto"/>
                <w:kern w:val="0"/>
                <w:sz w:val="21"/>
                <w:szCs w:val="21"/>
                <w:highlight w:val="none"/>
                <w:u w:val="none"/>
                <w:lang w:val="en-US" w:eastAsia="zh-CN" w:bidi="ar"/>
              </w:rPr>
              <w:t>9</w:t>
            </w:r>
          </w:p>
        </w:tc>
        <w:tc>
          <w:tcPr>
            <w:tcW w:w="131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氨氮</w:t>
            </w:r>
          </w:p>
        </w:tc>
        <w:tc>
          <w:tcPr>
            <w:tcW w:w="80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1.50</w:t>
            </w:r>
          </w:p>
        </w:tc>
        <w:tc>
          <w:tcPr>
            <w:tcW w:w="6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0.13</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达标</w:t>
            </w:r>
          </w:p>
        </w:tc>
        <w:tc>
          <w:tcPr>
            <w:tcW w:w="5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0.38</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jc w:val="center"/>
        </w:trPr>
        <w:tc>
          <w:tcPr>
            <w:tcW w:w="34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cs="Times New Roman"/>
                <w:i w:val="0"/>
                <w:color w:val="auto"/>
                <w:kern w:val="0"/>
                <w:sz w:val="21"/>
                <w:szCs w:val="21"/>
                <w:highlight w:val="none"/>
                <w:u w:val="none"/>
                <w:lang w:val="en-US" w:eastAsia="zh-CN" w:bidi="ar"/>
              </w:rPr>
              <w:t>10</w:t>
            </w:r>
          </w:p>
        </w:tc>
        <w:tc>
          <w:tcPr>
            <w:tcW w:w="131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亚硝酸盐氮</w:t>
            </w:r>
          </w:p>
        </w:tc>
        <w:tc>
          <w:tcPr>
            <w:tcW w:w="80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4.80</w:t>
            </w:r>
          </w:p>
        </w:tc>
        <w:tc>
          <w:tcPr>
            <w:tcW w:w="6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0.002</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达标</w:t>
            </w:r>
          </w:p>
        </w:tc>
        <w:tc>
          <w:tcPr>
            <w:tcW w:w="5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0.016</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jc w:val="center"/>
        </w:trPr>
        <w:tc>
          <w:tcPr>
            <w:tcW w:w="34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cs="Times New Roman"/>
                <w:i w:val="0"/>
                <w:color w:val="auto"/>
                <w:kern w:val="0"/>
                <w:sz w:val="21"/>
                <w:szCs w:val="21"/>
                <w:highlight w:val="none"/>
                <w:u w:val="none"/>
                <w:lang w:val="en-US" w:eastAsia="zh-CN" w:bidi="ar"/>
              </w:rPr>
              <w:t>11</w:t>
            </w:r>
          </w:p>
        </w:tc>
        <w:tc>
          <w:tcPr>
            <w:tcW w:w="131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锰</w:t>
            </w:r>
          </w:p>
        </w:tc>
        <w:tc>
          <w:tcPr>
            <w:tcW w:w="80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1.50</w:t>
            </w:r>
          </w:p>
        </w:tc>
        <w:tc>
          <w:tcPr>
            <w:tcW w:w="6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0.0928</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color w:val="auto"/>
                <w:kern w:val="0"/>
                <w:sz w:val="21"/>
                <w:szCs w:val="21"/>
                <w:highlight w:val="none"/>
                <w:u w:val="none"/>
                <w:lang w:val="en-US" w:eastAsia="zh-CN" w:bidi="ar"/>
              </w:rPr>
            </w:pPr>
            <w:r>
              <w:rPr>
                <w:rFonts w:hint="default" w:ascii="Times New Roman" w:hAnsi="Times New Roman" w:eastAsia="宋体" w:cs="Times New Roman"/>
                <w:b w:val="0"/>
                <w:bCs w:val="0"/>
                <w:i w:val="0"/>
                <w:color w:val="auto"/>
                <w:kern w:val="0"/>
                <w:sz w:val="21"/>
                <w:szCs w:val="21"/>
                <w:highlight w:val="none"/>
                <w:u w:val="none"/>
                <w:lang w:val="en-US" w:eastAsia="zh-CN" w:bidi="ar"/>
              </w:rPr>
              <w:t>达标</w:t>
            </w:r>
          </w:p>
        </w:tc>
        <w:tc>
          <w:tcPr>
            <w:tcW w:w="5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0.0957</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jc w:val="center"/>
        </w:trPr>
        <w:tc>
          <w:tcPr>
            <w:tcW w:w="34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cs="Times New Roman"/>
                <w:i w:val="0"/>
                <w:color w:val="auto"/>
                <w:kern w:val="0"/>
                <w:sz w:val="21"/>
                <w:szCs w:val="21"/>
                <w:highlight w:val="none"/>
                <w:u w:val="none"/>
                <w:lang w:val="en-US" w:eastAsia="zh-CN" w:bidi="ar"/>
              </w:rPr>
              <w:t>12</w:t>
            </w:r>
          </w:p>
        </w:tc>
        <w:tc>
          <w:tcPr>
            <w:tcW w:w="131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钠</w:t>
            </w:r>
          </w:p>
        </w:tc>
        <w:tc>
          <w:tcPr>
            <w:tcW w:w="80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≤200</w:t>
            </w:r>
          </w:p>
        </w:tc>
        <w:tc>
          <w:tcPr>
            <w:tcW w:w="6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cs="Times New Roman"/>
                <w:i w:val="0"/>
                <w:color w:val="auto"/>
                <w:kern w:val="0"/>
                <w:sz w:val="21"/>
                <w:szCs w:val="21"/>
                <w:highlight w:val="none"/>
                <w:u w:val="none"/>
                <w:lang w:val="en-US" w:eastAsia="zh-CN" w:bidi="ar"/>
              </w:rPr>
              <w:t>28</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c>
          <w:tcPr>
            <w:tcW w:w="5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cs="Times New Roman"/>
                <w:i w:val="0"/>
                <w:color w:val="auto"/>
                <w:kern w:val="0"/>
                <w:sz w:val="21"/>
                <w:szCs w:val="21"/>
                <w:highlight w:val="none"/>
                <w:u w:val="none"/>
                <w:lang w:val="en-US" w:eastAsia="zh-CN" w:bidi="ar"/>
              </w:rPr>
              <w:t>20</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jc w:val="center"/>
        </w:trPr>
        <w:tc>
          <w:tcPr>
            <w:tcW w:w="34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13</w:t>
            </w:r>
          </w:p>
        </w:tc>
        <w:tc>
          <w:tcPr>
            <w:tcW w:w="131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锌</w:t>
            </w:r>
          </w:p>
        </w:tc>
        <w:tc>
          <w:tcPr>
            <w:tcW w:w="80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5.00</w:t>
            </w:r>
          </w:p>
        </w:tc>
        <w:tc>
          <w:tcPr>
            <w:tcW w:w="6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0.00</w:t>
            </w:r>
            <w:r>
              <w:rPr>
                <w:rFonts w:hint="default" w:ascii="Times New Roman" w:hAnsi="Times New Roman" w:cs="Times New Roman"/>
                <w:i w:val="0"/>
                <w:color w:val="auto"/>
                <w:kern w:val="0"/>
                <w:sz w:val="21"/>
                <w:szCs w:val="21"/>
                <w:highlight w:val="none"/>
                <w:u w:val="none"/>
                <w:lang w:val="en-US" w:eastAsia="zh-CN" w:bidi="ar"/>
              </w:rPr>
              <w:t>9</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c>
          <w:tcPr>
            <w:tcW w:w="5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0.00</w:t>
            </w:r>
            <w:r>
              <w:rPr>
                <w:rFonts w:hint="default" w:ascii="Times New Roman" w:hAnsi="Times New Roman" w:cs="Times New Roman"/>
                <w:i w:val="0"/>
                <w:color w:val="auto"/>
                <w:kern w:val="0"/>
                <w:sz w:val="21"/>
                <w:szCs w:val="21"/>
                <w:highlight w:val="none"/>
                <w:u w:val="none"/>
                <w:lang w:val="en-US" w:eastAsia="zh-CN" w:bidi="ar"/>
              </w:rPr>
              <w:t>9</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2" w:hRule="atLeast"/>
          <w:jc w:val="center"/>
        </w:trPr>
        <w:tc>
          <w:tcPr>
            <w:tcW w:w="34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14</w:t>
            </w:r>
          </w:p>
        </w:tc>
        <w:tc>
          <w:tcPr>
            <w:tcW w:w="131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砷</w:t>
            </w:r>
          </w:p>
        </w:tc>
        <w:tc>
          <w:tcPr>
            <w:tcW w:w="80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≤0.05</w:t>
            </w:r>
          </w:p>
        </w:tc>
        <w:tc>
          <w:tcPr>
            <w:tcW w:w="6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≤0.0</w:t>
            </w:r>
            <w:r>
              <w:rPr>
                <w:rFonts w:hint="default" w:ascii="Times New Roman" w:hAnsi="Times New Roman" w:cs="Times New Roman"/>
                <w:i w:val="0"/>
                <w:color w:val="auto"/>
                <w:kern w:val="0"/>
                <w:sz w:val="21"/>
                <w:szCs w:val="21"/>
                <w:highlight w:val="none"/>
                <w:u w:val="none"/>
                <w:lang w:val="en-US" w:eastAsia="zh-CN" w:bidi="ar"/>
              </w:rPr>
              <w:t>003</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c>
          <w:tcPr>
            <w:tcW w:w="5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cs="Times New Roman"/>
                <w:i w:val="0"/>
                <w:color w:val="auto"/>
                <w:kern w:val="0"/>
                <w:sz w:val="21"/>
                <w:szCs w:val="21"/>
                <w:highlight w:val="none"/>
                <w:u w:val="none"/>
                <w:lang w:val="en-US" w:eastAsia="zh-CN" w:bidi="ar"/>
              </w:rPr>
              <w:t>0.0008</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34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cs="Times New Roman"/>
                <w:i w:val="0"/>
                <w:color w:val="auto"/>
                <w:sz w:val="21"/>
                <w:szCs w:val="21"/>
                <w:highlight w:val="none"/>
                <w:u w:val="none"/>
                <w:lang w:val="en-US" w:eastAsia="zh-CN"/>
              </w:rPr>
              <w:t>15</w:t>
            </w:r>
          </w:p>
        </w:tc>
        <w:tc>
          <w:tcPr>
            <w:tcW w:w="131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石油类</w:t>
            </w:r>
          </w:p>
        </w:tc>
        <w:tc>
          <w:tcPr>
            <w:tcW w:w="80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w:t>
            </w:r>
            <w:r>
              <w:rPr>
                <w:rFonts w:hint="default" w:ascii="Times New Roman" w:hAnsi="Times New Roman" w:cs="Times New Roman"/>
                <w:i w:val="0"/>
                <w:color w:val="auto"/>
                <w:kern w:val="0"/>
                <w:sz w:val="21"/>
                <w:szCs w:val="21"/>
                <w:highlight w:val="none"/>
                <w:u w:val="none"/>
                <w:lang w:val="en-US" w:eastAsia="zh-CN" w:bidi="ar"/>
              </w:rPr>
              <w:t>0.5</w:t>
            </w:r>
          </w:p>
        </w:tc>
        <w:tc>
          <w:tcPr>
            <w:tcW w:w="6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0.0</w:t>
            </w:r>
            <w:r>
              <w:rPr>
                <w:rFonts w:hint="default" w:ascii="Times New Roman" w:hAnsi="Times New Roman" w:cs="Times New Roman"/>
                <w:i w:val="0"/>
                <w:color w:val="auto"/>
                <w:kern w:val="0"/>
                <w:sz w:val="21"/>
                <w:szCs w:val="21"/>
                <w:highlight w:val="none"/>
                <w:u w:val="none"/>
                <w:lang w:val="en-US" w:eastAsia="zh-CN" w:bidi="ar"/>
              </w:rPr>
              <w:t>4</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c>
          <w:tcPr>
            <w:tcW w:w="5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0.0</w:t>
            </w:r>
            <w:r>
              <w:rPr>
                <w:rFonts w:hint="default" w:ascii="Times New Roman" w:hAnsi="Times New Roman" w:cs="Times New Roman"/>
                <w:i w:val="0"/>
                <w:color w:val="auto"/>
                <w:kern w:val="0"/>
                <w:sz w:val="21"/>
                <w:szCs w:val="21"/>
                <w:highlight w:val="none"/>
                <w:u w:val="none"/>
                <w:lang w:val="en-US" w:eastAsia="zh-CN" w:bidi="ar"/>
              </w:rPr>
              <w:t>4</w:t>
            </w:r>
          </w:p>
        </w:tc>
        <w:tc>
          <w:tcPr>
            <w:tcW w:w="67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达标</w:t>
            </w:r>
          </w:p>
        </w:tc>
      </w:tr>
    </w:tbl>
    <w:p>
      <w:pPr>
        <w:bidi w:val="0"/>
        <w:spacing w:line="240" w:lineRule="auto"/>
        <w:rPr>
          <w:rFonts w:hint="default" w:ascii="Times New Roman" w:hAnsi="Times New Roman" w:cs="Times New Roman" w:eastAsiaTheme="minorEastAsia"/>
          <w:b/>
          <w:bCs/>
          <w:color w:val="auto"/>
          <w:sz w:val="18"/>
          <w:szCs w:val="18"/>
          <w:highlight w:val="none"/>
          <w:shd w:val="clear" w:color="auto" w:fill="auto"/>
          <w:lang w:val="en-US" w:eastAsia="zh-CN"/>
        </w:rPr>
      </w:pPr>
      <w:bookmarkStart w:id="71" w:name="_Toc3261"/>
      <w:bookmarkStart w:id="72" w:name="_Toc55399883"/>
      <w:r>
        <w:rPr>
          <w:rFonts w:hint="default" w:ascii="Times New Roman" w:hAnsi="Times New Roman" w:cs="Times New Roman" w:eastAsiaTheme="minorEastAsia"/>
          <w:b/>
          <w:bCs/>
          <w:color w:val="auto"/>
          <w:sz w:val="18"/>
          <w:szCs w:val="18"/>
          <w:highlight w:val="none"/>
          <w:shd w:val="clear" w:color="auto" w:fill="auto"/>
          <w:lang w:val="en-US" w:eastAsia="zh-CN"/>
        </w:rPr>
        <w:t>①</w:t>
      </w:r>
      <w:r>
        <w:rPr>
          <w:rFonts w:hint="default" w:ascii="Times New Roman" w:hAnsi="Times New Roman" w:cs="Times New Roman"/>
          <w:b/>
          <w:bCs/>
          <w:sz w:val="18"/>
          <w:szCs w:val="18"/>
          <w:highlight w:val="none"/>
          <w:lang w:val="en-US" w:eastAsia="zh-CN"/>
        </w:rPr>
        <w:t>GB14848地下水Ⅲ类标准值为6.5</w:t>
      </w:r>
      <w:r>
        <w:rPr>
          <w:rFonts w:hint="default" w:ascii="Times New Roman" w:hAnsi="Times New Roman" w:eastAsia="宋体" w:cs="Times New Roman"/>
          <w:b/>
          <w:bCs/>
          <w:i w:val="0"/>
          <w:color w:val="auto"/>
          <w:kern w:val="0"/>
          <w:sz w:val="18"/>
          <w:szCs w:val="18"/>
          <w:highlight w:val="none"/>
          <w:u w:val="none"/>
          <w:lang w:val="en-US" w:eastAsia="zh-CN" w:bidi="ar"/>
        </w:rPr>
        <w:t>≤</w:t>
      </w:r>
      <w:r>
        <w:rPr>
          <w:rFonts w:hint="default" w:ascii="Times New Roman" w:hAnsi="Times New Roman" w:cs="Times New Roman"/>
          <w:b/>
          <w:bCs/>
          <w:sz w:val="18"/>
          <w:szCs w:val="18"/>
          <w:highlight w:val="none"/>
          <w:lang w:val="en-US" w:eastAsia="zh-CN"/>
        </w:rPr>
        <w:t>pH</w:t>
      </w:r>
      <w:r>
        <w:rPr>
          <w:rFonts w:hint="default" w:ascii="Times New Roman" w:hAnsi="Times New Roman" w:eastAsia="宋体" w:cs="Times New Roman"/>
          <w:b/>
          <w:bCs/>
          <w:i w:val="0"/>
          <w:color w:val="auto"/>
          <w:kern w:val="0"/>
          <w:sz w:val="18"/>
          <w:szCs w:val="18"/>
          <w:highlight w:val="none"/>
          <w:u w:val="none"/>
          <w:lang w:val="en-US" w:eastAsia="zh-CN" w:bidi="ar"/>
        </w:rPr>
        <w:t>≤</w:t>
      </w:r>
      <w:r>
        <w:rPr>
          <w:rFonts w:hint="default" w:ascii="Times New Roman" w:hAnsi="Times New Roman" w:cs="Times New Roman"/>
          <w:b/>
          <w:bCs/>
          <w:i w:val="0"/>
          <w:color w:val="auto"/>
          <w:kern w:val="0"/>
          <w:sz w:val="18"/>
          <w:szCs w:val="18"/>
          <w:highlight w:val="none"/>
          <w:u w:val="none"/>
          <w:lang w:val="en-US" w:eastAsia="zh-CN" w:bidi="ar"/>
        </w:rPr>
        <w:t>8.5，SJG-W1、SJG-W2监测值均满足</w:t>
      </w:r>
      <w:r>
        <w:rPr>
          <w:rFonts w:hint="default" w:ascii="Times New Roman" w:hAnsi="Times New Roman" w:cs="Times New Roman"/>
          <w:b/>
          <w:bCs/>
          <w:sz w:val="18"/>
          <w:szCs w:val="18"/>
          <w:highlight w:val="none"/>
          <w:lang w:val="en-US" w:eastAsia="zh-CN"/>
        </w:rPr>
        <w:t>GB14848地下水Ⅲ类标准值，故也满足GB14848地下水Ⅳ类标准值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auto"/>
          <w:sz w:val="24"/>
          <w:szCs w:val="24"/>
          <w:highlight w:val="none"/>
          <w:shd w:val="clear" w:color="auto" w:fill="auto"/>
        </w:rPr>
      </w:pPr>
      <w:r>
        <w:rPr>
          <w:rFonts w:hint="default" w:ascii="Times New Roman" w:hAnsi="Times New Roman" w:cs="Times New Roman" w:eastAsiaTheme="minorEastAsia"/>
          <w:color w:val="auto"/>
          <w:sz w:val="24"/>
          <w:szCs w:val="24"/>
          <w:highlight w:val="none"/>
          <w:shd w:val="clear" w:color="auto" w:fill="auto"/>
          <w:lang w:val="en-US" w:eastAsia="zh-CN"/>
        </w:rPr>
        <w:t>由表可知，地下水样品SJG-W1、SJG-W2各指标均满足</w:t>
      </w:r>
      <w:r>
        <w:rPr>
          <w:rFonts w:hint="default" w:ascii="Times New Roman" w:hAnsi="Times New Roman" w:cs="Times New Roman"/>
          <w:color w:val="auto"/>
          <w:sz w:val="24"/>
          <w:highlight w:val="none"/>
        </w:rPr>
        <w:t>《地下水质量标准》（</w:t>
      </w:r>
      <w:r>
        <w:rPr>
          <w:rFonts w:hint="default" w:ascii="Times New Roman" w:hAnsi="Times New Roman" w:cs="Times New Roman"/>
          <w:color w:val="auto"/>
          <w:sz w:val="24"/>
          <w:highlight w:val="none"/>
          <w:lang w:eastAsia="zh-CN"/>
        </w:rPr>
        <w:t>GB/T 14848-2017</w:t>
      </w:r>
      <w:r>
        <w:rPr>
          <w:rFonts w:hint="default" w:ascii="Times New Roman" w:hAnsi="Times New Roman" w:cs="Times New Roman"/>
          <w:color w:val="auto"/>
          <w:sz w:val="24"/>
          <w:highlight w:val="none"/>
        </w:rPr>
        <w:t>）中</w:t>
      </w:r>
      <w:r>
        <w:rPr>
          <w:rFonts w:hint="default" w:ascii="Times New Roman" w:hAnsi="Times New Roman" w:cs="Times New Roman"/>
          <w:color w:val="auto"/>
          <w:sz w:val="24"/>
          <w:highlight w:val="none"/>
          <w:lang w:eastAsia="zh-CN"/>
        </w:rPr>
        <w:t>Ⅳ</w:t>
      </w:r>
      <w:r>
        <w:rPr>
          <w:rFonts w:hint="default" w:ascii="Times New Roman" w:hAnsi="Times New Roman" w:cs="Times New Roman"/>
          <w:color w:val="auto"/>
          <w:sz w:val="24"/>
          <w:highlight w:val="none"/>
        </w:rPr>
        <w:t>类标准限值</w:t>
      </w:r>
      <w:r>
        <w:rPr>
          <w:rFonts w:hint="default" w:ascii="Times New Roman" w:hAnsi="Times New Roman" w:cs="Times New Roman"/>
          <w:color w:val="auto"/>
          <w:sz w:val="24"/>
          <w:highlight w:val="none"/>
          <w:lang w:val="en-US" w:eastAsia="zh-CN"/>
        </w:rPr>
        <w:t>要求，石油类满足《地表水环境质量标准》（GB3838-2002）（以下简称GB3838）Ⅳ类标准限值要求</w:t>
      </w:r>
      <w:r>
        <w:rPr>
          <w:rFonts w:hint="default" w:ascii="Times New Roman" w:hAnsi="Times New Roman" w:cs="Times New Roman" w:eastAsiaTheme="minorEastAsia"/>
          <w:color w:val="auto"/>
          <w:sz w:val="24"/>
          <w:szCs w:val="24"/>
          <w:highlight w:val="none"/>
          <w:shd w:val="clear" w:color="auto" w:fill="auto"/>
        </w:rPr>
        <w:t>。</w:t>
      </w:r>
    </w:p>
    <w:p>
      <w:pPr>
        <w:pStyle w:val="4"/>
        <w:tabs>
          <w:tab w:val="clear" w:pos="425"/>
        </w:tabs>
        <w:bidi w:val="0"/>
        <w:rPr>
          <w:rFonts w:hint="default" w:ascii="Times New Roman" w:hAnsi="Times New Roman" w:cs="Times New Roman"/>
          <w:color w:val="auto"/>
          <w:highlight w:val="none"/>
          <w:lang w:val="en-US" w:eastAsia="zh-CN"/>
        </w:rPr>
      </w:pPr>
      <w:bookmarkStart w:id="73" w:name="_Toc28149"/>
      <w:r>
        <w:rPr>
          <w:rFonts w:hint="default" w:ascii="Times New Roman" w:hAnsi="Times New Roman" w:cs="Times New Roman"/>
          <w:color w:val="auto"/>
          <w:highlight w:val="none"/>
          <w:lang w:val="en-US" w:eastAsia="zh-CN"/>
        </w:rPr>
        <w:t>土壤环境质量评价</w:t>
      </w:r>
      <w:bookmarkEnd w:id="71"/>
      <w:bookmarkEnd w:id="73"/>
    </w:p>
    <w:p>
      <w:pPr>
        <w:pStyle w:val="5"/>
        <w:tabs>
          <w:tab w:val="left" w:pos="425"/>
        </w:tabs>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污染指数</w:t>
      </w:r>
    </w:p>
    <w:p>
      <w:pPr>
        <w:pStyle w:val="2"/>
        <w:keepNext w:val="0"/>
        <w:keepLines w:val="0"/>
        <w:pageBreakBefore w:val="0"/>
        <w:widowControl w:val="0"/>
        <w:numPr>
          <w:ilvl w:val="0"/>
          <w:numId w:val="0"/>
        </w:numPr>
        <w:tabs>
          <w:tab w:val="center" w:pos="4855"/>
          <w:tab w:val="left" w:pos="7572"/>
        </w:tabs>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24"/>
          <w:szCs w:val="24"/>
          <w:highlight w:val="none"/>
          <w:lang w:eastAsia="zh-CN"/>
        </w:rPr>
        <w:t>由于本次工业园周边调查未出现超标情况，故只对已检出的污染项目进行土壤单项污染指数分析。</w:t>
      </w:r>
      <w:r>
        <w:rPr>
          <w:rFonts w:hint="default" w:ascii="Times New Roman" w:hAnsi="Times New Roman" w:cs="Times New Roman"/>
          <w:color w:val="auto"/>
          <w:highlight w:val="none"/>
          <w:lang w:val="en-US" w:eastAsia="zh-CN"/>
        </w:rPr>
        <w:t>各项污染物项目单项污染指数见表5-4-1。</w:t>
      </w:r>
    </w:p>
    <w:p>
      <w:pPr>
        <w:pStyle w:val="2"/>
        <w:keepNext w:val="0"/>
        <w:keepLines w:val="0"/>
        <w:pageBreakBefore w:val="0"/>
        <w:widowControl w:val="0"/>
        <w:numPr>
          <w:ilvl w:val="0"/>
          <w:numId w:val="0"/>
        </w:numPr>
        <w:tabs>
          <w:tab w:val="center" w:pos="4855"/>
          <w:tab w:val="left" w:pos="7572"/>
        </w:tabs>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cs="Times New Roman"/>
          <w:color w:val="auto"/>
          <w:highlight w:val="none"/>
          <w:lang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0" w:firstLineChars="0"/>
        <w:textAlignment w:val="auto"/>
        <w:rPr>
          <w:rFonts w:hint="default" w:ascii="Times New Roman" w:hAnsi="Times New Roman" w:cs="Times New Roman"/>
          <w:color w:val="auto"/>
          <w:highlight w:val="none"/>
          <w:lang w:val="en-US" w:eastAsia="zh-CN"/>
        </w:rPr>
        <w:sectPr>
          <w:headerReference r:id="rId17" w:type="default"/>
          <w:footerReference r:id="rId18" w:type="default"/>
          <w:pgSz w:w="11905" w:h="16838"/>
          <w:pgMar w:top="1134" w:right="1134" w:bottom="1134" w:left="1134" w:header="850" w:footer="992" w:gutter="0"/>
          <w:pgBorders>
            <w:top w:val="none" w:sz="0" w:space="0"/>
            <w:left w:val="none" w:sz="0" w:space="0"/>
            <w:bottom w:val="none" w:sz="0" w:space="0"/>
            <w:right w:val="none" w:sz="0" w:space="0"/>
          </w:pgBorders>
          <w:pgNumType w:fmt="numberInDash"/>
          <w:cols w:space="0" w:num="1"/>
          <w:rtlGutter w:val="0"/>
          <w:docGrid w:type="lines" w:linePitch="332" w:charSpace="0"/>
        </w:sectPr>
      </w:pPr>
    </w:p>
    <w:p>
      <w:pPr>
        <w:pStyle w:val="2"/>
        <w:keepNext w:val="0"/>
        <w:keepLines w:val="0"/>
        <w:pageBreakBefore w:val="0"/>
        <w:widowControl w:val="0"/>
        <w:numPr>
          <w:ilvl w:val="0"/>
          <w:numId w:val="0"/>
        </w:numPr>
        <w:kinsoku/>
        <w:wordWrap/>
        <w:overflowPunct/>
        <w:topLinePunct w:val="0"/>
        <w:autoSpaceDE/>
        <w:autoSpaceDN/>
        <w:bidi w:val="0"/>
        <w:adjustRightInd/>
        <w:snapToGrid/>
        <w:spacing w:before="157" w:beforeLines="50" w:after="0" w:line="240" w:lineRule="auto"/>
        <w:jc w:val="center"/>
        <w:textAlignment w:val="auto"/>
        <w:rPr>
          <w:rFonts w:hint="default" w:ascii="Times New Roman" w:hAnsi="Times New Roman" w:cs="Times New Roman"/>
          <w:color w:val="auto"/>
          <w:highlight w:val="none"/>
        </w:rPr>
      </w:pPr>
      <w:r>
        <w:rPr>
          <w:rFonts w:hint="default" w:ascii="Times New Roman" w:hAnsi="Times New Roman" w:eastAsia="黑体" w:cs="Times New Roman"/>
          <w:b/>
          <w:bCs/>
          <w:color w:val="auto"/>
          <w:sz w:val="24"/>
          <w:szCs w:val="24"/>
          <w:highlight w:val="none"/>
          <w:lang w:val="en-US" w:eastAsia="zh-CN"/>
        </w:rPr>
        <w:t>表5-4-1 土壤单项污染指数表</w:t>
      </w:r>
    </w:p>
    <w:tbl>
      <w:tblPr>
        <w:tblStyle w:val="21"/>
        <w:tblW w:w="1517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639"/>
        <w:gridCol w:w="1239"/>
        <w:gridCol w:w="1029"/>
        <w:gridCol w:w="894"/>
        <w:gridCol w:w="894"/>
        <w:gridCol w:w="980"/>
        <w:gridCol w:w="1017"/>
        <w:gridCol w:w="894"/>
        <w:gridCol w:w="894"/>
        <w:gridCol w:w="894"/>
        <w:gridCol w:w="919"/>
        <w:gridCol w:w="919"/>
        <w:gridCol w:w="1104"/>
        <w:gridCol w:w="895"/>
        <w:gridCol w:w="933"/>
        <w:gridCol w:w="10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28" w:hRule="atLeast"/>
          <w:tblHeader/>
          <w:jc w:val="center"/>
        </w:trPr>
        <w:tc>
          <w:tcPr>
            <w:tcW w:w="639"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序号</w:t>
            </w:r>
          </w:p>
        </w:tc>
        <w:tc>
          <w:tcPr>
            <w:tcW w:w="1239"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样品编号</w:t>
            </w:r>
          </w:p>
        </w:tc>
        <w:tc>
          <w:tcPr>
            <w:tcW w:w="1029"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cs="Times New Roman"/>
                <w:b/>
                <w:i w:val="0"/>
                <w:color w:val="auto"/>
                <w:kern w:val="0"/>
                <w:sz w:val="21"/>
                <w:szCs w:val="21"/>
                <w:highlight w:val="none"/>
                <w:u w:val="none"/>
                <w:lang w:val="en-US" w:eastAsia="zh-CN" w:bidi="ar"/>
              </w:rPr>
              <w:t>总氟化物</w:t>
            </w:r>
          </w:p>
        </w:tc>
        <w:tc>
          <w:tcPr>
            <w:tcW w:w="894"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铅</w:t>
            </w:r>
          </w:p>
        </w:tc>
        <w:tc>
          <w:tcPr>
            <w:tcW w:w="894"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汞</w:t>
            </w:r>
          </w:p>
        </w:tc>
        <w:tc>
          <w:tcPr>
            <w:tcW w:w="980"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钴</w:t>
            </w:r>
          </w:p>
        </w:tc>
        <w:tc>
          <w:tcPr>
            <w:tcW w:w="1017"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镉</w:t>
            </w:r>
          </w:p>
        </w:tc>
        <w:tc>
          <w:tcPr>
            <w:tcW w:w="894"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铜</w:t>
            </w:r>
          </w:p>
        </w:tc>
        <w:tc>
          <w:tcPr>
            <w:tcW w:w="894"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镍</w:t>
            </w:r>
          </w:p>
        </w:tc>
        <w:tc>
          <w:tcPr>
            <w:tcW w:w="894"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铬</w:t>
            </w:r>
          </w:p>
        </w:tc>
        <w:tc>
          <w:tcPr>
            <w:tcW w:w="919"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锌</w:t>
            </w:r>
          </w:p>
        </w:tc>
        <w:tc>
          <w:tcPr>
            <w:tcW w:w="919"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砷</w:t>
            </w:r>
          </w:p>
        </w:tc>
        <w:tc>
          <w:tcPr>
            <w:tcW w:w="1104"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cs="Times New Roman"/>
                <w:b/>
                <w:i w:val="0"/>
                <w:color w:val="auto"/>
                <w:kern w:val="0"/>
                <w:sz w:val="21"/>
                <w:szCs w:val="21"/>
                <w:highlight w:val="none"/>
                <w:u w:val="none"/>
                <w:lang w:val="en-US" w:eastAsia="zh-CN" w:bidi="ar"/>
              </w:rPr>
              <w:t>钼</w:t>
            </w:r>
          </w:p>
        </w:tc>
        <w:tc>
          <w:tcPr>
            <w:tcW w:w="895"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cs="Times New Roman"/>
                <w:b/>
                <w:i w:val="0"/>
                <w:color w:val="auto"/>
                <w:kern w:val="0"/>
                <w:sz w:val="21"/>
                <w:szCs w:val="21"/>
                <w:highlight w:val="none"/>
                <w:u w:val="none"/>
                <w:lang w:val="en-US" w:eastAsia="zh-CN" w:bidi="ar"/>
              </w:rPr>
              <w:t>锑</w:t>
            </w:r>
          </w:p>
        </w:tc>
        <w:tc>
          <w:tcPr>
            <w:tcW w:w="933"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kern w:val="0"/>
                <w:sz w:val="21"/>
                <w:szCs w:val="21"/>
                <w:highlight w:val="none"/>
                <w:u w:val="none"/>
                <w:lang w:val="en-US" w:eastAsia="zh-CN" w:bidi="ar"/>
              </w:rPr>
            </w:pPr>
            <w:r>
              <w:rPr>
                <w:rFonts w:hint="default" w:ascii="Times New Roman" w:hAnsi="Times New Roman" w:cs="Times New Roman"/>
                <w:b/>
                <w:i w:val="0"/>
                <w:color w:val="auto"/>
                <w:kern w:val="0"/>
                <w:sz w:val="21"/>
                <w:szCs w:val="21"/>
                <w:highlight w:val="none"/>
                <w:u w:val="none"/>
                <w:lang w:val="en-US" w:eastAsia="zh-CN" w:bidi="ar"/>
              </w:rPr>
              <w:t>石油烃</w:t>
            </w:r>
          </w:p>
        </w:tc>
        <w:tc>
          <w:tcPr>
            <w:tcW w:w="1031"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i w:val="0"/>
                <w:color w:val="auto"/>
                <w:sz w:val="21"/>
                <w:szCs w:val="21"/>
                <w:highlight w:val="none"/>
                <w:u w:val="none"/>
                <w:lang w:val="en-US" w:eastAsia="zh-CN"/>
              </w:rPr>
            </w:pPr>
            <w:r>
              <w:rPr>
                <w:rFonts w:hint="default" w:ascii="Times New Roman" w:hAnsi="Times New Roman" w:cs="Times New Roman"/>
                <w:b/>
                <w:i w:val="0"/>
                <w:color w:val="auto"/>
                <w:sz w:val="21"/>
                <w:szCs w:val="21"/>
                <w:highlight w:val="none"/>
                <w:u w:val="none"/>
                <w:lang w:val="en-US" w:eastAsia="zh-CN"/>
              </w:rPr>
              <w:t>二噁英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39"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1239"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SJG-1-75</w:t>
            </w:r>
          </w:p>
        </w:tc>
        <w:tc>
          <w:tcPr>
            <w:tcW w:w="1029"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0.04850</w:t>
            </w:r>
          </w:p>
        </w:tc>
        <w:tc>
          <w:tcPr>
            <w:tcW w:w="894"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0.03088</w:t>
            </w:r>
          </w:p>
        </w:tc>
        <w:tc>
          <w:tcPr>
            <w:tcW w:w="894"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0.00237</w:t>
            </w:r>
          </w:p>
        </w:tc>
        <w:tc>
          <w:tcPr>
            <w:tcW w:w="980"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0.16286</w:t>
            </w:r>
          </w:p>
        </w:tc>
        <w:tc>
          <w:tcPr>
            <w:tcW w:w="1017"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0.00062</w:t>
            </w:r>
          </w:p>
        </w:tc>
        <w:tc>
          <w:tcPr>
            <w:tcW w:w="894"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0.00117</w:t>
            </w:r>
          </w:p>
        </w:tc>
        <w:tc>
          <w:tcPr>
            <w:tcW w:w="894"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0.03111</w:t>
            </w:r>
          </w:p>
        </w:tc>
        <w:tc>
          <w:tcPr>
            <w:tcW w:w="894"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0.01993</w:t>
            </w:r>
          </w:p>
        </w:tc>
        <w:tc>
          <w:tcPr>
            <w:tcW w:w="919"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lang w:val="en-US" w:eastAsia="zh-CN"/>
              </w:rPr>
              <w:t>/</w:t>
            </w:r>
          </w:p>
        </w:tc>
        <w:tc>
          <w:tcPr>
            <w:tcW w:w="919"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0.12167</w:t>
            </w:r>
          </w:p>
        </w:tc>
        <w:tc>
          <w:tcPr>
            <w:tcW w:w="1104"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0.00222</w:t>
            </w:r>
          </w:p>
        </w:tc>
        <w:tc>
          <w:tcPr>
            <w:tcW w:w="895"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0.00375</w:t>
            </w:r>
          </w:p>
        </w:tc>
        <w:tc>
          <w:tcPr>
            <w:tcW w:w="933"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0.00067</w:t>
            </w:r>
          </w:p>
        </w:tc>
        <w:tc>
          <w:tcPr>
            <w:tcW w:w="1031"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w:t>
            </w:r>
          </w:p>
        </w:tc>
        <w:tc>
          <w:tcPr>
            <w:tcW w:w="12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SJG-1-200</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0.22857</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0.16167</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0.04583</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0.60000</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0.13333</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0.22000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0.29000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0.30500</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0.16000</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0.33000</w:t>
            </w:r>
          </w:p>
        </w:tc>
        <w:tc>
          <w:tcPr>
            <w:tcW w:w="11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0.01818</w:t>
            </w:r>
          </w:p>
        </w:tc>
        <w:tc>
          <w:tcPr>
            <w:tcW w:w="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0.03000</w:t>
            </w:r>
          </w:p>
        </w:tc>
        <w:tc>
          <w:tcPr>
            <w:tcW w:w="9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0.00363</w:t>
            </w:r>
          </w:p>
        </w:tc>
        <w:tc>
          <w:tcPr>
            <w:tcW w:w="1031" w:type="dxa"/>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w:t>
            </w:r>
          </w:p>
        </w:tc>
        <w:tc>
          <w:tcPr>
            <w:tcW w:w="12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SJG-2-75</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0.05990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0.02350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0.00184</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0.11171</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0.00008</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0.00128</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0.05444</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0.03436</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lang w:val="en-US" w:eastAsia="zh-CN"/>
              </w:rPr>
              <w:t>/</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0.15667</w:t>
            </w:r>
          </w:p>
        </w:tc>
        <w:tc>
          <w:tcPr>
            <w:tcW w:w="11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0.00222</w:t>
            </w:r>
          </w:p>
        </w:tc>
        <w:tc>
          <w:tcPr>
            <w:tcW w:w="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0.01500</w:t>
            </w:r>
          </w:p>
        </w:tc>
        <w:tc>
          <w:tcPr>
            <w:tcW w:w="9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0.00067</w:t>
            </w:r>
          </w:p>
        </w:tc>
        <w:tc>
          <w:tcPr>
            <w:tcW w:w="1031" w:type="dxa"/>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w:t>
            </w:r>
          </w:p>
        </w:tc>
        <w:tc>
          <w:tcPr>
            <w:tcW w:w="12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SJG-2-200</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0.05240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0.02425</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0.00237</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0.11429</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0.00062</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0.00122</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0.04000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0.02921</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lang w:val="en-US" w:eastAsia="zh-CN"/>
              </w:rPr>
              <w:t>/</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0.16333</w:t>
            </w:r>
          </w:p>
        </w:tc>
        <w:tc>
          <w:tcPr>
            <w:tcW w:w="11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0.00296</w:t>
            </w:r>
          </w:p>
        </w:tc>
        <w:tc>
          <w:tcPr>
            <w:tcW w:w="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0.01000</w:t>
            </w:r>
          </w:p>
        </w:tc>
        <w:tc>
          <w:tcPr>
            <w:tcW w:w="9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0.00067</w:t>
            </w:r>
          </w:p>
        </w:tc>
        <w:tc>
          <w:tcPr>
            <w:tcW w:w="1031" w:type="dxa"/>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w:t>
            </w:r>
          </w:p>
        </w:tc>
        <w:tc>
          <w:tcPr>
            <w:tcW w:w="12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SJG-2-400</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0.06050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0.02750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0.00237</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0.11286</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0.00123</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0.00156</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0.04222</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0.02955</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lang w:val="en-US" w:eastAsia="zh-CN"/>
              </w:rPr>
              <w:t>/</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0.19167</w:t>
            </w:r>
          </w:p>
        </w:tc>
        <w:tc>
          <w:tcPr>
            <w:tcW w:w="11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0.00296</w:t>
            </w:r>
          </w:p>
        </w:tc>
        <w:tc>
          <w:tcPr>
            <w:tcW w:w="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0.01000</w:t>
            </w:r>
          </w:p>
        </w:tc>
        <w:tc>
          <w:tcPr>
            <w:tcW w:w="9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0.00156</w:t>
            </w:r>
          </w:p>
        </w:tc>
        <w:tc>
          <w:tcPr>
            <w:tcW w:w="1031" w:type="dxa"/>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w:t>
            </w:r>
          </w:p>
        </w:tc>
        <w:tc>
          <w:tcPr>
            <w:tcW w:w="12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SJG-3</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0.05440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0.03288</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0.00289</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0.17286</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0.00292</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0.00228</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0.04333</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0.01271</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lang w:val="en-US" w:eastAsia="zh-CN"/>
              </w:rPr>
              <w:t>/</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0.16167</w:t>
            </w:r>
          </w:p>
        </w:tc>
        <w:tc>
          <w:tcPr>
            <w:tcW w:w="11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0.00667</w:t>
            </w:r>
          </w:p>
        </w:tc>
        <w:tc>
          <w:tcPr>
            <w:tcW w:w="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0.01000</w:t>
            </w:r>
          </w:p>
        </w:tc>
        <w:tc>
          <w:tcPr>
            <w:tcW w:w="9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0.00356</w:t>
            </w:r>
          </w:p>
        </w:tc>
        <w:tc>
          <w:tcPr>
            <w:tcW w:w="1031" w:type="dxa"/>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w:t>
            </w:r>
          </w:p>
        </w:tc>
        <w:tc>
          <w:tcPr>
            <w:tcW w:w="12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SJG-4</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0.05820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0.02500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0.00211</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0.15286</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0.00200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0.00133</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0.03556</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0.01546</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lang w:val="en-US" w:eastAsia="zh-CN"/>
              </w:rPr>
              <w:t>/</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0.13333</w:t>
            </w:r>
          </w:p>
        </w:tc>
        <w:tc>
          <w:tcPr>
            <w:tcW w:w="11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0.00296</w:t>
            </w:r>
          </w:p>
        </w:tc>
        <w:tc>
          <w:tcPr>
            <w:tcW w:w="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0.01250</w:t>
            </w:r>
          </w:p>
        </w:tc>
        <w:tc>
          <w:tcPr>
            <w:tcW w:w="9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0.00067</w:t>
            </w:r>
          </w:p>
        </w:tc>
        <w:tc>
          <w:tcPr>
            <w:tcW w:w="1031" w:type="dxa"/>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8</w:t>
            </w:r>
          </w:p>
        </w:tc>
        <w:tc>
          <w:tcPr>
            <w:tcW w:w="12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SJG-JJ-1</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0.05700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0.02188</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0.00237</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0.17429</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0.00092</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0.00144</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0.04000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0.02337</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lang w:val="en-US" w:eastAsia="zh-CN"/>
              </w:rPr>
              <w:t>/</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0.18333</w:t>
            </w:r>
          </w:p>
        </w:tc>
        <w:tc>
          <w:tcPr>
            <w:tcW w:w="11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0.00370</w:t>
            </w:r>
          </w:p>
        </w:tc>
        <w:tc>
          <w:tcPr>
            <w:tcW w:w="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0.01250</w:t>
            </w:r>
          </w:p>
        </w:tc>
        <w:tc>
          <w:tcPr>
            <w:tcW w:w="9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0.00067</w:t>
            </w:r>
          </w:p>
        </w:tc>
        <w:tc>
          <w:tcPr>
            <w:tcW w:w="1031" w:type="dxa"/>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w:t>
            </w:r>
          </w:p>
        </w:tc>
        <w:tc>
          <w:tcPr>
            <w:tcW w:w="12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SJG-JJ-2</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0.27143</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0.06450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0.01125</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0.50500</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0.00650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0.01300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0.20000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0.05207</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lang w:val="en-US" w:eastAsia="zh-CN"/>
              </w:rPr>
              <w:t>/</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0.40000</w:t>
            </w:r>
          </w:p>
        </w:tc>
        <w:tc>
          <w:tcPr>
            <w:tcW w:w="11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0.02273</w:t>
            </w:r>
          </w:p>
        </w:tc>
        <w:tc>
          <w:tcPr>
            <w:tcW w:w="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0.06000</w:t>
            </w:r>
          </w:p>
        </w:tc>
        <w:tc>
          <w:tcPr>
            <w:tcW w:w="9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0.05085</w:t>
            </w:r>
          </w:p>
        </w:tc>
        <w:tc>
          <w:tcPr>
            <w:tcW w:w="1031" w:type="dxa"/>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12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SJG-JJ-3</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0.05740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0.02138</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0.00421</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0.12657</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0.00062</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0.00122</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0.02667</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0.01959</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lang w:val="en-US" w:eastAsia="zh-CN"/>
              </w:rPr>
              <w:t>/</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0.13667</w:t>
            </w:r>
          </w:p>
        </w:tc>
        <w:tc>
          <w:tcPr>
            <w:tcW w:w="11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0.00296</w:t>
            </w:r>
          </w:p>
        </w:tc>
        <w:tc>
          <w:tcPr>
            <w:tcW w:w="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0.01000</w:t>
            </w:r>
          </w:p>
        </w:tc>
        <w:tc>
          <w:tcPr>
            <w:tcW w:w="9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0.00067</w:t>
            </w:r>
          </w:p>
        </w:tc>
        <w:tc>
          <w:tcPr>
            <w:tcW w:w="1031" w:type="dxa"/>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11</w:t>
            </w:r>
          </w:p>
        </w:tc>
        <w:tc>
          <w:tcPr>
            <w:tcW w:w="12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SJG-JJ-4</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0.05270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0.02163</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0.00237</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0.13814</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0.00077</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0.00128</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0.03556</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0.02302</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lang w:val="en-US" w:eastAsia="zh-CN"/>
              </w:rPr>
              <w:t>/</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0.14667</w:t>
            </w:r>
          </w:p>
        </w:tc>
        <w:tc>
          <w:tcPr>
            <w:tcW w:w="11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0.00222</w:t>
            </w:r>
          </w:p>
        </w:tc>
        <w:tc>
          <w:tcPr>
            <w:tcW w:w="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0.00375</w:t>
            </w:r>
          </w:p>
        </w:tc>
        <w:tc>
          <w:tcPr>
            <w:tcW w:w="9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0.00067</w:t>
            </w:r>
          </w:p>
        </w:tc>
        <w:tc>
          <w:tcPr>
            <w:tcW w:w="1031" w:type="dxa"/>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w:t>
            </w:r>
          </w:p>
        </w:tc>
        <w:tc>
          <w:tcPr>
            <w:tcW w:w="12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SJG-JJ-5</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0.05080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0.02200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0.00342</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0.13014</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0.00123</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0.00150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0.03444</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0.02234</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lang w:val="en-US" w:eastAsia="zh-CN"/>
              </w:rPr>
              <w:t>/</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0.11333</w:t>
            </w:r>
          </w:p>
        </w:tc>
        <w:tc>
          <w:tcPr>
            <w:tcW w:w="11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0.00444</w:t>
            </w:r>
          </w:p>
        </w:tc>
        <w:tc>
          <w:tcPr>
            <w:tcW w:w="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0.00375</w:t>
            </w:r>
          </w:p>
        </w:tc>
        <w:tc>
          <w:tcPr>
            <w:tcW w:w="9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0.00156</w:t>
            </w:r>
          </w:p>
        </w:tc>
        <w:tc>
          <w:tcPr>
            <w:tcW w:w="1031" w:type="dxa"/>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13</w:t>
            </w:r>
          </w:p>
        </w:tc>
        <w:tc>
          <w:tcPr>
            <w:tcW w:w="12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SJG-JJ-6</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0.05960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0.02113</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0.00263</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0.12943</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0.00092</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0.00156</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0.03222</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0.01615</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lang w:val="en-US" w:eastAsia="zh-CN"/>
              </w:rPr>
              <w:t>/</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0.11000</w:t>
            </w:r>
          </w:p>
        </w:tc>
        <w:tc>
          <w:tcPr>
            <w:tcW w:w="11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0.00296</w:t>
            </w:r>
          </w:p>
        </w:tc>
        <w:tc>
          <w:tcPr>
            <w:tcW w:w="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0.00750</w:t>
            </w:r>
          </w:p>
        </w:tc>
        <w:tc>
          <w:tcPr>
            <w:tcW w:w="9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0.00067</w:t>
            </w:r>
          </w:p>
        </w:tc>
        <w:tc>
          <w:tcPr>
            <w:tcW w:w="103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0.00900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14</w:t>
            </w:r>
          </w:p>
        </w:tc>
        <w:tc>
          <w:tcPr>
            <w:tcW w:w="12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SJG-JJ-7</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0.06170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0.02750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0.00237</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0.14129</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0.00062</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0.00150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0.03556</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0.01993</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lang w:val="en-US" w:eastAsia="zh-CN"/>
              </w:rPr>
              <w:t>/</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0.16333</w:t>
            </w:r>
          </w:p>
        </w:tc>
        <w:tc>
          <w:tcPr>
            <w:tcW w:w="11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0.00370</w:t>
            </w:r>
          </w:p>
        </w:tc>
        <w:tc>
          <w:tcPr>
            <w:tcW w:w="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0.00750</w:t>
            </w:r>
          </w:p>
        </w:tc>
        <w:tc>
          <w:tcPr>
            <w:tcW w:w="9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0.00289</w:t>
            </w:r>
          </w:p>
        </w:tc>
        <w:tc>
          <w:tcPr>
            <w:tcW w:w="1031" w:type="dxa"/>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15</w:t>
            </w:r>
          </w:p>
        </w:tc>
        <w:tc>
          <w:tcPr>
            <w:tcW w:w="12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SJG-JJ-8</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0.05110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0.03388</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0.00237</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0.12757</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0.00108</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0.00172</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0.03000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0.01546</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lang w:val="en-US" w:eastAsia="zh-CN"/>
              </w:rPr>
              <w:t>/</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0.17000</w:t>
            </w:r>
          </w:p>
        </w:tc>
        <w:tc>
          <w:tcPr>
            <w:tcW w:w="11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0.00444</w:t>
            </w:r>
          </w:p>
        </w:tc>
        <w:tc>
          <w:tcPr>
            <w:tcW w:w="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0.01000</w:t>
            </w:r>
          </w:p>
        </w:tc>
        <w:tc>
          <w:tcPr>
            <w:tcW w:w="9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0.02222</w:t>
            </w:r>
          </w:p>
        </w:tc>
        <w:tc>
          <w:tcPr>
            <w:tcW w:w="1031" w:type="dxa"/>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16</w:t>
            </w:r>
          </w:p>
        </w:tc>
        <w:tc>
          <w:tcPr>
            <w:tcW w:w="12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SJG-JJ-9</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0.07790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0.04775</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0.00368</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0.17571</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0.00138</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0.00194</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0.03667</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0.02062</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lang w:val="en-US" w:eastAsia="zh-CN"/>
              </w:rPr>
              <w:t>/</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0.17833</w:t>
            </w:r>
          </w:p>
        </w:tc>
        <w:tc>
          <w:tcPr>
            <w:tcW w:w="11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0.00593</w:t>
            </w:r>
          </w:p>
        </w:tc>
        <w:tc>
          <w:tcPr>
            <w:tcW w:w="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0.01750</w:t>
            </w:r>
          </w:p>
        </w:tc>
        <w:tc>
          <w:tcPr>
            <w:tcW w:w="9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0.00911</w:t>
            </w:r>
          </w:p>
        </w:tc>
        <w:tc>
          <w:tcPr>
            <w:tcW w:w="1031" w:type="dxa"/>
            <w:tcBorders>
              <w:tl2br w:val="nil"/>
              <w:tr2bl w:val="nil"/>
            </w:tcBorders>
            <w:shd w:val="clear" w:color="auto" w:fill="auto"/>
            <w:noWrap/>
            <w:tcMar>
              <w:top w:w="15" w:type="dxa"/>
              <w:left w:w="15" w:type="dxa"/>
              <w:right w:w="15"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878"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最大值</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0.27143</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0.16167</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0.04583</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0.60000</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0.13333</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0.22000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0.29000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0.30500</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0.16000</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0.40000</w:t>
            </w:r>
          </w:p>
        </w:tc>
        <w:tc>
          <w:tcPr>
            <w:tcW w:w="11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0.02273</w:t>
            </w:r>
          </w:p>
        </w:tc>
        <w:tc>
          <w:tcPr>
            <w:tcW w:w="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0.06000</w:t>
            </w:r>
          </w:p>
        </w:tc>
        <w:tc>
          <w:tcPr>
            <w:tcW w:w="9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0.05085</w:t>
            </w:r>
          </w:p>
        </w:tc>
        <w:tc>
          <w:tcPr>
            <w:tcW w:w="103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0.00900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878"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最小值</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0.04850</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0.02113</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0.00184</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0.11171</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0.00008</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0.00117</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0.02667</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0.01271</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0.16000</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0.11000</w:t>
            </w:r>
          </w:p>
        </w:tc>
        <w:tc>
          <w:tcPr>
            <w:tcW w:w="11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0.00222</w:t>
            </w:r>
          </w:p>
        </w:tc>
        <w:tc>
          <w:tcPr>
            <w:tcW w:w="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0.00375</w:t>
            </w:r>
          </w:p>
        </w:tc>
        <w:tc>
          <w:tcPr>
            <w:tcW w:w="9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0.00067</w:t>
            </w:r>
          </w:p>
        </w:tc>
        <w:tc>
          <w:tcPr>
            <w:tcW w:w="103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0.00900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878"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平均值</w:t>
            </w:r>
          </w:p>
        </w:tc>
        <w:tc>
          <w:tcPr>
            <w:tcW w:w="10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0.08138</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0.03796</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0.00590</w:t>
            </w:r>
          </w:p>
        </w:tc>
        <w:tc>
          <w:tcPr>
            <w:tcW w:w="98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0.19222</w:t>
            </w:r>
          </w:p>
        </w:tc>
        <w:tc>
          <w:tcPr>
            <w:tcW w:w="101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0.00968</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0.01588</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0.06299</w:t>
            </w:r>
          </w:p>
        </w:tc>
        <w:tc>
          <w:tcPr>
            <w:tcW w:w="8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0.04117</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0.16000</w:t>
            </w:r>
          </w:p>
        </w:tc>
        <w:tc>
          <w:tcPr>
            <w:tcW w:w="91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0.17875</w:t>
            </w:r>
          </w:p>
        </w:tc>
        <w:tc>
          <w:tcPr>
            <w:tcW w:w="11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0.00570</w:t>
            </w:r>
          </w:p>
        </w:tc>
        <w:tc>
          <w:tcPr>
            <w:tcW w:w="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0.01398</w:t>
            </w:r>
          </w:p>
        </w:tc>
        <w:tc>
          <w:tcPr>
            <w:tcW w:w="9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0.00629</w:t>
            </w:r>
          </w:p>
        </w:tc>
        <w:tc>
          <w:tcPr>
            <w:tcW w:w="103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0.00900</w:t>
            </w:r>
          </w:p>
        </w:tc>
      </w:tr>
    </w:tbl>
    <w:p>
      <w:pPr>
        <w:pStyle w:val="2"/>
        <w:keepNext w:val="0"/>
        <w:keepLines w:val="0"/>
        <w:pageBreakBefore w:val="0"/>
        <w:widowControl w:val="0"/>
        <w:numPr>
          <w:ilvl w:val="0"/>
          <w:numId w:val="0"/>
        </w:numPr>
        <w:tabs>
          <w:tab w:val="center" w:pos="4855"/>
          <w:tab w:val="left" w:pos="7572"/>
        </w:tabs>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cs="Times New Roman"/>
          <w:color w:val="auto"/>
          <w:highlight w:val="none"/>
          <w:lang w:eastAsia="zh-CN"/>
        </w:rPr>
        <w:sectPr>
          <w:headerReference r:id="rId19" w:type="default"/>
          <w:pgSz w:w="16838" w:h="11905" w:orient="landscape"/>
          <w:pgMar w:top="1134" w:right="1134" w:bottom="1134" w:left="1134" w:header="850" w:footer="992" w:gutter="0"/>
          <w:pgBorders>
            <w:top w:val="none" w:sz="0" w:space="0"/>
            <w:left w:val="none" w:sz="0" w:space="0"/>
            <w:bottom w:val="none" w:sz="0" w:space="0"/>
            <w:right w:val="none" w:sz="0" w:space="0"/>
          </w:pgBorders>
          <w:pgNumType w:fmt="numberInDash"/>
          <w:cols w:space="0" w:num="1"/>
          <w:rtlGutter w:val="0"/>
          <w:docGrid w:type="lines" w:linePitch="332" w:charSpace="0"/>
        </w:sectPr>
      </w:pPr>
      <w:r>
        <w:rPr>
          <w:rFonts w:hint="default" w:ascii="Times New Roman" w:hAnsi="Times New Roman" w:cs="Times New Roman"/>
          <w:color w:val="auto"/>
          <w:sz w:val="24"/>
          <w:szCs w:val="24"/>
          <w:highlight w:val="none"/>
          <w:lang w:val="en-US" w:eastAsia="zh-CN"/>
        </w:rPr>
        <w:t>经统计</w:t>
      </w:r>
      <w:r>
        <w:rPr>
          <w:rFonts w:hint="default" w:ascii="Times New Roman" w:hAnsi="Times New Roman" w:cs="Times New Roman"/>
          <w:color w:val="auto"/>
          <w:sz w:val="24"/>
          <w:szCs w:val="24"/>
          <w:highlight w:val="none"/>
          <w:lang w:eastAsia="zh-CN"/>
        </w:rPr>
        <w:t>，土壤单项污染指数</w:t>
      </w:r>
      <w:r>
        <w:rPr>
          <w:rFonts w:hint="default" w:ascii="Times New Roman" w:hAnsi="Times New Roman" w:cs="Times New Roman"/>
          <w:color w:val="auto"/>
          <w:sz w:val="24"/>
          <w:szCs w:val="24"/>
          <w:highlight w:val="none"/>
          <w:lang w:val="en-US" w:eastAsia="zh-CN"/>
        </w:rPr>
        <w:t>Pimax=0.600＜1，可以判断本</w:t>
      </w:r>
      <w:r>
        <w:rPr>
          <w:rFonts w:hint="eastAsia" w:cs="Times New Roman"/>
          <w:color w:val="auto"/>
          <w:sz w:val="24"/>
          <w:szCs w:val="24"/>
          <w:highlight w:val="none"/>
          <w:lang w:val="en-US" w:eastAsia="zh-CN"/>
        </w:rPr>
        <w:t>工业</w:t>
      </w:r>
      <w:r>
        <w:rPr>
          <w:rFonts w:hint="default" w:ascii="Times New Roman" w:hAnsi="Times New Roman" w:cs="Times New Roman"/>
          <w:color w:val="auto"/>
          <w:sz w:val="24"/>
          <w:szCs w:val="24"/>
          <w:highlight w:val="none"/>
          <w:lang w:val="en-US" w:eastAsia="zh-CN"/>
        </w:rPr>
        <w:t>园区及周边的所有检出因子的单项污染指数对应的污染程度均为无污染</w:t>
      </w:r>
      <w:r>
        <w:rPr>
          <w:rFonts w:hint="default" w:ascii="Times New Roman" w:hAnsi="Times New Roman" w:cs="Times New Roman"/>
          <w:color w:val="auto"/>
          <w:highlight w:val="none"/>
          <w:lang w:val="en-US" w:eastAsia="zh-CN"/>
        </w:rPr>
        <w:t>。</w:t>
      </w:r>
    </w:p>
    <w:p>
      <w:pPr>
        <w:pStyle w:val="5"/>
        <w:tabs>
          <w:tab w:val="left" w:pos="425"/>
        </w:tabs>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内梅罗污染指数评价</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0" w:firstLineChars="0"/>
        <w:textAlignment w:val="auto"/>
        <w:rPr>
          <w:rFonts w:hint="default" w:ascii="Times New Roman" w:hAnsi="Times New Roman" w:cs="Times New Roman"/>
          <w:color w:val="auto"/>
          <w:sz w:val="24"/>
          <w:szCs w:val="32"/>
          <w:highlight w:val="none"/>
        </w:rPr>
      </w:pPr>
      <w:r>
        <w:rPr>
          <w:rFonts w:hint="default" w:ascii="Times New Roman" w:hAnsi="Times New Roman" w:cs="Times New Roman"/>
          <w:color w:val="auto"/>
          <w:highlight w:val="none"/>
          <w:lang w:eastAsia="zh-CN"/>
        </w:rPr>
        <w:t>根据公式：内梅罗污染指数（P</w:t>
      </w:r>
      <w:r>
        <w:rPr>
          <w:rFonts w:hint="default" w:ascii="Times New Roman" w:hAnsi="Times New Roman" w:cs="Times New Roman"/>
          <w:color w:val="auto"/>
          <w:highlight w:val="none"/>
          <w:vertAlign w:val="subscript"/>
          <w:lang w:eastAsia="zh-CN"/>
        </w:rPr>
        <w:t>N</w:t>
      </w:r>
      <w:r>
        <w:rPr>
          <w:rFonts w:hint="default" w:ascii="Times New Roman" w:hAnsi="Times New Roman" w:cs="Times New Roman"/>
          <w:color w:val="auto"/>
          <w:highlight w:val="none"/>
          <w:lang w:eastAsia="zh-CN"/>
        </w:rPr>
        <w:t xml:space="preserve">）= </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eastAsia="zh-CN"/>
        </w:rPr>
        <w:t xml:space="preserve">PI </w:t>
      </w:r>
      <w:r>
        <w:rPr>
          <w:rFonts w:hint="default" w:ascii="Times New Roman" w:hAnsi="Times New Roman" w:cs="Times New Roman"/>
          <w:color w:val="auto"/>
          <w:highlight w:val="none"/>
          <w:vertAlign w:val="subscript"/>
          <w:lang w:eastAsia="zh-CN"/>
        </w:rPr>
        <w:t>均</w:t>
      </w:r>
      <w:r>
        <w:rPr>
          <w:rFonts w:hint="default" w:ascii="Times New Roman" w:hAnsi="Times New Roman" w:cs="Times New Roman"/>
          <w:color w:val="auto"/>
          <w:highlight w:val="none"/>
          <w:vertAlign w:val="superscript"/>
          <w:lang w:eastAsia="zh-CN"/>
        </w:rPr>
        <w:t>2</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eastAsia="zh-CN"/>
        </w:rPr>
        <w:t xml:space="preserve">+ </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eastAsia="zh-CN"/>
        </w:rPr>
        <w:t xml:space="preserve">PI </w:t>
      </w:r>
      <w:r>
        <w:rPr>
          <w:rFonts w:hint="default" w:ascii="Times New Roman" w:hAnsi="Times New Roman" w:cs="Times New Roman"/>
          <w:color w:val="auto"/>
          <w:highlight w:val="none"/>
          <w:vertAlign w:val="subscript"/>
          <w:lang w:eastAsia="zh-CN"/>
        </w:rPr>
        <w:t>最大</w:t>
      </w:r>
      <w:r>
        <w:rPr>
          <w:rFonts w:hint="default" w:ascii="Times New Roman" w:hAnsi="Times New Roman" w:cs="Times New Roman"/>
          <w:color w:val="auto"/>
          <w:highlight w:val="none"/>
          <w:vertAlign w:val="superscript"/>
          <w:lang w:eastAsia="zh-CN"/>
        </w:rPr>
        <w:t>2</w:t>
      </w:r>
      <w:r>
        <w:rPr>
          <w:rFonts w:hint="default" w:ascii="Times New Roman" w:hAnsi="Times New Roman" w:cs="Times New Roman"/>
          <w:color w:val="auto"/>
          <w:highlight w:val="none"/>
          <w:vertAlign w:val="superscript"/>
          <w:lang w:val="en-US" w:eastAsia="zh-CN"/>
        </w:rPr>
        <w:t xml:space="preserve"> </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eastAsia="zh-CN"/>
        </w:rPr>
        <w:t>/2｝</w:t>
      </w:r>
      <w:r>
        <w:rPr>
          <w:rFonts w:hint="default" w:ascii="Times New Roman" w:hAnsi="Times New Roman" w:cs="Times New Roman"/>
          <w:color w:val="auto"/>
          <w:highlight w:val="none"/>
          <w:vertAlign w:val="superscript"/>
          <w:lang w:eastAsia="zh-CN"/>
        </w:rPr>
        <w:t>1/2</w:t>
      </w:r>
      <w:r>
        <w:rPr>
          <w:rFonts w:hint="default" w:ascii="Times New Roman" w:hAnsi="Times New Roman" w:cs="Times New Roman"/>
          <w:color w:val="auto"/>
          <w:highlight w:val="none"/>
          <w:lang w:eastAsia="zh-CN"/>
        </w:rPr>
        <w:t xml:space="preserve">（式中 PI </w:t>
      </w:r>
      <w:r>
        <w:rPr>
          <w:rFonts w:hint="default" w:ascii="Times New Roman" w:hAnsi="Times New Roman" w:cs="Times New Roman"/>
          <w:color w:val="auto"/>
          <w:highlight w:val="none"/>
          <w:vertAlign w:val="subscript"/>
          <w:lang w:eastAsia="zh-CN"/>
        </w:rPr>
        <w:t>均</w:t>
      </w:r>
      <w:r>
        <w:rPr>
          <w:rFonts w:hint="default" w:ascii="Times New Roman" w:hAnsi="Times New Roman" w:cs="Times New Roman"/>
          <w:color w:val="auto"/>
          <w:highlight w:val="none"/>
          <w:lang w:eastAsia="zh-CN"/>
        </w:rPr>
        <w:t xml:space="preserve">和 PI </w:t>
      </w:r>
      <w:r>
        <w:rPr>
          <w:rFonts w:hint="default" w:ascii="Times New Roman" w:hAnsi="Times New Roman" w:cs="Times New Roman"/>
          <w:color w:val="auto"/>
          <w:highlight w:val="none"/>
          <w:vertAlign w:val="subscript"/>
          <w:lang w:eastAsia="zh-CN"/>
        </w:rPr>
        <w:t>最大</w:t>
      </w:r>
      <w:r>
        <w:rPr>
          <w:rFonts w:hint="default" w:ascii="Times New Roman" w:hAnsi="Times New Roman" w:cs="Times New Roman"/>
          <w:color w:val="auto"/>
          <w:highlight w:val="none"/>
          <w:lang w:eastAsia="zh-CN"/>
        </w:rPr>
        <w:t>分别是平均单项污染指数和最大单项污染指数。），引用</w:t>
      </w:r>
      <w:r>
        <w:rPr>
          <w:rFonts w:hint="default" w:ascii="Times New Roman" w:hAnsi="Times New Roman" w:cs="Times New Roman"/>
          <w:color w:val="auto"/>
          <w:highlight w:val="none"/>
          <w:lang w:val="en-US" w:eastAsia="zh-CN"/>
        </w:rPr>
        <w:t>表5-4-1中污染指数的结果</w:t>
      </w:r>
      <w:r>
        <w:rPr>
          <w:rFonts w:hint="default" w:ascii="Times New Roman" w:hAnsi="Times New Roman" w:cs="Times New Roman"/>
          <w:color w:val="auto"/>
          <w:highlight w:val="none"/>
          <w:lang w:eastAsia="zh-CN"/>
        </w:rPr>
        <w:t>可得到内梅罗污染指数，</w:t>
      </w:r>
      <w:r>
        <w:rPr>
          <w:rFonts w:hint="default" w:ascii="Times New Roman" w:hAnsi="Times New Roman" w:cs="Times New Roman"/>
          <w:color w:val="auto"/>
          <w:highlight w:val="none"/>
          <w:lang w:val="en-US" w:eastAsia="zh-CN"/>
        </w:rPr>
        <w:t>具体如下：</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166" w:beforeLines="50" w:after="0" w:line="240" w:lineRule="auto"/>
        <w:ind w:firstLine="420" w:firstLineChars="0"/>
        <w:jc w:val="center"/>
        <w:textAlignment w:val="auto"/>
        <w:rPr>
          <w:rFonts w:hint="default" w:ascii="Times New Roman" w:hAnsi="Times New Roman" w:cs="Times New Roman"/>
          <w:color w:val="auto"/>
          <w:sz w:val="24"/>
          <w:szCs w:val="32"/>
          <w:highlight w:val="none"/>
        </w:rPr>
      </w:pPr>
      <w:r>
        <w:rPr>
          <w:rFonts w:hint="default" w:ascii="Times New Roman" w:hAnsi="Times New Roman" w:eastAsia="黑体" w:cs="Times New Roman"/>
          <w:b/>
          <w:bCs/>
          <w:color w:val="auto"/>
          <w:sz w:val="24"/>
          <w:szCs w:val="32"/>
          <w:highlight w:val="none"/>
          <w:lang w:val="en-US" w:eastAsia="zh-CN"/>
        </w:rPr>
        <w:t>表</w:t>
      </w:r>
      <w:r>
        <w:rPr>
          <w:rFonts w:hint="default" w:ascii="Times New Roman" w:hAnsi="Times New Roman" w:cs="Times New Roman"/>
          <w:b/>
          <w:bCs/>
          <w:color w:val="auto"/>
          <w:sz w:val="24"/>
          <w:szCs w:val="32"/>
          <w:highlight w:val="none"/>
          <w:lang w:val="en-US" w:eastAsia="zh-CN"/>
        </w:rPr>
        <w:t>5-4-2</w:t>
      </w:r>
      <w:r>
        <w:rPr>
          <w:rFonts w:hint="default" w:ascii="Times New Roman" w:hAnsi="Times New Roman" w:eastAsia="黑体" w:cs="Times New Roman"/>
          <w:b/>
          <w:bCs/>
          <w:color w:val="auto"/>
          <w:sz w:val="24"/>
          <w:szCs w:val="32"/>
          <w:highlight w:val="none"/>
          <w:lang w:val="en-US" w:eastAsia="zh-CN"/>
        </w:rPr>
        <w:t xml:space="preserve"> 内梅罗污染指数表</w:t>
      </w:r>
    </w:p>
    <w:tbl>
      <w:tblPr>
        <w:tblStyle w:val="21"/>
        <w:tblW w:w="1498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330"/>
        <w:gridCol w:w="1010"/>
        <w:gridCol w:w="972"/>
        <w:gridCol w:w="972"/>
        <w:gridCol w:w="972"/>
        <w:gridCol w:w="972"/>
        <w:gridCol w:w="973"/>
        <w:gridCol w:w="973"/>
        <w:gridCol w:w="973"/>
        <w:gridCol w:w="973"/>
        <w:gridCol w:w="973"/>
        <w:gridCol w:w="973"/>
        <w:gridCol w:w="973"/>
        <w:gridCol w:w="973"/>
        <w:gridCol w:w="9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 w:hRule="atLeast"/>
          <w:jc w:val="center"/>
        </w:trPr>
        <w:tc>
          <w:tcPr>
            <w:tcW w:w="1330"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auto"/>
                <w:sz w:val="21"/>
                <w:szCs w:val="21"/>
                <w:highlight w:val="none"/>
                <w:u w:val="none"/>
              </w:rPr>
            </w:pPr>
            <w:r>
              <w:rPr>
                <w:rFonts w:hint="default" w:ascii="Times New Roman" w:hAnsi="Times New Roman" w:eastAsia="宋体" w:cs="Times New Roman"/>
                <w:b/>
                <w:bCs w:val="0"/>
                <w:i w:val="0"/>
                <w:color w:val="auto"/>
                <w:kern w:val="0"/>
                <w:sz w:val="21"/>
                <w:szCs w:val="21"/>
                <w:highlight w:val="none"/>
                <w:u w:val="none"/>
                <w:lang w:val="en-US" w:eastAsia="zh-CN" w:bidi="ar"/>
              </w:rPr>
              <w:t>单项污染指数</w:t>
            </w:r>
          </w:p>
        </w:tc>
        <w:tc>
          <w:tcPr>
            <w:tcW w:w="1010"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auto"/>
                <w:sz w:val="21"/>
                <w:szCs w:val="21"/>
                <w:highlight w:val="none"/>
                <w:u w:val="none"/>
              </w:rPr>
            </w:pPr>
            <w:r>
              <w:rPr>
                <w:rFonts w:hint="default" w:ascii="Times New Roman" w:hAnsi="Times New Roman" w:cs="Times New Roman"/>
                <w:b/>
                <w:bCs w:val="0"/>
                <w:i w:val="0"/>
                <w:color w:val="auto"/>
                <w:kern w:val="0"/>
                <w:sz w:val="21"/>
                <w:szCs w:val="21"/>
                <w:highlight w:val="none"/>
                <w:u w:val="none"/>
                <w:lang w:val="en-US" w:eastAsia="zh-CN" w:bidi="ar"/>
              </w:rPr>
              <w:t>总氟化物</w:t>
            </w:r>
          </w:p>
        </w:tc>
        <w:tc>
          <w:tcPr>
            <w:tcW w:w="972"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auto"/>
                <w:sz w:val="21"/>
                <w:szCs w:val="21"/>
                <w:highlight w:val="none"/>
                <w:u w:val="none"/>
              </w:rPr>
            </w:pPr>
            <w:r>
              <w:rPr>
                <w:rFonts w:hint="default" w:ascii="Times New Roman" w:hAnsi="Times New Roman" w:eastAsia="宋体" w:cs="Times New Roman"/>
                <w:b/>
                <w:bCs w:val="0"/>
                <w:i w:val="0"/>
                <w:color w:val="auto"/>
                <w:kern w:val="0"/>
                <w:sz w:val="21"/>
                <w:szCs w:val="21"/>
                <w:highlight w:val="none"/>
                <w:u w:val="none"/>
                <w:lang w:val="en-US" w:eastAsia="zh-CN" w:bidi="ar"/>
              </w:rPr>
              <w:t>铅</w:t>
            </w:r>
          </w:p>
        </w:tc>
        <w:tc>
          <w:tcPr>
            <w:tcW w:w="972"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auto"/>
                <w:sz w:val="21"/>
                <w:szCs w:val="21"/>
                <w:highlight w:val="none"/>
                <w:u w:val="none"/>
              </w:rPr>
            </w:pPr>
            <w:r>
              <w:rPr>
                <w:rFonts w:hint="default" w:ascii="Times New Roman" w:hAnsi="Times New Roman" w:eastAsia="宋体" w:cs="Times New Roman"/>
                <w:b/>
                <w:bCs w:val="0"/>
                <w:i w:val="0"/>
                <w:color w:val="auto"/>
                <w:kern w:val="0"/>
                <w:sz w:val="21"/>
                <w:szCs w:val="21"/>
                <w:highlight w:val="none"/>
                <w:u w:val="none"/>
                <w:lang w:val="en-US" w:eastAsia="zh-CN" w:bidi="ar"/>
              </w:rPr>
              <w:t>汞</w:t>
            </w:r>
          </w:p>
        </w:tc>
        <w:tc>
          <w:tcPr>
            <w:tcW w:w="972"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auto"/>
                <w:sz w:val="21"/>
                <w:szCs w:val="21"/>
                <w:highlight w:val="none"/>
                <w:u w:val="none"/>
              </w:rPr>
            </w:pPr>
            <w:r>
              <w:rPr>
                <w:rFonts w:hint="default" w:ascii="Times New Roman" w:hAnsi="Times New Roman" w:eastAsia="宋体" w:cs="Times New Roman"/>
                <w:b/>
                <w:bCs w:val="0"/>
                <w:i w:val="0"/>
                <w:color w:val="auto"/>
                <w:kern w:val="0"/>
                <w:sz w:val="21"/>
                <w:szCs w:val="21"/>
                <w:highlight w:val="none"/>
                <w:u w:val="none"/>
                <w:lang w:val="en-US" w:eastAsia="zh-CN" w:bidi="ar"/>
              </w:rPr>
              <w:t>钴</w:t>
            </w:r>
          </w:p>
        </w:tc>
        <w:tc>
          <w:tcPr>
            <w:tcW w:w="972"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auto"/>
                <w:sz w:val="21"/>
                <w:szCs w:val="21"/>
                <w:highlight w:val="none"/>
                <w:u w:val="none"/>
              </w:rPr>
            </w:pPr>
            <w:r>
              <w:rPr>
                <w:rFonts w:hint="default" w:ascii="Times New Roman" w:hAnsi="Times New Roman" w:eastAsia="宋体" w:cs="Times New Roman"/>
                <w:b/>
                <w:bCs w:val="0"/>
                <w:i w:val="0"/>
                <w:color w:val="auto"/>
                <w:kern w:val="0"/>
                <w:sz w:val="21"/>
                <w:szCs w:val="21"/>
                <w:highlight w:val="none"/>
                <w:u w:val="none"/>
                <w:lang w:val="en-US" w:eastAsia="zh-CN" w:bidi="ar"/>
              </w:rPr>
              <w:t>镉</w:t>
            </w:r>
          </w:p>
        </w:tc>
        <w:tc>
          <w:tcPr>
            <w:tcW w:w="973"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auto"/>
                <w:sz w:val="21"/>
                <w:szCs w:val="21"/>
                <w:highlight w:val="none"/>
                <w:u w:val="none"/>
              </w:rPr>
            </w:pPr>
            <w:r>
              <w:rPr>
                <w:rFonts w:hint="default" w:ascii="Times New Roman" w:hAnsi="Times New Roman" w:eastAsia="宋体" w:cs="Times New Roman"/>
                <w:b/>
                <w:bCs w:val="0"/>
                <w:i w:val="0"/>
                <w:color w:val="auto"/>
                <w:kern w:val="0"/>
                <w:sz w:val="21"/>
                <w:szCs w:val="21"/>
                <w:highlight w:val="none"/>
                <w:u w:val="none"/>
                <w:lang w:val="en-US" w:eastAsia="zh-CN" w:bidi="ar"/>
              </w:rPr>
              <w:t>铜</w:t>
            </w:r>
          </w:p>
        </w:tc>
        <w:tc>
          <w:tcPr>
            <w:tcW w:w="973"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auto"/>
                <w:sz w:val="21"/>
                <w:szCs w:val="21"/>
                <w:highlight w:val="none"/>
                <w:u w:val="none"/>
              </w:rPr>
            </w:pPr>
            <w:r>
              <w:rPr>
                <w:rFonts w:hint="default" w:ascii="Times New Roman" w:hAnsi="Times New Roman" w:eastAsia="宋体" w:cs="Times New Roman"/>
                <w:b/>
                <w:bCs w:val="0"/>
                <w:i w:val="0"/>
                <w:color w:val="auto"/>
                <w:kern w:val="0"/>
                <w:sz w:val="21"/>
                <w:szCs w:val="21"/>
                <w:highlight w:val="none"/>
                <w:u w:val="none"/>
                <w:lang w:val="en-US" w:eastAsia="zh-CN" w:bidi="ar"/>
              </w:rPr>
              <w:t>镍</w:t>
            </w:r>
          </w:p>
        </w:tc>
        <w:tc>
          <w:tcPr>
            <w:tcW w:w="973"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auto"/>
                <w:sz w:val="21"/>
                <w:szCs w:val="21"/>
                <w:highlight w:val="none"/>
                <w:u w:val="none"/>
              </w:rPr>
            </w:pPr>
            <w:r>
              <w:rPr>
                <w:rFonts w:hint="default" w:ascii="Times New Roman" w:hAnsi="Times New Roman" w:eastAsia="宋体" w:cs="Times New Roman"/>
                <w:b/>
                <w:bCs w:val="0"/>
                <w:i w:val="0"/>
                <w:color w:val="auto"/>
                <w:kern w:val="0"/>
                <w:sz w:val="21"/>
                <w:szCs w:val="21"/>
                <w:highlight w:val="none"/>
                <w:u w:val="none"/>
                <w:lang w:val="en-US" w:eastAsia="zh-CN" w:bidi="ar"/>
              </w:rPr>
              <w:t>铬</w:t>
            </w:r>
          </w:p>
        </w:tc>
        <w:tc>
          <w:tcPr>
            <w:tcW w:w="973"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auto"/>
                <w:kern w:val="0"/>
                <w:sz w:val="21"/>
                <w:szCs w:val="21"/>
                <w:highlight w:val="none"/>
                <w:u w:val="none"/>
                <w:lang w:val="en-US" w:eastAsia="zh-CN" w:bidi="ar"/>
              </w:rPr>
            </w:pPr>
            <w:r>
              <w:rPr>
                <w:rFonts w:hint="default" w:ascii="Times New Roman" w:hAnsi="Times New Roman" w:cs="Times New Roman"/>
                <w:b/>
                <w:bCs w:val="0"/>
                <w:i w:val="0"/>
                <w:color w:val="auto"/>
                <w:kern w:val="0"/>
                <w:sz w:val="21"/>
                <w:szCs w:val="21"/>
                <w:highlight w:val="none"/>
                <w:u w:val="none"/>
                <w:lang w:val="en-US" w:eastAsia="zh-CN" w:bidi="ar"/>
              </w:rPr>
              <w:t>锌</w:t>
            </w:r>
          </w:p>
        </w:tc>
        <w:tc>
          <w:tcPr>
            <w:tcW w:w="973"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auto"/>
                <w:sz w:val="21"/>
                <w:szCs w:val="21"/>
                <w:highlight w:val="none"/>
                <w:u w:val="none"/>
              </w:rPr>
            </w:pPr>
            <w:r>
              <w:rPr>
                <w:rFonts w:hint="default" w:ascii="Times New Roman" w:hAnsi="Times New Roman" w:eastAsia="宋体" w:cs="Times New Roman"/>
                <w:b/>
                <w:bCs w:val="0"/>
                <w:i w:val="0"/>
                <w:color w:val="auto"/>
                <w:kern w:val="0"/>
                <w:sz w:val="21"/>
                <w:szCs w:val="21"/>
                <w:highlight w:val="none"/>
                <w:u w:val="none"/>
                <w:lang w:val="en-US" w:eastAsia="zh-CN" w:bidi="ar"/>
              </w:rPr>
              <w:t>砷</w:t>
            </w:r>
          </w:p>
        </w:tc>
        <w:tc>
          <w:tcPr>
            <w:tcW w:w="973"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auto"/>
                <w:sz w:val="21"/>
                <w:szCs w:val="21"/>
                <w:highlight w:val="none"/>
                <w:u w:val="none"/>
                <w:lang w:eastAsia="zh-CN"/>
              </w:rPr>
            </w:pPr>
            <w:r>
              <w:rPr>
                <w:rFonts w:hint="default" w:ascii="Times New Roman" w:hAnsi="Times New Roman" w:cs="Times New Roman"/>
                <w:b/>
                <w:bCs w:val="0"/>
                <w:i w:val="0"/>
                <w:color w:val="auto"/>
                <w:sz w:val="21"/>
                <w:szCs w:val="21"/>
                <w:highlight w:val="none"/>
                <w:u w:val="none"/>
                <w:lang w:eastAsia="zh-CN"/>
              </w:rPr>
              <w:t>钼</w:t>
            </w:r>
          </w:p>
        </w:tc>
        <w:tc>
          <w:tcPr>
            <w:tcW w:w="973"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auto"/>
                <w:sz w:val="21"/>
                <w:szCs w:val="21"/>
                <w:highlight w:val="none"/>
                <w:u w:val="none"/>
                <w:lang w:val="en-US" w:eastAsia="zh-CN"/>
              </w:rPr>
            </w:pPr>
            <w:r>
              <w:rPr>
                <w:rFonts w:hint="default" w:ascii="Times New Roman" w:hAnsi="Times New Roman" w:cs="Times New Roman"/>
                <w:b/>
                <w:bCs w:val="0"/>
                <w:i w:val="0"/>
                <w:color w:val="auto"/>
                <w:sz w:val="21"/>
                <w:szCs w:val="21"/>
                <w:highlight w:val="none"/>
                <w:u w:val="none"/>
                <w:lang w:val="en-US" w:eastAsia="zh-CN"/>
              </w:rPr>
              <w:t>锑</w:t>
            </w:r>
          </w:p>
        </w:tc>
        <w:tc>
          <w:tcPr>
            <w:tcW w:w="973"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auto"/>
                <w:kern w:val="0"/>
                <w:sz w:val="21"/>
                <w:szCs w:val="21"/>
                <w:highlight w:val="none"/>
                <w:u w:val="none"/>
                <w:lang w:val="en-US" w:eastAsia="zh-CN" w:bidi="ar"/>
              </w:rPr>
            </w:pPr>
            <w:r>
              <w:rPr>
                <w:rFonts w:hint="default" w:ascii="Times New Roman" w:hAnsi="Times New Roman" w:cs="Times New Roman"/>
                <w:b/>
                <w:bCs w:val="0"/>
                <w:i w:val="0"/>
                <w:color w:val="auto"/>
                <w:kern w:val="0"/>
                <w:sz w:val="21"/>
                <w:szCs w:val="21"/>
                <w:highlight w:val="none"/>
                <w:u w:val="none"/>
                <w:lang w:val="en-US" w:eastAsia="zh-CN" w:bidi="ar"/>
              </w:rPr>
              <w:t>石油烃</w:t>
            </w:r>
          </w:p>
        </w:tc>
        <w:tc>
          <w:tcPr>
            <w:tcW w:w="973" w:type="dxa"/>
            <w:tcBorders>
              <w:bottom w:val="single" w:color="auto" w:sz="12"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val="0"/>
                <w:i w:val="0"/>
                <w:color w:val="auto"/>
                <w:sz w:val="21"/>
                <w:szCs w:val="21"/>
                <w:highlight w:val="none"/>
                <w:u w:val="none"/>
                <w:lang w:eastAsia="zh-CN"/>
              </w:rPr>
            </w:pPr>
            <w:r>
              <w:rPr>
                <w:rFonts w:hint="default" w:ascii="Times New Roman" w:hAnsi="Times New Roman" w:cs="Times New Roman"/>
                <w:b/>
                <w:bCs w:val="0"/>
                <w:i w:val="0"/>
                <w:color w:val="auto"/>
                <w:sz w:val="21"/>
                <w:szCs w:val="21"/>
                <w:highlight w:val="none"/>
                <w:u w:val="none"/>
                <w:lang w:eastAsia="zh-CN"/>
              </w:rPr>
              <w:t>二噁英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30"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Style w:val="70"/>
                <w:rFonts w:hint="default" w:ascii="Times New Roman" w:hAnsi="Times New Roman" w:eastAsia="宋体" w:cs="Times New Roman"/>
                <w:color w:val="auto"/>
                <w:sz w:val="21"/>
                <w:szCs w:val="21"/>
                <w:highlight w:val="none"/>
                <w:lang w:val="en-US" w:eastAsia="zh-CN" w:bidi="ar"/>
              </w:rPr>
              <w:t xml:space="preserve">PI </w:t>
            </w:r>
            <w:r>
              <w:rPr>
                <w:rFonts w:hint="default" w:ascii="Times New Roman" w:hAnsi="Times New Roman" w:eastAsia="宋体" w:cs="Times New Roman"/>
                <w:i w:val="0"/>
                <w:color w:val="auto"/>
                <w:kern w:val="0"/>
                <w:sz w:val="21"/>
                <w:szCs w:val="21"/>
                <w:highlight w:val="none"/>
                <w:u w:val="none"/>
                <w:vertAlign w:val="subscript"/>
                <w:lang w:val="en-US" w:eastAsia="zh-CN" w:bidi="ar"/>
              </w:rPr>
              <w:t>均</w:t>
            </w:r>
          </w:p>
        </w:tc>
        <w:tc>
          <w:tcPr>
            <w:tcW w:w="1010"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0.08138</w:t>
            </w:r>
          </w:p>
        </w:tc>
        <w:tc>
          <w:tcPr>
            <w:tcW w:w="972"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0.03796</w:t>
            </w:r>
          </w:p>
        </w:tc>
        <w:tc>
          <w:tcPr>
            <w:tcW w:w="972"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0.00590</w:t>
            </w:r>
          </w:p>
        </w:tc>
        <w:tc>
          <w:tcPr>
            <w:tcW w:w="972"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0.19222</w:t>
            </w:r>
          </w:p>
        </w:tc>
        <w:tc>
          <w:tcPr>
            <w:tcW w:w="972"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0.00968</w:t>
            </w:r>
          </w:p>
        </w:tc>
        <w:tc>
          <w:tcPr>
            <w:tcW w:w="973"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0.01588</w:t>
            </w:r>
          </w:p>
        </w:tc>
        <w:tc>
          <w:tcPr>
            <w:tcW w:w="973"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0.06299</w:t>
            </w:r>
          </w:p>
        </w:tc>
        <w:tc>
          <w:tcPr>
            <w:tcW w:w="973"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0.04117</w:t>
            </w:r>
          </w:p>
        </w:tc>
        <w:tc>
          <w:tcPr>
            <w:tcW w:w="973"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0.16000</w:t>
            </w:r>
          </w:p>
        </w:tc>
        <w:tc>
          <w:tcPr>
            <w:tcW w:w="973"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0.17875</w:t>
            </w:r>
          </w:p>
        </w:tc>
        <w:tc>
          <w:tcPr>
            <w:tcW w:w="973"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0.00570</w:t>
            </w:r>
          </w:p>
        </w:tc>
        <w:tc>
          <w:tcPr>
            <w:tcW w:w="973"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0.01398</w:t>
            </w:r>
          </w:p>
        </w:tc>
        <w:tc>
          <w:tcPr>
            <w:tcW w:w="973"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0.00629</w:t>
            </w:r>
          </w:p>
        </w:tc>
        <w:tc>
          <w:tcPr>
            <w:tcW w:w="973" w:type="dxa"/>
            <w:tcBorders>
              <w:top w:val="single" w:color="auto" w:sz="12" w:space="0"/>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0.00900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Style w:val="70"/>
                <w:rFonts w:hint="default" w:ascii="Times New Roman" w:hAnsi="Times New Roman" w:eastAsia="宋体" w:cs="Times New Roman"/>
                <w:color w:val="auto"/>
                <w:sz w:val="21"/>
                <w:szCs w:val="21"/>
                <w:highlight w:val="none"/>
                <w:lang w:val="en-US" w:eastAsia="zh-CN" w:bidi="ar"/>
              </w:rPr>
              <w:t xml:space="preserve">PI </w:t>
            </w:r>
            <w:r>
              <w:rPr>
                <w:rFonts w:hint="default" w:ascii="Times New Roman" w:hAnsi="Times New Roman" w:eastAsia="宋体" w:cs="Times New Roman"/>
                <w:i w:val="0"/>
                <w:color w:val="auto"/>
                <w:kern w:val="0"/>
                <w:sz w:val="21"/>
                <w:szCs w:val="21"/>
                <w:highlight w:val="none"/>
                <w:u w:val="none"/>
                <w:vertAlign w:val="subscript"/>
                <w:lang w:val="en-US" w:eastAsia="zh-CN" w:bidi="ar"/>
              </w:rPr>
              <w:t>最大</w:t>
            </w:r>
          </w:p>
        </w:tc>
        <w:tc>
          <w:tcPr>
            <w:tcW w:w="10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0.27143</w:t>
            </w:r>
          </w:p>
        </w:tc>
        <w:tc>
          <w:tcPr>
            <w:tcW w:w="9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0.16167</w:t>
            </w:r>
          </w:p>
        </w:tc>
        <w:tc>
          <w:tcPr>
            <w:tcW w:w="9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0.04583</w:t>
            </w:r>
          </w:p>
        </w:tc>
        <w:tc>
          <w:tcPr>
            <w:tcW w:w="9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0.60000</w:t>
            </w:r>
          </w:p>
        </w:tc>
        <w:tc>
          <w:tcPr>
            <w:tcW w:w="9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0.13333</w:t>
            </w:r>
          </w:p>
        </w:tc>
        <w:tc>
          <w:tcPr>
            <w:tcW w:w="9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0.22000</w:t>
            </w:r>
          </w:p>
        </w:tc>
        <w:tc>
          <w:tcPr>
            <w:tcW w:w="9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0.29000</w:t>
            </w:r>
          </w:p>
        </w:tc>
        <w:tc>
          <w:tcPr>
            <w:tcW w:w="9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0.30500</w:t>
            </w:r>
          </w:p>
        </w:tc>
        <w:tc>
          <w:tcPr>
            <w:tcW w:w="9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0.16000</w:t>
            </w:r>
          </w:p>
        </w:tc>
        <w:tc>
          <w:tcPr>
            <w:tcW w:w="9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0.40000</w:t>
            </w:r>
          </w:p>
        </w:tc>
        <w:tc>
          <w:tcPr>
            <w:tcW w:w="9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0.02273</w:t>
            </w:r>
          </w:p>
        </w:tc>
        <w:tc>
          <w:tcPr>
            <w:tcW w:w="9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0.06000</w:t>
            </w:r>
          </w:p>
        </w:tc>
        <w:tc>
          <w:tcPr>
            <w:tcW w:w="9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0.05085</w:t>
            </w:r>
          </w:p>
        </w:tc>
        <w:tc>
          <w:tcPr>
            <w:tcW w:w="9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0.00900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Style w:val="70"/>
                <w:rFonts w:hint="default" w:ascii="Times New Roman" w:hAnsi="Times New Roman" w:eastAsia="宋体" w:cs="Times New Roman"/>
                <w:color w:val="auto"/>
                <w:sz w:val="21"/>
                <w:szCs w:val="21"/>
                <w:highlight w:val="none"/>
                <w:lang w:val="en-US" w:eastAsia="zh-CN" w:bidi="ar"/>
              </w:rPr>
              <w:t>P</w:t>
            </w:r>
            <w:r>
              <w:rPr>
                <w:rFonts w:hint="default" w:ascii="Times New Roman" w:hAnsi="Times New Roman" w:eastAsia="宋体" w:cs="Times New Roman"/>
                <w:i w:val="0"/>
                <w:color w:val="auto"/>
                <w:kern w:val="0"/>
                <w:sz w:val="21"/>
                <w:szCs w:val="21"/>
                <w:highlight w:val="none"/>
                <w:u w:val="none"/>
                <w:vertAlign w:val="subscript"/>
                <w:lang w:val="en-US" w:eastAsia="zh-CN" w:bidi="ar"/>
              </w:rPr>
              <w:t>N</w:t>
            </w:r>
          </w:p>
        </w:tc>
        <w:tc>
          <w:tcPr>
            <w:tcW w:w="10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0.20037</w:t>
            </w:r>
          </w:p>
        </w:tc>
        <w:tc>
          <w:tcPr>
            <w:tcW w:w="9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0.11742</w:t>
            </w:r>
          </w:p>
        </w:tc>
        <w:tc>
          <w:tcPr>
            <w:tcW w:w="9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0.03268</w:t>
            </w:r>
          </w:p>
        </w:tc>
        <w:tc>
          <w:tcPr>
            <w:tcW w:w="9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0.44551</w:t>
            </w:r>
          </w:p>
        </w:tc>
        <w:tc>
          <w:tcPr>
            <w:tcW w:w="9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0.09453</w:t>
            </w:r>
          </w:p>
        </w:tc>
        <w:tc>
          <w:tcPr>
            <w:tcW w:w="9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0.15597</w:t>
            </w:r>
          </w:p>
        </w:tc>
        <w:tc>
          <w:tcPr>
            <w:tcW w:w="9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0.20984</w:t>
            </w:r>
          </w:p>
        </w:tc>
        <w:tc>
          <w:tcPr>
            <w:tcW w:w="9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0.21762</w:t>
            </w:r>
          </w:p>
        </w:tc>
        <w:tc>
          <w:tcPr>
            <w:tcW w:w="9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0.16000</w:t>
            </w:r>
          </w:p>
        </w:tc>
        <w:tc>
          <w:tcPr>
            <w:tcW w:w="9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0.30980</w:t>
            </w:r>
          </w:p>
        </w:tc>
        <w:tc>
          <w:tcPr>
            <w:tcW w:w="9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0.01657</w:t>
            </w:r>
          </w:p>
        </w:tc>
        <w:tc>
          <w:tcPr>
            <w:tcW w:w="9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0.04356</w:t>
            </w:r>
          </w:p>
        </w:tc>
        <w:tc>
          <w:tcPr>
            <w:tcW w:w="9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0.03623</w:t>
            </w:r>
          </w:p>
        </w:tc>
        <w:tc>
          <w:tcPr>
            <w:tcW w:w="97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0.00900</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0" w:firstLineChars="0"/>
        <w:jc w:val="both"/>
        <w:textAlignment w:val="auto"/>
        <w:rPr>
          <w:rFonts w:hint="default" w:ascii="Times New Roman" w:hAnsi="Times New Roman" w:eastAsia="宋体" w:cs="Times New Roman"/>
          <w:b w:val="0"/>
          <w:bCs w:val="0"/>
          <w:color w:val="auto"/>
          <w:highlight w:val="none"/>
          <w:lang w:val="en-US" w:eastAsia="zh-CN"/>
        </w:rPr>
        <w:sectPr>
          <w:pgSz w:w="16838" w:h="11905" w:orient="landscape"/>
          <w:pgMar w:top="1134" w:right="1134" w:bottom="1134" w:left="1134" w:header="850" w:footer="992" w:gutter="0"/>
          <w:pgBorders>
            <w:top w:val="none" w:sz="0" w:space="0"/>
            <w:left w:val="none" w:sz="0" w:space="0"/>
            <w:bottom w:val="none" w:sz="0" w:space="0"/>
            <w:right w:val="none" w:sz="0" w:space="0"/>
          </w:pgBorders>
          <w:pgNumType w:fmt="numberInDash"/>
          <w:cols w:space="0" w:num="1"/>
          <w:rtlGutter w:val="0"/>
          <w:docGrid w:type="lines" w:linePitch="332" w:charSpace="0"/>
        </w:sectPr>
      </w:pPr>
      <w:r>
        <w:rPr>
          <w:rFonts w:hint="default" w:ascii="Times New Roman" w:hAnsi="Times New Roman" w:eastAsia="宋体" w:cs="Times New Roman"/>
          <w:b w:val="0"/>
          <w:bCs w:val="0"/>
          <w:color w:val="auto"/>
          <w:highlight w:val="none"/>
          <w:lang w:val="en-US" w:eastAsia="zh-CN"/>
        </w:rPr>
        <w:t>根据表</w:t>
      </w:r>
      <w:r>
        <w:rPr>
          <w:rFonts w:hint="default" w:ascii="Times New Roman" w:hAnsi="Times New Roman" w:cs="Times New Roman"/>
          <w:b w:val="0"/>
          <w:bCs w:val="0"/>
          <w:color w:val="auto"/>
          <w:highlight w:val="none"/>
          <w:lang w:val="en-US" w:eastAsia="zh-CN"/>
        </w:rPr>
        <w:t>5</w:t>
      </w:r>
      <w:r>
        <w:rPr>
          <w:rFonts w:hint="default" w:ascii="Times New Roman" w:hAnsi="Times New Roman" w:eastAsia="宋体" w:cs="Times New Roman"/>
          <w:b w:val="0"/>
          <w:bCs w:val="0"/>
          <w:color w:val="auto"/>
          <w:highlight w:val="none"/>
          <w:lang w:val="en-US" w:eastAsia="zh-CN"/>
        </w:rPr>
        <w:t>-</w:t>
      </w:r>
      <w:r>
        <w:rPr>
          <w:rFonts w:hint="default" w:ascii="Times New Roman" w:hAnsi="Times New Roman" w:cs="Times New Roman"/>
          <w:b w:val="0"/>
          <w:bCs w:val="0"/>
          <w:color w:val="auto"/>
          <w:highlight w:val="none"/>
          <w:lang w:val="en-US" w:eastAsia="zh-CN"/>
        </w:rPr>
        <w:t>4</w:t>
      </w:r>
      <w:r>
        <w:rPr>
          <w:rFonts w:hint="default" w:ascii="Times New Roman" w:hAnsi="Times New Roman" w:eastAsia="宋体" w:cs="Times New Roman"/>
          <w:b w:val="0"/>
          <w:bCs w:val="0"/>
          <w:color w:val="auto"/>
          <w:highlight w:val="none"/>
          <w:lang w:val="en-US" w:eastAsia="zh-CN"/>
        </w:rPr>
        <w:t>-</w:t>
      </w:r>
      <w:r>
        <w:rPr>
          <w:rFonts w:hint="default" w:ascii="Times New Roman" w:hAnsi="Times New Roman" w:cs="Times New Roman"/>
          <w:b w:val="0"/>
          <w:bCs w:val="0"/>
          <w:color w:val="auto"/>
          <w:highlight w:val="none"/>
          <w:lang w:val="en-US" w:eastAsia="zh-CN"/>
        </w:rPr>
        <w:t>2</w:t>
      </w:r>
      <w:r>
        <w:rPr>
          <w:rFonts w:hint="default" w:ascii="Times New Roman" w:hAnsi="Times New Roman" w:eastAsia="宋体" w:cs="Times New Roman"/>
          <w:b w:val="0"/>
          <w:bCs w:val="0"/>
          <w:color w:val="auto"/>
          <w:highlight w:val="none"/>
          <w:lang w:val="en-US" w:eastAsia="zh-CN"/>
        </w:rPr>
        <w:t>中内容，该工业园区P</w:t>
      </w:r>
      <w:r>
        <w:rPr>
          <w:rFonts w:hint="default" w:ascii="Times New Roman" w:hAnsi="Times New Roman" w:eastAsia="宋体" w:cs="Times New Roman"/>
          <w:b w:val="0"/>
          <w:bCs w:val="0"/>
          <w:color w:val="auto"/>
          <w:highlight w:val="none"/>
          <w:vertAlign w:val="subscript"/>
          <w:lang w:val="en-US" w:eastAsia="zh-CN"/>
        </w:rPr>
        <w:t>N</w:t>
      </w:r>
      <w:r>
        <w:rPr>
          <w:rFonts w:hint="default" w:ascii="Times New Roman" w:hAnsi="Times New Roman" w:cs="Times New Roman"/>
          <w:b w:val="0"/>
          <w:bCs w:val="0"/>
          <w:color w:val="auto"/>
          <w:highlight w:val="none"/>
          <w:vertAlign w:val="subscript"/>
          <w:lang w:val="en-US" w:eastAsia="zh-CN"/>
        </w:rPr>
        <w:t>max</w:t>
      </w:r>
      <w:r>
        <w:rPr>
          <w:rFonts w:hint="default" w:ascii="Times New Roman" w:hAnsi="Times New Roman" w:cs="Times New Roman"/>
          <w:b w:val="0"/>
          <w:bCs w:val="0"/>
          <w:color w:val="auto"/>
          <w:highlight w:val="none"/>
          <w:lang w:val="en-US" w:eastAsia="zh-CN"/>
        </w:rPr>
        <w:t>=0.4455＜0.7</w:t>
      </w:r>
      <w:r>
        <w:rPr>
          <w:rFonts w:hint="default" w:ascii="Times New Roman" w:hAnsi="Times New Roman" w:eastAsia="宋体" w:cs="Times New Roman"/>
          <w:b w:val="0"/>
          <w:bCs w:val="0"/>
          <w:color w:val="auto"/>
          <w:highlight w:val="none"/>
          <w:lang w:val="en-US" w:eastAsia="zh-CN"/>
        </w:rPr>
        <w:t>，依据表</w:t>
      </w:r>
      <w:r>
        <w:rPr>
          <w:rFonts w:hint="default" w:ascii="Times New Roman" w:hAnsi="Times New Roman" w:cs="Times New Roman"/>
          <w:b w:val="0"/>
          <w:bCs w:val="0"/>
          <w:color w:val="auto"/>
          <w:highlight w:val="none"/>
          <w:lang w:val="en-US" w:eastAsia="zh-CN"/>
        </w:rPr>
        <w:t>5-2-2</w:t>
      </w:r>
      <w:r>
        <w:rPr>
          <w:rFonts w:hint="default" w:ascii="Times New Roman" w:hAnsi="Times New Roman" w:eastAsia="宋体" w:cs="Times New Roman"/>
          <w:b w:val="0"/>
          <w:bCs w:val="0"/>
          <w:color w:val="auto"/>
          <w:highlight w:val="none"/>
          <w:lang w:val="en-US" w:eastAsia="zh-CN"/>
        </w:rPr>
        <w:t>内梅罗污染指数评价标准，该</w:t>
      </w:r>
      <w:r>
        <w:rPr>
          <w:rFonts w:hint="eastAsia" w:cs="Times New Roman"/>
          <w:b w:val="0"/>
          <w:bCs w:val="0"/>
          <w:color w:val="auto"/>
          <w:highlight w:val="none"/>
          <w:lang w:val="en-US" w:eastAsia="zh-CN"/>
        </w:rPr>
        <w:t>工业</w:t>
      </w:r>
      <w:r>
        <w:rPr>
          <w:rFonts w:hint="default" w:ascii="Times New Roman" w:hAnsi="Times New Roman" w:eastAsia="宋体" w:cs="Times New Roman"/>
          <w:b w:val="0"/>
          <w:bCs w:val="0"/>
          <w:color w:val="auto"/>
          <w:highlight w:val="none"/>
          <w:lang w:val="en-US" w:eastAsia="zh-CN"/>
        </w:rPr>
        <w:t>园区</w:t>
      </w:r>
      <w:r>
        <w:rPr>
          <w:rFonts w:hint="eastAsia" w:cs="Times New Roman"/>
          <w:b w:val="0"/>
          <w:bCs w:val="0"/>
          <w:color w:val="auto"/>
          <w:highlight w:val="none"/>
          <w:lang w:val="en-US" w:eastAsia="zh-CN"/>
        </w:rPr>
        <w:t>及周边</w:t>
      </w:r>
      <w:r>
        <w:rPr>
          <w:rFonts w:hint="default" w:ascii="Times New Roman" w:hAnsi="Times New Roman" w:cs="Times New Roman"/>
          <w:b w:val="0"/>
          <w:bCs w:val="0"/>
          <w:color w:val="auto"/>
          <w:highlight w:val="none"/>
          <w:lang w:val="en-US" w:eastAsia="zh-CN"/>
        </w:rPr>
        <w:t>土壤质量现状</w:t>
      </w:r>
      <w:r>
        <w:rPr>
          <w:rFonts w:hint="default" w:ascii="Times New Roman" w:hAnsi="Times New Roman" w:eastAsia="宋体" w:cs="Times New Roman"/>
          <w:b w:val="0"/>
          <w:bCs w:val="0"/>
          <w:color w:val="auto"/>
          <w:highlight w:val="none"/>
          <w:lang w:val="en-US" w:eastAsia="zh-CN"/>
        </w:rPr>
        <w:t>可判定为I级清洁（安全）。</w:t>
      </w:r>
    </w:p>
    <w:p>
      <w:pPr>
        <w:pStyle w:val="4"/>
        <w:tabs>
          <w:tab w:val="left" w:leader="dot" w:pos="0"/>
          <w:tab w:val="clear" w:pos="425"/>
        </w:tabs>
        <w:rPr>
          <w:rFonts w:hint="default" w:ascii="Times New Roman" w:hAnsi="Times New Roman" w:cs="Times New Roman"/>
          <w:color w:val="auto"/>
          <w:highlight w:val="none"/>
        </w:rPr>
      </w:pPr>
      <w:bookmarkStart w:id="74" w:name="_Toc24255"/>
      <w:bookmarkStart w:id="75" w:name="_Toc17729"/>
      <w:r>
        <w:rPr>
          <w:rFonts w:hint="default" w:ascii="Times New Roman" w:hAnsi="Times New Roman" w:cs="Times New Roman"/>
          <w:color w:val="auto"/>
          <w:highlight w:val="none"/>
        </w:rPr>
        <w:t>检测结果小结</w:t>
      </w:r>
      <w:bookmarkEnd w:id="72"/>
      <w:bookmarkEnd w:id="74"/>
      <w:bookmarkEnd w:id="75"/>
    </w:p>
    <w:p>
      <w:pPr>
        <w:pStyle w:val="5"/>
        <w:tabs>
          <w:tab w:val="clear" w:pos="851"/>
        </w:tabs>
        <w:rPr>
          <w:rFonts w:hint="default" w:ascii="Times New Roman" w:hAnsi="Times New Roman" w:cs="Times New Roman"/>
          <w:color w:val="auto"/>
          <w:highlight w:val="none"/>
        </w:rPr>
      </w:pPr>
      <w:r>
        <w:rPr>
          <w:rFonts w:hint="default" w:ascii="Times New Roman" w:hAnsi="Times New Roman" w:cs="Times New Roman"/>
          <w:color w:val="auto"/>
          <w:highlight w:val="none"/>
        </w:rPr>
        <w:t>土壤检测结果小结</w:t>
      </w:r>
    </w:p>
    <w:p>
      <w:pPr>
        <w:numPr>
          <w:ilvl w:val="0"/>
          <w:numId w:val="13"/>
        </w:numPr>
        <w:spacing w:line="360" w:lineRule="auto"/>
        <w:ind w:firstLine="420" w:firstLineChars="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rPr>
        <w:t>本次调查</w:t>
      </w:r>
      <w:r>
        <w:rPr>
          <w:rFonts w:hint="default" w:ascii="Times New Roman" w:hAnsi="Times New Roman" w:cs="Times New Roman"/>
          <w:color w:val="auto"/>
          <w:sz w:val="24"/>
          <w:highlight w:val="none"/>
          <w:lang w:eastAsia="zh-CN"/>
        </w:rPr>
        <w:t>共布设</w:t>
      </w:r>
      <w:r>
        <w:rPr>
          <w:rFonts w:hint="default" w:ascii="Times New Roman" w:hAnsi="Times New Roman" w:cs="Times New Roman"/>
          <w:color w:val="auto"/>
          <w:sz w:val="24"/>
          <w:highlight w:val="none"/>
          <w:lang w:val="en-US" w:eastAsia="zh-CN"/>
        </w:rPr>
        <w:t>16</w:t>
      </w:r>
      <w:r>
        <w:rPr>
          <w:rFonts w:hint="default" w:ascii="Times New Roman" w:hAnsi="Times New Roman" w:cs="Times New Roman"/>
          <w:color w:val="auto"/>
          <w:sz w:val="24"/>
          <w:highlight w:val="none"/>
        </w:rPr>
        <w:t>个土壤</w:t>
      </w:r>
      <w:r>
        <w:rPr>
          <w:rFonts w:hint="default" w:ascii="Times New Roman" w:hAnsi="Times New Roman" w:cs="Times New Roman"/>
          <w:color w:val="auto"/>
          <w:sz w:val="24"/>
          <w:highlight w:val="none"/>
          <w:lang w:eastAsia="zh-CN"/>
        </w:rPr>
        <w:t>点位，采集</w:t>
      </w:r>
      <w:r>
        <w:rPr>
          <w:rFonts w:hint="eastAsia" w:cs="Times New Roman"/>
          <w:color w:val="auto"/>
          <w:sz w:val="24"/>
          <w:highlight w:val="none"/>
          <w:lang w:val="en-US" w:eastAsia="zh-CN"/>
        </w:rPr>
        <w:t>16个土壤样品（不含质控样品）</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共检测</w:t>
      </w:r>
      <w:r>
        <w:rPr>
          <w:rFonts w:hint="default" w:ascii="Times New Roman" w:hAnsi="Times New Roman" w:cs="Times New Roman"/>
          <w:color w:val="auto"/>
          <w:sz w:val="24"/>
          <w:highlight w:val="none"/>
          <w:lang w:val="en-US" w:eastAsia="zh-CN"/>
        </w:rPr>
        <w:t>61</w:t>
      </w:r>
      <w:r>
        <w:rPr>
          <w:rFonts w:hint="default" w:ascii="Times New Roman" w:hAnsi="Times New Roman" w:cs="Times New Roman"/>
          <w:color w:val="auto"/>
          <w:sz w:val="24"/>
          <w:highlight w:val="none"/>
        </w:rPr>
        <w:t>项测试项目，其中</w:t>
      </w:r>
      <w:r>
        <w:rPr>
          <w:rFonts w:hint="default" w:ascii="Times New Roman" w:hAnsi="Times New Roman" w:cs="Times New Roman"/>
          <w:color w:val="auto"/>
          <w:sz w:val="24"/>
          <w:highlight w:val="none"/>
          <w:lang w:val="en-US" w:eastAsia="zh-CN"/>
        </w:rPr>
        <w:t>12</w:t>
      </w:r>
      <w:r>
        <w:rPr>
          <w:rFonts w:hint="default" w:ascii="Times New Roman" w:hAnsi="Times New Roman" w:cs="Times New Roman"/>
          <w:color w:val="auto"/>
          <w:sz w:val="24"/>
          <w:highlight w:val="none"/>
        </w:rPr>
        <w:t>项重金属测试项目除</w:t>
      </w:r>
      <w:r>
        <w:rPr>
          <w:rFonts w:hint="default" w:ascii="Times New Roman" w:hAnsi="Times New Roman" w:cs="Times New Roman"/>
          <w:color w:val="auto"/>
          <w:sz w:val="24"/>
          <w:highlight w:val="none"/>
          <w:lang w:eastAsia="zh-CN"/>
        </w:rPr>
        <w:t>铬（六价）</w:t>
      </w:r>
      <w:r>
        <w:rPr>
          <w:rFonts w:hint="default" w:ascii="Times New Roman" w:hAnsi="Times New Roman" w:cs="Times New Roman"/>
          <w:color w:val="auto"/>
          <w:sz w:val="24"/>
          <w:highlight w:val="none"/>
        </w:rPr>
        <w:t>外均有检出</w:t>
      </w:r>
      <w:r>
        <w:rPr>
          <w:rFonts w:hint="default" w:ascii="Times New Roman" w:hAnsi="Times New Roman" w:cs="Times New Roman"/>
          <w:color w:val="auto"/>
          <w:sz w:val="24"/>
          <w:highlight w:val="none"/>
          <w:lang w:eastAsia="zh-CN"/>
        </w:rPr>
        <w:t>，</w:t>
      </w:r>
      <w:r>
        <w:rPr>
          <w:rFonts w:hint="default" w:ascii="Times New Roman" w:hAnsi="Times New Roman" w:cs="Times New Roman"/>
          <w:lang w:eastAsia="zh-CN"/>
        </w:rPr>
        <w:t>除</w:t>
      </w:r>
      <w:r>
        <w:rPr>
          <w:rFonts w:hint="default" w:ascii="Times New Roman" w:hAnsi="Times New Roman" w:cs="Times New Roman"/>
          <w:lang w:val="en-US" w:eastAsia="zh-CN"/>
        </w:rPr>
        <w:t>SJG-JJ-8、SJG-JJ-9部分多环芳烃类半挥发性有机物指标有检出，其它</w:t>
      </w:r>
      <w:r>
        <w:rPr>
          <w:rFonts w:hint="default" w:ascii="Times New Roman" w:hAnsi="Times New Roman" w:cs="Times New Roman"/>
        </w:rPr>
        <w:t>所有</w:t>
      </w:r>
      <w:r>
        <w:rPr>
          <w:rFonts w:hint="default" w:ascii="Times New Roman" w:hAnsi="Times New Roman" w:cs="Times New Roman"/>
          <w:highlight w:val="none"/>
        </w:rPr>
        <w:t>土壤样品</w:t>
      </w:r>
      <w:r>
        <w:rPr>
          <w:rFonts w:hint="default" w:ascii="Times New Roman" w:hAnsi="Times New Roman" w:cs="Times New Roman"/>
        </w:rPr>
        <w:t>的挥发性有机物和半挥发性有机物均未检出</w:t>
      </w:r>
      <w:r>
        <w:rPr>
          <w:rFonts w:hint="default" w:ascii="Times New Roman" w:hAnsi="Times New Roman" w:cs="Times New Roman"/>
          <w:lang w:eastAsia="zh-CN"/>
        </w:rPr>
        <w:t>；</w:t>
      </w:r>
      <w:r>
        <w:rPr>
          <w:rFonts w:hint="default" w:ascii="Times New Roman" w:hAnsi="Times New Roman" w:cs="Times New Roman"/>
          <w:color w:val="auto"/>
          <w:sz w:val="24"/>
          <w:highlight w:val="none"/>
          <w:lang w:eastAsia="zh-CN"/>
        </w:rPr>
        <w:t>总氟化物、</w:t>
      </w:r>
      <w:r>
        <w:rPr>
          <w:rFonts w:hint="default" w:ascii="Times New Roman" w:hAnsi="Times New Roman" w:cs="Times New Roman"/>
          <w:color w:val="auto"/>
          <w:highlight w:val="none"/>
          <w:lang w:val="en-US" w:eastAsia="zh-CN"/>
        </w:rPr>
        <w:t>二噁英</w:t>
      </w:r>
      <w:r>
        <w:rPr>
          <w:rFonts w:hint="default" w:ascii="Times New Roman" w:hAnsi="Times New Roman" w:cs="Times New Roman"/>
          <w:color w:val="auto"/>
          <w:sz w:val="24"/>
          <w:highlight w:val="none"/>
          <w:lang w:eastAsia="zh-CN"/>
        </w:rPr>
        <w:t>均有检出</w:t>
      </w:r>
      <w:r>
        <w:rPr>
          <w:rFonts w:hint="default" w:ascii="Times New Roman" w:hAnsi="Times New Roman" w:cs="Times New Roman"/>
          <w:color w:val="auto"/>
          <w:sz w:val="24"/>
          <w:highlight w:val="none"/>
        </w:rPr>
        <w:t>。</w:t>
      </w:r>
    </w:p>
    <w:p>
      <w:pPr>
        <w:numPr>
          <w:ilvl w:val="0"/>
          <w:numId w:val="13"/>
        </w:numPr>
        <w:spacing w:line="360" w:lineRule="auto"/>
        <w:ind w:firstLine="420" w:firstLineChars="0"/>
        <w:rPr>
          <w:rFonts w:hint="default" w:ascii="Times New Roman" w:hAnsi="Times New Roman" w:cs="Times New Roman"/>
          <w:color w:val="auto"/>
          <w:sz w:val="24"/>
          <w:highlight w:val="none"/>
          <w:lang w:val="en-US" w:eastAsia="zh-CN"/>
        </w:rPr>
      </w:pPr>
      <w:r>
        <w:rPr>
          <w:rFonts w:hint="eastAsia" w:cs="Times New Roman"/>
          <w:highlight w:val="none"/>
          <w:lang w:val="en-US" w:eastAsia="zh-CN"/>
        </w:rPr>
        <w:t>除</w:t>
      </w:r>
      <w:r>
        <w:rPr>
          <w:rFonts w:hint="default" w:ascii="Times New Roman" w:hAnsi="Times New Roman" w:cs="Times New Roman"/>
          <w:color w:val="auto"/>
          <w:sz w:val="24"/>
          <w:highlight w:val="none"/>
          <w:lang w:val="en-US" w:eastAsia="zh-CN"/>
        </w:rPr>
        <w:t>土壤采样点位SJG-JJ-8</w:t>
      </w:r>
      <w:r>
        <w:rPr>
          <w:rFonts w:hint="eastAsia" w:cs="Times New Roman"/>
          <w:color w:val="auto"/>
          <w:sz w:val="24"/>
          <w:highlight w:val="none"/>
          <w:lang w:val="en-US" w:eastAsia="zh-CN"/>
        </w:rPr>
        <w:t>的</w:t>
      </w:r>
      <w:r>
        <w:rPr>
          <w:rFonts w:hint="default" w:ascii="Times New Roman" w:hAnsi="Times New Roman" w:cs="Times New Roman"/>
          <w:color w:val="auto"/>
          <w:sz w:val="24"/>
          <w:highlight w:val="none"/>
          <w:lang w:val="en-US" w:eastAsia="zh-CN"/>
        </w:rPr>
        <w:t>苯并（a）芘</w:t>
      </w:r>
      <w:r>
        <w:rPr>
          <w:rFonts w:hint="eastAsia" w:cs="Times New Roman"/>
          <w:color w:val="auto"/>
          <w:sz w:val="24"/>
          <w:highlight w:val="none"/>
          <w:lang w:val="en-US" w:eastAsia="zh-CN"/>
        </w:rPr>
        <w:t>外，</w:t>
      </w:r>
      <w:r>
        <w:rPr>
          <w:rFonts w:hint="default" w:ascii="Times New Roman" w:hAnsi="Times New Roman" w:cs="Times New Roman"/>
          <w:highlight w:val="none"/>
          <w:lang w:val="en-US" w:eastAsia="zh-CN"/>
        </w:rPr>
        <w:t>其他</w:t>
      </w:r>
      <w:r>
        <w:rPr>
          <w:rFonts w:hint="eastAsia" w:cs="Times New Roman"/>
          <w:highlight w:val="none"/>
          <w:lang w:val="en-US" w:eastAsia="zh-CN"/>
        </w:rPr>
        <w:t>各点位各检测</w:t>
      </w:r>
      <w:r>
        <w:rPr>
          <w:rFonts w:hint="default" w:ascii="Times New Roman" w:hAnsi="Times New Roman" w:cs="Times New Roman"/>
          <w:highlight w:val="none"/>
          <w:lang w:val="en-US" w:eastAsia="zh-CN"/>
        </w:rPr>
        <w:t>指标均满足</w:t>
      </w:r>
      <w:r>
        <w:rPr>
          <w:rFonts w:hint="default" w:ascii="Times New Roman" w:hAnsi="Times New Roman" w:cs="Times New Roman"/>
          <w:color w:val="auto"/>
          <w:sz w:val="24"/>
          <w:highlight w:val="none"/>
        </w:rPr>
        <w:t>《土壤环境质量 建设用地土壤污染风险管控标准（试行）》（GB36600-2018）</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highlight w:val="none"/>
          <w:lang w:eastAsia="zh-CN"/>
        </w:rPr>
        <w:t>《土壤环境质量 农用地土壤污染风险管控标准（试行）》（GB1561</w:t>
      </w:r>
      <w:r>
        <w:rPr>
          <w:rFonts w:hint="default" w:ascii="Times New Roman" w:hAnsi="Times New Roman" w:cs="Times New Roman"/>
          <w:color w:val="auto"/>
          <w:highlight w:val="none"/>
          <w:lang w:val="en-US" w:eastAsia="zh-CN"/>
        </w:rPr>
        <w:t>-2018</w:t>
      </w:r>
      <w:r>
        <w:rPr>
          <w:rFonts w:hint="default" w:ascii="Times New Roman" w:hAnsi="Times New Roman" w:cs="Times New Roman"/>
          <w:color w:val="auto"/>
          <w:highlight w:val="none"/>
          <w:lang w:eastAsia="zh-CN"/>
        </w:rPr>
        <w:t>）、《建设用地土壤污染风险筛选值和管制值》（DB4403_T 67-2020）（深圳）</w:t>
      </w:r>
      <w:r>
        <w:rPr>
          <w:rFonts w:hint="eastAsia" w:cs="Times New Roman"/>
          <w:color w:val="auto"/>
          <w:highlight w:val="none"/>
          <w:lang w:eastAsia="zh-CN"/>
        </w:rPr>
        <w:t>、</w:t>
      </w:r>
      <w:r>
        <w:rPr>
          <w:rFonts w:hint="default" w:ascii="Times New Roman" w:hAnsi="Times New Roman" w:cs="Times New Roman"/>
          <w:color w:val="000000"/>
          <w:kern w:val="0"/>
          <w:highlight w:val="none"/>
        </w:rPr>
        <w:t>《建设用地土壤污染风险筛选值（DB13_T 5216-2020）</w:t>
      </w:r>
      <w:r>
        <w:rPr>
          <w:rFonts w:hint="eastAsia" w:cs="Times New Roman"/>
          <w:color w:val="000000"/>
          <w:kern w:val="0"/>
          <w:highlight w:val="none"/>
          <w:lang w:eastAsia="zh-CN"/>
        </w:rPr>
        <w:t>（</w:t>
      </w:r>
      <w:r>
        <w:rPr>
          <w:rFonts w:hint="eastAsia" w:cs="Times New Roman"/>
          <w:color w:val="000000"/>
          <w:kern w:val="0"/>
          <w:highlight w:val="none"/>
          <w:lang w:val="en-US" w:eastAsia="zh-CN"/>
        </w:rPr>
        <w:t>河北</w:t>
      </w:r>
      <w:r>
        <w:rPr>
          <w:rFonts w:hint="eastAsia" w:cs="Times New Roman"/>
          <w:color w:val="000000"/>
          <w:kern w:val="0"/>
          <w:highlight w:val="none"/>
          <w:lang w:eastAsia="zh-CN"/>
        </w:rPr>
        <w:t>）</w:t>
      </w:r>
      <w:r>
        <w:rPr>
          <w:rFonts w:hint="default" w:ascii="Times New Roman" w:hAnsi="Times New Roman" w:cs="Times New Roman"/>
          <w:color w:val="000000"/>
          <w:kern w:val="0"/>
          <w:highlight w:val="none"/>
        </w:rPr>
        <w:t>》</w:t>
      </w:r>
      <w:r>
        <w:rPr>
          <w:rFonts w:hint="default" w:ascii="Times New Roman" w:hAnsi="Times New Roman" w:cs="Times New Roman"/>
          <w:color w:val="auto"/>
          <w:highlight w:val="none"/>
          <w:lang w:eastAsia="zh-CN"/>
        </w:rPr>
        <w:t>中相应用地类型筛选值的</w:t>
      </w:r>
      <w:r>
        <w:rPr>
          <w:rFonts w:hint="default" w:ascii="Times New Roman" w:hAnsi="Times New Roman" w:cs="Times New Roman"/>
          <w:color w:val="auto"/>
          <w:sz w:val="24"/>
          <w:highlight w:val="none"/>
        </w:rPr>
        <w:t>要求</w:t>
      </w:r>
      <w:r>
        <w:rPr>
          <w:rFonts w:hint="default" w:ascii="Times New Roman" w:hAnsi="Times New Roman" w:cs="Times New Roman"/>
          <w:color w:val="auto"/>
          <w:highlight w:val="none"/>
          <w:lang w:val="en-US" w:eastAsia="zh-CN"/>
        </w:rPr>
        <w:t>。</w:t>
      </w:r>
    </w:p>
    <w:p>
      <w:pPr>
        <w:numPr>
          <w:ilvl w:val="0"/>
          <w:numId w:val="13"/>
        </w:numPr>
        <w:spacing w:line="360" w:lineRule="auto"/>
        <w:ind w:firstLine="420" w:firstLineChars="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SJG-JJ-8污染物指标苯并（a）芘</w:t>
      </w:r>
      <w:r>
        <w:rPr>
          <w:rFonts w:hint="default" w:ascii="Times New Roman" w:hAnsi="Times New Roman" w:cs="Times New Roman"/>
          <w:highlight w:val="none"/>
          <w:lang w:val="en-US" w:eastAsia="zh-CN"/>
        </w:rPr>
        <w:t>高于《土壤环境质量建设用地土壤污染风险管控标准（试行）》（GB36600-2018）第二类建设用地筛选值且未超过第二类用地管制值</w:t>
      </w:r>
      <w:r>
        <w:rPr>
          <w:rFonts w:hint="eastAsia" w:cs="Times New Roman"/>
          <w:highlight w:val="none"/>
          <w:lang w:val="en-US" w:eastAsia="zh-CN"/>
        </w:rPr>
        <w:t>。</w:t>
      </w:r>
    </w:p>
    <w:p>
      <w:pPr>
        <w:numPr>
          <w:ilvl w:val="0"/>
          <w:numId w:val="13"/>
        </w:numPr>
        <w:spacing w:line="360" w:lineRule="auto"/>
        <w:ind w:firstLine="420" w:firstLineChars="0"/>
        <w:rPr>
          <w:rFonts w:hint="default" w:ascii="Times New Roman" w:hAnsi="Times New Roman" w:cs="Times New Roman"/>
          <w:color w:val="auto"/>
          <w:highlight w:val="none"/>
          <w:lang w:val="en-US" w:eastAsia="zh-CN"/>
        </w:rPr>
      </w:pPr>
      <w:r>
        <w:rPr>
          <w:rFonts w:hint="eastAsia"/>
          <w:lang w:val="en-US" w:eastAsia="zh-CN"/>
        </w:rPr>
        <w:t>参考</w:t>
      </w:r>
      <w:r>
        <w:rPr>
          <w:rFonts w:hint="default" w:ascii="Times New Roman" w:hAnsi="Times New Roman" w:cs="Times New Roman"/>
          <w:highlight w:val="none"/>
        </w:rPr>
        <w:t>《上海市建设用地土壤污染状况调查、风险评估、风险管控与修复方案编制、风险管控与修复效果评估工作的补充规定（试行）》</w:t>
      </w:r>
      <w:r>
        <w:rPr>
          <w:rFonts w:hint="default" w:ascii="Times New Roman" w:hAnsi="Times New Roman" w:cs="Times New Roman"/>
          <w:highlight w:val="none"/>
          <w:lang w:eastAsia="zh-CN"/>
        </w:rPr>
        <w:t>（沪环土（</w:t>
      </w:r>
      <w:r>
        <w:rPr>
          <w:rFonts w:hint="default" w:ascii="Times New Roman" w:hAnsi="Times New Roman" w:cs="Times New Roman"/>
          <w:highlight w:val="none"/>
          <w:lang w:val="en-US" w:eastAsia="zh-CN"/>
        </w:rPr>
        <w:t>2020</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62号</w:t>
      </w:r>
      <w:r>
        <w:rPr>
          <w:rFonts w:hint="default" w:ascii="Times New Roman" w:hAnsi="Times New Roman" w:cs="Times New Roman"/>
          <w:highlight w:val="none"/>
          <w:lang w:eastAsia="zh-CN"/>
        </w:rPr>
        <w:t>），</w:t>
      </w:r>
      <w:r>
        <w:rPr>
          <w:rFonts w:hint="default" w:ascii="Times New Roman" w:hAnsi="Times New Roman" w:cs="Times New Roman"/>
          <w:color w:val="auto"/>
          <w:highlight w:val="none"/>
          <w:lang w:val="en-US" w:eastAsia="zh-CN"/>
        </w:rPr>
        <w:t xml:space="preserve"> 在</w:t>
      </w:r>
      <w:r>
        <w:rPr>
          <w:rFonts w:hint="default" w:ascii="Times New Roman" w:hAnsi="Times New Roman" w:cs="Times New Roman"/>
          <w:color w:val="auto"/>
          <w:sz w:val="24"/>
          <w:highlight w:val="none"/>
          <w:lang w:val="en-US" w:eastAsia="zh-CN"/>
        </w:rPr>
        <w:t>SJG-JJ-8周边</w:t>
      </w:r>
      <w:r>
        <w:rPr>
          <w:rFonts w:hint="default" w:ascii="Times New Roman" w:hAnsi="Times New Roman" w:cs="Times New Roman"/>
          <w:lang w:eastAsia="zh-CN"/>
        </w:rPr>
        <w:t>补充布设</w:t>
      </w:r>
      <w:r>
        <w:rPr>
          <w:rFonts w:hint="default" w:ascii="Times New Roman" w:hAnsi="Times New Roman" w:cs="Times New Roman"/>
          <w:lang w:val="en-US" w:eastAsia="zh-CN"/>
        </w:rPr>
        <w:t>5个土壤点位，采集10个土壤样品、</w:t>
      </w:r>
      <w:r>
        <w:rPr>
          <w:rFonts w:hint="default" w:ascii="Times New Roman" w:hAnsi="Times New Roman" w:cs="Times New Roman"/>
          <w:color w:val="auto"/>
          <w:sz w:val="24"/>
          <w:highlight w:val="none"/>
          <w:lang w:val="en-US" w:eastAsia="zh-CN"/>
        </w:rPr>
        <w:t>1个现场平行盲样和1个运输空白样</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对苯并（a）芘进行检测。检测结果均为未检出；</w:t>
      </w:r>
      <w:r>
        <w:rPr>
          <w:rFonts w:hint="default" w:ascii="Times New Roman" w:hAnsi="Times New Roman" w:cs="Times New Roman"/>
          <w:highlight w:val="none"/>
          <w:lang w:val="en-US" w:eastAsia="zh-CN"/>
        </w:rPr>
        <w:t>因此，可以判断</w:t>
      </w:r>
      <w:r>
        <w:rPr>
          <w:rFonts w:hint="default" w:ascii="Times New Roman" w:hAnsi="Times New Roman" w:eastAsia="宋体" w:cs="Times New Roman"/>
          <w:sz w:val="24"/>
          <w:szCs w:val="24"/>
          <w:highlight w:val="none"/>
          <w:lang w:val="en-US" w:eastAsia="zh-CN"/>
        </w:rPr>
        <w:t>SJG-JJ-8</w:t>
      </w:r>
      <w:r>
        <w:rPr>
          <w:rFonts w:hint="default" w:ascii="Times New Roman" w:hAnsi="Times New Roman" w:cs="Times New Roman"/>
          <w:sz w:val="24"/>
          <w:szCs w:val="24"/>
          <w:highlight w:val="none"/>
          <w:lang w:val="en-US" w:eastAsia="zh-CN"/>
        </w:rPr>
        <w:t>点位</w:t>
      </w:r>
      <w:r>
        <w:rPr>
          <w:rFonts w:hint="default" w:ascii="Times New Roman" w:hAnsi="Times New Roman" w:cs="Times New Roman"/>
          <w:highlight w:val="none"/>
          <w:lang w:val="en-US" w:eastAsia="zh-CN"/>
        </w:rPr>
        <w:t>苯并(a)芘超标属于异常情况，不具代表性。</w:t>
      </w:r>
    </w:p>
    <w:p>
      <w:pPr>
        <w:numPr>
          <w:ilvl w:val="0"/>
          <w:numId w:val="13"/>
        </w:numPr>
        <w:spacing w:line="360" w:lineRule="auto"/>
        <w:ind w:firstLine="420" w:firstLineChars="0"/>
        <w:rPr>
          <w:rFonts w:hint="default" w:ascii="Times New Roman" w:hAnsi="Times New Roman" w:eastAsia="宋体" w:cs="Times New Roman"/>
          <w:lang w:val="en-US" w:eastAsia="zh-CN"/>
        </w:rPr>
      </w:pPr>
      <w:r>
        <w:rPr>
          <w:rFonts w:hint="default" w:ascii="Times New Roman" w:hAnsi="Times New Roman" w:cs="Times New Roman"/>
          <w:color w:val="auto"/>
          <w:highlight w:val="none"/>
          <w:lang w:val="en-US" w:eastAsia="zh-CN"/>
        </w:rPr>
        <w:t>各土壤样品的单项污染指数Pimax=0.600＜1，可以判断工业园区及周边的所有点位各因子的单项污染指数对应的污染程度均为无污染。</w:t>
      </w:r>
    </w:p>
    <w:p>
      <w:pPr>
        <w:numPr>
          <w:ilvl w:val="0"/>
          <w:numId w:val="13"/>
        </w:numPr>
        <w:spacing w:line="360" w:lineRule="auto"/>
        <w:ind w:firstLine="420" w:firstLineChars="0"/>
        <w:rPr>
          <w:rFonts w:hint="default" w:ascii="Times New Roman" w:hAnsi="Times New Roman" w:eastAsia="宋体" w:cs="Times New Roman"/>
          <w:lang w:val="en-US" w:eastAsia="zh-CN"/>
        </w:rPr>
      </w:pPr>
      <w:r>
        <w:rPr>
          <w:rFonts w:hint="default" w:ascii="Times New Roman" w:hAnsi="Times New Roman" w:cs="Times New Roman"/>
          <w:color w:val="auto"/>
          <w:highlight w:val="none"/>
          <w:lang w:val="en-US" w:eastAsia="zh-CN"/>
        </w:rPr>
        <w:t>工业园区及周边各因子内梅罗污染指数</w:t>
      </w:r>
      <w:r>
        <w:rPr>
          <w:rFonts w:hint="default" w:ascii="Times New Roman" w:hAnsi="Times New Roman" w:eastAsia="宋体" w:cs="Times New Roman"/>
          <w:b w:val="0"/>
          <w:bCs w:val="0"/>
          <w:color w:val="auto"/>
          <w:highlight w:val="none"/>
          <w:lang w:val="en-US" w:eastAsia="zh-CN"/>
        </w:rPr>
        <w:t>P</w:t>
      </w:r>
      <w:r>
        <w:rPr>
          <w:rFonts w:hint="default" w:ascii="Times New Roman" w:hAnsi="Times New Roman" w:eastAsia="宋体" w:cs="Times New Roman"/>
          <w:b w:val="0"/>
          <w:bCs w:val="0"/>
          <w:color w:val="auto"/>
          <w:highlight w:val="none"/>
          <w:vertAlign w:val="subscript"/>
          <w:lang w:val="en-US" w:eastAsia="zh-CN"/>
        </w:rPr>
        <w:t>N</w:t>
      </w:r>
      <w:r>
        <w:rPr>
          <w:rFonts w:hint="default" w:ascii="Times New Roman" w:hAnsi="Times New Roman" w:cs="Times New Roman"/>
          <w:b w:val="0"/>
          <w:bCs w:val="0"/>
          <w:color w:val="auto"/>
          <w:highlight w:val="none"/>
          <w:vertAlign w:val="subscript"/>
          <w:lang w:val="en-US" w:eastAsia="zh-CN"/>
        </w:rPr>
        <w:t>max</w:t>
      </w:r>
      <w:r>
        <w:rPr>
          <w:rFonts w:hint="default" w:ascii="Times New Roman" w:hAnsi="Times New Roman" w:cs="Times New Roman"/>
          <w:b w:val="0"/>
          <w:bCs w:val="0"/>
          <w:color w:val="auto"/>
          <w:highlight w:val="none"/>
          <w:lang w:val="en-US" w:eastAsia="zh-CN"/>
        </w:rPr>
        <w:t>=0.4455＜0.7，可以判断本</w:t>
      </w:r>
      <w:r>
        <w:rPr>
          <w:rFonts w:hint="eastAsia" w:cs="Times New Roman"/>
          <w:b w:val="0"/>
          <w:bCs w:val="0"/>
          <w:color w:val="auto"/>
          <w:highlight w:val="none"/>
          <w:lang w:val="en-US" w:eastAsia="zh-CN"/>
        </w:rPr>
        <w:t>工业园区及周边</w:t>
      </w:r>
      <w:r>
        <w:rPr>
          <w:rFonts w:hint="default" w:ascii="Times New Roman" w:hAnsi="Times New Roman" w:cs="Times New Roman"/>
          <w:b w:val="0"/>
          <w:bCs w:val="0"/>
          <w:color w:val="auto"/>
          <w:highlight w:val="none"/>
          <w:lang w:val="en-US" w:eastAsia="zh-CN"/>
        </w:rPr>
        <w:t>的所有因子的</w:t>
      </w:r>
      <w:r>
        <w:rPr>
          <w:rFonts w:hint="default" w:ascii="Times New Roman" w:hAnsi="Times New Roman" w:cs="Times New Roman"/>
          <w:color w:val="auto"/>
          <w:highlight w:val="none"/>
          <w:lang w:val="en-US" w:eastAsia="zh-CN"/>
        </w:rPr>
        <w:t>内梅罗污染指数对应的污染等级均为</w:t>
      </w:r>
      <w:r>
        <w:rPr>
          <w:rFonts w:hint="default" w:ascii="Times New Roman" w:hAnsi="Times New Roman" w:eastAsia="宋体" w:cs="Times New Roman"/>
          <w:b w:val="0"/>
          <w:bCs w:val="0"/>
          <w:color w:val="auto"/>
          <w:highlight w:val="none"/>
          <w:lang w:val="en-US" w:eastAsia="zh-CN"/>
        </w:rPr>
        <w:t>I级清洁（安全）</w:t>
      </w:r>
      <w:r>
        <w:rPr>
          <w:rFonts w:hint="default" w:ascii="Times New Roman" w:hAnsi="Times New Roman" w:cs="Times New Roman"/>
          <w:b w:val="0"/>
          <w:bCs w:val="0"/>
          <w:color w:val="auto"/>
          <w:highlight w:val="none"/>
          <w:lang w:val="en-US" w:eastAsia="zh-CN"/>
        </w:rPr>
        <w:t>。</w:t>
      </w:r>
    </w:p>
    <w:p>
      <w:pPr>
        <w:pStyle w:val="5"/>
        <w:tabs>
          <w:tab w:val="left" w:pos="425"/>
        </w:tabs>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地下水检测结果小结</w:t>
      </w:r>
    </w:p>
    <w:p>
      <w:pPr>
        <w:numPr>
          <w:ilvl w:val="0"/>
          <w:numId w:val="0"/>
        </w:numPr>
        <w:spacing w:line="360" w:lineRule="auto"/>
        <w:ind w:firstLine="420" w:firstLineChars="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本</w:t>
      </w:r>
      <w:r>
        <w:rPr>
          <w:rFonts w:hint="default" w:ascii="Times New Roman" w:hAnsi="Times New Roman" w:cs="Times New Roman"/>
          <w:color w:val="auto"/>
          <w:sz w:val="24"/>
          <w:highlight w:val="none"/>
          <w:lang w:eastAsia="zh-CN"/>
        </w:rPr>
        <w:t>园区</w:t>
      </w:r>
      <w:r>
        <w:rPr>
          <w:rFonts w:hint="default" w:ascii="Times New Roman" w:hAnsi="Times New Roman" w:cs="Times New Roman"/>
          <w:color w:val="auto"/>
          <w:sz w:val="24"/>
          <w:highlight w:val="none"/>
        </w:rPr>
        <w:t>调查</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个</w:t>
      </w:r>
      <w:r>
        <w:rPr>
          <w:rFonts w:hint="default" w:ascii="Times New Roman" w:hAnsi="Times New Roman" w:cs="Times New Roman"/>
          <w:color w:val="auto"/>
          <w:sz w:val="24"/>
          <w:highlight w:val="none"/>
          <w:lang w:eastAsia="zh-CN"/>
        </w:rPr>
        <w:t>地下水</w:t>
      </w:r>
      <w:r>
        <w:rPr>
          <w:rFonts w:hint="default" w:ascii="Times New Roman" w:hAnsi="Times New Roman" w:cs="Times New Roman"/>
          <w:color w:val="auto"/>
          <w:sz w:val="24"/>
          <w:highlight w:val="none"/>
        </w:rPr>
        <w:t>样品（</w:t>
      </w:r>
      <w:r>
        <w:rPr>
          <w:rFonts w:hint="default" w:ascii="Times New Roman" w:hAnsi="Times New Roman" w:cs="Times New Roman"/>
          <w:color w:val="auto"/>
          <w:sz w:val="24"/>
          <w:highlight w:val="none"/>
          <w:lang w:eastAsia="zh-CN"/>
        </w:rPr>
        <w:t>不</w:t>
      </w:r>
      <w:r>
        <w:rPr>
          <w:rFonts w:hint="default" w:ascii="Times New Roman" w:hAnsi="Times New Roman" w:cs="Times New Roman"/>
          <w:color w:val="auto"/>
          <w:sz w:val="24"/>
          <w:highlight w:val="none"/>
        </w:rPr>
        <w:t>含平行盲样），共检测</w:t>
      </w:r>
      <w:r>
        <w:rPr>
          <w:rFonts w:hint="default" w:ascii="Times New Roman" w:hAnsi="Times New Roman" w:cs="Times New Roman"/>
          <w:color w:val="auto"/>
          <w:sz w:val="24"/>
          <w:highlight w:val="none"/>
          <w:lang w:val="en-US" w:eastAsia="zh-CN"/>
        </w:rPr>
        <w:t>32</w:t>
      </w:r>
      <w:r>
        <w:rPr>
          <w:rFonts w:hint="default" w:ascii="Times New Roman" w:hAnsi="Times New Roman" w:cs="Times New Roman"/>
          <w:color w:val="auto"/>
          <w:sz w:val="24"/>
          <w:highlight w:val="none"/>
        </w:rPr>
        <w:t>项测试项目</w:t>
      </w:r>
      <w:r>
        <w:rPr>
          <w:rFonts w:hint="default" w:ascii="Times New Roman" w:hAnsi="Times New Roman" w:cs="Times New Roman"/>
          <w:color w:val="auto"/>
          <w:sz w:val="24"/>
          <w:highlight w:val="none"/>
          <w:lang w:eastAsia="zh-CN"/>
        </w:rPr>
        <w:t>包括</w:t>
      </w:r>
      <w:r>
        <w:rPr>
          <w:rFonts w:hint="default" w:ascii="Times New Roman" w:hAnsi="Times New Roman" w:cs="Times New Roman"/>
          <w:color w:val="auto"/>
          <w:sz w:val="24"/>
          <w:highlight w:val="none"/>
        </w:rPr>
        <w:t>无机项目</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14项</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、金属类</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13项</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、有机物类</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5项</w:t>
      </w:r>
      <w:r>
        <w:rPr>
          <w:rFonts w:hint="default" w:ascii="Times New Roman" w:hAnsi="Times New Roman" w:cs="Times New Roman"/>
          <w:color w:val="auto"/>
          <w:sz w:val="24"/>
          <w:highlight w:val="none"/>
          <w:lang w:eastAsia="zh-CN"/>
        </w:rPr>
        <w:t>），共检出</w:t>
      </w:r>
      <w:r>
        <w:rPr>
          <w:rFonts w:hint="default" w:ascii="Times New Roman" w:hAnsi="Times New Roman" w:cs="Times New Roman"/>
          <w:color w:val="auto"/>
          <w:sz w:val="24"/>
          <w:highlight w:val="none"/>
          <w:lang w:val="en-US" w:eastAsia="zh-CN"/>
        </w:rPr>
        <w:t>17项污染物指标</w:t>
      </w:r>
      <w:r>
        <w:rPr>
          <w:rFonts w:hint="default" w:ascii="Times New Roman" w:hAnsi="Times New Roman" w:cs="Times New Roman"/>
          <w:color w:val="auto"/>
          <w:sz w:val="24"/>
          <w:highlight w:val="none"/>
        </w:rPr>
        <w:t>。</w:t>
      </w:r>
    </w:p>
    <w:p>
      <w:pPr>
        <w:numPr>
          <w:ilvl w:val="0"/>
          <w:numId w:val="0"/>
        </w:numPr>
        <w:spacing w:line="360" w:lineRule="auto"/>
        <w:ind w:firstLine="420" w:firstLineChars="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lang w:eastAsia="zh-CN"/>
        </w:rPr>
        <w:t>各点位已检出污染物（</w:t>
      </w:r>
      <w:r>
        <w:rPr>
          <w:rFonts w:hint="default" w:ascii="Times New Roman" w:hAnsi="Times New Roman" w:cs="Times New Roman"/>
          <w:color w:val="auto"/>
          <w:highlight w:val="none"/>
          <w:lang w:eastAsia="zh-CN"/>
        </w:rPr>
        <w:t>总硬度、溶解性总固体、耗氧量、硫酸盐、硝酸盐、氯化物、总氟化物、阴离子表面活性剂、氨氮、亚硝酸盐氮、锰、钠、锌、砷、铅、石油类</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highlight w:val="none"/>
          <w:lang w:eastAsia="zh-CN"/>
        </w:rPr>
        <w:t>均满足</w:t>
      </w:r>
      <w:r>
        <w:rPr>
          <w:rFonts w:hint="default" w:ascii="Times New Roman" w:hAnsi="Times New Roman" w:cs="Times New Roman"/>
          <w:color w:val="auto"/>
          <w:sz w:val="24"/>
          <w:highlight w:val="none"/>
        </w:rPr>
        <w:t>《地下水质量标准》（</w:t>
      </w:r>
      <w:r>
        <w:rPr>
          <w:rFonts w:hint="default" w:ascii="Times New Roman" w:hAnsi="Times New Roman" w:cs="Times New Roman"/>
          <w:color w:val="auto"/>
          <w:sz w:val="24"/>
          <w:highlight w:val="none"/>
          <w:lang w:val="en-US" w:eastAsia="zh-CN"/>
        </w:rPr>
        <w:t>G</w:t>
      </w:r>
      <w:r>
        <w:rPr>
          <w:rFonts w:hint="default" w:ascii="Times New Roman" w:hAnsi="Times New Roman" w:cs="Times New Roman"/>
          <w:color w:val="auto"/>
          <w:sz w:val="24"/>
          <w:highlight w:val="none"/>
        </w:rPr>
        <w:t>B/T 14848-2017）中</w:t>
      </w:r>
      <w:r>
        <w:rPr>
          <w:rFonts w:hint="default" w:ascii="Times New Roman" w:hAnsi="Times New Roman" w:cs="Times New Roman"/>
          <w:color w:val="auto"/>
          <w:sz w:val="24"/>
          <w:highlight w:val="none"/>
          <w:lang w:eastAsia="zh-CN"/>
        </w:rPr>
        <w:t>Ⅳ</w:t>
      </w:r>
      <w:r>
        <w:rPr>
          <w:rFonts w:hint="default" w:ascii="Times New Roman" w:hAnsi="Times New Roman" w:cs="Times New Roman"/>
          <w:color w:val="auto"/>
          <w:sz w:val="24"/>
          <w:highlight w:val="none"/>
        </w:rPr>
        <w:t>类标准限值</w:t>
      </w:r>
      <w:r>
        <w:rPr>
          <w:rFonts w:hint="default" w:ascii="Times New Roman" w:hAnsi="Times New Roman" w:cs="Times New Roman"/>
          <w:color w:val="auto"/>
          <w:sz w:val="24"/>
          <w:highlight w:val="none"/>
          <w:lang w:eastAsia="zh-CN"/>
        </w:rPr>
        <w:t>或</w:t>
      </w:r>
      <w:r>
        <w:rPr>
          <w:rFonts w:hint="default" w:ascii="Times New Roman" w:hAnsi="Times New Roman" w:cs="Times New Roman"/>
          <w:color w:val="auto"/>
          <w:sz w:val="24"/>
          <w:highlight w:val="none"/>
        </w:rPr>
        <w:t>《地表水环境质量标准》</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GB3838-2002</w:t>
      </w:r>
      <w:r>
        <w:rPr>
          <w:rFonts w:hint="default" w:ascii="Times New Roman" w:hAnsi="Times New Roman" w:cs="Times New Roman"/>
          <w:color w:val="auto"/>
          <w:highlight w:val="none"/>
          <w:lang w:eastAsia="zh-CN"/>
        </w:rPr>
        <w:t>）</w:t>
      </w:r>
      <w:r>
        <w:rPr>
          <w:rFonts w:hint="default" w:ascii="Times New Roman" w:hAnsi="Times New Roman" w:cs="Times New Roman"/>
          <w:color w:val="auto"/>
          <w:sz w:val="24"/>
          <w:highlight w:val="none"/>
          <w:lang w:eastAsia="zh-CN"/>
        </w:rPr>
        <w:t>Ⅳ</w:t>
      </w:r>
      <w:r>
        <w:rPr>
          <w:rFonts w:hint="default" w:ascii="Times New Roman" w:hAnsi="Times New Roman" w:cs="Times New Roman"/>
          <w:color w:val="auto"/>
          <w:sz w:val="24"/>
          <w:highlight w:val="none"/>
        </w:rPr>
        <w:t>类标准</w:t>
      </w:r>
      <w:r>
        <w:rPr>
          <w:rFonts w:hint="default" w:ascii="Times New Roman" w:hAnsi="Times New Roman" w:cs="Times New Roman"/>
          <w:color w:val="auto"/>
          <w:highlight w:val="none"/>
          <w:lang w:eastAsia="zh-CN"/>
        </w:rPr>
        <w:t>要求。</w:t>
      </w:r>
    </w:p>
    <w:p>
      <w:pPr>
        <w:pStyle w:val="5"/>
        <w:tabs>
          <w:tab w:val="clear" w:pos="851"/>
        </w:tabs>
        <w:rPr>
          <w:rFonts w:hint="default" w:ascii="Times New Roman" w:hAnsi="Times New Roman" w:cs="Times New Roman"/>
          <w:color w:val="auto"/>
          <w:highlight w:val="none"/>
        </w:rPr>
      </w:pPr>
      <w:r>
        <w:rPr>
          <w:rFonts w:hint="default" w:ascii="Times New Roman" w:hAnsi="Times New Roman" w:cs="Times New Roman"/>
          <w:color w:val="auto"/>
          <w:highlight w:val="none"/>
        </w:rPr>
        <w:t>不确定性分析</w:t>
      </w:r>
    </w:p>
    <w:p>
      <w:pPr>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调查报告是基于实际调查情况，以土壤污染状况调查导则、标准等相关文件为理论依据，以目前所掌握的调查资料、调查范围、调查点位实际监测数据为基础，结合专业的判断进行的逻辑推论与结果分析成果，但不排除存在如下不确定情况：</w:t>
      </w:r>
    </w:p>
    <w:p>
      <w:pPr>
        <w:ind w:firstLine="482"/>
        <w:rPr>
          <w:rFonts w:hint="default" w:ascii="Times New Roman" w:hAnsi="Times New Roman" w:cs="Times New Roman"/>
          <w:highlight w:val="none"/>
        </w:rPr>
      </w:pPr>
      <w:r>
        <w:rPr>
          <w:rFonts w:hint="default" w:ascii="Times New Roman" w:hAnsi="Times New Roman" w:cs="Times New Roman"/>
          <w:highlight w:val="none"/>
        </w:rPr>
        <w:t>本次调查范围园区内企业众多，尚不能完全一一搜集到各个企业相关资料、档案文件，且园区历史沿革悠久，历史上存续过或现状存续的企业的识别可能会存在遗漏，因此，园区特征污染物的识别可能与实际情况有所差别</w:t>
      </w:r>
      <w:r>
        <w:rPr>
          <w:rFonts w:hint="default" w:ascii="Times New Roman" w:hAnsi="Times New Roman" w:cs="Times New Roman"/>
          <w:highlight w:val="none"/>
          <w:lang w:eastAsia="zh-CN"/>
        </w:rPr>
        <w:t>。</w:t>
      </w:r>
      <w:r>
        <w:rPr>
          <w:rFonts w:hint="default" w:ascii="Times New Roman" w:hAnsi="Times New Roman" w:cs="Times New Roman"/>
          <w:highlight w:val="none"/>
        </w:rPr>
        <w:t>但本次特征污染物的识别原则主要依据园区规划产业定位确定，并根据</w:t>
      </w:r>
      <w:r>
        <w:rPr>
          <w:rFonts w:hint="default" w:ascii="Times New Roman" w:hAnsi="Times New Roman" w:cs="Times New Roman"/>
          <w:color w:val="000000" w:themeColor="text1"/>
          <w:highlight w:val="none"/>
          <w14:textFill>
            <w14:solidFill>
              <w14:schemeClr w14:val="tx1"/>
            </w14:solidFill>
          </w14:textFill>
        </w:rPr>
        <w:t>重点行</w:t>
      </w:r>
      <w:r>
        <w:rPr>
          <w:rFonts w:hint="default" w:ascii="Times New Roman" w:hAnsi="Times New Roman" w:cs="Times New Roman"/>
          <w:highlight w:val="none"/>
        </w:rPr>
        <w:t>业企业用地调查信息管理系统、全国排污许可证管理信息平台公开端补充典型企业污染因子</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因此，</w:t>
      </w:r>
      <w:r>
        <w:rPr>
          <w:rFonts w:hint="default" w:ascii="Times New Roman" w:hAnsi="Times New Roman" w:cs="Times New Roman"/>
          <w:highlight w:val="none"/>
        </w:rPr>
        <w:t>识别出的因子能够涵盖</w:t>
      </w:r>
      <w:r>
        <w:rPr>
          <w:rFonts w:hint="default" w:ascii="Times New Roman" w:hAnsi="Times New Roman" w:cs="Times New Roman"/>
          <w:highlight w:val="none"/>
          <w:lang w:val="en-US" w:eastAsia="zh-CN"/>
        </w:rPr>
        <w:t>园区内可能涉及的主要土壤污染因子</w:t>
      </w:r>
      <w:r>
        <w:rPr>
          <w:rFonts w:hint="default" w:ascii="Times New Roman" w:hAnsi="Times New Roman" w:cs="Times New Roman"/>
          <w:highlight w:val="none"/>
        </w:rPr>
        <w:t>及存在土壤环境潜在污染风险企业的特征因子，特征污染物的设定可以满足本次调查目的的要求。</w:t>
      </w:r>
    </w:p>
    <w:p>
      <w:pPr>
        <w:spacing w:line="360" w:lineRule="auto"/>
        <w:ind w:firstLine="482"/>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highlight w:val="none"/>
          <w:lang w:eastAsia="zh-CN"/>
        </w:rPr>
        <w:t>在采样方案设计阶段，由于园区周边点位</w:t>
      </w:r>
      <w:r>
        <w:rPr>
          <w:rFonts w:hint="default" w:ascii="Times New Roman" w:hAnsi="Times New Roman" w:cs="Times New Roman"/>
          <w:color w:val="auto"/>
          <w:highlight w:val="none"/>
          <w:lang w:val="en-US" w:eastAsia="zh-CN"/>
        </w:rPr>
        <w:t>SJG-1距边界400m断面点位位于山坡上，地势较高，且不具备人员设备进入条件，故仅布设SJG-1-75、SJG-1-200两个断面点位。根据监测结果，SJG--1-75、SJG-1-200最近企业的特征污染因子监测值均远低于标准值</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因此，点位的布设满足了本次调查目的的要求。</w:t>
      </w:r>
    </w:p>
    <w:p>
      <w:pPr>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综上所述，本报告是基于现阶段的实际情况进行的分析，如果调查后由于人为及自然等因素的影响导致</w:t>
      </w:r>
      <w:r>
        <w:rPr>
          <w:rFonts w:hint="default" w:ascii="Times New Roman" w:hAnsi="Times New Roman" w:cs="Times New Roman"/>
          <w:color w:val="auto"/>
          <w:sz w:val="24"/>
          <w:highlight w:val="none"/>
          <w:lang w:eastAsia="zh-CN"/>
        </w:rPr>
        <w:t>采样点位附近状况</w:t>
      </w:r>
      <w:r>
        <w:rPr>
          <w:rFonts w:hint="default" w:ascii="Times New Roman" w:hAnsi="Times New Roman" w:cs="Times New Roman"/>
          <w:color w:val="auto"/>
          <w:sz w:val="24"/>
          <w:highlight w:val="none"/>
        </w:rPr>
        <w:t xml:space="preserve">有改变，可能会改变污染物的种类、浓度和分布情况等，进而对本报告的准确性和有效性造成影响。 </w:t>
      </w:r>
    </w:p>
    <w:p>
      <w:pPr>
        <w:pStyle w:val="2"/>
        <w:rPr>
          <w:rFonts w:hint="default" w:ascii="Times New Roman" w:hAnsi="Times New Roman" w:cs="Times New Roman"/>
          <w:color w:val="auto"/>
          <w:highlight w:val="none"/>
          <w:lang w:eastAsia="zh-CN"/>
        </w:rPr>
        <w:sectPr>
          <w:headerReference r:id="rId20" w:type="default"/>
          <w:pgSz w:w="11905" w:h="16838"/>
          <w:pgMar w:top="1134" w:right="1134" w:bottom="1134" w:left="1134" w:header="850" w:footer="992" w:gutter="0"/>
          <w:pgBorders>
            <w:top w:val="none" w:sz="0" w:space="0"/>
            <w:left w:val="none" w:sz="0" w:space="0"/>
            <w:bottom w:val="none" w:sz="0" w:space="0"/>
            <w:right w:val="none" w:sz="0" w:space="0"/>
          </w:pgBorders>
          <w:pgNumType w:fmt="numberInDash"/>
          <w:cols w:space="0" w:num="1"/>
          <w:rtlGutter w:val="0"/>
          <w:docGrid w:type="lines" w:linePitch="332" w:charSpace="0"/>
        </w:sectPr>
      </w:pPr>
    </w:p>
    <w:p>
      <w:pPr>
        <w:pStyle w:val="3"/>
        <w:numPr>
          <w:ilvl w:val="0"/>
          <w:numId w:val="1"/>
        </w:numPr>
        <w:tabs>
          <w:tab w:val="clear" w:pos="425"/>
        </w:tabs>
        <w:rPr>
          <w:rFonts w:hint="default" w:ascii="Times New Roman" w:hAnsi="Times New Roman" w:cs="Times New Roman"/>
          <w:color w:val="auto"/>
          <w:highlight w:val="none"/>
        </w:rPr>
      </w:pPr>
      <w:bookmarkStart w:id="76" w:name="_Toc28052"/>
      <w:bookmarkStart w:id="77" w:name="_Toc23956"/>
      <w:bookmarkStart w:id="78" w:name="_Toc56693201"/>
      <w:bookmarkStart w:id="79" w:name="_Toc46849320"/>
      <w:r>
        <w:rPr>
          <w:rFonts w:hint="default" w:ascii="Times New Roman" w:hAnsi="Times New Roman" w:cs="Times New Roman"/>
          <w:color w:val="auto"/>
          <w:highlight w:val="none"/>
        </w:rPr>
        <w:t>结论与建议</w:t>
      </w:r>
      <w:bookmarkEnd w:id="76"/>
      <w:bookmarkEnd w:id="77"/>
      <w:bookmarkEnd w:id="78"/>
      <w:bookmarkEnd w:id="79"/>
    </w:p>
    <w:p>
      <w:pPr>
        <w:pStyle w:val="4"/>
        <w:tabs>
          <w:tab w:val="left" w:leader="dot" w:pos="0"/>
          <w:tab w:val="clear" w:pos="425"/>
        </w:tabs>
        <w:rPr>
          <w:rFonts w:hint="default" w:ascii="Times New Roman" w:hAnsi="Times New Roman" w:cs="Times New Roman"/>
          <w:color w:val="auto"/>
          <w:highlight w:val="none"/>
        </w:rPr>
      </w:pPr>
      <w:bookmarkStart w:id="80" w:name="_Toc46849321"/>
      <w:bookmarkStart w:id="81" w:name="_Toc30052"/>
      <w:bookmarkStart w:id="82" w:name="_Toc30200"/>
      <w:bookmarkStart w:id="83" w:name="_Toc56693202"/>
      <w:r>
        <w:rPr>
          <w:rFonts w:hint="default" w:ascii="Times New Roman" w:hAnsi="Times New Roman" w:cs="Times New Roman"/>
          <w:color w:val="auto"/>
          <w:highlight w:val="none"/>
        </w:rPr>
        <w:t>调查结论</w:t>
      </w:r>
      <w:bookmarkEnd w:id="80"/>
      <w:bookmarkEnd w:id="81"/>
      <w:bookmarkEnd w:id="82"/>
      <w:bookmarkEnd w:id="83"/>
    </w:p>
    <w:p>
      <w:pPr>
        <w:spacing w:line="360" w:lineRule="auto"/>
        <w:ind w:firstLine="482"/>
        <w:rPr>
          <w:rFonts w:hint="default" w:ascii="Times New Roman" w:hAnsi="Times New Roman" w:cs="Times New Roman"/>
          <w:color w:val="auto"/>
          <w:kern w:val="0"/>
          <w:sz w:val="24"/>
          <w:highlight w:val="none"/>
        </w:rPr>
      </w:pPr>
      <w:r>
        <w:rPr>
          <w:rFonts w:hint="default" w:ascii="Times New Roman" w:hAnsi="Times New Roman" w:cs="Times New Roman"/>
          <w:color w:val="auto"/>
          <w:sz w:val="24"/>
          <w:highlight w:val="none"/>
        </w:rPr>
        <w:t>本次调查</w:t>
      </w:r>
      <w:r>
        <w:rPr>
          <w:rFonts w:hint="default" w:ascii="Times New Roman" w:hAnsi="Times New Roman" w:cs="Times New Roman"/>
          <w:color w:val="auto"/>
          <w:sz w:val="24"/>
          <w:highlight w:val="none"/>
          <w:lang w:eastAsia="zh-CN"/>
        </w:rPr>
        <w:t>共布设</w:t>
      </w:r>
      <w:r>
        <w:rPr>
          <w:rFonts w:hint="eastAsia" w:cs="Times New Roman"/>
          <w:color w:val="auto"/>
          <w:sz w:val="24"/>
          <w:highlight w:val="none"/>
          <w:lang w:val="en-US" w:eastAsia="zh-CN"/>
        </w:rPr>
        <w:t>16</w:t>
      </w:r>
      <w:r>
        <w:rPr>
          <w:rFonts w:hint="default" w:ascii="Times New Roman" w:hAnsi="Times New Roman" w:cs="Times New Roman"/>
          <w:color w:val="auto"/>
          <w:sz w:val="24"/>
          <w:highlight w:val="none"/>
        </w:rPr>
        <w:t>个土壤</w:t>
      </w:r>
      <w:r>
        <w:rPr>
          <w:rFonts w:hint="default" w:ascii="Times New Roman" w:hAnsi="Times New Roman" w:cs="Times New Roman"/>
          <w:color w:val="auto"/>
          <w:sz w:val="24"/>
          <w:highlight w:val="none"/>
          <w:lang w:eastAsia="zh-CN"/>
        </w:rPr>
        <w:t>点位，采集</w:t>
      </w:r>
      <w:r>
        <w:rPr>
          <w:rFonts w:hint="eastAsia" w:cs="Times New Roman"/>
          <w:color w:val="auto"/>
          <w:sz w:val="24"/>
          <w:highlight w:val="none"/>
          <w:lang w:val="en-US" w:eastAsia="zh-CN"/>
        </w:rPr>
        <w:t>16</w:t>
      </w:r>
      <w:r>
        <w:rPr>
          <w:rFonts w:hint="default" w:ascii="Times New Roman" w:hAnsi="Times New Roman" w:cs="Times New Roman"/>
          <w:color w:val="auto"/>
          <w:sz w:val="24"/>
          <w:highlight w:val="none"/>
          <w:lang w:val="en-US" w:eastAsia="zh-CN"/>
        </w:rPr>
        <w:t>个土壤</w:t>
      </w:r>
      <w:r>
        <w:rPr>
          <w:rFonts w:hint="default" w:ascii="Times New Roman" w:hAnsi="Times New Roman" w:cs="Times New Roman"/>
          <w:color w:val="auto"/>
          <w:sz w:val="24"/>
          <w:highlight w:val="none"/>
        </w:rPr>
        <w:t>样品</w:t>
      </w:r>
      <w:r>
        <w:rPr>
          <w:rFonts w:hint="default" w:ascii="Times New Roman" w:hAnsi="Times New Roman" w:cs="Times New Roman"/>
          <w:color w:val="auto"/>
          <w:sz w:val="24"/>
          <w:highlight w:val="none"/>
          <w:lang w:eastAsia="zh-CN"/>
        </w:rPr>
        <w:t>、</w:t>
      </w:r>
      <w:r>
        <w:rPr>
          <w:rFonts w:hint="eastAsia" w:cs="Times New Roman"/>
          <w:color w:val="auto"/>
          <w:sz w:val="24"/>
          <w:highlight w:val="none"/>
          <w:lang w:val="en-US" w:eastAsia="zh-CN"/>
        </w:rPr>
        <w:t>1</w:t>
      </w:r>
      <w:r>
        <w:rPr>
          <w:rFonts w:hint="default" w:ascii="Times New Roman" w:hAnsi="Times New Roman" w:cs="Times New Roman"/>
          <w:color w:val="auto"/>
          <w:sz w:val="24"/>
          <w:highlight w:val="none"/>
          <w:lang w:val="en-US" w:eastAsia="zh-CN"/>
        </w:rPr>
        <w:t>个现场平行盲样和</w:t>
      </w:r>
      <w:r>
        <w:rPr>
          <w:rFonts w:hint="eastAsia" w:cs="Times New Roman"/>
          <w:color w:val="auto"/>
          <w:sz w:val="24"/>
          <w:highlight w:val="none"/>
          <w:lang w:val="en-US" w:eastAsia="zh-CN"/>
        </w:rPr>
        <w:t>1</w:t>
      </w:r>
      <w:r>
        <w:rPr>
          <w:rFonts w:hint="default" w:ascii="Times New Roman" w:hAnsi="Times New Roman" w:cs="Times New Roman"/>
          <w:color w:val="auto"/>
          <w:sz w:val="24"/>
          <w:highlight w:val="none"/>
          <w:lang w:val="en-US" w:eastAsia="zh-CN"/>
        </w:rPr>
        <w:t>个运输空白样</w:t>
      </w:r>
      <w:r>
        <w:rPr>
          <w:rFonts w:hint="default" w:ascii="Times New Roman" w:hAnsi="Times New Roman" w:cs="Times New Roman"/>
          <w:color w:val="auto"/>
          <w:kern w:val="0"/>
          <w:sz w:val="24"/>
          <w:highlight w:val="none"/>
        </w:rPr>
        <w:t>，测试项目包括pH、重金属、挥发性有机物、半挥发性有机物、石油烃</w:t>
      </w:r>
      <w:r>
        <w:rPr>
          <w:rFonts w:hint="default" w:ascii="Times New Roman" w:hAnsi="Times New Roman" w:cs="Times New Roman"/>
          <w:color w:val="auto"/>
          <w:kern w:val="0"/>
          <w:sz w:val="24"/>
          <w:highlight w:val="none"/>
          <w:lang w:eastAsia="zh-CN"/>
        </w:rPr>
        <w:t>、二噁英</w:t>
      </w:r>
      <w:r>
        <w:rPr>
          <w:rFonts w:hint="default" w:ascii="Times New Roman" w:hAnsi="Times New Roman" w:cs="Times New Roman"/>
          <w:color w:val="auto"/>
          <w:kern w:val="0"/>
          <w:sz w:val="24"/>
          <w:highlight w:val="none"/>
        </w:rPr>
        <w:t>等</w:t>
      </w:r>
      <w:r>
        <w:rPr>
          <w:rFonts w:hint="default" w:ascii="Times New Roman" w:hAnsi="Times New Roman" w:cs="Times New Roman"/>
          <w:color w:val="auto"/>
          <w:kern w:val="0"/>
          <w:sz w:val="24"/>
          <w:highlight w:val="none"/>
          <w:lang w:val="en-US" w:eastAsia="zh-CN"/>
        </w:rPr>
        <w:t>61</w:t>
      </w:r>
      <w:r>
        <w:rPr>
          <w:rFonts w:hint="default" w:ascii="Times New Roman" w:hAnsi="Times New Roman" w:cs="Times New Roman"/>
          <w:color w:val="auto"/>
          <w:kern w:val="0"/>
          <w:sz w:val="24"/>
          <w:highlight w:val="none"/>
        </w:rPr>
        <w:t>项；</w:t>
      </w:r>
      <w:r>
        <w:rPr>
          <w:rFonts w:hint="eastAsia" w:cs="Times New Roman"/>
          <w:color w:val="auto"/>
          <w:kern w:val="0"/>
          <w:sz w:val="24"/>
          <w:highlight w:val="none"/>
          <w:lang w:val="en-US" w:eastAsia="zh-CN"/>
        </w:rPr>
        <w:t>补充采样阶段共布设5个土壤点位，采集10个土壤样品</w:t>
      </w:r>
      <w:r>
        <w:rPr>
          <w:rFonts w:hint="eastAsia" w:cs="Times New Roman"/>
          <w:color w:val="auto"/>
          <w:sz w:val="24"/>
          <w:highlight w:val="none"/>
          <w:lang w:val="en-US" w:eastAsia="zh-CN"/>
        </w:rPr>
        <w:t>1</w:t>
      </w:r>
      <w:r>
        <w:rPr>
          <w:rFonts w:hint="default" w:ascii="Times New Roman" w:hAnsi="Times New Roman" w:cs="Times New Roman"/>
          <w:color w:val="auto"/>
          <w:sz w:val="24"/>
          <w:highlight w:val="none"/>
          <w:lang w:val="en-US" w:eastAsia="zh-CN"/>
        </w:rPr>
        <w:t>个现场平行盲样和</w:t>
      </w:r>
      <w:r>
        <w:rPr>
          <w:rFonts w:hint="eastAsia" w:cs="Times New Roman"/>
          <w:color w:val="auto"/>
          <w:sz w:val="24"/>
          <w:highlight w:val="none"/>
          <w:lang w:val="en-US" w:eastAsia="zh-CN"/>
        </w:rPr>
        <w:t>1</w:t>
      </w:r>
      <w:r>
        <w:rPr>
          <w:rFonts w:hint="default" w:ascii="Times New Roman" w:hAnsi="Times New Roman" w:cs="Times New Roman"/>
          <w:color w:val="auto"/>
          <w:sz w:val="24"/>
          <w:highlight w:val="none"/>
          <w:lang w:val="en-US" w:eastAsia="zh-CN"/>
        </w:rPr>
        <w:t>个运输空白样</w:t>
      </w:r>
      <w:r>
        <w:rPr>
          <w:rFonts w:hint="eastAsia" w:cs="Times New Roman"/>
          <w:color w:val="auto"/>
          <w:sz w:val="24"/>
          <w:highlight w:val="none"/>
          <w:lang w:val="en-US" w:eastAsia="zh-CN"/>
        </w:rPr>
        <w:t>，测试项目为苯并(a)芘；</w:t>
      </w:r>
      <w:r>
        <w:rPr>
          <w:rFonts w:hint="default" w:ascii="Times New Roman" w:hAnsi="Times New Roman" w:cs="Times New Roman"/>
          <w:color w:val="auto"/>
          <w:kern w:val="0"/>
          <w:sz w:val="24"/>
          <w:highlight w:val="none"/>
        </w:rPr>
        <w:t>共布设</w:t>
      </w:r>
      <w:r>
        <w:rPr>
          <w:rFonts w:hint="default" w:ascii="Times New Roman" w:hAnsi="Times New Roman" w:cs="Times New Roman"/>
          <w:color w:val="auto"/>
          <w:kern w:val="0"/>
          <w:sz w:val="24"/>
          <w:highlight w:val="none"/>
          <w:lang w:val="en-US" w:eastAsia="zh-CN"/>
        </w:rPr>
        <w:t>2</w:t>
      </w:r>
      <w:r>
        <w:rPr>
          <w:rFonts w:hint="default" w:ascii="Times New Roman" w:hAnsi="Times New Roman" w:cs="Times New Roman"/>
          <w:color w:val="auto"/>
          <w:kern w:val="0"/>
          <w:sz w:val="24"/>
          <w:highlight w:val="none"/>
        </w:rPr>
        <w:t>个地下水监测点位，送检</w:t>
      </w:r>
      <w:r>
        <w:rPr>
          <w:rFonts w:hint="default" w:ascii="Times New Roman" w:hAnsi="Times New Roman" w:cs="Times New Roman"/>
          <w:color w:val="auto"/>
          <w:kern w:val="0"/>
          <w:sz w:val="24"/>
          <w:highlight w:val="none"/>
          <w:lang w:val="en-US" w:eastAsia="zh-CN"/>
        </w:rPr>
        <w:t>2</w:t>
      </w:r>
      <w:r>
        <w:rPr>
          <w:rFonts w:hint="default" w:ascii="Times New Roman" w:hAnsi="Times New Roman" w:cs="Times New Roman"/>
          <w:color w:val="auto"/>
          <w:kern w:val="0"/>
          <w:sz w:val="24"/>
          <w:highlight w:val="none"/>
        </w:rPr>
        <w:t>个地下水样品，测试项目包括无机项目、金属类、有机类等</w:t>
      </w:r>
      <w:r>
        <w:rPr>
          <w:rFonts w:hint="default" w:ascii="Times New Roman" w:hAnsi="Times New Roman" w:cs="Times New Roman"/>
          <w:color w:val="auto"/>
          <w:kern w:val="0"/>
          <w:sz w:val="24"/>
          <w:highlight w:val="none"/>
          <w:lang w:val="en-US" w:eastAsia="zh-CN"/>
        </w:rPr>
        <w:t>32</w:t>
      </w:r>
      <w:r>
        <w:rPr>
          <w:rFonts w:hint="default" w:ascii="Times New Roman" w:hAnsi="Times New Roman" w:cs="Times New Roman"/>
          <w:color w:val="auto"/>
          <w:kern w:val="0"/>
          <w:sz w:val="24"/>
          <w:highlight w:val="none"/>
        </w:rPr>
        <w:t>项。调查结论如下：</w:t>
      </w:r>
    </w:p>
    <w:p>
      <w:pPr>
        <w:numPr>
          <w:ilvl w:val="0"/>
          <w:numId w:val="14"/>
        </w:numPr>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调查</w:t>
      </w:r>
      <w:r>
        <w:rPr>
          <w:rFonts w:hint="default" w:ascii="Times New Roman" w:hAnsi="Times New Roman" w:cs="Times New Roman"/>
          <w:color w:val="auto"/>
          <w:sz w:val="24"/>
          <w:highlight w:val="none"/>
          <w:lang w:eastAsia="zh-CN"/>
        </w:rPr>
        <w:t>园区</w:t>
      </w:r>
      <w:r>
        <w:rPr>
          <w:rFonts w:hint="default" w:ascii="Times New Roman" w:hAnsi="Times New Roman" w:cs="Times New Roman"/>
          <w:color w:val="auto"/>
          <w:sz w:val="24"/>
          <w:highlight w:val="none"/>
        </w:rPr>
        <w:t>土壤pH</w:t>
      </w:r>
      <w:r>
        <w:rPr>
          <w:rFonts w:hint="default" w:ascii="Times New Roman" w:hAnsi="Times New Roman" w:cs="Times New Roman"/>
          <w:color w:val="auto"/>
          <w:sz w:val="24"/>
          <w:highlight w:val="none"/>
          <w:lang w:val="en-US" w:eastAsia="zh-CN"/>
        </w:rPr>
        <w:t>区间为5.38~8.55</w:t>
      </w: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rPr>
        <w:t>所有送检土壤样品中</w:t>
      </w:r>
      <w:r>
        <w:rPr>
          <w:rFonts w:hint="eastAsia" w:cs="Times New Roman"/>
          <w:color w:val="auto"/>
          <w:sz w:val="24"/>
          <w:highlight w:val="none"/>
          <w:lang w:val="en-US" w:eastAsia="zh-CN"/>
        </w:rPr>
        <w:t>除SJG-JJ-8苯并(a)芘超标外，其余</w:t>
      </w:r>
      <w:r>
        <w:rPr>
          <w:rFonts w:hint="default" w:ascii="Times New Roman" w:hAnsi="Times New Roman" w:cs="Times New Roman"/>
          <w:color w:val="auto"/>
          <w:sz w:val="24"/>
          <w:highlight w:val="none"/>
        </w:rPr>
        <w:t>重金属、挥发性有机物、半挥发性有机物、石油烃</w:t>
      </w:r>
      <w:r>
        <w:rPr>
          <w:rFonts w:hint="default" w:ascii="Times New Roman" w:hAnsi="Times New Roman" w:cs="Times New Roman"/>
          <w:color w:val="auto"/>
          <w:kern w:val="0"/>
          <w:sz w:val="24"/>
          <w:highlight w:val="none"/>
          <w:lang w:eastAsia="zh-CN"/>
        </w:rPr>
        <w:t>、二噁英</w:t>
      </w:r>
      <w:r>
        <w:rPr>
          <w:rFonts w:hint="default" w:ascii="Times New Roman" w:hAnsi="Times New Roman" w:cs="Times New Roman"/>
          <w:color w:val="auto"/>
          <w:kern w:val="0"/>
          <w:sz w:val="24"/>
          <w:highlight w:val="none"/>
        </w:rPr>
        <w:t>等</w:t>
      </w:r>
      <w:r>
        <w:rPr>
          <w:rFonts w:hint="default" w:ascii="Times New Roman" w:hAnsi="Times New Roman" w:cs="Times New Roman"/>
          <w:color w:val="auto"/>
          <w:sz w:val="24"/>
          <w:highlight w:val="none"/>
        </w:rPr>
        <w:t>检测值均可满足《土壤环境质量 建设用地土壤污染风险管控标准（试行）》（GB36600-2018）</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highlight w:val="none"/>
          <w:lang w:eastAsia="zh-CN"/>
        </w:rPr>
        <w:t>《土壤环境质量 农用地土壤污染风险管控标准（试行）》（GB1561</w:t>
      </w:r>
      <w:r>
        <w:rPr>
          <w:rFonts w:hint="default" w:ascii="Times New Roman" w:hAnsi="Times New Roman" w:cs="Times New Roman"/>
          <w:color w:val="auto"/>
          <w:highlight w:val="none"/>
          <w:lang w:val="en-US" w:eastAsia="zh-CN"/>
        </w:rPr>
        <w:t>-2018</w:t>
      </w:r>
      <w:r>
        <w:rPr>
          <w:rFonts w:hint="default" w:ascii="Times New Roman" w:hAnsi="Times New Roman" w:cs="Times New Roman"/>
          <w:color w:val="auto"/>
          <w:highlight w:val="none"/>
          <w:lang w:eastAsia="zh-CN"/>
        </w:rPr>
        <w:t>）、《建设用地土壤污染风险筛选值和管制值》（DB4403_T 67-2020）（深圳）</w:t>
      </w:r>
      <w:r>
        <w:rPr>
          <w:rFonts w:hint="eastAsia" w:cs="Times New Roman"/>
          <w:color w:val="auto"/>
          <w:highlight w:val="none"/>
          <w:lang w:eastAsia="zh-CN"/>
        </w:rPr>
        <w:t>、</w:t>
      </w:r>
      <w:r>
        <w:rPr>
          <w:rFonts w:hint="default" w:ascii="Times New Roman" w:hAnsi="Times New Roman" w:cs="Times New Roman"/>
          <w:color w:val="000000"/>
          <w:kern w:val="0"/>
          <w:highlight w:val="none"/>
        </w:rPr>
        <w:t>《建设用地土壤污染风险筛选值（DB13_T 5216-2020）</w:t>
      </w:r>
      <w:r>
        <w:rPr>
          <w:rFonts w:hint="eastAsia" w:cs="Times New Roman"/>
          <w:color w:val="000000"/>
          <w:kern w:val="0"/>
          <w:highlight w:val="none"/>
          <w:lang w:eastAsia="zh-CN"/>
        </w:rPr>
        <w:t>（</w:t>
      </w:r>
      <w:r>
        <w:rPr>
          <w:rFonts w:hint="eastAsia" w:cs="Times New Roman"/>
          <w:color w:val="000000"/>
          <w:kern w:val="0"/>
          <w:highlight w:val="none"/>
          <w:lang w:val="en-US" w:eastAsia="zh-CN"/>
        </w:rPr>
        <w:t>河北</w:t>
      </w:r>
      <w:r>
        <w:rPr>
          <w:rFonts w:hint="eastAsia" w:cs="Times New Roman"/>
          <w:color w:val="000000"/>
          <w:kern w:val="0"/>
          <w:highlight w:val="none"/>
          <w:lang w:eastAsia="zh-CN"/>
        </w:rPr>
        <w:t>）</w:t>
      </w:r>
      <w:r>
        <w:rPr>
          <w:rFonts w:hint="default" w:ascii="Times New Roman" w:hAnsi="Times New Roman" w:cs="Times New Roman"/>
          <w:color w:val="000000"/>
          <w:kern w:val="0"/>
          <w:highlight w:val="none"/>
        </w:rPr>
        <w:t>》</w:t>
      </w:r>
      <w:r>
        <w:rPr>
          <w:rFonts w:hint="default" w:ascii="Times New Roman" w:hAnsi="Times New Roman" w:cs="Times New Roman"/>
          <w:color w:val="auto"/>
          <w:highlight w:val="none"/>
          <w:lang w:eastAsia="zh-CN"/>
        </w:rPr>
        <w:t>中相应用地类型筛选值的</w:t>
      </w:r>
      <w:r>
        <w:rPr>
          <w:rFonts w:hint="default" w:ascii="Times New Roman" w:hAnsi="Times New Roman" w:cs="Times New Roman"/>
          <w:color w:val="auto"/>
          <w:sz w:val="24"/>
          <w:highlight w:val="none"/>
        </w:rPr>
        <w:t>要求，</w:t>
      </w:r>
      <w:r>
        <w:rPr>
          <w:rFonts w:hint="default" w:ascii="Times New Roman" w:hAnsi="Times New Roman" w:cs="Times New Roman"/>
          <w:color w:val="auto"/>
          <w:sz w:val="24"/>
          <w:highlight w:val="none"/>
          <w:lang w:eastAsia="zh-CN"/>
        </w:rPr>
        <w:t>园区</w:t>
      </w:r>
      <w:r>
        <w:rPr>
          <w:rFonts w:hint="default" w:ascii="Times New Roman" w:hAnsi="Times New Roman" w:cs="Times New Roman"/>
          <w:color w:val="auto"/>
          <w:sz w:val="24"/>
          <w:highlight w:val="none"/>
        </w:rPr>
        <w:t>土壤中各类检出的污染物浓度可接受</w:t>
      </w:r>
      <w:r>
        <w:rPr>
          <w:rFonts w:hint="default" w:ascii="Times New Roman" w:hAnsi="Times New Roman" w:cs="Times New Roman"/>
          <w:color w:val="auto"/>
          <w:sz w:val="24"/>
          <w:highlight w:val="none"/>
          <w:lang w:eastAsia="zh-CN"/>
        </w:rPr>
        <w:t>；</w:t>
      </w:r>
    </w:p>
    <w:p>
      <w:pPr>
        <w:numPr>
          <w:ilvl w:val="0"/>
          <w:numId w:val="14"/>
        </w:numPr>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SJG-JJ-8污染物指标苯并（a）芘</w:t>
      </w:r>
      <w:r>
        <w:rPr>
          <w:rFonts w:hint="default" w:ascii="Times New Roman" w:hAnsi="Times New Roman" w:cs="Times New Roman"/>
          <w:highlight w:val="none"/>
          <w:lang w:val="en-US" w:eastAsia="zh-CN"/>
        </w:rPr>
        <w:t>高于《土壤环境质量建设用地土壤污染风险管控标准（试行）》（GB36600-2018）第二类建设用地筛选值且未超过第二类用地管制值</w:t>
      </w:r>
      <w:r>
        <w:rPr>
          <w:rFonts w:hint="eastAsia" w:cs="Times New Roman"/>
          <w:highlight w:val="none"/>
          <w:lang w:val="en-US" w:eastAsia="zh-CN"/>
        </w:rPr>
        <w:t>。</w:t>
      </w:r>
      <w:r>
        <w:rPr>
          <w:rFonts w:hint="eastAsia"/>
          <w:lang w:val="en-US" w:eastAsia="zh-CN"/>
        </w:rPr>
        <w:t>参考</w:t>
      </w:r>
      <w:r>
        <w:rPr>
          <w:rFonts w:hint="eastAsia"/>
        </w:rPr>
        <w:t>《上海市建设用地土壤污染状况调查、风险评估、风险管控与修复方案编制、风险管控与修复效果评估工作的补充规定（试行）》（沪环土（2020）62号）， 在SJG-JJ-8周边补充布设5个土壤点位，采集10个土壤样品、1个现场平行盲样和1个运输空白样，对苯并（a）芘进行检测。检测结果均为未检出；因此，可以判断SJG-JJ-8点位苯并(a)芘超标属于异常情况，不具代表性。</w:t>
      </w:r>
    </w:p>
    <w:p>
      <w:pPr>
        <w:numPr>
          <w:ilvl w:val="0"/>
          <w:numId w:val="14"/>
        </w:numPr>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highlight w:val="none"/>
          <w:lang w:eastAsia="zh-CN"/>
        </w:rPr>
        <w:t>园区内</w:t>
      </w:r>
      <w:r>
        <w:rPr>
          <w:rFonts w:hint="eastAsia" w:cs="Times New Roman"/>
          <w:color w:val="auto"/>
          <w:highlight w:val="none"/>
          <w:lang w:val="en-US" w:eastAsia="zh-CN"/>
        </w:rPr>
        <w:t>除SJG-JJ-8外，</w:t>
      </w:r>
      <w:r>
        <w:rPr>
          <w:rFonts w:hint="default" w:ascii="Times New Roman" w:hAnsi="Times New Roman" w:cs="Times New Roman"/>
          <w:color w:val="auto"/>
          <w:highlight w:val="none"/>
          <w:lang w:eastAsia="zh-CN"/>
        </w:rPr>
        <w:t>上风向点位和下风向点位</w:t>
      </w:r>
      <w:r>
        <w:rPr>
          <w:rFonts w:hint="default" w:ascii="Times New Roman" w:hAnsi="Times New Roman" w:cs="Times New Roman"/>
          <w:color w:val="auto"/>
          <w:highlight w:val="none"/>
        </w:rPr>
        <w:t>各测试项目检测值</w:t>
      </w:r>
      <w:r>
        <w:rPr>
          <w:rFonts w:hint="default" w:ascii="Times New Roman" w:hAnsi="Times New Roman" w:cs="Times New Roman"/>
          <w:color w:val="auto"/>
          <w:highlight w:val="none"/>
          <w:lang w:eastAsia="zh-CN"/>
        </w:rPr>
        <w:t>差别较小，各</w:t>
      </w:r>
      <w:r>
        <w:rPr>
          <w:rFonts w:hint="default" w:ascii="Times New Roman" w:hAnsi="Times New Roman" w:cs="Times New Roman"/>
          <w:color w:val="auto"/>
          <w:highlight w:val="none"/>
        </w:rPr>
        <w:t>检测值与均值</w:t>
      </w:r>
      <w:r>
        <w:rPr>
          <w:rFonts w:hint="default" w:ascii="Times New Roman" w:hAnsi="Times New Roman" w:cs="Times New Roman"/>
          <w:color w:val="auto"/>
          <w:highlight w:val="none"/>
          <w:lang w:eastAsia="zh-CN"/>
        </w:rPr>
        <w:t>差别较小</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说明工业园区周边及其已建成企业聚集区周边各</w:t>
      </w:r>
      <w:r>
        <w:rPr>
          <w:rFonts w:hint="default" w:ascii="Times New Roman" w:hAnsi="Times New Roman" w:cs="Times New Roman"/>
          <w:color w:val="auto"/>
          <w:highlight w:val="none"/>
        </w:rPr>
        <w:t>指标浓度处在同一水平</w:t>
      </w:r>
      <w:r>
        <w:rPr>
          <w:rFonts w:hint="default" w:ascii="Times New Roman" w:hAnsi="Times New Roman" w:cs="Times New Roman"/>
          <w:color w:val="auto"/>
          <w:highlight w:val="none"/>
          <w:lang w:eastAsia="zh-CN"/>
        </w:rPr>
        <w:t>；</w:t>
      </w:r>
    </w:p>
    <w:p>
      <w:pPr>
        <w:numPr>
          <w:ilvl w:val="0"/>
          <w:numId w:val="14"/>
        </w:numPr>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highlight w:val="none"/>
          <w:lang w:eastAsia="zh-CN"/>
        </w:rPr>
        <w:t>各土壤样品的单项污染指数Pimax=0.6</w:t>
      </w:r>
      <w:r>
        <w:rPr>
          <w:rFonts w:hint="default" w:ascii="Times New Roman" w:hAnsi="Times New Roman" w:cs="Times New Roman"/>
          <w:color w:val="auto"/>
          <w:highlight w:val="none"/>
          <w:lang w:val="en-US" w:eastAsia="zh-CN"/>
        </w:rPr>
        <w:t>00</w:t>
      </w:r>
      <w:r>
        <w:rPr>
          <w:rFonts w:hint="default" w:ascii="Times New Roman" w:hAnsi="Times New Roman" w:cs="Times New Roman"/>
          <w:color w:val="auto"/>
          <w:highlight w:val="none"/>
          <w:lang w:eastAsia="zh-CN"/>
        </w:rPr>
        <w:t>＜1，可以判断本</w:t>
      </w:r>
      <w:r>
        <w:rPr>
          <w:rFonts w:hint="eastAsia" w:cs="Times New Roman"/>
          <w:color w:val="auto"/>
          <w:highlight w:val="none"/>
          <w:lang w:eastAsia="zh-CN"/>
        </w:rPr>
        <w:t>工业园区及周边</w:t>
      </w:r>
      <w:r>
        <w:rPr>
          <w:rFonts w:hint="default" w:ascii="Times New Roman" w:hAnsi="Times New Roman" w:cs="Times New Roman"/>
          <w:color w:val="auto"/>
          <w:highlight w:val="none"/>
          <w:lang w:eastAsia="zh-CN"/>
        </w:rPr>
        <w:t>的所有点位各因子的单项污染指数对应的污染程度均为无污染；</w:t>
      </w:r>
    </w:p>
    <w:p>
      <w:pPr>
        <w:numPr>
          <w:ilvl w:val="0"/>
          <w:numId w:val="14"/>
        </w:numPr>
        <w:spacing w:line="360" w:lineRule="auto"/>
        <w:ind w:firstLine="482"/>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highlight w:val="none"/>
          <w:lang w:eastAsia="zh-CN"/>
        </w:rPr>
        <w:t>本园区各因子内梅罗污染指数PNmax=0.</w:t>
      </w:r>
      <w:r>
        <w:rPr>
          <w:rFonts w:hint="default" w:ascii="Times New Roman" w:hAnsi="Times New Roman" w:cs="Times New Roman"/>
          <w:color w:val="auto"/>
          <w:highlight w:val="none"/>
          <w:lang w:val="en-US" w:eastAsia="zh-CN"/>
        </w:rPr>
        <w:t>4455</w:t>
      </w:r>
      <w:r>
        <w:rPr>
          <w:rFonts w:hint="default" w:ascii="Times New Roman" w:hAnsi="Times New Roman" w:cs="Times New Roman"/>
          <w:color w:val="auto"/>
          <w:highlight w:val="none"/>
          <w:lang w:eastAsia="zh-CN"/>
        </w:rPr>
        <w:t>＜0.7，可以判断本园区</w:t>
      </w:r>
      <w:r>
        <w:rPr>
          <w:rFonts w:hint="eastAsia"/>
          <w:lang w:val="en-US" w:eastAsia="zh-CN"/>
        </w:rPr>
        <w:t>及周边</w:t>
      </w:r>
      <w:r>
        <w:rPr>
          <w:rFonts w:hint="default" w:ascii="Times New Roman" w:hAnsi="Times New Roman" w:cs="Times New Roman"/>
          <w:color w:val="auto"/>
          <w:highlight w:val="none"/>
          <w:lang w:eastAsia="zh-CN"/>
        </w:rPr>
        <w:t>的所有因子的内梅罗污染指数对应的污染等级均为I级清洁（安全）；</w:t>
      </w:r>
    </w:p>
    <w:p>
      <w:pPr>
        <w:numPr>
          <w:ilvl w:val="0"/>
          <w:numId w:val="14"/>
        </w:numPr>
        <w:spacing w:line="360" w:lineRule="auto"/>
        <w:ind w:firstLine="482"/>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调查</w:t>
      </w:r>
      <w:r>
        <w:rPr>
          <w:rFonts w:hint="default" w:ascii="Times New Roman" w:hAnsi="Times New Roman" w:cs="Times New Roman"/>
          <w:color w:val="auto"/>
          <w:sz w:val="24"/>
          <w:highlight w:val="none"/>
          <w:lang w:eastAsia="zh-CN"/>
        </w:rPr>
        <w:t>园区</w:t>
      </w:r>
      <w:r>
        <w:rPr>
          <w:rFonts w:hint="default" w:ascii="Times New Roman" w:hAnsi="Times New Roman" w:cs="Times New Roman"/>
          <w:color w:val="auto"/>
          <w:sz w:val="24"/>
          <w:highlight w:val="none"/>
        </w:rPr>
        <w:t>内地下水测试项目</w:t>
      </w:r>
      <w:r>
        <w:rPr>
          <w:rFonts w:hint="default" w:ascii="Times New Roman" w:hAnsi="Times New Roman" w:cs="Times New Roman"/>
          <w:color w:val="auto"/>
          <w:sz w:val="24"/>
          <w:highlight w:val="none"/>
          <w:lang w:eastAsia="zh-CN"/>
        </w:rPr>
        <w:t>已检出污染物（</w:t>
      </w:r>
      <w:r>
        <w:rPr>
          <w:rFonts w:hint="default" w:ascii="Times New Roman" w:hAnsi="Times New Roman" w:cs="Times New Roman"/>
          <w:color w:val="auto"/>
          <w:highlight w:val="none"/>
          <w:lang w:eastAsia="zh-CN"/>
        </w:rPr>
        <w:t>总硬度、溶解性总固体、耗氧量、硫酸盐、硝酸盐、氯化物、总氟化物、阴离子表面活性剂、氨氮、亚硝酸盐氮、锰、钠、锌、砷、铅、石油类</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highlight w:val="none"/>
          <w:lang w:eastAsia="zh-CN"/>
        </w:rPr>
        <w:t>均满足</w:t>
      </w:r>
      <w:r>
        <w:rPr>
          <w:rFonts w:hint="default" w:ascii="Times New Roman" w:hAnsi="Times New Roman" w:cs="Times New Roman"/>
          <w:color w:val="auto"/>
          <w:sz w:val="24"/>
          <w:highlight w:val="none"/>
        </w:rPr>
        <w:t>《地下水质量标准》（</w:t>
      </w:r>
      <w:r>
        <w:rPr>
          <w:rFonts w:hint="default" w:ascii="Times New Roman" w:hAnsi="Times New Roman" w:cs="Times New Roman"/>
          <w:color w:val="auto"/>
          <w:sz w:val="24"/>
          <w:highlight w:val="none"/>
          <w:lang w:val="en-US" w:eastAsia="zh-CN"/>
        </w:rPr>
        <w:t>G</w:t>
      </w:r>
      <w:r>
        <w:rPr>
          <w:rFonts w:hint="default" w:ascii="Times New Roman" w:hAnsi="Times New Roman" w:cs="Times New Roman"/>
          <w:color w:val="auto"/>
          <w:sz w:val="24"/>
          <w:highlight w:val="none"/>
        </w:rPr>
        <w:t>B/T 14848-2017）中</w:t>
      </w:r>
      <w:r>
        <w:rPr>
          <w:rFonts w:hint="default" w:ascii="Times New Roman" w:hAnsi="Times New Roman" w:cs="Times New Roman"/>
          <w:color w:val="auto"/>
          <w:sz w:val="24"/>
          <w:highlight w:val="none"/>
          <w:lang w:eastAsia="zh-CN"/>
        </w:rPr>
        <w:t>Ⅳ</w:t>
      </w:r>
      <w:r>
        <w:rPr>
          <w:rFonts w:hint="default" w:ascii="Times New Roman" w:hAnsi="Times New Roman" w:cs="Times New Roman"/>
          <w:color w:val="auto"/>
          <w:sz w:val="24"/>
          <w:highlight w:val="none"/>
        </w:rPr>
        <w:t>类标准限值</w:t>
      </w:r>
      <w:r>
        <w:rPr>
          <w:rFonts w:hint="default" w:ascii="Times New Roman" w:hAnsi="Times New Roman" w:cs="Times New Roman"/>
          <w:color w:val="auto"/>
          <w:sz w:val="24"/>
          <w:highlight w:val="none"/>
          <w:lang w:eastAsia="zh-CN"/>
        </w:rPr>
        <w:t>或</w:t>
      </w:r>
      <w:r>
        <w:rPr>
          <w:rFonts w:hint="default" w:ascii="Times New Roman" w:hAnsi="Times New Roman" w:cs="Times New Roman"/>
          <w:color w:val="auto"/>
          <w:sz w:val="24"/>
          <w:highlight w:val="none"/>
        </w:rPr>
        <w:t>《地表水环境质量标准》</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GB3838-2002</w:t>
      </w:r>
      <w:r>
        <w:rPr>
          <w:rFonts w:hint="default" w:ascii="Times New Roman" w:hAnsi="Times New Roman" w:cs="Times New Roman"/>
          <w:color w:val="auto"/>
          <w:highlight w:val="none"/>
          <w:lang w:eastAsia="zh-CN"/>
        </w:rPr>
        <w:t>）</w:t>
      </w:r>
      <w:r>
        <w:rPr>
          <w:rFonts w:hint="default" w:ascii="Times New Roman" w:hAnsi="Times New Roman" w:cs="Times New Roman"/>
          <w:color w:val="auto"/>
          <w:sz w:val="24"/>
          <w:highlight w:val="none"/>
          <w:lang w:eastAsia="zh-CN"/>
        </w:rPr>
        <w:t>Ⅳ</w:t>
      </w:r>
      <w:r>
        <w:rPr>
          <w:rFonts w:hint="default" w:ascii="Times New Roman" w:hAnsi="Times New Roman" w:cs="Times New Roman"/>
          <w:color w:val="auto"/>
          <w:sz w:val="24"/>
          <w:highlight w:val="none"/>
        </w:rPr>
        <w:t>类标准</w:t>
      </w:r>
      <w:r>
        <w:rPr>
          <w:rFonts w:hint="default" w:ascii="Times New Roman" w:hAnsi="Times New Roman" w:cs="Times New Roman"/>
          <w:color w:val="auto"/>
          <w:highlight w:val="none"/>
          <w:lang w:eastAsia="zh-CN"/>
        </w:rPr>
        <w:t>要求。</w:t>
      </w:r>
    </w:p>
    <w:p>
      <w:pPr>
        <w:pStyle w:val="4"/>
        <w:tabs>
          <w:tab w:val="left" w:leader="dot" w:pos="0"/>
          <w:tab w:val="clear" w:pos="425"/>
        </w:tabs>
        <w:rPr>
          <w:rFonts w:hint="default" w:ascii="Times New Roman" w:hAnsi="Times New Roman" w:cs="Times New Roman"/>
          <w:color w:val="auto"/>
          <w:highlight w:val="none"/>
        </w:rPr>
      </w:pPr>
      <w:bookmarkStart w:id="84" w:name="_Toc56693203"/>
      <w:bookmarkStart w:id="85" w:name="_Toc6475"/>
      <w:bookmarkStart w:id="86" w:name="_Toc46849322"/>
      <w:bookmarkStart w:id="87" w:name="_Toc13271"/>
      <w:r>
        <w:rPr>
          <w:rFonts w:hint="default" w:ascii="Times New Roman" w:hAnsi="Times New Roman" w:cs="Times New Roman"/>
          <w:color w:val="auto"/>
          <w:highlight w:val="none"/>
        </w:rPr>
        <w:t>建议</w:t>
      </w:r>
      <w:bookmarkEnd w:id="84"/>
      <w:bookmarkEnd w:id="85"/>
      <w:bookmarkEnd w:id="86"/>
      <w:bookmarkEnd w:id="87"/>
    </w:p>
    <w:p>
      <w:pPr>
        <w:pStyle w:val="31"/>
        <w:numPr>
          <w:ilvl w:val="0"/>
          <w:numId w:val="15"/>
        </w:numPr>
        <w:spacing w:after="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制定三江港经济区周边土壤环境例行监测制度，建立工业园区周边土壤环境质量管理数据库。</w:t>
      </w:r>
    </w:p>
    <w:p>
      <w:pPr>
        <w:pStyle w:val="31"/>
        <w:numPr>
          <w:ilvl w:val="0"/>
          <w:numId w:val="15"/>
        </w:numPr>
        <w:spacing w:after="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所有入园新建项目应开展环境影响评价工作，现有已入园企业，应严格落实环评文件及环境主管部门提出的各项污染防治措施，并保证污染治理设施正常、稳定运行。</w:t>
      </w:r>
    </w:p>
    <w:p>
      <w:pPr>
        <w:pStyle w:val="31"/>
        <w:numPr>
          <w:ilvl w:val="0"/>
          <w:numId w:val="15"/>
        </w:numPr>
        <w:spacing w:after="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加强园区内涉重企业环境管理及监控，定期对涉重企业</w:t>
      </w:r>
      <w:r>
        <w:rPr>
          <w:rFonts w:hint="default" w:ascii="Times New Roman" w:hAnsi="Times New Roman" w:eastAsia="宋体" w:cs="Times New Roman"/>
          <w:color w:val="auto"/>
          <w:kern w:val="2"/>
          <w:sz w:val="24"/>
          <w:szCs w:val="24"/>
          <w:highlight w:val="none"/>
          <w:lang w:val="en-US" w:eastAsia="zh-CN" w:bidi="ar"/>
        </w:rPr>
        <w:t>内部及</w:t>
      </w:r>
      <w:r>
        <w:rPr>
          <w:rFonts w:hint="default" w:ascii="Times New Roman" w:hAnsi="Times New Roman" w:cs="Times New Roman"/>
          <w:color w:val="auto"/>
          <w:highlight w:val="none"/>
          <w:lang w:eastAsia="zh-CN"/>
        </w:rPr>
        <w:t>周边土壤环境质量开展检测工作。</w:t>
      </w:r>
    </w:p>
    <w:p>
      <w:pPr>
        <w:pStyle w:val="31"/>
        <w:numPr>
          <w:ilvl w:val="0"/>
          <w:numId w:val="15"/>
        </w:numPr>
        <w:spacing w:after="0"/>
        <w:ind w:firstLine="480"/>
        <w:rPr>
          <w:rFonts w:hint="default" w:ascii="Times New Roman" w:hAnsi="Times New Roman" w:cs="Times New Roman"/>
          <w:color w:val="auto"/>
          <w:szCs w:val="24"/>
          <w:highlight w:val="none"/>
        </w:rPr>
      </w:pPr>
      <w:r>
        <w:rPr>
          <w:rFonts w:hint="default" w:ascii="Times New Roman" w:hAnsi="Times New Roman" w:cs="Times New Roman"/>
          <w:color w:val="auto"/>
          <w:highlight w:val="none"/>
        </w:rPr>
        <w:t>本报告仅针对调查期间</w:t>
      </w:r>
      <w:r>
        <w:rPr>
          <w:rFonts w:hint="default" w:ascii="Times New Roman" w:hAnsi="Times New Roman" w:cs="Times New Roman"/>
          <w:color w:val="auto"/>
          <w:highlight w:val="none"/>
          <w:lang w:eastAsia="zh-CN"/>
        </w:rPr>
        <w:t>监测</w:t>
      </w:r>
      <w:r>
        <w:rPr>
          <w:rFonts w:hint="default" w:ascii="Times New Roman" w:hAnsi="Times New Roman" w:cs="Times New Roman"/>
          <w:color w:val="auto"/>
          <w:highlight w:val="none"/>
        </w:rPr>
        <w:t>点土壤及地下水环境质量进行调查与评价，</w:t>
      </w:r>
      <w:r>
        <w:rPr>
          <w:rFonts w:hint="default" w:ascii="Times New Roman" w:hAnsi="Times New Roman" w:cs="Times New Roman"/>
          <w:color w:val="auto"/>
          <w:highlight w:val="none"/>
          <w:lang w:val="en-US" w:eastAsia="zh-CN"/>
        </w:rPr>
        <w:t>园区周边土壤</w:t>
      </w:r>
      <w:r>
        <w:rPr>
          <w:rFonts w:hint="default" w:ascii="Times New Roman" w:hAnsi="Times New Roman" w:cs="Times New Roman"/>
          <w:color w:val="auto"/>
          <w:highlight w:val="none"/>
          <w:lang w:eastAsia="zh-CN"/>
        </w:rPr>
        <w:t>点位</w:t>
      </w:r>
      <w:r>
        <w:rPr>
          <w:rFonts w:hint="default" w:ascii="Times New Roman" w:hAnsi="Times New Roman" w:cs="Times New Roman"/>
          <w:color w:val="auto"/>
          <w:highlight w:val="none"/>
          <w:lang w:val="en-US" w:eastAsia="zh-CN"/>
        </w:rPr>
        <w:t>若其用地类型发生变化需</w:t>
      </w:r>
      <w:r>
        <w:rPr>
          <w:rFonts w:hint="default" w:ascii="Times New Roman" w:hAnsi="Times New Roman" w:cs="Times New Roman"/>
          <w:color w:val="auto"/>
          <w:highlight w:val="none"/>
        </w:rPr>
        <w:t>另行调查评估</w:t>
      </w:r>
      <w:r>
        <w:rPr>
          <w:rFonts w:hint="default" w:ascii="Times New Roman" w:hAnsi="Times New Roman" w:cs="Times New Roman"/>
          <w:color w:val="auto"/>
          <w:szCs w:val="24"/>
          <w:highlight w:val="none"/>
        </w:rPr>
        <w:t>。</w:t>
      </w:r>
    </w:p>
    <w:p>
      <w:pPr>
        <w:pStyle w:val="2"/>
        <w:rPr>
          <w:rFonts w:hint="default" w:ascii="Times New Roman" w:hAnsi="Times New Roman" w:cs="Times New Roman"/>
          <w:color w:val="auto"/>
          <w:highlight w:val="none"/>
          <w:lang w:eastAsia="zh-CN"/>
        </w:rPr>
      </w:pPr>
    </w:p>
    <w:sectPr>
      <w:headerReference r:id="rId21" w:type="default"/>
      <w:pgSz w:w="11905" w:h="16838"/>
      <w:pgMar w:top="1134" w:right="1134" w:bottom="1134" w:left="1134" w:header="850" w:footer="992" w:gutter="0"/>
      <w:pgBorders>
        <w:top w:val="none" w:sz="0" w:space="0"/>
        <w:left w:val="none" w:sz="0" w:space="0"/>
        <w:bottom w:val="none" w:sz="0" w:space="0"/>
        <w:right w:val="none" w:sz="0" w:space="0"/>
      </w:pgBorders>
      <w:pgNumType w:fmt="numberInDash"/>
      <w:cols w:space="0" w:num="1"/>
      <w:rtlGutter w:val="0"/>
      <w:docGrid w:type="line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u w:val="singl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u w:val="single"/>
      </w:rPr>
    </w:pPr>
    <w:r>
      <w:rPr>
        <w:u w:val="single"/>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- 59 -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- 59 -</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- 13 -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- 13 -</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- 16 -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- 16 -</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- 16 -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- 16 -</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textAlignment w:val="auto"/>
      <w:rPr>
        <w:rFonts w:hint="eastAsia" w:eastAsia="宋体"/>
        <w:b/>
        <w:bCs/>
        <w:color w:val="000000" w:themeColor="text1"/>
        <w:szCs w:val="18"/>
        <w:lang w:eastAsia="zh-CN"/>
        <w14:textFill>
          <w14:solidFill>
            <w14:schemeClr w14:val="tx1"/>
          </w14:solidFill>
        </w14:textFill>
      </w:rPr>
    </w:pPr>
    <w:r>
      <w:rPr>
        <w:rFonts w:hint="eastAsia"/>
        <w:b/>
        <w:bCs/>
        <w:color w:val="000000" w:themeColor="text1"/>
        <w:kern w:val="0"/>
        <w:szCs w:val="18"/>
        <w14:textFill>
          <w14:solidFill>
            <w14:schemeClr w14:val="tx1"/>
          </w14:solidFill>
        </w14:textFill>
      </w:rPr>
      <w:t>鄂州市工业园区周边土壤质量调查评估报告（2020年）——</w:t>
    </w:r>
    <w:r>
      <w:rPr>
        <w:rFonts w:hint="eastAsia"/>
        <w:b/>
        <w:bCs/>
        <w:color w:val="000000" w:themeColor="text1"/>
        <w:kern w:val="0"/>
        <w:szCs w:val="18"/>
        <w:lang w:eastAsia="zh-CN"/>
        <w14:textFill>
          <w14:solidFill>
            <w14:schemeClr w14:val="tx1"/>
          </w14:solidFill>
        </w14:textFill>
      </w:rPr>
      <w:t>三江港经济区</w:t>
    </w:r>
    <w:r>
      <w:rPr>
        <w:b/>
        <w:bCs/>
        <w:color w:val="000000" w:themeColor="text1"/>
        <w:kern w:val="0"/>
        <w:szCs w:val="18"/>
        <w14:textFill>
          <w14:solidFill>
            <w14:schemeClr w14:val="tx1"/>
          </w14:solidFill>
        </w14:textFill>
      </w:rPr>
      <w:t xml:space="preserve">    </w:t>
    </w:r>
    <w:r>
      <w:rPr>
        <w:rFonts w:hint="eastAsia"/>
        <w:b/>
        <w:bCs/>
        <w:color w:val="000000" w:themeColor="text1"/>
        <w:kern w:val="0"/>
        <w:szCs w:val="18"/>
        <w:lang w:val="en-US" w:eastAsia="zh-CN"/>
        <w14:textFill>
          <w14:solidFill>
            <w14:schemeClr w14:val="tx1"/>
          </w14:solidFill>
        </w14:textFill>
      </w:rPr>
      <w:t xml:space="preserve">                                   </w:t>
    </w:r>
    <w:r>
      <w:rPr>
        <w:rFonts w:hint="eastAsia"/>
        <w:b/>
        <w:bCs/>
        <w:color w:val="000000" w:themeColor="text1"/>
        <w:kern w:val="0"/>
        <w:szCs w:val="18"/>
        <w:lang w:eastAsia="zh-CN"/>
        <w14:textFill>
          <w14:solidFill>
            <w14:schemeClr w14:val="tx1"/>
          </w14:solidFill>
        </w14:textFill>
      </w:rPr>
      <w:t>目录</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textAlignment w:val="auto"/>
      <w:rPr>
        <w:rFonts w:hint="default" w:eastAsia="宋体"/>
        <w:lang w:val="en-US" w:eastAsia="zh-CN"/>
      </w:rPr>
    </w:pPr>
    <w:r>
      <w:rPr>
        <w:rFonts w:hint="eastAsia"/>
        <w:b/>
        <w:bCs/>
        <w:color w:val="000000" w:themeColor="text1"/>
        <w:kern w:val="0"/>
        <w:szCs w:val="18"/>
        <w:highlight w:val="none"/>
        <w14:textFill>
          <w14:solidFill>
            <w14:schemeClr w14:val="tx1"/>
          </w14:solidFill>
        </w14:textFill>
      </w:rPr>
      <w:t>鄂州市工业园区周边土壤质量调查评估报告（2020年）——</w:t>
    </w:r>
    <w:r>
      <w:rPr>
        <w:rFonts w:hint="eastAsia"/>
        <w:b/>
        <w:bCs/>
        <w:color w:val="000000" w:themeColor="text1"/>
        <w:kern w:val="0"/>
        <w:szCs w:val="18"/>
        <w:highlight w:val="none"/>
        <w:lang w:eastAsia="zh-CN"/>
        <w14:textFill>
          <w14:solidFill>
            <w14:schemeClr w14:val="tx1"/>
          </w14:solidFill>
        </w14:textFill>
      </w:rPr>
      <w:t>三江港</w:t>
    </w:r>
    <w:r>
      <w:rPr>
        <w:rFonts w:hint="eastAsia"/>
        <w:b/>
        <w:bCs/>
        <w:color w:val="000000" w:themeColor="text1"/>
        <w:kern w:val="0"/>
        <w:szCs w:val="18"/>
        <w:highlight w:val="none"/>
        <w:lang w:val="en-US" w:eastAsia="zh-CN"/>
        <w14:textFill>
          <w14:solidFill>
            <w14:schemeClr w14:val="tx1"/>
          </w14:solidFill>
        </w14:textFill>
      </w:rPr>
      <w:tab/>
    </w:r>
    <w:r>
      <w:rPr>
        <w:rFonts w:hint="eastAsia"/>
        <w:b/>
        <w:bCs/>
        <w:color w:val="000000" w:themeColor="text1"/>
        <w:kern w:val="0"/>
        <w:szCs w:val="18"/>
        <w:highlight w:val="none"/>
        <w:lang w:val="en-US" w:eastAsia="zh-CN"/>
        <w14:textFill>
          <w14:solidFill>
            <w14:schemeClr w14:val="tx1"/>
          </w14:solidFill>
        </w14:textFill>
      </w:rPr>
      <w:tab/>
    </w:r>
    <w:r>
      <w:rPr>
        <w:rFonts w:hint="eastAsia" w:cs="Times New Roman"/>
        <w:b/>
        <w:bCs/>
        <w:color w:val="000000" w:themeColor="text1"/>
        <w:kern w:val="0"/>
        <w:sz w:val="18"/>
        <w:szCs w:val="18"/>
        <w:lang w:val="en-US" w:eastAsia="zh-CN"/>
        <w14:textFill>
          <w14:solidFill>
            <w14:schemeClr w14:val="tx1"/>
          </w14:solidFill>
        </w14:textFill>
      </w:rPr>
      <w:t>3.调查工作方案</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textAlignment w:val="auto"/>
      <w:rPr>
        <w:rFonts w:hint="default" w:eastAsia="宋体"/>
        <w:lang w:val="en-US" w:eastAsia="zh-CN"/>
      </w:rPr>
    </w:pPr>
    <w:r>
      <w:rPr>
        <w:rFonts w:hint="eastAsia"/>
        <w:b/>
        <w:bCs/>
        <w:color w:val="000000" w:themeColor="text1"/>
        <w:kern w:val="0"/>
        <w:szCs w:val="18"/>
        <w14:textFill>
          <w14:solidFill>
            <w14:schemeClr w14:val="tx1"/>
          </w14:solidFill>
        </w14:textFill>
      </w:rPr>
      <w:t>鄂州市工业园区周边土壤质量调查评估报告（2020年）——</w:t>
    </w:r>
    <w:r>
      <w:rPr>
        <w:rFonts w:hint="eastAsia"/>
        <w:b/>
        <w:bCs/>
        <w:color w:val="000000" w:themeColor="text1"/>
        <w:kern w:val="0"/>
        <w:szCs w:val="18"/>
        <w:lang w:eastAsia="zh-CN"/>
        <w14:textFill>
          <w14:solidFill>
            <w14:schemeClr w14:val="tx1"/>
          </w14:solidFill>
        </w14:textFill>
      </w:rPr>
      <w:t>三江港经济区</w:t>
    </w:r>
    <w:r>
      <w:rPr>
        <w:rFonts w:hint="eastAsia"/>
        <w:b/>
        <w:bCs/>
        <w:color w:val="000000" w:themeColor="text1"/>
        <w:kern w:val="0"/>
        <w:szCs w:val="18"/>
        <w:lang w:val="en-US" w:eastAsia="zh-CN"/>
        <w14:textFill>
          <w14:solidFill>
            <w14:schemeClr w14:val="tx1"/>
          </w14:solidFill>
        </w14:textFill>
      </w:rPr>
      <w:t xml:space="preserve">  </w:t>
    </w:r>
    <w:r>
      <w:rPr>
        <w:rFonts w:hint="eastAsia" w:cs="Times New Roman"/>
        <w:b/>
        <w:bCs/>
        <w:color w:val="000000" w:themeColor="text1"/>
        <w:kern w:val="0"/>
        <w:sz w:val="18"/>
        <w:szCs w:val="18"/>
        <w:lang w:val="en-US" w:eastAsia="zh-CN"/>
        <w14:textFill>
          <w14:solidFill>
            <w14:schemeClr w14:val="tx1"/>
          </w14:solidFill>
        </w14:textFill>
      </w:rPr>
      <w:t xml:space="preserve">                             5.结果与评价</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textAlignment w:val="auto"/>
      <w:rPr>
        <w:rFonts w:hint="default" w:eastAsia="宋体"/>
        <w:lang w:val="en-US" w:eastAsia="zh-CN"/>
      </w:rPr>
    </w:pPr>
    <w:r>
      <w:rPr>
        <w:rFonts w:hint="eastAsia"/>
        <w:b/>
        <w:bCs/>
        <w:color w:val="000000" w:themeColor="text1"/>
        <w:kern w:val="0"/>
        <w:szCs w:val="18"/>
        <w14:textFill>
          <w14:solidFill>
            <w14:schemeClr w14:val="tx1"/>
          </w14:solidFill>
        </w14:textFill>
      </w:rPr>
      <w:t>鄂州市工业园区周边土壤质量调查评估报告（2020年）——</w:t>
    </w:r>
    <w:r>
      <w:rPr>
        <w:rFonts w:hint="eastAsia"/>
        <w:b/>
        <w:bCs/>
        <w:color w:val="000000" w:themeColor="text1"/>
        <w:kern w:val="0"/>
        <w:szCs w:val="18"/>
        <w:lang w:eastAsia="zh-CN"/>
        <w14:textFill>
          <w14:solidFill>
            <w14:schemeClr w14:val="tx1"/>
          </w14:solidFill>
        </w14:textFill>
      </w:rPr>
      <w:t>三江港经济区</w:t>
    </w:r>
    <w:r>
      <w:rPr>
        <w:b/>
        <w:bCs/>
        <w:color w:val="000000" w:themeColor="text1"/>
        <w:kern w:val="0"/>
        <w:szCs w:val="18"/>
        <w14:textFill>
          <w14:solidFill>
            <w14:schemeClr w14:val="tx1"/>
          </w14:solidFill>
        </w14:textFill>
      </w:rPr>
      <w:t xml:space="preserve"> </w:t>
    </w:r>
    <w:r>
      <w:rPr>
        <w:rFonts w:hint="eastAsia" w:cs="Times New Roman"/>
        <w:b/>
        <w:bCs/>
        <w:color w:val="000000" w:themeColor="text1"/>
        <w:kern w:val="0"/>
        <w:sz w:val="18"/>
        <w:szCs w:val="18"/>
        <w:lang w:val="en-US" w:eastAsia="zh-CN"/>
        <w14:textFill>
          <w14:solidFill>
            <w14:schemeClr w14:val="tx1"/>
          </w14:solidFill>
        </w14:textFill>
      </w:rPr>
      <w:t xml:space="preserve">                                                                                     5.结果与评价</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jc w:val="left"/>
      <w:textAlignment w:val="auto"/>
      <w:rPr>
        <w:rFonts w:hint="default" w:eastAsia="宋体"/>
        <w:lang w:val="en-US" w:eastAsia="zh-CN"/>
      </w:rPr>
    </w:pPr>
    <w:r>
      <w:rPr>
        <w:rFonts w:hint="eastAsia"/>
        <w:b/>
        <w:bCs/>
        <w:color w:val="000000" w:themeColor="text1"/>
        <w:kern w:val="0"/>
        <w:szCs w:val="18"/>
        <w14:textFill>
          <w14:solidFill>
            <w14:schemeClr w14:val="tx1"/>
          </w14:solidFill>
        </w14:textFill>
      </w:rPr>
      <w:t>鄂州市工业园区周边土壤质量调查评估报告（2020年）——</w:t>
    </w:r>
    <w:r>
      <w:rPr>
        <w:rFonts w:hint="eastAsia"/>
        <w:b/>
        <w:bCs/>
        <w:color w:val="000000" w:themeColor="text1"/>
        <w:kern w:val="0"/>
        <w:szCs w:val="18"/>
        <w:lang w:eastAsia="zh-CN"/>
        <w14:textFill>
          <w14:solidFill>
            <w14:schemeClr w14:val="tx1"/>
          </w14:solidFill>
        </w14:textFill>
      </w:rPr>
      <w:t>三江港经济区</w:t>
    </w:r>
    <w:r>
      <w:rPr>
        <w:rFonts w:hint="eastAsia"/>
        <w:b/>
        <w:bCs/>
        <w:color w:val="000000" w:themeColor="text1"/>
        <w:kern w:val="0"/>
        <w:szCs w:val="18"/>
        <w:lang w:val="en-US" w:eastAsia="zh-CN"/>
        <w14:textFill>
          <w14:solidFill>
            <w14:schemeClr w14:val="tx1"/>
          </w14:solidFill>
        </w14:textFill>
      </w:rPr>
      <w:tab/>
    </w:r>
    <w:r>
      <w:rPr>
        <w:rFonts w:hint="eastAsia"/>
        <w:b/>
        <w:bCs/>
        <w:color w:val="000000" w:themeColor="text1"/>
        <w:kern w:val="0"/>
        <w:szCs w:val="18"/>
        <w:lang w:val="en-US" w:eastAsia="zh-CN"/>
        <w14:textFill>
          <w14:solidFill>
            <w14:schemeClr w14:val="tx1"/>
          </w14:solidFill>
        </w14:textFill>
      </w:rPr>
      <w:tab/>
    </w:r>
    <w:r>
      <w:rPr>
        <w:rFonts w:hint="eastAsia"/>
        <w:b/>
        <w:bCs/>
        <w:color w:val="000000" w:themeColor="text1"/>
        <w:kern w:val="0"/>
        <w:szCs w:val="18"/>
        <w:lang w:val="en-US" w:eastAsia="zh-CN"/>
        <w14:textFill>
          <w14:solidFill>
            <w14:schemeClr w14:val="tx1"/>
          </w14:solidFill>
        </w14:textFill>
      </w:rPr>
      <w:t xml:space="preserve">  </w:t>
    </w:r>
    <w:r>
      <w:rPr>
        <w:rFonts w:hint="eastAsia" w:cs="Times New Roman"/>
        <w:b/>
        <w:bCs/>
        <w:color w:val="000000" w:themeColor="text1"/>
        <w:kern w:val="0"/>
        <w:sz w:val="18"/>
        <w:szCs w:val="18"/>
        <w:lang w:val="en-US" w:eastAsia="zh-CN"/>
        <w14:textFill>
          <w14:solidFill>
            <w14:schemeClr w14:val="tx1"/>
          </w14:solidFill>
        </w14:textFill>
      </w:rPr>
      <w:t>5.结果与评价</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textAlignment w:val="auto"/>
      <w:rPr>
        <w:rFonts w:hint="default" w:eastAsia="宋体"/>
        <w:lang w:val="en-US" w:eastAsia="zh-CN"/>
      </w:rPr>
    </w:pPr>
    <w:r>
      <w:rPr>
        <w:rFonts w:hint="eastAsia"/>
        <w:b/>
        <w:bCs/>
        <w:color w:val="000000" w:themeColor="text1"/>
        <w:kern w:val="0"/>
        <w:szCs w:val="18"/>
        <w14:textFill>
          <w14:solidFill>
            <w14:schemeClr w14:val="tx1"/>
          </w14:solidFill>
        </w14:textFill>
      </w:rPr>
      <w:t>鄂州市工业园区周边土壤质量调查评估报告（2020年）——</w:t>
    </w:r>
    <w:r>
      <w:rPr>
        <w:rFonts w:hint="eastAsia"/>
        <w:b/>
        <w:bCs/>
        <w:color w:val="000000" w:themeColor="text1"/>
        <w:kern w:val="0"/>
        <w:szCs w:val="18"/>
        <w:lang w:eastAsia="zh-CN"/>
        <w14:textFill>
          <w14:solidFill>
            <w14:schemeClr w14:val="tx1"/>
          </w14:solidFill>
        </w14:textFill>
      </w:rPr>
      <w:t>三江港经济区</w:t>
    </w:r>
    <w:r>
      <w:rPr>
        <w:b/>
        <w:bCs/>
        <w:color w:val="000000" w:themeColor="text1"/>
        <w:kern w:val="0"/>
        <w:szCs w:val="18"/>
        <w14:textFill>
          <w14:solidFill>
            <w14:schemeClr w14:val="tx1"/>
          </w14:solidFill>
        </w14:textFill>
      </w:rPr>
      <w:t xml:space="preserve"> </w:t>
    </w:r>
    <w:r>
      <w:rPr>
        <w:rFonts w:hint="eastAsia"/>
        <w:b/>
        <w:bCs/>
        <w:color w:val="000000" w:themeColor="text1"/>
        <w:kern w:val="0"/>
        <w:szCs w:val="18"/>
        <w:lang w:val="en-US" w:eastAsia="zh-CN"/>
        <w14:textFill>
          <w14:solidFill>
            <w14:schemeClr w14:val="tx1"/>
          </w14:solidFill>
        </w14:textFill>
      </w:rPr>
      <w:t xml:space="preserve">                </w:t>
    </w:r>
    <w:r>
      <w:rPr>
        <w:rFonts w:hint="eastAsia" w:cs="Times New Roman"/>
        <w:b/>
        <w:bCs/>
        <w:color w:val="000000" w:themeColor="text1"/>
        <w:kern w:val="0"/>
        <w:sz w:val="18"/>
        <w:szCs w:val="18"/>
        <w:lang w:val="en-US" w:eastAsia="zh-CN"/>
        <w14:textFill>
          <w14:solidFill>
            <w14:schemeClr w14:val="tx1"/>
          </w14:solidFill>
        </w14:textFill>
      </w:rPr>
      <w:t xml:space="preserve">              6.结论与建议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textAlignment w:val="auto"/>
      <w:rPr>
        <w:rFonts w:hint="default" w:eastAsia="宋体"/>
        <w:b/>
        <w:lang w:val="en-US" w:eastAsia="zh-CN"/>
      </w:rPr>
    </w:pPr>
    <w:r>
      <w:rPr>
        <w:rFonts w:hint="eastAsia"/>
        <w:b/>
        <w:bCs/>
        <w:color w:val="000000" w:themeColor="text1"/>
        <w:kern w:val="0"/>
        <w:szCs w:val="18"/>
        <w14:textFill>
          <w14:solidFill>
            <w14:schemeClr w14:val="tx1"/>
          </w14:solidFill>
        </w14:textFill>
      </w:rPr>
      <w:t>鄂州市工业园区周边土壤质量调查评估报告（2020年）——</w:t>
    </w:r>
    <w:r>
      <w:rPr>
        <w:rFonts w:hint="eastAsia"/>
        <w:b/>
        <w:bCs/>
        <w:color w:val="000000" w:themeColor="text1"/>
        <w:kern w:val="0"/>
        <w:szCs w:val="18"/>
        <w:lang w:eastAsia="zh-CN"/>
        <w14:textFill>
          <w14:solidFill>
            <w14:schemeClr w14:val="tx1"/>
          </w14:solidFill>
        </w14:textFill>
      </w:rPr>
      <w:t>三江港经济区</w:t>
    </w:r>
    <w:r>
      <w:rPr>
        <w:rFonts w:hint="eastAsia"/>
        <w:b/>
        <w:bCs/>
        <w:color w:val="000000" w:themeColor="text1"/>
        <w:kern w:val="0"/>
        <w:szCs w:val="18"/>
        <w14:textFill>
          <w14:solidFill>
            <w14:schemeClr w14:val="tx1"/>
          </w14:solidFill>
        </w14:textFill>
      </w:rPr>
      <w:t xml:space="preserve"> </w:t>
    </w:r>
    <w:r>
      <w:rPr>
        <w:rFonts w:hint="eastAsia"/>
        <w:b/>
        <w:bCs/>
        <w:color w:val="000000" w:themeColor="text1"/>
        <w:kern w:val="0"/>
        <w:szCs w:val="18"/>
        <w:lang w:val="en-US" w:eastAsia="zh-CN"/>
        <w14:textFill>
          <w14:solidFill>
            <w14:schemeClr w14:val="tx1"/>
          </w14:solidFill>
        </w14:textFill>
      </w:rPr>
      <w:t xml:space="preserve"> </w:t>
    </w:r>
    <w:r>
      <w:rPr>
        <w:rFonts w:hint="eastAsia"/>
        <w:b/>
        <w:bCs/>
        <w:color w:val="000000" w:themeColor="text1"/>
        <w:kern w:val="0"/>
        <w:szCs w:val="18"/>
        <w14:textFill>
          <w14:solidFill>
            <w14:schemeClr w14:val="tx1"/>
          </w14:solidFill>
        </w14:textFill>
      </w:rPr>
      <w:t xml:space="preserve">  </w:t>
    </w:r>
    <w:r>
      <w:rPr>
        <w:rFonts w:hint="eastAsia"/>
        <w:b/>
        <w:bCs/>
        <w:color w:val="000000" w:themeColor="text1"/>
        <w:kern w:val="0"/>
        <w:szCs w:val="18"/>
        <w:lang w:val="en-US" w:eastAsia="zh-CN"/>
        <w14:textFill>
          <w14:solidFill>
            <w14:schemeClr w14:val="tx1"/>
          </w14:solidFill>
        </w14:textFill>
      </w:rPr>
      <w:t xml:space="preserve">           </w:t>
    </w:r>
    <w:r>
      <w:rPr>
        <w:rFonts w:hint="eastAsia"/>
        <w:b/>
        <w:bCs/>
        <w:color w:val="000000" w:themeColor="text1"/>
        <w:kern w:val="0"/>
        <w:szCs w:val="18"/>
        <w14:textFill>
          <w14:solidFill>
            <w14:schemeClr w14:val="tx1"/>
          </w14:solidFill>
        </w14:textFill>
      </w:rPr>
      <w:t xml:space="preserve">              </w:t>
    </w:r>
    <w:r>
      <w:rPr>
        <w:rFonts w:hint="eastAsia"/>
        <w:b/>
        <w:bCs/>
        <w:color w:val="000000" w:themeColor="text1"/>
        <w:kern w:val="0"/>
        <w:szCs w:val="18"/>
        <w:lang w:val="en-US" w:eastAsia="zh-CN"/>
        <w14:textFill>
          <w14:solidFill>
            <w14:schemeClr w14:val="tx1"/>
          </w14:solidFill>
        </w14:textFill>
      </w:rPr>
      <w:t xml:space="preserve">        目录</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pBdr>
        <w:bottom w:val="none" w:color="auto" w:sz="0" w:space="1"/>
      </w:pBdr>
      <w:kinsoku/>
      <w:wordWrap/>
      <w:overflowPunct/>
      <w:topLinePunct w:val="0"/>
      <w:autoSpaceDE/>
      <w:autoSpaceDN/>
      <w:bidi w:val="0"/>
      <w:adjustRightInd/>
      <w:snapToGrid w:val="0"/>
      <w:spacing w:line="240" w:lineRule="auto"/>
      <w:textAlignment w:val="auto"/>
      <w:rPr>
        <w:rFonts w:hint="default" w:eastAsia="宋体"/>
        <w:b/>
        <w:lang w:val="en-US"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textAlignment w:val="auto"/>
      <w:rPr>
        <w:rFonts w:hint="default" w:eastAsia="宋体"/>
        <w:b/>
        <w:highlight w:val="none"/>
        <w:lang w:val="en-US" w:eastAsia="zh-CN"/>
      </w:rPr>
    </w:pPr>
    <w:r>
      <w:rPr>
        <w:rFonts w:hint="eastAsia"/>
        <w:b/>
        <w:bCs/>
        <w:color w:val="000000" w:themeColor="text1"/>
        <w:kern w:val="0"/>
        <w:szCs w:val="18"/>
        <w:highlight w:val="none"/>
        <w14:textFill>
          <w14:solidFill>
            <w14:schemeClr w14:val="tx1"/>
          </w14:solidFill>
        </w14:textFill>
      </w:rPr>
      <w:t>鄂州市工业园区周边土壤质量调查评估报告（2020年）——</w:t>
    </w:r>
    <w:r>
      <w:rPr>
        <w:rFonts w:hint="eastAsia"/>
        <w:b/>
        <w:bCs/>
        <w:color w:val="000000" w:themeColor="text1"/>
        <w:kern w:val="0"/>
        <w:szCs w:val="18"/>
        <w:highlight w:val="none"/>
        <w:lang w:eastAsia="zh-CN"/>
        <w14:textFill>
          <w14:solidFill>
            <w14:schemeClr w14:val="tx1"/>
          </w14:solidFill>
        </w14:textFill>
      </w:rPr>
      <w:t>三江港经济区</w:t>
    </w:r>
    <w:r>
      <w:rPr>
        <w:rFonts w:hint="eastAsia"/>
        <w:b/>
        <w:bCs/>
        <w:color w:val="000000" w:themeColor="text1"/>
        <w:kern w:val="0"/>
        <w:szCs w:val="18"/>
        <w:highlight w:val="none"/>
        <w14:textFill>
          <w14:solidFill>
            <w14:schemeClr w14:val="tx1"/>
          </w14:solidFill>
        </w14:textFill>
      </w:rPr>
      <w:t xml:space="preserve">  </w:t>
    </w:r>
    <w:r>
      <w:rPr>
        <w:rFonts w:hint="eastAsia"/>
        <w:b/>
        <w:bCs/>
        <w:color w:val="000000" w:themeColor="text1"/>
        <w:kern w:val="0"/>
        <w:szCs w:val="18"/>
        <w:highlight w:val="none"/>
        <w:lang w:val="en-US" w:eastAsia="zh-CN"/>
        <w14:textFill>
          <w14:solidFill>
            <w14:schemeClr w14:val="tx1"/>
          </w14:solidFill>
        </w14:textFill>
      </w:rPr>
      <w:t xml:space="preserve"> </w:t>
    </w:r>
    <w:r>
      <w:rPr>
        <w:rFonts w:hint="eastAsia"/>
        <w:b/>
        <w:bCs/>
        <w:color w:val="000000" w:themeColor="text1"/>
        <w:kern w:val="0"/>
        <w:szCs w:val="18"/>
        <w:highlight w:val="none"/>
        <w14:textFill>
          <w14:solidFill>
            <w14:schemeClr w14:val="tx1"/>
          </w14:solidFill>
        </w14:textFill>
      </w:rPr>
      <w:t xml:space="preserve">                  </w:t>
    </w:r>
    <w:r>
      <w:rPr>
        <w:rFonts w:hint="eastAsia"/>
        <w:b/>
        <w:bCs/>
        <w:color w:val="000000" w:themeColor="text1"/>
        <w:kern w:val="0"/>
        <w:szCs w:val="18"/>
        <w:highlight w:val="none"/>
        <w:lang w:val="en-US" w:eastAsia="zh-CN"/>
        <w14:textFill>
          <w14:solidFill>
            <w14:schemeClr w14:val="tx1"/>
          </w14:solidFill>
        </w14:textFill>
      </w:rPr>
      <w:t xml:space="preserve">                1.概述</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textAlignment w:val="auto"/>
      <w:rPr>
        <w:rFonts w:hint="default" w:eastAsia="宋体"/>
        <w:b/>
        <w:lang w:val="en-US" w:eastAsia="zh-CN"/>
      </w:rPr>
    </w:pPr>
    <w:r>
      <w:rPr>
        <w:rFonts w:hint="eastAsia"/>
        <w:b/>
        <w:bCs/>
        <w:color w:val="000000" w:themeColor="text1"/>
        <w:kern w:val="0"/>
        <w:szCs w:val="18"/>
        <w14:textFill>
          <w14:solidFill>
            <w14:schemeClr w14:val="tx1"/>
          </w14:solidFill>
        </w14:textFill>
      </w:rPr>
      <w:t>鄂州市工业园区周边土壤质量调查评估报告（2020年）——</w:t>
    </w:r>
    <w:r>
      <w:rPr>
        <w:rFonts w:hint="eastAsia"/>
        <w:b/>
        <w:bCs/>
        <w:color w:val="000000" w:themeColor="text1"/>
        <w:kern w:val="0"/>
        <w:szCs w:val="18"/>
        <w:lang w:eastAsia="zh-CN"/>
        <w14:textFill>
          <w14:solidFill>
            <w14:schemeClr w14:val="tx1"/>
          </w14:solidFill>
        </w14:textFill>
      </w:rPr>
      <w:t>三江港经济区</w:t>
    </w:r>
    <w:r>
      <w:rPr>
        <w:rFonts w:hint="eastAsia"/>
        <w:b/>
        <w:bCs/>
        <w:color w:val="000000" w:themeColor="text1"/>
        <w:kern w:val="0"/>
        <w:szCs w:val="18"/>
        <w:lang w:val="en-US" w:eastAsia="zh-CN"/>
        <w14:textFill>
          <w14:solidFill>
            <w14:schemeClr w14:val="tx1"/>
          </w14:solidFill>
        </w14:textFill>
      </w:rPr>
      <w:t xml:space="preserve"> </w:t>
    </w:r>
    <w:r>
      <w:rPr>
        <w:rFonts w:hint="eastAsia"/>
        <w:b/>
        <w:bCs/>
        <w:color w:val="000000" w:themeColor="text1"/>
        <w:kern w:val="0"/>
        <w:szCs w:val="18"/>
        <w14:textFill>
          <w14:solidFill>
            <w14:schemeClr w14:val="tx1"/>
          </w14:solidFill>
        </w14:textFill>
      </w:rPr>
      <w:t xml:space="preserve">                    </w:t>
    </w:r>
    <w:r>
      <w:rPr>
        <w:rFonts w:hint="eastAsia"/>
        <w:b/>
        <w:bCs/>
        <w:color w:val="000000" w:themeColor="text1"/>
        <w:kern w:val="0"/>
        <w:szCs w:val="18"/>
        <w:lang w:val="en-US" w:eastAsia="zh-CN"/>
        <w14:textFill>
          <w14:solidFill>
            <w14:schemeClr w14:val="tx1"/>
          </w14:solidFill>
        </w14:textFill>
      </w:rPr>
      <w:t xml:space="preserve">        2.调查区域概况</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textAlignment w:val="auto"/>
      <w:rPr>
        <w:rFonts w:hint="default" w:eastAsia="宋体"/>
        <w:lang w:val="en-US" w:eastAsia="zh-CN"/>
      </w:rPr>
    </w:pPr>
    <w:r>
      <w:rPr>
        <w:rFonts w:hint="eastAsia"/>
        <w:b/>
        <w:bCs/>
        <w:color w:val="000000" w:themeColor="text1"/>
        <w:kern w:val="0"/>
        <w:szCs w:val="18"/>
        <w:highlight w:val="none"/>
        <w14:textFill>
          <w14:solidFill>
            <w14:schemeClr w14:val="tx1"/>
          </w14:solidFill>
        </w14:textFill>
      </w:rPr>
      <w:t>鄂州市工业园区周边土壤质量调查评估报告（2020年）——</w:t>
    </w:r>
    <w:r>
      <w:rPr>
        <w:rFonts w:hint="eastAsia"/>
        <w:b/>
        <w:bCs/>
        <w:color w:val="000000" w:themeColor="text1"/>
        <w:kern w:val="0"/>
        <w:szCs w:val="18"/>
        <w:highlight w:val="none"/>
        <w:lang w:eastAsia="zh-CN"/>
        <w14:textFill>
          <w14:solidFill>
            <w14:schemeClr w14:val="tx1"/>
          </w14:solidFill>
        </w14:textFill>
      </w:rPr>
      <w:t>三江港经济区</w:t>
    </w:r>
    <w:r>
      <w:rPr>
        <w:rFonts w:hint="eastAsia" w:cs="Times New Roman"/>
        <w:b/>
        <w:bCs/>
        <w:color w:val="000000" w:themeColor="text1"/>
        <w:kern w:val="0"/>
        <w:sz w:val="18"/>
        <w:szCs w:val="18"/>
        <w:highlight w:val="none"/>
        <w:lang w:val="en-US" w:eastAsia="zh-CN"/>
        <w14:textFill>
          <w14:solidFill>
            <w14:schemeClr w14:val="tx1"/>
          </w14:solidFill>
        </w14:textFill>
      </w:rPr>
      <w:t xml:space="preserve">    </w:t>
    </w:r>
    <w:r>
      <w:rPr>
        <w:rFonts w:hint="eastAsia" w:cs="Times New Roman"/>
        <w:b/>
        <w:bCs/>
        <w:color w:val="000000" w:themeColor="text1"/>
        <w:kern w:val="0"/>
        <w:sz w:val="18"/>
        <w:szCs w:val="18"/>
        <w:lang w:val="en-US" w:eastAsia="zh-CN"/>
        <w14:textFill>
          <w14:solidFill>
            <w14:schemeClr w14:val="tx1"/>
          </w14:solidFill>
        </w14:textFill>
      </w:rPr>
      <w:t xml:space="preserve">                         3.调查工作方案</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textAlignment w:val="auto"/>
      <w:rPr>
        <w:rFonts w:hint="default" w:eastAsia="宋体"/>
        <w:lang w:val="en-US" w:eastAsia="zh-CN"/>
      </w:rPr>
    </w:pPr>
    <w:r>
      <w:rPr>
        <w:rFonts w:hint="eastAsia"/>
        <w:b/>
        <w:bCs/>
        <w:color w:val="000000" w:themeColor="text1"/>
        <w:kern w:val="0"/>
        <w:szCs w:val="18"/>
        <w:highlight w:val="none"/>
        <w14:textFill>
          <w14:solidFill>
            <w14:schemeClr w14:val="tx1"/>
          </w14:solidFill>
        </w14:textFill>
      </w:rPr>
      <w:t>鄂州市工业园区周边土壤质量调查评估报告（2020年）——</w:t>
    </w:r>
    <w:r>
      <w:rPr>
        <w:rFonts w:hint="eastAsia"/>
        <w:b/>
        <w:bCs/>
        <w:color w:val="000000" w:themeColor="text1"/>
        <w:kern w:val="0"/>
        <w:szCs w:val="18"/>
        <w:highlight w:val="none"/>
        <w:lang w:eastAsia="zh-CN"/>
        <w14:textFill>
          <w14:solidFill>
            <w14:schemeClr w14:val="tx1"/>
          </w14:solidFill>
        </w14:textFill>
      </w:rPr>
      <w:t>三江港</w:t>
    </w:r>
    <w:r>
      <w:rPr>
        <w:rFonts w:hint="eastAsia"/>
        <w:b/>
        <w:bCs/>
        <w:color w:val="000000" w:themeColor="text1"/>
        <w:kern w:val="0"/>
        <w:szCs w:val="18"/>
        <w:highlight w:val="none"/>
        <w:lang w:val="en-US" w:eastAsia="zh-CN"/>
        <w14:textFill>
          <w14:solidFill>
            <w14:schemeClr w14:val="tx1"/>
          </w14:solidFill>
        </w14:textFill>
      </w:rPr>
      <w:tab/>
    </w:r>
    <w:r>
      <w:rPr>
        <w:rFonts w:hint="eastAsia"/>
        <w:b/>
        <w:bCs/>
        <w:color w:val="000000" w:themeColor="text1"/>
        <w:kern w:val="0"/>
        <w:szCs w:val="18"/>
        <w:highlight w:val="none"/>
        <w:lang w:val="en-US" w:eastAsia="zh-CN"/>
        <w14:textFill>
          <w14:solidFill>
            <w14:schemeClr w14:val="tx1"/>
          </w14:solidFill>
        </w14:textFill>
      </w:rPr>
      <w:tab/>
    </w:r>
    <w:r>
      <w:rPr>
        <w:rFonts w:hint="eastAsia"/>
        <w:b/>
        <w:bCs/>
        <w:color w:val="000000" w:themeColor="text1"/>
        <w:kern w:val="0"/>
        <w:szCs w:val="18"/>
        <w:highlight w:val="none"/>
        <w:lang w:val="en-US" w:eastAsia="zh-CN"/>
        <w14:textFill>
          <w14:solidFill>
            <w14:schemeClr w14:val="tx1"/>
          </w14:solidFill>
        </w14:textFill>
      </w:rPr>
      <w:tab/>
    </w:r>
    <w:r>
      <w:rPr>
        <w:rFonts w:hint="eastAsia"/>
        <w:b/>
        <w:bCs/>
        <w:color w:val="000000" w:themeColor="text1"/>
        <w:kern w:val="0"/>
        <w:szCs w:val="18"/>
        <w:highlight w:val="none"/>
        <w:lang w:val="en-US" w:eastAsia="zh-CN"/>
        <w14:textFill>
          <w14:solidFill>
            <w14:schemeClr w14:val="tx1"/>
          </w14:solidFill>
        </w14:textFill>
      </w:rPr>
      <w:tab/>
    </w:r>
    <w:r>
      <w:rPr>
        <w:rFonts w:hint="eastAsia"/>
        <w:b/>
        <w:bCs/>
        <w:color w:val="000000" w:themeColor="text1"/>
        <w:kern w:val="0"/>
        <w:szCs w:val="18"/>
        <w:highlight w:val="none"/>
        <w:lang w:val="en-US" w:eastAsia="zh-CN"/>
        <w14:textFill>
          <w14:solidFill>
            <w14:schemeClr w14:val="tx1"/>
          </w14:solidFill>
        </w14:textFill>
      </w:rPr>
      <w:tab/>
    </w:r>
    <w:r>
      <w:rPr>
        <w:rFonts w:hint="eastAsia"/>
        <w:b/>
        <w:bCs/>
        <w:color w:val="000000" w:themeColor="text1"/>
        <w:kern w:val="0"/>
        <w:szCs w:val="18"/>
        <w:highlight w:val="none"/>
        <w:lang w:val="en-US" w:eastAsia="zh-CN"/>
        <w14:textFill>
          <w14:solidFill>
            <w14:schemeClr w14:val="tx1"/>
          </w14:solidFill>
        </w14:textFill>
      </w:rPr>
      <w:t xml:space="preserve">                                        </w:t>
    </w:r>
    <w:r>
      <w:rPr>
        <w:rFonts w:hint="eastAsia" w:cs="Times New Roman"/>
        <w:b/>
        <w:bCs/>
        <w:color w:val="000000" w:themeColor="text1"/>
        <w:kern w:val="0"/>
        <w:sz w:val="18"/>
        <w:szCs w:val="18"/>
        <w:lang w:val="en-US" w:eastAsia="zh-CN"/>
        <w14:textFill>
          <w14:solidFill>
            <w14:schemeClr w14:val="tx1"/>
          </w14:solidFill>
        </w14:textFill>
      </w:rPr>
      <w:t>3.调查工作方案</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textAlignment w:val="auto"/>
      <w:rPr>
        <w:rFonts w:hint="default" w:eastAsia="宋体"/>
        <w:lang w:val="en-US" w:eastAsia="zh-CN"/>
      </w:rPr>
    </w:pPr>
    <w:r>
      <w:rPr>
        <w:rFonts w:hint="eastAsia"/>
        <w:b/>
        <w:bCs/>
        <w:color w:val="000000" w:themeColor="text1"/>
        <w:kern w:val="0"/>
        <w:szCs w:val="18"/>
        <w:highlight w:val="none"/>
        <w14:textFill>
          <w14:solidFill>
            <w14:schemeClr w14:val="tx1"/>
          </w14:solidFill>
        </w14:textFill>
      </w:rPr>
      <w:t>鄂州市工业园区周边土壤质量调查评估报告（2020年）——</w:t>
    </w:r>
    <w:r>
      <w:rPr>
        <w:rFonts w:hint="eastAsia"/>
        <w:b/>
        <w:bCs/>
        <w:color w:val="000000" w:themeColor="text1"/>
        <w:kern w:val="0"/>
        <w:szCs w:val="18"/>
        <w:highlight w:val="none"/>
        <w:lang w:eastAsia="zh-CN"/>
        <w14:textFill>
          <w14:solidFill>
            <w14:schemeClr w14:val="tx1"/>
          </w14:solidFill>
        </w14:textFill>
      </w:rPr>
      <w:t>三江港经济区</w:t>
    </w:r>
    <w:r>
      <w:rPr>
        <w:rFonts w:hint="eastAsia" w:cs="Times New Roman"/>
        <w:b/>
        <w:bCs/>
        <w:color w:val="000000" w:themeColor="text1"/>
        <w:kern w:val="0"/>
        <w:sz w:val="18"/>
        <w:szCs w:val="18"/>
        <w:highlight w:val="none"/>
        <w:lang w:val="en-US" w:eastAsia="zh-CN"/>
        <w14:textFill>
          <w14:solidFill>
            <w14:schemeClr w14:val="tx1"/>
          </w14:solidFill>
        </w14:textFill>
      </w:rPr>
      <w:t xml:space="preserve">    </w:t>
    </w:r>
    <w:r>
      <w:rPr>
        <w:rFonts w:hint="eastAsia" w:cs="Times New Roman"/>
        <w:b/>
        <w:bCs/>
        <w:color w:val="000000" w:themeColor="text1"/>
        <w:kern w:val="0"/>
        <w:sz w:val="18"/>
        <w:szCs w:val="18"/>
        <w:lang w:val="en-US" w:eastAsia="zh-CN"/>
        <w14:textFill>
          <w14:solidFill>
            <w14:schemeClr w14:val="tx1"/>
          </w14:solidFill>
        </w14:textFill>
      </w:rPr>
      <w:t xml:space="preserve">                 4.现场工作及实验室分析</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pBdr>
        <w:bottom w:val="single" w:color="auto" w:sz="4" w:space="1"/>
      </w:pBdr>
      <w:kinsoku/>
      <w:wordWrap/>
      <w:overflowPunct/>
      <w:topLinePunct w:val="0"/>
      <w:autoSpaceDE/>
      <w:autoSpaceDN/>
      <w:bidi w:val="0"/>
      <w:adjustRightInd/>
      <w:snapToGrid w:val="0"/>
      <w:spacing w:line="240" w:lineRule="auto"/>
      <w:textAlignment w:val="auto"/>
      <w:rPr>
        <w:rFonts w:hint="default" w:eastAsia="宋体"/>
        <w:lang w:val="en-US" w:eastAsia="zh-CN"/>
      </w:rPr>
    </w:pPr>
    <w:r>
      <w:rPr>
        <w:rFonts w:hint="eastAsia"/>
        <w:b/>
        <w:bCs/>
        <w:color w:val="000000" w:themeColor="text1"/>
        <w:kern w:val="0"/>
        <w:szCs w:val="18"/>
        <w:highlight w:val="none"/>
        <w14:textFill>
          <w14:solidFill>
            <w14:schemeClr w14:val="tx1"/>
          </w14:solidFill>
        </w14:textFill>
      </w:rPr>
      <w:t>鄂州市工业园区周边土壤质量调查评估报告（2020年）——</w:t>
    </w:r>
    <w:r>
      <w:rPr>
        <w:rFonts w:hint="eastAsia"/>
        <w:b/>
        <w:bCs/>
        <w:color w:val="000000" w:themeColor="text1"/>
        <w:kern w:val="0"/>
        <w:szCs w:val="18"/>
        <w:highlight w:val="none"/>
        <w:lang w:eastAsia="zh-CN"/>
        <w14:textFill>
          <w14:solidFill>
            <w14:schemeClr w14:val="tx1"/>
          </w14:solidFill>
        </w14:textFill>
      </w:rPr>
      <w:t>三江港经济区</w:t>
    </w:r>
    <w:r>
      <w:rPr>
        <w:rFonts w:hint="eastAsia" w:cs="Times New Roman"/>
        <w:b/>
        <w:bCs/>
        <w:color w:val="000000" w:themeColor="text1"/>
        <w:kern w:val="0"/>
        <w:sz w:val="18"/>
        <w:szCs w:val="18"/>
        <w:highlight w:val="none"/>
        <w:lang w:val="en-US" w:eastAsia="zh-CN"/>
        <w14:textFill>
          <w14:solidFill>
            <w14:schemeClr w14:val="tx1"/>
          </w14:solidFill>
        </w14:textFill>
      </w:rPr>
      <w:t xml:space="preserve">    </w:t>
    </w:r>
    <w:r>
      <w:rPr>
        <w:rFonts w:hint="eastAsia" w:cs="Times New Roman"/>
        <w:b/>
        <w:bCs/>
        <w:color w:val="000000" w:themeColor="text1"/>
        <w:kern w:val="0"/>
        <w:sz w:val="18"/>
        <w:szCs w:val="18"/>
        <w:lang w:val="en-US" w:eastAsia="zh-CN"/>
        <w14:textFill>
          <w14:solidFill>
            <w14:schemeClr w14:val="tx1"/>
          </w14:solidFill>
        </w14:textFill>
      </w:rPr>
      <w:t xml:space="preserve">                 </w:t>
    </w:r>
    <w:r>
      <w:rPr>
        <w:rFonts w:hint="eastAsia" w:cs="Times New Roman"/>
        <w:b/>
        <w:bCs/>
        <w:color w:val="000000" w:themeColor="text1"/>
        <w:kern w:val="0"/>
        <w:sz w:val="18"/>
        <w:szCs w:val="18"/>
        <w:lang w:val="en-US" w:eastAsia="zh-CN"/>
        <w14:textFill>
          <w14:solidFill>
            <w14:schemeClr w14:val="tx1"/>
          </w14:solidFill>
        </w14:textFill>
      </w:rPr>
      <w:tab/>
    </w:r>
    <w:r>
      <w:rPr>
        <w:rFonts w:hint="eastAsia" w:cs="Times New Roman"/>
        <w:b/>
        <w:bCs/>
        <w:color w:val="000000" w:themeColor="text1"/>
        <w:kern w:val="0"/>
        <w:sz w:val="18"/>
        <w:szCs w:val="18"/>
        <w:lang w:val="en-US" w:eastAsia="zh-CN"/>
        <w14:textFill>
          <w14:solidFill>
            <w14:schemeClr w14:val="tx1"/>
          </w14:solidFill>
        </w14:textFill>
      </w:rPr>
      <w:tab/>
    </w:r>
    <w:r>
      <w:rPr>
        <w:rFonts w:hint="eastAsia" w:cs="Times New Roman"/>
        <w:b/>
        <w:bCs/>
        <w:color w:val="000000" w:themeColor="text1"/>
        <w:kern w:val="0"/>
        <w:sz w:val="18"/>
        <w:szCs w:val="18"/>
        <w:lang w:val="en-US" w:eastAsia="zh-CN"/>
        <w14:textFill>
          <w14:solidFill>
            <w14:schemeClr w14:val="tx1"/>
          </w14:solidFill>
        </w14:textFill>
      </w:rPr>
      <w:tab/>
    </w:r>
    <w:r>
      <w:rPr>
        <w:rFonts w:hint="eastAsia" w:cs="Times New Roman"/>
        <w:b/>
        <w:bCs/>
        <w:color w:val="000000" w:themeColor="text1"/>
        <w:kern w:val="0"/>
        <w:sz w:val="18"/>
        <w:szCs w:val="18"/>
        <w:lang w:val="en-US" w:eastAsia="zh-CN"/>
        <w14:textFill>
          <w14:solidFill>
            <w14:schemeClr w14:val="tx1"/>
          </w14:solidFill>
        </w14:textFill>
      </w:rPr>
      <w:tab/>
    </w:r>
    <w:r>
      <w:rPr>
        <w:rFonts w:hint="eastAsia" w:cs="Times New Roman"/>
        <w:b/>
        <w:bCs/>
        <w:color w:val="000000" w:themeColor="text1"/>
        <w:kern w:val="0"/>
        <w:sz w:val="18"/>
        <w:szCs w:val="18"/>
        <w:lang w:val="en-US" w:eastAsia="zh-CN"/>
        <w14:textFill>
          <w14:solidFill>
            <w14:schemeClr w14:val="tx1"/>
          </w14:solidFill>
        </w14:textFill>
      </w:rPr>
      <w:tab/>
    </w:r>
    <w:r>
      <w:rPr>
        <w:rFonts w:hint="eastAsia" w:cs="Times New Roman"/>
        <w:b/>
        <w:bCs/>
        <w:color w:val="000000" w:themeColor="text1"/>
        <w:kern w:val="0"/>
        <w:sz w:val="18"/>
        <w:szCs w:val="18"/>
        <w:lang w:val="en-US" w:eastAsia="zh-CN"/>
        <w14:textFill>
          <w14:solidFill>
            <w14:schemeClr w14:val="tx1"/>
          </w14:solidFill>
        </w14:textFill>
      </w:rPr>
      <w:tab/>
    </w:r>
    <w:r>
      <w:rPr>
        <w:rFonts w:hint="eastAsia" w:cs="Times New Roman"/>
        <w:b/>
        <w:bCs/>
        <w:color w:val="000000" w:themeColor="text1"/>
        <w:kern w:val="0"/>
        <w:sz w:val="18"/>
        <w:szCs w:val="18"/>
        <w:lang w:val="en-US" w:eastAsia="zh-CN"/>
        <w14:textFill>
          <w14:solidFill>
            <w14:schemeClr w14:val="tx1"/>
          </w14:solidFill>
        </w14:textFill>
      </w:rPr>
      <w:tab/>
    </w:r>
    <w:r>
      <w:rPr>
        <w:rFonts w:hint="eastAsia" w:cs="Times New Roman"/>
        <w:b/>
        <w:bCs/>
        <w:color w:val="000000" w:themeColor="text1"/>
        <w:kern w:val="0"/>
        <w:sz w:val="18"/>
        <w:szCs w:val="18"/>
        <w:lang w:val="en-US" w:eastAsia="zh-CN"/>
        <w14:textFill>
          <w14:solidFill>
            <w14:schemeClr w14:val="tx1"/>
          </w14:solidFill>
        </w14:textFill>
      </w:rPr>
      <w:t>4.现场工作及实验室分析</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C82E71"/>
    <w:multiLevelType w:val="singleLevel"/>
    <w:tmpl w:val="88C82E71"/>
    <w:lvl w:ilvl="0" w:tentative="0">
      <w:start w:val="1"/>
      <w:numFmt w:val="decimal"/>
      <w:suff w:val="nothing"/>
      <w:lvlText w:val="（%1）"/>
      <w:lvlJc w:val="left"/>
    </w:lvl>
  </w:abstractNum>
  <w:abstractNum w:abstractNumId="1">
    <w:nsid w:val="93E6CCA3"/>
    <w:multiLevelType w:val="singleLevel"/>
    <w:tmpl w:val="93E6CCA3"/>
    <w:lvl w:ilvl="0" w:tentative="0">
      <w:start w:val="1"/>
      <w:numFmt w:val="decimal"/>
      <w:suff w:val="nothing"/>
      <w:lvlText w:val="（%1）"/>
      <w:lvlJc w:val="left"/>
    </w:lvl>
  </w:abstractNum>
  <w:abstractNum w:abstractNumId="2">
    <w:nsid w:val="9F8DEC4D"/>
    <w:multiLevelType w:val="multilevel"/>
    <w:tmpl w:val="9F8DEC4D"/>
    <w:lvl w:ilvl="0" w:tentative="0">
      <w:start w:val="1"/>
      <w:numFmt w:val="decimal"/>
      <w:pStyle w:val="6"/>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
    <w:nsid w:val="B3E7A628"/>
    <w:multiLevelType w:val="singleLevel"/>
    <w:tmpl w:val="B3E7A628"/>
    <w:lvl w:ilvl="0" w:tentative="0">
      <w:start w:val="1"/>
      <w:numFmt w:val="decimal"/>
      <w:suff w:val="nothing"/>
      <w:lvlText w:val="（%1）"/>
      <w:lvlJc w:val="left"/>
    </w:lvl>
  </w:abstractNum>
  <w:abstractNum w:abstractNumId="4">
    <w:nsid w:val="C0A7D593"/>
    <w:multiLevelType w:val="multilevel"/>
    <w:tmpl w:val="C0A7D593"/>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pStyle w:val="7"/>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5">
    <w:nsid w:val="E8EB3CD0"/>
    <w:multiLevelType w:val="multilevel"/>
    <w:tmpl w:val="E8EB3CD0"/>
    <w:lvl w:ilvl="0" w:tentative="0">
      <w:start w:val="1"/>
      <w:numFmt w:val="decimal"/>
      <w:suff w:val="nothing"/>
      <w:lvlText w:val="（%1）"/>
      <w:lvlJc w:val="left"/>
    </w:lvl>
    <w:lvl w:ilvl="1" w:tentative="0">
      <w:start w:val="1"/>
      <w:numFmt w:val="decimalEnclosedCircleChinese"/>
      <w:lvlText w:val="%2"/>
      <w:lvlJc w:val="left"/>
      <w:pPr>
        <w:tabs>
          <w:tab w:val="left" w:pos="840"/>
        </w:tabs>
        <w:ind w:left="840" w:leftChars="0" w:hanging="420" w:firstLineChars="0"/>
      </w:pPr>
      <w:rPr>
        <w:rFonts w:hint="default"/>
      </w:rPr>
    </w:lvl>
    <w:lvl w:ilvl="2" w:tentative="0">
      <w:start w:val="1"/>
      <w:numFmt w:val="decimal"/>
      <w:lvlText w:val="%3)"/>
      <w:lvlJc w:val="left"/>
      <w:pPr>
        <w:tabs>
          <w:tab w:val="left" w:pos="1260"/>
        </w:tabs>
        <w:ind w:left="1260" w:leftChars="0" w:hanging="420" w:firstLineChars="0"/>
      </w:pPr>
      <w:rPr>
        <w:rFonts w:hint="default"/>
      </w:rPr>
    </w:lvl>
    <w:lvl w:ilvl="3" w:tentative="0">
      <w:start w:val="1"/>
      <w:numFmt w:val="lowerLetter"/>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Roman"/>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Letter"/>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6">
    <w:nsid w:val="F6B9518F"/>
    <w:multiLevelType w:val="singleLevel"/>
    <w:tmpl w:val="F6B9518F"/>
    <w:lvl w:ilvl="0" w:tentative="0">
      <w:start w:val="1"/>
      <w:numFmt w:val="decimal"/>
      <w:suff w:val="nothing"/>
      <w:lvlText w:val="（%1）"/>
      <w:lvlJc w:val="left"/>
    </w:lvl>
  </w:abstractNum>
  <w:abstractNum w:abstractNumId="7">
    <w:nsid w:val="FFEB921D"/>
    <w:multiLevelType w:val="singleLevel"/>
    <w:tmpl w:val="FFEB921D"/>
    <w:lvl w:ilvl="0" w:tentative="0">
      <w:start w:val="1"/>
      <w:numFmt w:val="decimal"/>
      <w:suff w:val="nothing"/>
      <w:lvlText w:val="（%1）"/>
      <w:lvlJc w:val="left"/>
    </w:lvl>
  </w:abstractNum>
  <w:abstractNum w:abstractNumId="8">
    <w:nsid w:val="0000000E"/>
    <w:multiLevelType w:val="multilevel"/>
    <w:tmpl w:val="0000000E"/>
    <w:lvl w:ilvl="0" w:tentative="0">
      <w:start w:val="1"/>
      <w:numFmt w:val="decimal"/>
      <w:lvlText w:val="%1."/>
      <w:lvlJc w:val="left"/>
      <w:pPr>
        <w:tabs>
          <w:tab w:val="left" w:pos="425"/>
        </w:tabs>
        <w:ind w:left="425" w:hanging="425"/>
      </w:pPr>
    </w:lvl>
    <w:lvl w:ilvl="1" w:tentative="0">
      <w:start w:val="1"/>
      <w:numFmt w:val="decimal"/>
      <w:pStyle w:val="4"/>
      <w:lvlText w:val="%1.%2."/>
      <w:lvlJc w:val="left"/>
      <w:pPr>
        <w:tabs>
          <w:tab w:val="left" w:pos="567"/>
        </w:tabs>
        <w:ind w:left="567" w:hanging="567"/>
      </w:pPr>
      <w:rPr>
        <w:sz w:val="24"/>
        <w:szCs w:val="24"/>
      </w:rPr>
    </w:lvl>
    <w:lvl w:ilvl="2" w:tentative="0">
      <w:start w:val="1"/>
      <w:numFmt w:val="decimal"/>
      <w:pStyle w:val="5"/>
      <w:lvlText w:val="%1.%2.%3."/>
      <w:lvlJc w:val="left"/>
      <w:pPr>
        <w:tabs>
          <w:tab w:val="left" w:pos="851"/>
        </w:tabs>
        <w:ind w:left="851" w:hanging="709"/>
      </w:pPr>
      <w:rPr>
        <w:sz w:val="24"/>
        <w:szCs w:val="24"/>
      </w:r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9">
    <w:nsid w:val="16BDCB54"/>
    <w:multiLevelType w:val="singleLevel"/>
    <w:tmpl w:val="16BDCB54"/>
    <w:lvl w:ilvl="0" w:tentative="0">
      <w:start w:val="1"/>
      <w:numFmt w:val="decimal"/>
      <w:suff w:val="nothing"/>
      <w:lvlText w:val="（%1）"/>
      <w:lvlJc w:val="left"/>
    </w:lvl>
  </w:abstractNum>
  <w:abstractNum w:abstractNumId="10">
    <w:nsid w:val="2D09ECF0"/>
    <w:multiLevelType w:val="singleLevel"/>
    <w:tmpl w:val="2D09ECF0"/>
    <w:lvl w:ilvl="0" w:tentative="0">
      <w:start w:val="1"/>
      <w:numFmt w:val="decimal"/>
      <w:suff w:val="nothing"/>
      <w:lvlText w:val="（%1）"/>
      <w:lvlJc w:val="left"/>
    </w:lvl>
  </w:abstractNum>
  <w:abstractNum w:abstractNumId="11">
    <w:nsid w:val="4AB71BF3"/>
    <w:multiLevelType w:val="singleLevel"/>
    <w:tmpl w:val="4AB71BF3"/>
    <w:lvl w:ilvl="0" w:tentative="0">
      <w:start w:val="1"/>
      <w:numFmt w:val="decimal"/>
      <w:suff w:val="nothing"/>
      <w:lvlText w:val="（%1）"/>
      <w:lvlJc w:val="left"/>
    </w:lvl>
  </w:abstractNum>
  <w:abstractNum w:abstractNumId="12">
    <w:nsid w:val="594FBAFE"/>
    <w:multiLevelType w:val="singleLevel"/>
    <w:tmpl w:val="594FBAFE"/>
    <w:lvl w:ilvl="0" w:tentative="0">
      <w:start w:val="1"/>
      <w:numFmt w:val="decimal"/>
      <w:suff w:val="nothing"/>
      <w:lvlText w:val="（%1）"/>
      <w:lvlJc w:val="left"/>
    </w:lvl>
  </w:abstractNum>
  <w:abstractNum w:abstractNumId="13">
    <w:nsid w:val="645EC8D2"/>
    <w:multiLevelType w:val="singleLevel"/>
    <w:tmpl w:val="645EC8D2"/>
    <w:lvl w:ilvl="0" w:tentative="0">
      <w:start w:val="1"/>
      <w:numFmt w:val="decimal"/>
      <w:suff w:val="nothing"/>
      <w:lvlText w:val="（%1）"/>
      <w:lvlJc w:val="left"/>
    </w:lvl>
  </w:abstractNum>
  <w:abstractNum w:abstractNumId="14">
    <w:nsid w:val="792B8015"/>
    <w:multiLevelType w:val="singleLevel"/>
    <w:tmpl w:val="792B8015"/>
    <w:lvl w:ilvl="0" w:tentative="0">
      <w:start w:val="1"/>
      <w:numFmt w:val="decimal"/>
      <w:suff w:val="nothing"/>
      <w:lvlText w:val="（%1）"/>
      <w:lvlJc w:val="left"/>
    </w:lvl>
  </w:abstractNum>
  <w:num w:numId="1">
    <w:abstractNumId w:val="8"/>
  </w:num>
  <w:num w:numId="2">
    <w:abstractNumId w:val="2"/>
  </w:num>
  <w:num w:numId="3">
    <w:abstractNumId w:val="4"/>
  </w:num>
  <w:num w:numId="4">
    <w:abstractNumId w:val="1"/>
  </w:num>
  <w:num w:numId="5">
    <w:abstractNumId w:val="10"/>
  </w:num>
  <w:num w:numId="6">
    <w:abstractNumId w:val="14"/>
  </w:num>
  <w:num w:numId="7">
    <w:abstractNumId w:val="11"/>
  </w:num>
  <w:num w:numId="8">
    <w:abstractNumId w:val="7"/>
  </w:num>
  <w:num w:numId="9">
    <w:abstractNumId w:val="9"/>
  </w:num>
  <w:num w:numId="10">
    <w:abstractNumId w:val="0"/>
  </w:num>
  <w:num w:numId="11">
    <w:abstractNumId w:val="5"/>
  </w:num>
  <w:num w:numId="12">
    <w:abstractNumId w:val="3"/>
  </w:num>
  <w:num w:numId="13">
    <w:abstractNumId w:val="13"/>
  </w:num>
  <w:num w:numId="14">
    <w:abstractNumId w:val="6"/>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10"/>
  <w:bordersDoNotSurroundHeader w:val="0"/>
  <w:bordersDoNotSurroundFooter w:val="0"/>
  <w:hideSpellingErrors/>
  <w:documentProtection w:enforcement="0"/>
  <w:defaultTabStop w:val="420"/>
  <w:drawingGridVerticalSpacing w:val="16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34F61"/>
    <w:rsid w:val="000C4C75"/>
    <w:rsid w:val="000E6504"/>
    <w:rsid w:val="00102FD0"/>
    <w:rsid w:val="00172A27"/>
    <w:rsid w:val="001E4ADC"/>
    <w:rsid w:val="001F52B1"/>
    <w:rsid w:val="00260150"/>
    <w:rsid w:val="00260A9C"/>
    <w:rsid w:val="002C568B"/>
    <w:rsid w:val="002D439F"/>
    <w:rsid w:val="002D45C9"/>
    <w:rsid w:val="0034147F"/>
    <w:rsid w:val="003534AF"/>
    <w:rsid w:val="00355C5A"/>
    <w:rsid w:val="00366160"/>
    <w:rsid w:val="003F5E7E"/>
    <w:rsid w:val="00436FD0"/>
    <w:rsid w:val="00483BDF"/>
    <w:rsid w:val="00551330"/>
    <w:rsid w:val="00596EC0"/>
    <w:rsid w:val="005A09E0"/>
    <w:rsid w:val="005E0945"/>
    <w:rsid w:val="005F0C98"/>
    <w:rsid w:val="006173F7"/>
    <w:rsid w:val="00625F8A"/>
    <w:rsid w:val="00667820"/>
    <w:rsid w:val="00675018"/>
    <w:rsid w:val="00695766"/>
    <w:rsid w:val="00696A64"/>
    <w:rsid w:val="006B35D1"/>
    <w:rsid w:val="0072388F"/>
    <w:rsid w:val="007417DC"/>
    <w:rsid w:val="0074360E"/>
    <w:rsid w:val="00772983"/>
    <w:rsid w:val="00774E51"/>
    <w:rsid w:val="007764BA"/>
    <w:rsid w:val="007A4F01"/>
    <w:rsid w:val="007E4696"/>
    <w:rsid w:val="00804FCA"/>
    <w:rsid w:val="00817E95"/>
    <w:rsid w:val="0084433B"/>
    <w:rsid w:val="00846AB9"/>
    <w:rsid w:val="00875DD2"/>
    <w:rsid w:val="00876D29"/>
    <w:rsid w:val="008D270E"/>
    <w:rsid w:val="00917DDF"/>
    <w:rsid w:val="009232BD"/>
    <w:rsid w:val="00980551"/>
    <w:rsid w:val="00986C7D"/>
    <w:rsid w:val="009C035C"/>
    <w:rsid w:val="009F0A33"/>
    <w:rsid w:val="00A7537A"/>
    <w:rsid w:val="00A80313"/>
    <w:rsid w:val="00A94747"/>
    <w:rsid w:val="00AB7D7E"/>
    <w:rsid w:val="00AC4C7B"/>
    <w:rsid w:val="00AE178E"/>
    <w:rsid w:val="00AF2254"/>
    <w:rsid w:val="00AF7A7C"/>
    <w:rsid w:val="00B22E15"/>
    <w:rsid w:val="00B702D6"/>
    <w:rsid w:val="00BE2214"/>
    <w:rsid w:val="00C25BE2"/>
    <w:rsid w:val="00C37D62"/>
    <w:rsid w:val="00C67ACA"/>
    <w:rsid w:val="00C832D2"/>
    <w:rsid w:val="00CB150D"/>
    <w:rsid w:val="00CC7759"/>
    <w:rsid w:val="00D110F6"/>
    <w:rsid w:val="00DC41FB"/>
    <w:rsid w:val="00DD0CA5"/>
    <w:rsid w:val="00DD2718"/>
    <w:rsid w:val="00E343F7"/>
    <w:rsid w:val="00E36208"/>
    <w:rsid w:val="00EC76DE"/>
    <w:rsid w:val="00ED0E52"/>
    <w:rsid w:val="00F3107D"/>
    <w:rsid w:val="00F518A7"/>
    <w:rsid w:val="00F72F05"/>
    <w:rsid w:val="00FF3D8F"/>
    <w:rsid w:val="010454C1"/>
    <w:rsid w:val="01211107"/>
    <w:rsid w:val="013C1C78"/>
    <w:rsid w:val="01553293"/>
    <w:rsid w:val="015C4062"/>
    <w:rsid w:val="01674E8C"/>
    <w:rsid w:val="01CF3D66"/>
    <w:rsid w:val="01E90805"/>
    <w:rsid w:val="020F5611"/>
    <w:rsid w:val="022630CB"/>
    <w:rsid w:val="02292F83"/>
    <w:rsid w:val="02854083"/>
    <w:rsid w:val="02C403F2"/>
    <w:rsid w:val="02DC7E02"/>
    <w:rsid w:val="02F36711"/>
    <w:rsid w:val="03200DF8"/>
    <w:rsid w:val="033431B6"/>
    <w:rsid w:val="03B1623F"/>
    <w:rsid w:val="03CD3FB6"/>
    <w:rsid w:val="03EC5F21"/>
    <w:rsid w:val="046C2FA5"/>
    <w:rsid w:val="047C46AD"/>
    <w:rsid w:val="04CB7316"/>
    <w:rsid w:val="04F37485"/>
    <w:rsid w:val="05067A74"/>
    <w:rsid w:val="053B7537"/>
    <w:rsid w:val="055E2088"/>
    <w:rsid w:val="056E1E64"/>
    <w:rsid w:val="05743BF1"/>
    <w:rsid w:val="058E1BD8"/>
    <w:rsid w:val="05C06A2A"/>
    <w:rsid w:val="05CA7326"/>
    <w:rsid w:val="05F807FF"/>
    <w:rsid w:val="06493576"/>
    <w:rsid w:val="06CC76B5"/>
    <w:rsid w:val="06CD22CA"/>
    <w:rsid w:val="06E33C9A"/>
    <w:rsid w:val="0715171A"/>
    <w:rsid w:val="071F22FB"/>
    <w:rsid w:val="07355729"/>
    <w:rsid w:val="07431039"/>
    <w:rsid w:val="07B95E5C"/>
    <w:rsid w:val="07E800ED"/>
    <w:rsid w:val="080A21AA"/>
    <w:rsid w:val="081D5A6B"/>
    <w:rsid w:val="08371541"/>
    <w:rsid w:val="08513BB9"/>
    <w:rsid w:val="091559D6"/>
    <w:rsid w:val="097C6A67"/>
    <w:rsid w:val="09B20583"/>
    <w:rsid w:val="09C01FC4"/>
    <w:rsid w:val="09E05710"/>
    <w:rsid w:val="0A162818"/>
    <w:rsid w:val="0A80222E"/>
    <w:rsid w:val="0AB8621B"/>
    <w:rsid w:val="0B0D517C"/>
    <w:rsid w:val="0B120256"/>
    <w:rsid w:val="0B3D40B0"/>
    <w:rsid w:val="0B4B68BC"/>
    <w:rsid w:val="0BE20E78"/>
    <w:rsid w:val="0C332D47"/>
    <w:rsid w:val="0C4D14C4"/>
    <w:rsid w:val="0C963396"/>
    <w:rsid w:val="0C9929DE"/>
    <w:rsid w:val="0CA45933"/>
    <w:rsid w:val="0CCA4DDD"/>
    <w:rsid w:val="0CE45FD2"/>
    <w:rsid w:val="0D2A6084"/>
    <w:rsid w:val="0D471CF5"/>
    <w:rsid w:val="0D4A7B1E"/>
    <w:rsid w:val="0DB42527"/>
    <w:rsid w:val="0DBC29D1"/>
    <w:rsid w:val="0DE22680"/>
    <w:rsid w:val="0E007FB7"/>
    <w:rsid w:val="0E5F3A6A"/>
    <w:rsid w:val="0ECB3004"/>
    <w:rsid w:val="0F0D5BEE"/>
    <w:rsid w:val="0F115EDF"/>
    <w:rsid w:val="0F2F2384"/>
    <w:rsid w:val="0F391DEE"/>
    <w:rsid w:val="0FAF3F9B"/>
    <w:rsid w:val="0FF44602"/>
    <w:rsid w:val="101205A7"/>
    <w:rsid w:val="10131A4A"/>
    <w:rsid w:val="108E6073"/>
    <w:rsid w:val="10A22915"/>
    <w:rsid w:val="10B6307C"/>
    <w:rsid w:val="10C8419F"/>
    <w:rsid w:val="10D44C70"/>
    <w:rsid w:val="10F61189"/>
    <w:rsid w:val="10F90530"/>
    <w:rsid w:val="110260E0"/>
    <w:rsid w:val="113D6568"/>
    <w:rsid w:val="113E7253"/>
    <w:rsid w:val="119162BB"/>
    <w:rsid w:val="11E46865"/>
    <w:rsid w:val="11F9763C"/>
    <w:rsid w:val="1283544F"/>
    <w:rsid w:val="12C71CA7"/>
    <w:rsid w:val="12D61E27"/>
    <w:rsid w:val="12D63A9F"/>
    <w:rsid w:val="12FF2A90"/>
    <w:rsid w:val="13034080"/>
    <w:rsid w:val="13177AFA"/>
    <w:rsid w:val="131F7994"/>
    <w:rsid w:val="134A34EB"/>
    <w:rsid w:val="13EE3C70"/>
    <w:rsid w:val="13FA3F3B"/>
    <w:rsid w:val="141D095B"/>
    <w:rsid w:val="143C1EF3"/>
    <w:rsid w:val="144067E3"/>
    <w:rsid w:val="14FC599B"/>
    <w:rsid w:val="151941B7"/>
    <w:rsid w:val="158C4C85"/>
    <w:rsid w:val="15912FA5"/>
    <w:rsid w:val="15AB7B11"/>
    <w:rsid w:val="164F5F8C"/>
    <w:rsid w:val="16540C54"/>
    <w:rsid w:val="16644DCA"/>
    <w:rsid w:val="16A47AF8"/>
    <w:rsid w:val="16EF0D99"/>
    <w:rsid w:val="17501F70"/>
    <w:rsid w:val="17503990"/>
    <w:rsid w:val="17536279"/>
    <w:rsid w:val="17841DD8"/>
    <w:rsid w:val="17F840C2"/>
    <w:rsid w:val="18336FDB"/>
    <w:rsid w:val="18722E64"/>
    <w:rsid w:val="18B257CB"/>
    <w:rsid w:val="18DC2F5E"/>
    <w:rsid w:val="18DE724E"/>
    <w:rsid w:val="18EB0606"/>
    <w:rsid w:val="19135F25"/>
    <w:rsid w:val="191A7680"/>
    <w:rsid w:val="191F09D6"/>
    <w:rsid w:val="19261634"/>
    <w:rsid w:val="19A5063C"/>
    <w:rsid w:val="19E36402"/>
    <w:rsid w:val="19FE0875"/>
    <w:rsid w:val="1A42275A"/>
    <w:rsid w:val="1A7D3BE2"/>
    <w:rsid w:val="1AAE6B03"/>
    <w:rsid w:val="1AB0491F"/>
    <w:rsid w:val="1B13720F"/>
    <w:rsid w:val="1B450367"/>
    <w:rsid w:val="1B6532EE"/>
    <w:rsid w:val="1B695676"/>
    <w:rsid w:val="1BEB3359"/>
    <w:rsid w:val="1C3D33BA"/>
    <w:rsid w:val="1C462289"/>
    <w:rsid w:val="1C812F1B"/>
    <w:rsid w:val="1C815F8F"/>
    <w:rsid w:val="1D17203C"/>
    <w:rsid w:val="1D1D24D0"/>
    <w:rsid w:val="1D340FCC"/>
    <w:rsid w:val="1D5045CA"/>
    <w:rsid w:val="1D7B4061"/>
    <w:rsid w:val="1D94134C"/>
    <w:rsid w:val="1E534008"/>
    <w:rsid w:val="1E6365B6"/>
    <w:rsid w:val="1E6E0069"/>
    <w:rsid w:val="1E6F34D0"/>
    <w:rsid w:val="1E7B2AE9"/>
    <w:rsid w:val="1E84106F"/>
    <w:rsid w:val="1E873335"/>
    <w:rsid w:val="1EAA29D1"/>
    <w:rsid w:val="1EC646EF"/>
    <w:rsid w:val="1EC77D1C"/>
    <w:rsid w:val="1ECF5352"/>
    <w:rsid w:val="1EE30AB1"/>
    <w:rsid w:val="1F163863"/>
    <w:rsid w:val="1F973BC8"/>
    <w:rsid w:val="1FC8213C"/>
    <w:rsid w:val="1FD71EE4"/>
    <w:rsid w:val="1FE44FB8"/>
    <w:rsid w:val="1FEF5BFB"/>
    <w:rsid w:val="200320DA"/>
    <w:rsid w:val="20487C53"/>
    <w:rsid w:val="20812DAB"/>
    <w:rsid w:val="20872DD7"/>
    <w:rsid w:val="20E1766D"/>
    <w:rsid w:val="21577AB3"/>
    <w:rsid w:val="21680C2C"/>
    <w:rsid w:val="21C86A73"/>
    <w:rsid w:val="21D24354"/>
    <w:rsid w:val="21E34514"/>
    <w:rsid w:val="224824A4"/>
    <w:rsid w:val="22485207"/>
    <w:rsid w:val="2288732C"/>
    <w:rsid w:val="22E842F8"/>
    <w:rsid w:val="23186BA8"/>
    <w:rsid w:val="233D76C2"/>
    <w:rsid w:val="234C11F4"/>
    <w:rsid w:val="235F6F83"/>
    <w:rsid w:val="23670F48"/>
    <w:rsid w:val="2393758A"/>
    <w:rsid w:val="23DC2795"/>
    <w:rsid w:val="24045E17"/>
    <w:rsid w:val="242D39CB"/>
    <w:rsid w:val="2486698F"/>
    <w:rsid w:val="250635BD"/>
    <w:rsid w:val="25557556"/>
    <w:rsid w:val="25716782"/>
    <w:rsid w:val="25787059"/>
    <w:rsid w:val="25A04B18"/>
    <w:rsid w:val="25FD588D"/>
    <w:rsid w:val="26555C7B"/>
    <w:rsid w:val="26971F70"/>
    <w:rsid w:val="26AF59F5"/>
    <w:rsid w:val="27004270"/>
    <w:rsid w:val="27283C0C"/>
    <w:rsid w:val="27C25CE5"/>
    <w:rsid w:val="27C90671"/>
    <w:rsid w:val="27FE397E"/>
    <w:rsid w:val="28393B99"/>
    <w:rsid w:val="2877729A"/>
    <w:rsid w:val="288E0B23"/>
    <w:rsid w:val="288F78F6"/>
    <w:rsid w:val="28A977E0"/>
    <w:rsid w:val="291A30A0"/>
    <w:rsid w:val="294278F8"/>
    <w:rsid w:val="2946107F"/>
    <w:rsid w:val="29797537"/>
    <w:rsid w:val="29C0377A"/>
    <w:rsid w:val="2A7A3222"/>
    <w:rsid w:val="2AC20744"/>
    <w:rsid w:val="2AED0C97"/>
    <w:rsid w:val="2B076E6C"/>
    <w:rsid w:val="2B7A60E2"/>
    <w:rsid w:val="2B7C527F"/>
    <w:rsid w:val="2BB743D5"/>
    <w:rsid w:val="2BE17B89"/>
    <w:rsid w:val="2BEE6058"/>
    <w:rsid w:val="2C091A5B"/>
    <w:rsid w:val="2C4B48BD"/>
    <w:rsid w:val="2C8420B1"/>
    <w:rsid w:val="2C9D2A3B"/>
    <w:rsid w:val="2CA23C9C"/>
    <w:rsid w:val="2D1E563E"/>
    <w:rsid w:val="2D317CA9"/>
    <w:rsid w:val="2D3E6584"/>
    <w:rsid w:val="2D5A7FCC"/>
    <w:rsid w:val="2DAD365B"/>
    <w:rsid w:val="2DB54688"/>
    <w:rsid w:val="2DD25ACE"/>
    <w:rsid w:val="2DD5272D"/>
    <w:rsid w:val="2E1E5264"/>
    <w:rsid w:val="2E2F3CBA"/>
    <w:rsid w:val="2E5E66B3"/>
    <w:rsid w:val="2E8A7C0F"/>
    <w:rsid w:val="2E996201"/>
    <w:rsid w:val="2F352089"/>
    <w:rsid w:val="2F3E3B9C"/>
    <w:rsid w:val="2F592DCB"/>
    <w:rsid w:val="2F722C16"/>
    <w:rsid w:val="2FF73F34"/>
    <w:rsid w:val="303845C7"/>
    <w:rsid w:val="307029C4"/>
    <w:rsid w:val="30AF3AD6"/>
    <w:rsid w:val="310811F4"/>
    <w:rsid w:val="310A2130"/>
    <w:rsid w:val="310B6196"/>
    <w:rsid w:val="31111CFD"/>
    <w:rsid w:val="3146701C"/>
    <w:rsid w:val="317A12C2"/>
    <w:rsid w:val="31A07827"/>
    <w:rsid w:val="31E90DB3"/>
    <w:rsid w:val="32245DE8"/>
    <w:rsid w:val="324F1861"/>
    <w:rsid w:val="329F3EC1"/>
    <w:rsid w:val="32A954D3"/>
    <w:rsid w:val="32E14277"/>
    <w:rsid w:val="33117640"/>
    <w:rsid w:val="3321502F"/>
    <w:rsid w:val="33356AEE"/>
    <w:rsid w:val="336E58DE"/>
    <w:rsid w:val="33AE4BCE"/>
    <w:rsid w:val="33D91096"/>
    <w:rsid w:val="33FF46B6"/>
    <w:rsid w:val="34362B89"/>
    <w:rsid w:val="346872B6"/>
    <w:rsid w:val="34A60593"/>
    <w:rsid w:val="34DC6EDD"/>
    <w:rsid w:val="34E17A39"/>
    <w:rsid w:val="35051BDD"/>
    <w:rsid w:val="350602D2"/>
    <w:rsid w:val="350E6F62"/>
    <w:rsid w:val="35140E8D"/>
    <w:rsid w:val="35575A24"/>
    <w:rsid w:val="35606AB8"/>
    <w:rsid w:val="35C626FB"/>
    <w:rsid w:val="35D948BD"/>
    <w:rsid w:val="35E66F3B"/>
    <w:rsid w:val="35F6104F"/>
    <w:rsid w:val="36142768"/>
    <w:rsid w:val="36173596"/>
    <w:rsid w:val="365E2687"/>
    <w:rsid w:val="36AF14C3"/>
    <w:rsid w:val="36C13773"/>
    <w:rsid w:val="36EC3E34"/>
    <w:rsid w:val="3715799B"/>
    <w:rsid w:val="372001BD"/>
    <w:rsid w:val="37547E25"/>
    <w:rsid w:val="379C0FD9"/>
    <w:rsid w:val="381D7E33"/>
    <w:rsid w:val="381F45D7"/>
    <w:rsid w:val="384F1349"/>
    <w:rsid w:val="38502AA8"/>
    <w:rsid w:val="38530C9B"/>
    <w:rsid w:val="38533B8A"/>
    <w:rsid w:val="3928690E"/>
    <w:rsid w:val="392A431D"/>
    <w:rsid w:val="394E38BC"/>
    <w:rsid w:val="39826242"/>
    <w:rsid w:val="399975EF"/>
    <w:rsid w:val="39DE2512"/>
    <w:rsid w:val="39E93760"/>
    <w:rsid w:val="3A0B2595"/>
    <w:rsid w:val="3A2C3B98"/>
    <w:rsid w:val="3A416211"/>
    <w:rsid w:val="3A482FF1"/>
    <w:rsid w:val="3A55514C"/>
    <w:rsid w:val="3A5C1815"/>
    <w:rsid w:val="3A6818FD"/>
    <w:rsid w:val="3AAD1485"/>
    <w:rsid w:val="3AF67281"/>
    <w:rsid w:val="3B2C50DC"/>
    <w:rsid w:val="3B607E2A"/>
    <w:rsid w:val="3B7D1ED4"/>
    <w:rsid w:val="3BA7005C"/>
    <w:rsid w:val="3BB261A0"/>
    <w:rsid w:val="3BC540E7"/>
    <w:rsid w:val="3BDA2A81"/>
    <w:rsid w:val="3BF20FF4"/>
    <w:rsid w:val="3C1A0EDA"/>
    <w:rsid w:val="3C20326E"/>
    <w:rsid w:val="3C276A67"/>
    <w:rsid w:val="3C6F0680"/>
    <w:rsid w:val="3C721D88"/>
    <w:rsid w:val="3C825B04"/>
    <w:rsid w:val="3C932C60"/>
    <w:rsid w:val="3CB54628"/>
    <w:rsid w:val="3CFA171A"/>
    <w:rsid w:val="3CFD5C66"/>
    <w:rsid w:val="3D5417DC"/>
    <w:rsid w:val="3D7A1A13"/>
    <w:rsid w:val="3DAF5EE0"/>
    <w:rsid w:val="3DD526B0"/>
    <w:rsid w:val="3E0B30E3"/>
    <w:rsid w:val="3E131D07"/>
    <w:rsid w:val="3E372257"/>
    <w:rsid w:val="3E4B4131"/>
    <w:rsid w:val="3E9C002F"/>
    <w:rsid w:val="3EA72D51"/>
    <w:rsid w:val="3EAB6930"/>
    <w:rsid w:val="3EB271C0"/>
    <w:rsid w:val="3EC83E70"/>
    <w:rsid w:val="3F4F147D"/>
    <w:rsid w:val="3F585171"/>
    <w:rsid w:val="3F747BEF"/>
    <w:rsid w:val="3FA52D38"/>
    <w:rsid w:val="3FB37414"/>
    <w:rsid w:val="40084668"/>
    <w:rsid w:val="400D2C11"/>
    <w:rsid w:val="401C3696"/>
    <w:rsid w:val="405A1195"/>
    <w:rsid w:val="412543F8"/>
    <w:rsid w:val="41572D21"/>
    <w:rsid w:val="415D489E"/>
    <w:rsid w:val="41C544D0"/>
    <w:rsid w:val="422D6C24"/>
    <w:rsid w:val="424D601B"/>
    <w:rsid w:val="425D0B81"/>
    <w:rsid w:val="42611B01"/>
    <w:rsid w:val="42686235"/>
    <w:rsid w:val="428E665C"/>
    <w:rsid w:val="42E22E0D"/>
    <w:rsid w:val="43045DBD"/>
    <w:rsid w:val="431B1B7B"/>
    <w:rsid w:val="431C4F9D"/>
    <w:rsid w:val="432E4B46"/>
    <w:rsid w:val="43676F5C"/>
    <w:rsid w:val="436A47C7"/>
    <w:rsid w:val="43993A9A"/>
    <w:rsid w:val="43A1162E"/>
    <w:rsid w:val="43CC39E1"/>
    <w:rsid w:val="43CF3214"/>
    <w:rsid w:val="43DB2BD0"/>
    <w:rsid w:val="43DF7E37"/>
    <w:rsid w:val="4408325E"/>
    <w:rsid w:val="445219B8"/>
    <w:rsid w:val="4464161B"/>
    <w:rsid w:val="44734DF7"/>
    <w:rsid w:val="447E146C"/>
    <w:rsid w:val="449D411E"/>
    <w:rsid w:val="44AC3CA0"/>
    <w:rsid w:val="44FC2B6F"/>
    <w:rsid w:val="45026C93"/>
    <w:rsid w:val="451A4FB9"/>
    <w:rsid w:val="45370A42"/>
    <w:rsid w:val="45681062"/>
    <w:rsid w:val="457D424A"/>
    <w:rsid w:val="45F60ADB"/>
    <w:rsid w:val="46271D15"/>
    <w:rsid w:val="465B26EB"/>
    <w:rsid w:val="46A86710"/>
    <w:rsid w:val="46B02191"/>
    <w:rsid w:val="46B74F01"/>
    <w:rsid w:val="46B94BF0"/>
    <w:rsid w:val="46CE2EF9"/>
    <w:rsid w:val="46FF36AA"/>
    <w:rsid w:val="47184352"/>
    <w:rsid w:val="47DF74C5"/>
    <w:rsid w:val="47F545CC"/>
    <w:rsid w:val="483E5BCF"/>
    <w:rsid w:val="48621CD0"/>
    <w:rsid w:val="487F05E2"/>
    <w:rsid w:val="488109ED"/>
    <w:rsid w:val="48937100"/>
    <w:rsid w:val="48B30F2A"/>
    <w:rsid w:val="48B5703D"/>
    <w:rsid w:val="48BE7760"/>
    <w:rsid w:val="48CC55C0"/>
    <w:rsid w:val="48FD2974"/>
    <w:rsid w:val="49255577"/>
    <w:rsid w:val="495D5FC7"/>
    <w:rsid w:val="49686B0C"/>
    <w:rsid w:val="49963205"/>
    <w:rsid w:val="49EC2D3C"/>
    <w:rsid w:val="4A151B87"/>
    <w:rsid w:val="4A197940"/>
    <w:rsid w:val="4AAD5290"/>
    <w:rsid w:val="4AEE1074"/>
    <w:rsid w:val="4B4F5E76"/>
    <w:rsid w:val="4B796FBD"/>
    <w:rsid w:val="4C1371D9"/>
    <w:rsid w:val="4C2540E8"/>
    <w:rsid w:val="4C485B9B"/>
    <w:rsid w:val="4C70036C"/>
    <w:rsid w:val="4C86213D"/>
    <w:rsid w:val="4CAE2B8E"/>
    <w:rsid w:val="4D0456B9"/>
    <w:rsid w:val="4D6802B6"/>
    <w:rsid w:val="4D7263C5"/>
    <w:rsid w:val="4D735FE4"/>
    <w:rsid w:val="4E103AF7"/>
    <w:rsid w:val="4E810FD4"/>
    <w:rsid w:val="4EF03C8D"/>
    <w:rsid w:val="4EFF2D08"/>
    <w:rsid w:val="4F20225C"/>
    <w:rsid w:val="4FA932C4"/>
    <w:rsid w:val="4FBC1645"/>
    <w:rsid w:val="4FE93AFA"/>
    <w:rsid w:val="4FF556CC"/>
    <w:rsid w:val="50233155"/>
    <w:rsid w:val="50623DDB"/>
    <w:rsid w:val="508070CA"/>
    <w:rsid w:val="5107062C"/>
    <w:rsid w:val="510C653B"/>
    <w:rsid w:val="511243DF"/>
    <w:rsid w:val="512E7CBD"/>
    <w:rsid w:val="513B2141"/>
    <w:rsid w:val="518241F8"/>
    <w:rsid w:val="51DA16D0"/>
    <w:rsid w:val="52E32D08"/>
    <w:rsid w:val="52E55361"/>
    <w:rsid w:val="536727E1"/>
    <w:rsid w:val="53945B23"/>
    <w:rsid w:val="53A50F19"/>
    <w:rsid w:val="53BC2299"/>
    <w:rsid w:val="53FF630B"/>
    <w:rsid w:val="54640C5C"/>
    <w:rsid w:val="546525D0"/>
    <w:rsid w:val="548117F1"/>
    <w:rsid w:val="54DC2CDE"/>
    <w:rsid w:val="54DF2E25"/>
    <w:rsid w:val="54F33E2F"/>
    <w:rsid w:val="54FA45CE"/>
    <w:rsid w:val="55010A82"/>
    <w:rsid w:val="550C004B"/>
    <w:rsid w:val="5579353D"/>
    <w:rsid w:val="55DB4501"/>
    <w:rsid w:val="560932FE"/>
    <w:rsid w:val="56DD104C"/>
    <w:rsid w:val="56E84D9B"/>
    <w:rsid w:val="571D0BA3"/>
    <w:rsid w:val="5751295E"/>
    <w:rsid w:val="577853FF"/>
    <w:rsid w:val="57A605D4"/>
    <w:rsid w:val="57B706B8"/>
    <w:rsid w:val="581C1ACD"/>
    <w:rsid w:val="58480EF3"/>
    <w:rsid w:val="58ED12E5"/>
    <w:rsid w:val="59124C0F"/>
    <w:rsid w:val="59644396"/>
    <w:rsid w:val="59876438"/>
    <w:rsid w:val="59A25F36"/>
    <w:rsid w:val="59AB3DF5"/>
    <w:rsid w:val="59AF35BE"/>
    <w:rsid w:val="59CB7ECB"/>
    <w:rsid w:val="5A1A570D"/>
    <w:rsid w:val="5A33685B"/>
    <w:rsid w:val="5A476C93"/>
    <w:rsid w:val="5A5A4AEC"/>
    <w:rsid w:val="5AF20E08"/>
    <w:rsid w:val="5B085C65"/>
    <w:rsid w:val="5B0E083A"/>
    <w:rsid w:val="5B314ED9"/>
    <w:rsid w:val="5B577157"/>
    <w:rsid w:val="5B843AF6"/>
    <w:rsid w:val="5C072935"/>
    <w:rsid w:val="5C24640F"/>
    <w:rsid w:val="5C620FCA"/>
    <w:rsid w:val="5D2D7DD2"/>
    <w:rsid w:val="5D8A3E78"/>
    <w:rsid w:val="5D8B5AB6"/>
    <w:rsid w:val="5DB94CA1"/>
    <w:rsid w:val="5DBD1B05"/>
    <w:rsid w:val="5E7F7AA8"/>
    <w:rsid w:val="5EDB7024"/>
    <w:rsid w:val="5EEA2669"/>
    <w:rsid w:val="5EF61193"/>
    <w:rsid w:val="5F074A92"/>
    <w:rsid w:val="5F0D3FCA"/>
    <w:rsid w:val="5F1D795F"/>
    <w:rsid w:val="5F370ADF"/>
    <w:rsid w:val="5F5D3EC4"/>
    <w:rsid w:val="5F5F42A0"/>
    <w:rsid w:val="5FCA0A1B"/>
    <w:rsid w:val="5FDE72A5"/>
    <w:rsid w:val="5FE55EA4"/>
    <w:rsid w:val="5FFC5BA4"/>
    <w:rsid w:val="5FFF6518"/>
    <w:rsid w:val="6025260A"/>
    <w:rsid w:val="60632DF8"/>
    <w:rsid w:val="606557DC"/>
    <w:rsid w:val="60702568"/>
    <w:rsid w:val="6091421B"/>
    <w:rsid w:val="60992005"/>
    <w:rsid w:val="609D1C55"/>
    <w:rsid w:val="60AC627A"/>
    <w:rsid w:val="60D33FAF"/>
    <w:rsid w:val="60F20CB6"/>
    <w:rsid w:val="610C10C6"/>
    <w:rsid w:val="612B494B"/>
    <w:rsid w:val="61626C55"/>
    <w:rsid w:val="616E731F"/>
    <w:rsid w:val="61C4664C"/>
    <w:rsid w:val="61D1719B"/>
    <w:rsid w:val="61D92A97"/>
    <w:rsid w:val="61EA58A5"/>
    <w:rsid w:val="61F9523B"/>
    <w:rsid w:val="623051ED"/>
    <w:rsid w:val="62446CE6"/>
    <w:rsid w:val="628F06C7"/>
    <w:rsid w:val="62B24199"/>
    <w:rsid w:val="62E84F83"/>
    <w:rsid w:val="62E94D6B"/>
    <w:rsid w:val="632D7CAD"/>
    <w:rsid w:val="63E81D4F"/>
    <w:rsid w:val="64173D22"/>
    <w:rsid w:val="643403E1"/>
    <w:rsid w:val="64445760"/>
    <w:rsid w:val="646503BC"/>
    <w:rsid w:val="651442A2"/>
    <w:rsid w:val="652E1A88"/>
    <w:rsid w:val="655E469A"/>
    <w:rsid w:val="65680627"/>
    <w:rsid w:val="65A01D8E"/>
    <w:rsid w:val="65CA7432"/>
    <w:rsid w:val="664358DD"/>
    <w:rsid w:val="66CE2B70"/>
    <w:rsid w:val="677A2230"/>
    <w:rsid w:val="67E47A06"/>
    <w:rsid w:val="68087F84"/>
    <w:rsid w:val="68296D75"/>
    <w:rsid w:val="684C7D48"/>
    <w:rsid w:val="68535B2D"/>
    <w:rsid w:val="689403A5"/>
    <w:rsid w:val="68BF097E"/>
    <w:rsid w:val="68DD680F"/>
    <w:rsid w:val="68EB3285"/>
    <w:rsid w:val="692F542A"/>
    <w:rsid w:val="69525718"/>
    <w:rsid w:val="699D0E1B"/>
    <w:rsid w:val="69B32909"/>
    <w:rsid w:val="69BE7298"/>
    <w:rsid w:val="69D42C3D"/>
    <w:rsid w:val="6A061909"/>
    <w:rsid w:val="6A4F4A85"/>
    <w:rsid w:val="6AB05A94"/>
    <w:rsid w:val="6AB553BB"/>
    <w:rsid w:val="6AC02E7D"/>
    <w:rsid w:val="6ACE3433"/>
    <w:rsid w:val="6AF7000B"/>
    <w:rsid w:val="6B1A197D"/>
    <w:rsid w:val="6B452A58"/>
    <w:rsid w:val="6B7E7CC4"/>
    <w:rsid w:val="6C321E85"/>
    <w:rsid w:val="6C662390"/>
    <w:rsid w:val="6C7636AA"/>
    <w:rsid w:val="6C834A4A"/>
    <w:rsid w:val="6CA15E50"/>
    <w:rsid w:val="6CB26EA4"/>
    <w:rsid w:val="6CE55F22"/>
    <w:rsid w:val="6DC145CF"/>
    <w:rsid w:val="6DCC2BE1"/>
    <w:rsid w:val="6DEC3904"/>
    <w:rsid w:val="6E0D153B"/>
    <w:rsid w:val="6E461A97"/>
    <w:rsid w:val="6E5C2B1A"/>
    <w:rsid w:val="6E7332D5"/>
    <w:rsid w:val="6E7773E0"/>
    <w:rsid w:val="6E921074"/>
    <w:rsid w:val="6E951EBE"/>
    <w:rsid w:val="6EC44855"/>
    <w:rsid w:val="6F031300"/>
    <w:rsid w:val="6F386FE2"/>
    <w:rsid w:val="6F4339E5"/>
    <w:rsid w:val="6F7420FD"/>
    <w:rsid w:val="6FB61A78"/>
    <w:rsid w:val="6FCD159A"/>
    <w:rsid w:val="6FCE3958"/>
    <w:rsid w:val="6FE3093B"/>
    <w:rsid w:val="6FEC7A24"/>
    <w:rsid w:val="702C316E"/>
    <w:rsid w:val="7064077F"/>
    <w:rsid w:val="70664521"/>
    <w:rsid w:val="707508B4"/>
    <w:rsid w:val="707644A0"/>
    <w:rsid w:val="708D36D9"/>
    <w:rsid w:val="70DA4716"/>
    <w:rsid w:val="7168123E"/>
    <w:rsid w:val="71742AB6"/>
    <w:rsid w:val="718B0F2B"/>
    <w:rsid w:val="71A54932"/>
    <w:rsid w:val="71F5150B"/>
    <w:rsid w:val="723421CA"/>
    <w:rsid w:val="72364567"/>
    <w:rsid w:val="724439B7"/>
    <w:rsid w:val="72977C7E"/>
    <w:rsid w:val="72C25D29"/>
    <w:rsid w:val="72E50AF4"/>
    <w:rsid w:val="72F703D7"/>
    <w:rsid w:val="7335541A"/>
    <w:rsid w:val="73641703"/>
    <w:rsid w:val="738A15C9"/>
    <w:rsid w:val="73C10C2D"/>
    <w:rsid w:val="73FC0510"/>
    <w:rsid w:val="7405477C"/>
    <w:rsid w:val="741A2BB9"/>
    <w:rsid w:val="74273276"/>
    <w:rsid w:val="742A7D22"/>
    <w:rsid w:val="74863565"/>
    <w:rsid w:val="74911D0A"/>
    <w:rsid w:val="749B4D02"/>
    <w:rsid w:val="74DD3896"/>
    <w:rsid w:val="74DE57C0"/>
    <w:rsid w:val="750967F7"/>
    <w:rsid w:val="75141DA2"/>
    <w:rsid w:val="755E78AB"/>
    <w:rsid w:val="7562391A"/>
    <w:rsid w:val="75623E15"/>
    <w:rsid w:val="75654BE6"/>
    <w:rsid w:val="757A3718"/>
    <w:rsid w:val="759832E6"/>
    <w:rsid w:val="76045BAC"/>
    <w:rsid w:val="76173EBF"/>
    <w:rsid w:val="76761667"/>
    <w:rsid w:val="76807A8E"/>
    <w:rsid w:val="771B6FF4"/>
    <w:rsid w:val="773A08FA"/>
    <w:rsid w:val="77637680"/>
    <w:rsid w:val="77B65398"/>
    <w:rsid w:val="77C37B25"/>
    <w:rsid w:val="781B7FD6"/>
    <w:rsid w:val="783645CA"/>
    <w:rsid w:val="78A452AC"/>
    <w:rsid w:val="78BA7CFB"/>
    <w:rsid w:val="79216803"/>
    <w:rsid w:val="792A2864"/>
    <w:rsid w:val="797568ED"/>
    <w:rsid w:val="7996610D"/>
    <w:rsid w:val="7A024380"/>
    <w:rsid w:val="7AA97940"/>
    <w:rsid w:val="7AE11E44"/>
    <w:rsid w:val="7B290F02"/>
    <w:rsid w:val="7BBD1694"/>
    <w:rsid w:val="7BBD6D6A"/>
    <w:rsid w:val="7C424D12"/>
    <w:rsid w:val="7C5A43CD"/>
    <w:rsid w:val="7C603C72"/>
    <w:rsid w:val="7C691D7C"/>
    <w:rsid w:val="7C89225A"/>
    <w:rsid w:val="7C8C08B0"/>
    <w:rsid w:val="7C991F0B"/>
    <w:rsid w:val="7D053632"/>
    <w:rsid w:val="7D2C440A"/>
    <w:rsid w:val="7D444D02"/>
    <w:rsid w:val="7D730950"/>
    <w:rsid w:val="7D91758A"/>
    <w:rsid w:val="7DAE7AD5"/>
    <w:rsid w:val="7DE26243"/>
    <w:rsid w:val="7E467F9E"/>
    <w:rsid w:val="7E5B6D2B"/>
    <w:rsid w:val="7E92300C"/>
    <w:rsid w:val="7E971F2C"/>
    <w:rsid w:val="7E9B39EA"/>
    <w:rsid w:val="7EA37D3E"/>
    <w:rsid w:val="7F08435C"/>
    <w:rsid w:val="7F0E05D4"/>
    <w:rsid w:val="7F2A79D2"/>
    <w:rsid w:val="7F3F2C1B"/>
    <w:rsid w:val="7F515B9E"/>
    <w:rsid w:val="7F5268BB"/>
    <w:rsid w:val="7FD336C4"/>
    <w:rsid w:val="7FD704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9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3">
    <w:name w:val="heading 1"/>
    <w:basedOn w:val="1"/>
    <w:next w:val="1"/>
    <w:qFormat/>
    <w:uiPriority w:val="0"/>
    <w:pPr>
      <w:keepNext/>
      <w:keepLines/>
      <w:pageBreakBefore/>
      <w:pBdr>
        <w:bottom w:val="single" w:color="auto" w:sz="12" w:space="1"/>
      </w:pBdr>
      <w:tabs>
        <w:tab w:val="left" w:pos="425"/>
      </w:tabs>
      <w:spacing w:before="960" w:after="960"/>
      <w:ind w:left="425" w:hanging="425"/>
      <w:outlineLvl w:val="0"/>
    </w:pPr>
    <w:rPr>
      <w:rFonts w:eastAsia="黑体"/>
      <w:b/>
      <w:bCs/>
      <w:kern w:val="44"/>
      <w:sz w:val="32"/>
      <w:szCs w:val="44"/>
    </w:rPr>
  </w:style>
  <w:style w:type="paragraph" w:styleId="4">
    <w:name w:val="heading 2"/>
    <w:basedOn w:val="1"/>
    <w:next w:val="1"/>
    <w:link w:val="29"/>
    <w:qFormat/>
    <w:uiPriority w:val="99"/>
    <w:pPr>
      <w:keepNext/>
      <w:keepLines/>
      <w:numPr>
        <w:ilvl w:val="1"/>
        <w:numId w:val="1"/>
      </w:numPr>
      <w:tabs>
        <w:tab w:val="left" w:pos="425"/>
      </w:tabs>
      <w:spacing w:after="60" w:line="360" w:lineRule="auto"/>
      <w:outlineLvl w:val="1"/>
    </w:pPr>
    <w:rPr>
      <w:rFonts w:eastAsia="黑体"/>
      <w:b/>
      <w:bCs/>
      <w:sz w:val="24"/>
    </w:rPr>
  </w:style>
  <w:style w:type="paragraph" w:styleId="5">
    <w:name w:val="heading 3"/>
    <w:basedOn w:val="1"/>
    <w:next w:val="1"/>
    <w:link w:val="65"/>
    <w:qFormat/>
    <w:uiPriority w:val="99"/>
    <w:pPr>
      <w:keepNext/>
      <w:keepLines/>
      <w:numPr>
        <w:ilvl w:val="2"/>
        <w:numId w:val="1"/>
      </w:numPr>
      <w:spacing w:after="60" w:line="360" w:lineRule="auto"/>
      <w:outlineLvl w:val="2"/>
    </w:pPr>
    <w:rPr>
      <w:b/>
      <w:bCs/>
      <w:sz w:val="24"/>
      <w:szCs w:val="32"/>
    </w:rPr>
  </w:style>
  <w:style w:type="paragraph" w:styleId="6">
    <w:name w:val="heading 4"/>
    <w:basedOn w:val="1"/>
    <w:next w:val="1"/>
    <w:link w:val="64"/>
    <w:qFormat/>
    <w:uiPriority w:val="0"/>
    <w:pPr>
      <w:keepNext/>
      <w:keepLines/>
      <w:numPr>
        <w:ilvl w:val="0"/>
        <w:numId w:val="2"/>
      </w:numPr>
      <w:spacing w:after="60" w:line="360" w:lineRule="auto"/>
      <w:outlineLvl w:val="3"/>
    </w:pPr>
    <w:rPr>
      <w:rFonts w:ascii="Times New Roman" w:hAnsi="Times New Roman" w:eastAsia="宋体"/>
      <w:b/>
      <w:bCs/>
    </w:rPr>
  </w:style>
  <w:style w:type="paragraph" w:styleId="7">
    <w:name w:val="heading 5"/>
    <w:basedOn w:val="1"/>
    <w:next w:val="1"/>
    <w:semiHidden/>
    <w:unhideWhenUsed/>
    <w:qFormat/>
    <w:uiPriority w:val="0"/>
    <w:pPr>
      <w:keepNext/>
      <w:keepLines/>
      <w:numPr>
        <w:ilvl w:val="4"/>
        <w:numId w:val="3"/>
      </w:numPr>
      <w:spacing w:before="280" w:beforeLines="0" w:beforeAutospacing="0" w:after="290" w:afterLines="0" w:afterAutospacing="0" w:line="372" w:lineRule="auto"/>
      <w:ind w:left="1008" w:hanging="1008"/>
      <w:outlineLvl w:val="4"/>
    </w:pPr>
    <w:rPr>
      <w:b/>
      <w:sz w:val="28"/>
    </w:rPr>
  </w:style>
  <w:style w:type="character" w:default="1" w:styleId="23">
    <w:name w:val="Default Paragraph Font"/>
    <w:semiHidden/>
    <w:unhideWhenUsed/>
    <w:qFormat/>
    <w:uiPriority w:val="1"/>
  </w:style>
  <w:style w:type="table" w:default="1" w:styleId="21">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link w:val="67"/>
    <w:unhideWhenUsed/>
    <w:qFormat/>
    <w:uiPriority w:val="99"/>
    <w:pPr>
      <w:spacing w:after="120"/>
    </w:pPr>
  </w:style>
  <w:style w:type="paragraph" w:styleId="8">
    <w:name w:val="Normal Indent"/>
    <w:basedOn w:val="1"/>
    <w:link w:val="52"/>
    <w:qFormat/>
    <w:uiPriority w:val="0"/>
    <w:pPr>
      <w:spacing w:line="360" w:lineRule="auto"/>
      <w:ind w:firstLine="482"/>
    </w:pPr>
    <w:rPr>
      <w:sz w:val="24"/>
      <w:szCs w:val="20"/>
    </w:rPr>
  </w:style>
  <w:style w:type="paragraph" w:styleId="9">
    <w:name w:val="caption"/>
    <w:basedOn w:val="1"/>
    <w:next w:val="1"/>
    <w:qFormat/>
    <w:uiPriority w:val="0"/>
    <w:pPr>
      <w:jc w:val="center"/>
    </w:pPr>
    <w:rPr>
      <w:rFonts w:ascii="Calibri" w:hAnsi="Calibri" w:cs="黑体"/>
      <w:b/>
      <w:szCs w:val="20"/>
    </w:rPr>
  </w:style>
  <w:style w:type="paragraph" w:styleId="10">
    <w:name w:val="annotation text"/>
    <w:basedOn w:val="1"/>
    <w:link w:val="68"/>
    <w:qFormat/>
    <w:uiPriority w:val="99"/>
    <w:pPr>
      <w:keepNext w:val="0"/>
      <w:keepLines w:val="0"/>
      <w:widowControl w:val="0"/>
      <w:suppressLineNumbers w:val="0"/>
      <w:spacing w:before="0" w:beforeAutospacing="0" w:after="0" w:afterAutospacing="0" w:line="360" w:lineRule="auto"/>
      <w:ind w:left="0" w:right="0"/>
      <w:jc w:val="left"/>
    </w:pPr>
    <w:rPr>
      <w:rFonts w:hint="default" w:ascii="Times New Roman" w:hAnsi="Times New Roman" w:eastAsia="宋体" w:cs="Times New Roman"/>
      <w:kern w:val="2"/>
      <w:sz w:val="24"/>
      <w:szCs w:val="24"/>
      <w:lang w:val="en-US" w:eastAsia="zh-CN" w:bidi="ar"/>
    </w:rPr>
  </w:style>
  <w:style w:type="paragraph" w:styleId="11">
    <w:name w:val="toc 3"/>
    <w:basedOn w:val="1"/>
    <w:next w:val="1"/>
    <w:qFormat/>
    <w:uiPriority w:val="39"/>
    <w:pPr>
      <w:ind w:left="840" w:leftChars="400"/>
    </w:pPr>
  </w:style>
  <w:style w:type="paragraph" w:styleId="12">
    <w:name w:val="Body Text Indent 2"/>
    <w:basedOn w:val="1"/>
    <w:link w:val="51"/>
    <w:qFormat/>
    <w:uiPriority w:val="0"/>
    <w:pPr>
      <w:spacing w:after="120" w:line="480" w:lineRule="auto"/>
      <w:ind w:left="420" w:leftChars="200"/>
    </w:pPr>
  </w:style>
  <w:style w:type="paragraph" w:styleId="13">
    <w:name w:val="Balloon Text"/>
    <w:basedOn w:val="1"/>
    <w:link w:val="47"/>
    <w:qFormat/>
    <w:uiPriority w:val="0"/>
    <w:rPr>
      <w:sz w:val="18"/>
      <w:szCs w:val="18"/>
    </w:rPr>
  </w:style>
  <w:style w:type="paragraph" w:styleId="14">
    <w:name w:val="footer"/>
    <w:basedOn w:val="1"/>
    <w:link w:val="54"/>
    <w:qFormat/>
    <w:uiPriority w:val="99"/>
    <w:pPr>
      <w:tabs>
        <w:tab w:val="center" w:pos="4153"/>
        <w:tab w:val="right" w:pos="8306"/>
      </w:tabs>
      <w:snapToGrid w:val="0"/>
      <w:jc w:val="left"/>
    </w:pPr>
    <w:rPr>
      <w:sz w:val="18"/>
      <w:szCs w:val="18"/>
    </w:rPr>
  </w:style>
  <w:style w:type="paragraph" w:styleId="15">
    <w:name w:val="header"/>
    <w:basedOn w:val="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toc 1"/>
    <w:basedOn w:val="1"/>
    <w:next w:val="1"/>
    <w:qFormat/>
    <w:uiPriority w:val="39"/>
  </w:style>
  <w:style w:type="paragraph" w:styleId="17">
    <w:name w:val="footnote text"/>
    <w:basedOn w:val="1"/>
    <w:qFormat/>
    <w:uiPriority w:val="0"/>
    <w:pPr>
      <w:snapToGrid w:val="0"/>
      <w:jc w:val="left"/>
    </w:pPr>
    <w:rPr>
      <w:sz w:val="18"/>
    </w:rPr>
  </w:style>
  <w:style w:type="paragraph" w:styleId="18">
    <w:name w:val="toc 2"/>
    <w:basedOn w:val="1"/>
    <w:next w:val="1"/>
    <w:qFormat/>
    <w:uiPriority w:val="39"/>
    <w:pPr>
      <w:ind w:left="420" w:leftChars="200"/>
    </w:pPr>
  </w:style>
  <w:style w:type="paragraph" w:styleId="19">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20">
    <w:name w:val="annotation subject"/>
    <w:basedOn w:val="10"/>
    <w:next w:val="10"/>
    <w:link w:val="49"/>
    <w:qFormat/>
    <w:uiPriority w:val="0"/>
    <w:rPr>
      <w:b/>
      <w:bCs/>
    </w:rPr>
  </w:style>
  <w:style w:type="table" w:styleId="22">
    <w:name w:val="Table Grid"/>
    <w:basedOn w:val="21"/>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4">
    <w:name w:val="Strong"/>
    <w:basedOn w:val="23"/>
    <w:qFormat/>
    <w:uiPriority w:val="0"/>
    <w:rPr>
      <w:b/>
    </w:rPr>
  </w:style>
  <w:style w:type="character" w:styleId="25">
    <w:name w:val="FollowedHyperlink"/>
    <w:basedOn w:val="23"/>
    <w:qFormat/>
    <w:uiPriority w:val="0"/>
    <w:rPr>
      <w:color w:val="333333"/>
      <w:u w:val="none"/>
    </w:rPr>
  </w:style>
  <w:style w:type="character" w:styleId="26">
    <w:name w:val="Hyperlink"/>
    <w:qFormat/>
    <w:uiPriority w:val="99"/>
    <w:rPr>
      <w:color w:val="000000"/>
      <w:u w:val="none"/>
    </w:rPr>
  </w:style>
  <w:style w:type="character" w:styleId="27">
    <w:name w:val="annotation reference"/>
    <w:basedOn w:val="23"/>
    <w:qFormat/>
    <w:uiPriority w:val="0"/>
    <w:rPr>
      <w:sz w:val="21"/>
      <w:szCs w:val="21"/>
    </w:rPr>
  </w:style>
  <w:style w:type="character" w:styleId="28">
    <w:name w:val="footnote reference"/>
    <w:basedOn w:val="23"/>
    <w:qFormat/>
    <w:uiPriority w:val="0"/>
    <w:rPr>
      <w:vertAlign w:val="superscript"/>
    </w:rPr>
  </w:style>
  <w:style w:type="character" w:customStyle="1" w:styleId="29">
    <w:name w:val="标题 2 Char"/>
    <w:link w:val="4"/>
    <w:qFormat/>
    <w:uiPriority w:val="99"/>
    <w:rPr>
      <w:rFonts w:eastAsia="黑体"/>
      <w:b/>
      <w:bCs/>
      <w:kern w:val="2"/>
      <w:sz w:val="24"/>
      <w:szCs w:val="24"/>
    </w:rPr>
  </w:style>
  <w:style w:type="paragraph" w:customStyle="1" w:styleId="30">
    <w:name w:val="Default"/>
    <w:qFormat/>
    <w:uiPriority w:val="99"/>
    <w:pPr>
      <w:widowControl w:val="0"/>
      <w:autoSpaceDE w:val="0"/>
      <w:autoSpaceDN w:val="0"/>
      <w:adjustRightInd w:val="0"/>
    </w:pPr>
    <w:rPr>
      <w:rFonts w:ascii="宋体" w:hAnsi="宋体" w:eastAsia="宋体" w:cs="Times New Roman"/>
      <w:color w:val="000000"/>
      <w:sz w:val="24"/>
      <w:szCs w:val="22"/>
      <w:lang w:val="en-US" w:eastAsia="zh-CN" w:bidi="ar-SA"/>
    </w:rPr>
  </w:style>
  <w:style w:type="paragraph" w:customStyle="1" w:styleId="31">
    <w:name w:val="君邦正文"/>
    <w:basedOn w:val="1"/>
    <w:link w:val="50"/>
    <w:qFormat/>
    <w:uiPriority w:val="0"/>
    <w:pPr>
      <w:spacing w:after="60" w:line="360" w:lineRule="auto"/>
      <w:ind w:firstLine="200" w:firstLineChars="200"/>
    </w:pPr>
    <w:rPr>
      <w:sz w:val="24"/>
      <w:szCs w:val="20"/>
    </w:rPr>
  </w:style>
  <w:style w:type="paragraph" w:styleId="32">
    <w:name w:val="List Paragraph"/>
    <w:basedOn w:val="1"/>
    <w:qFormat/>
    <w:uiPriority w:val="34"/>
    <w:pPr>
      <w:ind w:firstLine="420" w:firstLineChars="200"/>
    </w:pPr>
  </w:style>
  <w:style w:type="paragraph" w:customStyle="1" w:styleId="33">
    <w:name w:val="表"/>
    <w:basedOn w:val="1"/>
    <w:qFormat/>
    <w:uiPriority w:val="0"/>
    <w:pPr>
      <w:snapToGrid w:val="0"/>
      <w:jc w:val="center"/>
    </w:pPr>
    <w:rPr>
      <w:spacing w:val="2"/>
      <w:szCs w:val="20"/>
    </w:rPr>
  </w:style>
  <w:style w:type="paragraph" w:customStyle="1" w:styleId="34">
    <w:name w:val="表头样式1"/>
    <w:basedOn w:val="1"/>
    <w:qFormat/>
    <w:uiPriority w:val="0"/>
    <w:pPr>
      <w:spacing w:before="156" w:beforeLines="50"/>
      <w:jc w:val="center"/>
    </w:pPr>
    <w:rPr>
      <w:rFonts w:eastAsia="黑体"/>
      <w:b/>
      <w:sz w:val="24"/>
      <w:szCs w:val="20"/>
    </w:rPr>
  </w:style>
  <w:style w:type="paragraph" w:customStyle="1" w:styleId="35">
    <w:name w:val="报告书正文"/>
    <w:basedOn w:val="1"/>
    <w:qFormat/>
    <w:uiPriority w:val="0"/>
    <w:pPr>
      <w:jc w:val="left"/>
    </w:pPr>
  </w:style>
  <w:style w:type="paragraph" w:customStyle="1" w:styleId="36">
    <w:name w:val="无间隔2"/>
    <w:basedOn w:val="1"/>
    <w:qFormat/>
    <w:uiPriority w:val="0"/>
    <w:pPr>
      <w:adjustRightInd w:val="0"/>
      <w:snapToGrid w:val="0"/>
      <w:ind w:firstLine="480" w:firstLineChars="200"/>
    </w:pPr>
    <w:rPr>
      <w:sz w:val="24"/>
    </w:rPr>
  </w:style>
  <w:style w:type="paragraph" w:customStyle="1" w:styleId="37">
    <w:name w:val="表内格式"/>
    <w:basedOn w:val="1"/>
    <w:qFormat/>
    <w:uiPriority w:val="0"/>
    <w:pPr>
      <w:jc w:val="center"/>
    </w:pPr>
    <w:rPr>
      <w:sz w:val="18"/>
      <w:szCs w:val="20"/>
    </w:rPr>
  </w:style>
  <w:style w:type="paragraph" w:customStyle="1" w:styleId="38">
    <w:name w:val="表格内容"/>
    <w:basedOn w:val="1"/>
    <w:qFormat/>
    <w:uiPriority w:val="0"/>
    <w:pPr>
      <w:spacing w:line="240" w:lineRule="exact"/>
    </w:pPr>
    <w:rPr>
      <w:kern w:val="0"/>
      <w:szCs w:val="21"/>
    </w:rPr>
  </w:style>
  <w:style w:type="character" w:customStyle="1" w:styleId="39">
    <w:name w:val="bzrq"/>
    <w:basedOn w:val="23"/>
    <w:qFormat/>
    <w:uiPriority w:val="0"/>
  </w:style>
  <w:style w:type="character" w:customStyle="1" w:styleId="40">
    <w:name w:val="sysj"/>
    <w:basedOn w:val="23"/>
    <w:qFormat/>
    <w:uiPriority w:val="0"/>
  </w:style>
  <w:style w:type="character" w:customStyle="1" w:styleId="41">
    <w:name w:val="thisit"/>
    <w:basedOn w:val="23"/>
    <w:qFormat/>
    <w:uiPriority w:val="0"/>
  </w:style>
  <w:style w:type="character" w:customStyle="1" w:styleId="42">
    <w:name w:val="f_r6"/>
    <w:basedOn w:val="23"/>
    <w:qFormat/>
    <w:uiPriority w:val="0"/>
  </w:style>
  <w:style w:type="character" w:customStyle="1" w:styleId="43">
    <w:name w:val="bzmc"/>
    <w:basedOn w:val="23"/>
    <w:qFormat/>
    <w:uiPriority w:val="0"/>
  </w:style>
  <w:style w:type="character" w:customStyle="1" w:styleId="44">
    <w:name w:val="bzmc1"/>
    <w:basedOn w:val="23"/>
    <w:qFormat/>
    <w:uiPriority w:val="0"/>
  </w:style>
  <w:style w:type="character" w:customStyle="1" w:styleId="45">
    <w:name w:val="bzmc2"/>
    <w:basedOn w:val="23"/>
    <w:qFormat/>
    <w:uiPriority w:val="0"/>
  </w:style>
  <w:style w:type="character" w:customStyle="1" w:styleId="46">
    <w:name w:val="bzrq2"/>
    <w:basedOn w:val="23"/>
    <w:qFormat/>
    <w:uiPriority w:val="0"/>
  </w:style>
  <w:style w:type="character" w:customStyle="1" w:styleId="47">
    <w:name w:val="批注框文本 Char"/>
    <w:basedOn w:val="23"/>
    <w:link w:val="13"/>
    <w:qFormat/>
    <w:uiPriority w:val="0"/>
    <w:rPr>
      <w:kern w:val="2"/>
      <w:sz w:val="18"/>
      <w:szCs w:val="18"/>
    </w:rPr>
  </w:style>
  <w:style w:type="character" w:customStyle="1" w:styleId="48">
    <w:name w:val="批注文字 Char"/>
    <w:basedOn w:val="23"/>
    <w:link w:val="10"/>
    <w:qFormat/>
    <w:uiPriority w:val="99"/>
    <w:rPr>
      <w:kern w:val="2"/>
      <w:sz w:val="21"/>
      <w:szCs w:val="24"/>
    </w:rPr>
  </w:style>
  <w:style w:type="character" w:customStyle="1" w:styleId="49">
    <w:name w:val="批注主题 Char"/>
    <w:basedOn w:val="48"/>
    <w:link w:val="20"/>
    <w:qFormat/>
    <w:uiPriority w:val="0"/>
    <w:rPr>
      <w:b/>
      <w:bCs/>
      <w:kern w:val="2"/>
      <w:sz w:val="21"/>
      <w:szCs w:val="24"/>
    </w:rPr>
  </w:style>
  <w:style w:type="character" w:customStyle="1" w:styleId="50">
    <w:name w:val="君邦正文 Char2"/>
    <w:link w:val="31"/>
    <w:qFormat/>
    <w:uiPriority w:val="0"/>
    <w:rPr>
      <w:kern w:val="2"/>
      <w:sz w:val="24"/>
    </w:rPr>
  </w:style>
  <w:style w:type="character" w:customStyle="1" w:styleId="51">
    <w:name w:val="正文文本缩进 2 Char"/>
    <w:link w:val="12"/>
    <w:qFormat/>
    <w:uiPriority w:val="0"/>
    <w:rPr>
      <w:kern w:val="2"/>
      <w:sz w:val="21"/>
      <w:szCs w:val="24"/>
    </w:rPr>
  </w:style>
  <w:style w:type="character" w:customStyle="1" w:styleId="52">
    <w:name w:val="正文缩进 Char"/>
    <w:link w:val="8"/>
    <w:qFormat/>
    <w:uiPriority w:val="0"/>
    <w:rPr>
      <w:kern w:val="2"/>
      <w:sz w:val="24"/>
    </w:rPr>
  </w:style>
  <w:style w:type="paragraph" w:customStyle="1" w:styleId="53">
    <w:name w:val="目录"/>
    <w:basedOn w:val="31"/>
    <w:next w:val="31"/>
    <w:qFormat/>
    <w:uiPriority w:val="0"/>
    <w:pPr>
      <w:pBdr>
        <w:bottom w:val="single" w:color="auto" w:sz="12" w:space="1"/>
      </w:pBdr>
      <w:spacing w:before="960" w:after="960"/>
      <w:ind w:firstLine="0" w:firstLineChars="0"/>
      <w:jc w:val="right"/>
    </w:pPr>
    <w:rPr>
      <w:rFonts w:eastAsia="黑体"/>
      <w:b/>
      <w:i/>
      <w:sz w:val="32"/>
    </w:rPr>
  </w:style>
  <w:style w:type="character" w:customStyle="1" w:styleId="54">
    <w:name w:val="页脚 Char"/>
    <w:basedOn w:val="23"/>
    <w:link w:val="14"/>
    <w:qFormat/>
    <w:uiPriority w:val="99"/>
    <w:rPr>
      <w:kern w:val="2"/>
      <w:sz w:val="18"/>
      <w:szCs w:val="18"/>
    </w:rPr>
  </w:style>
  <w:style w:type="paragraph" w:customStyle="1" w:styleId="55">
    <w:name w:val="WPSOffice手动目录 1"/>
    <w:qFormat/>
    <w:uiPriority w:val="0"/>
    <w:pPr>
      <w:ind w:leftChars="0"/>
    </w:pPr>
    <w:rPr>
      <w:rFonts w:ascii="Times New Roman" w:hAnsi="Times New Roman" w:eastAsia="宋体" w:cs="Times New Roman"/>
      <w:sz w:val="20"/>
      <w:szCs w:val="20"/>
    </w:rPr>
  </w:style>
  <w:style w:type="paragraph" w:customStyle="1" w:styleId="56">
    <w:name w:val="WPSOffice手动目录 2"/>
    <w:qFormat/>
    <w:uiPriority w:val="0"/>
    <w:pPr>
      <w:ind w:leftChars="200"/>
    </w:pPr>
    <w:rPr>
      <w:rFonts w:ascii="Times New Roman" w:hAnsi="Times New Roman" w:eastAsia="宋体" w:cs="Times New Roman"/>
      <w:sz w:val="20"/>
      <w:szCs w:val="20"/>
    </w:rPr>
  </w:style>
  <w:style w:type="paragraph" w:customStyle="1" w:styleId="57">
    <w:name w:val="正文缩进1"/>
    <w:basedOn w:val="1"/>
    <w:qFormat/>
    <w:uiPriority w:val="0"/>
    <w:pPr>
      <w:spacing w:after="160" w:line="259" w:lineRule="auto"/>
      <w:ind w:firstLine="200" w:firstLineChars="200"/>
    </w:pPr>
    <w:rPr>
      <w:rFonts w:eastAsia="宋体"/>
      <w:sz w:val="21"/>
    </w:rPr>
  </w:style>
  <w:style w:type="character" w:customStyle="1" w:styleId="58">
    <w:name w:val="fontstyle01"/>
    <w:basedOn w:val="23"/>
    <w:qFormat/>
    <w:uiPriority w:val="0"/>
    <w:rPr>
      <w:rFonts w:hint="eastAsia" w:ascii="宋体" w:hAnsi="宋体" w:eastAsia="宋体" w:cs="宋体"/>
      <w:color w:val="000000"/>
      <w:sz w:val="44"/>
      <w:szCs w:val="44"/>
    </w:rPr>
  </w:style>
  <w:style w:type="character" w:customStyle="1" w:styleId="59">
    <w:name w:val="fontstyle21"/>
    <w:basedOn w:val="23"/>
    <w:qFormat/>
    <w:uiPriority w:val="0"/>
    <w:rPr>
      <w:rFonts w:ascii="黑体" w:hAnsi="宋体" w:eastAsia="黑体" w:cs="黑体"/>
      <w:color w:val="000000"/>
      <w:sz w:val="48"/>
      <w:szCs w:val="48"/>
    </w:rPr>
  </w:style>
  <w:style w:type="character" w:customStyle="1" w:styleId="60">
    <w:name w:val="fontstyle11"/>
    <w:basedOn w:val="23"/>
    <w:qFormat/>
    <w:uiPriority w:val="0"/>
    <w:rPr>
      <w:rFonts w:hint="default" w:ascii="Times New Roman" w:hAnsi="Times New Roman" w:cs="Times New Roman"/>
      <w:color w:val="000000"/>
      <w:sz w:val="24"/>
      <w:szCs w:val="24"/>
    </w:rPr>
  </w:style>
  <w:style w:type="character" w:customStyle="1" w:styleId="61">
    <w:name w:val="font61"/>
    <w:basedOn w:val="23"/>
    <w:qFormat/>
    <w:uiPriority w:val="0"/>
    <w:rPr>
      <w:rFonts w:hint="eastAsia" w:ascii="宋体" w:hAnsi="宋体" w:eastAsia="宋体" w:cs="宋体"/>
      <w:color w:val="000000"/>
      <w:sz w:val="20"/>
      <w:szCs w:val="20"/>
      <w:u w:val="none"/>
    </w:rPr>
  </w:style>
  <w:style w:type="character" w:customStyle="1" w:styleId="62">
    <w:name w:val="font11"/>
    <w:basedOn w:val="23"/>
    <w:qFormat/>
    <w:uiPriority w:val="0"/>
    <w:rPr>
      <w:rFonts w:hint="eastAsia" w:ascii="宋体" w:hAnsi="宋体" w:eastAsia="宋体" w:cs="宋体"/>
      <w:color w:val="000000"/>
      <w:sz w:val="22"/>
      <w:szCs w:val="22"/>
      <w:u w:val="none"/>
    </w:rPr>
  </w:style>
  <w:style w:type="character" w:customStyle="1" w:styleId="63">
    <w:name w:val="font01"/>
    <w:basedOn w:val="23"/>
    <w:qFormat/>
    <w:uiPriority w:val="0"/>
    <w:rPr>
      <w:rFonts w:hint="default" w:ascii="Times New Roman" w:hAnsi="Times New Roman" w:cs="Times New Roman"/>
      <w:color w:val="000000"/>
      <w:sz w:val="22"/>
      <w:szCs w:val="22"/>
      <w:u w:val="none"/>
    </w:rPr>
  </w:style>
  <w:style w:type="character" w:customStyle="1" w:styleId="64">
    <w:name w:val="标题 4 Char"/>
    <w:link w:val="6"/>
    <w:qFormat/>
    <w:uiPriority w:val="0"/>
    <w:rPr>
      <w:rFonts w:ascii="Times New Roman" w:hAnsi="Times New Roman" w:eastAsia="宋体"/>
      <w:b/>
      <w:bCs/>
      <w:sz w:val="24"/>
      <w:szCs w:val="24"/>
    </w:rPr>
  </w:style>
  <w:style w:type="character" w:customStyle="1" w:styleId="65">
    <w:name w:val="标题 3 Char1"/>
    <w:link w:val="5"/>
    <w:qFormat/>
    <w:uiPriority w:val="99"/>
    <w:rPr>
      <w:b/>
      <w:bCs/>
      <w:sz w:val="24"/>
      <w:szCs w:val="32"/>
    </w:rPr>
  </w:style>
  <w:style w:type="character" w:customStyle="1" w:styleId="66">
    <w:name w:val="font31"/>
    <w:basedOn w:val="23"/>
    <w:qFormat/>
    <w:uiPriority w:val="0"/>
    <w:rPr>
      <w:rFonts w:hint="default" w:ascii="Times New Roman" w:hAnsi="Times New Roman" w:cs="Times New Roman"/>
      <w:color w:val="000000"/>
      <w:sz w:val="21"/>
      <w:szCs w:val="21"/>
      <w:u w:val="none"/>
      <w:vertAlign w:val="subscript"/>
    </w:rPr>
  </w:style>
  <w:style w:type="character" w:customStyle="1" w:styleId="67">
    <w:name w:val="正文文本 字符"/>
    <w:basedOn w:val="23"/>
    <w:link w:val="2"/>
    <w:qFormat/>
    <w:uiPriority w:val="0"/>
    <w:rPr>
      <w:kern w:val="2"/>
      <w:sz w:val="24"/>
      <w:szCs w:val="24"/>
    </w:rPr>
  </w:style>
  <w:style w:type="character" w:customStyle="1" w:styleId="68">
    <w:name w:val="批注文字 字符"/>
    <w:basedOn w:val="23"/>
    <w:link w:val="10"/>
    <w:qFormat/>
    <w:uiPriority w:val="0"/>
    <w:rPr>
      <w:kern w:val="2"/>
      <w:sz w:val="24"/>
      <w:szCs w:val="24"/>
    </w:rPr>
  </w:style>
  <w:style w:type="character" w:customStyle="1" w:styleId="69">
    <w:name w:val="font21"/>
    <w:basedOn w:val="23"/>
    <w:qFormat/>
    <w:uiPriority w:val="0"/>
    <w:rPr>
      <w:rFonts w:hint="eastAsia" w:ascii="宋体" w:hAnsi="宋体" w:eastAsia="宋体" w:cs="宋体"/>
      <w:color w:val="FF0000"/>
      <w:sz w:val="21"/>
      <w:szCs w:val="21"/>
      <w:u w:val="none"/>
    </w:rPr>
  </w:style>
  <w:style w:type="character" w:customStyle="1" w:styleId="70">
    <w:name w:val="font41"/>
    <w:basedOn w:val="23"/>
    <w:qFormat/>
    <w:uiPriority w:val="0"/>
    <w:rPr>
      <w:rFonts w:hint="default" w:ascii="Times New Roman" w:hAnsi="Times New Roman" w:cs="Times New Roman"/>
      <w:color w:val="000000"/>
      <w:sz w:val="21"/>
      <w:szCs w:val="21"/>
      <w:u w:val="none"/>
    </w:rPr>
  </w:style>
  <w:style w:type="character" w:customStyle="1" w:styleId="71">
    <w:name w:val="font51"/>
    <w:basedOn w:val="23"/>
    <w:qFormat/>
    <w:uiPriority w:val="0"/>
    <w:rPr>
      <w:rFonts w:hint="default" w:ascii="Times New Roman" w:hAnsi="Times New Roman" w:cs="Times New Roman"/>
      <w:color w:val="131313"/>
      <w:sz w:val="24"/>
      <w:szCs w:val="24"/>
      <w:u w:val="none"/>
    </w:rPr>
  </w:style>
  <w:style w:type="character" w:customStyle="1" w:styleId="72">
    <w:name w:val="font81"/>
    <w:basedOn w:val="23"/>
    <w:qFormat/>
    <w:uiPriority w:val="0"/>
    <w:rPr>
      <w:rFonts w:hint="eastAsia" w:ascii="宋体" w:hAnsi="宋体" w:eastAsia="宋体" w:cs="宋体"/>
      <w:color w:val="333333"/>
      <w:sz w:val="24"/>
      <w:szCs w:val="24"/>
      <w:u w:val="none"/>
    </w:rPr>
  </w:style>
  <w:style w:type="character" w:customStyle="1" w:styleId="73">
    <w:name w:val="font71"/>
    <w:basedOn w:val="23"/>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12.jpeg"/><Relationship Id="rId45" Type="http://schemas.openxmlformats.org/officeDocument/2006/relationships/image" Target="media/image11.jpeg"/><Relationship Id="rId44" Type="http://schemas.openxmlformats.org/officeDocument/2006/relationships/chart" Target="charts/chart12.xml"/><Relationship Id="rId43" Type="http://schemas.openxmlformats.org/officeDocument/2006/relationships/chart" Target="charts/chart11.xml"/><Relationship Id="rId42" Type="http://schemas.openxmlformats.org/officeDocument/2006/relationships/chart" Target="charts/chart10.xml"/><Relationship Id="rId41" Type="http://schemas.openxmlformats.org/officeDocument/2006/relationships/chart" Target="charts/chart9.xml"/><Relationship Id="rId40" Type="http://schemas.openxmlformats.org/officeDocument/2006/relationships/chart" Target="charts/chart8.xml"/><Relationship Id="rId4" Type="http://schemas.openxmlformats.org/officeDocument/2006/relationships/header" Target="header2.xml"/><Relationship Id="rId39" Type="http://schemas.openxmlformats.org/officeDocument/2006/relationships/chart" Target="charts/chart7.xml"/><Relationship Id="rId38" Type="http://schemas.openxmlformats.org/officeDocument/2006/relationships/chart" Target="charts/chart6.xml"/><Relationship Id="rId37" Type="http://schemas.openxmlformats.org/officeDocument/2006/relationships/chart" Target="charts/chart5.xml"/><Relationship Id="rId36" Type="http://schemas.openxmlformats.org/officeDocument/2006/relationships/chart" Target="charts/chart4.xml"/><Relationship Id="rId35" Type="http://schemas.openxmlformats.org/officeDocument/2006/relationships/chart" Target="charts/chart3.xml"/><Relationship Id="rId34" Type="http://schemas.openxmlformats.org/officeDocument/2006/relationships/chart" Target="charts/chart2.xml"/><Relationship Id="rId33" Type="http://schemas.openxmlformats.org/officeDocument/2006/relationships/chart" Target="charts/chart1.xml"/><Relationship Id="rId32" Type="http://schemas.openxmlformats.org/officeDocument/2006/relationships/image" Target="media/image10.wmf"/><Relationship Id="rId31" Type="http://schemas.openxmlformats.org/officeDocument/2006/relationships/image" Target="media/image9.jpeg"/><Relationship Id="rId30" Type="http://schemas.openxmlformats.org/officeDocument/2006/relationships/image" Target="media/image8.jpeg"/><Relationship Id="rId3" Type="http://schemas.openxmlformats.org/officeDocument/2006/relationships/header" Target="header1.xml"/><Relationship Id="rId29" Type="http://schemas.openxmlformats.org/officeDocument/2006/relationships/image" Target="media/image7.jpeg"/><Relationship Id="rId28" Type="http://schemas.openxmlformats.org/officeDocument/2006/relationships/image" Target="media/image6.jpeg"/><Relationship Id="rId27" Type="http://schemas.openxmlformats.org/officeDocument/2006/relationships/image" Target="media/image5.png"/><Relationship Id="rId26" Type="http://schemas.openxmlformats.org/officeDocument/2006/relationships/image" Target="media/image4.jpeg"/><Relationship Id="rId25" Type="http://schemas.openxmlformats.org/officeDocument/2006/relationships/image" Target="media/image3.jpeg"/><Relationship Id="rId24" Type="http://schemas.openxmlformats.org/officeDocument/2006/relationships/image" Target="media/image2.jpe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header" Target="header14.xml"/><Relationship Id="rId20" Type="http://schemas.openxmlformats.org/officeDocument/2006/relationships/header" Target="header13.xml"/><Relationship Id="rId2" Type="http://schemas.openxmlformats.org/officeDocument/2006/relationships/settings" Target="settings.xml"/><Relationship Id="rId19" Type="http://schemas.openxmlformats.org/officeDocument/2006/relationships/header" Target="header12.xml"/><Relationship Id="rId18" Type="http://schemas.openxmlformats.org/officeDocument/2006/relationships/footer" Target="footer5.xml"/><Relationship Id="rId17" Type="http://schemas.openxmlformats.org/officeDocument/2006/relationships/header" Target="header11.xml"/><Relationship Id="rId16" Type="http://schemas.openxmlformats.org/officeDocument/2006/relationships/header" Target="header10.xml"/><Relationship Id="rId15" Type="http://schemas.openxmlformats.org/officeDocument/2006/relationships/footer" Target="footer4.xml"/><Relationship Id="rId14" Type="http://schemas.openxmlformats.org/officeDocument/2006/relationships/header" Target="header9.xml"/><Relationship Id="rId13" Type="http://schemas.openxmlformats.org/officeDocument/2006/relationships/header" Target="header8.xml"/><Relationship Id="rId12" Type="http://schemas.openxmlformats.org/officeDocument/2006/relationships/header" Target="header7.xml"/><Relationship Id="rId11" Type="http://schemas.openxmlformats.org/officeDocument/2006/relationships/footer" Target="footer3.xml"/><Relationship Id="rId10" Type="http://schemas.openxmlformats.org/officeDocument/2006/relationships/header" Target="header6.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chartUserShapes" Target="../drawings/drawing2.xml"/><Relationship Id="rId1" Type="http://schemas.openxmlformats.org/officeDocument/2006/relationships/oleObject" Target="file:///C:\Users\Administrator\Desktop\SJG\&#25955;&#28857;&#22270;.xlsx" TargetMode="External"/></Relationships>
</file>

<file path=word/charts/_rels/chart10.xml.rels><?xml version="1.0" encoding="UTF-8" standalone="yes"?>
<Relationships xmlns="http://schemas.openxmlformats.org/package/2006/relationships"><Relationship Id="rId4" Type="http://schemas.microsoft.com/office/2011/relationships/chartColorStyle" Target="colors7.xml"/><Relationship Id="rId3" Type="http://schemas.microsoft.com/office/2011/relationships/chartStyle" Target="style7.xml"/><Relationship Id="rId2" Type="http://schemas.openxmlformats.org/officeDocument/2006/relationships/chartUserShapes" Target="../drawings/drawing7.xml"/><Relationship Id="rId1" Type="http://schemas.openxmlformats.org/officeDocument/2006/relationships/oleObject" Target="file:///C:\Users\Administrator\Desktop\SJG\&#25955;&#28857;&#22270;.xlsx" TargetMode="External"/></Relationships>
</file>

<file path=word/charts/_rels/chart11.xml.rels><?xml version="1.0" encoding="UTF-8" standalone="yes"?>
<Relationships xmlns="http://schemas.openxmlformats.org/package/2006/relationships"><Relationship Id="rId4" Type="http://schemas.microsoft.com/office/2011/relationships/chartColorStyle" Target="colors8.xml"/><Relationship Id="rId3" Type="http://schemas.microsoft.com/office/2011/relationships/chartStyle" Target="style8.xml"/><Relationship Id="rId2" Type="http://schemas.openxmlformats.org/officeDocument/2006/relationships/chartUserShapes" Target="../drawings/drawing8.xml"/><Relationship Id="rId1" Type="http://schemas.openxmlformats.org/officeDocument/2006/relationships/oleObject" Target="file:///C:\Users\Administrator\Desktop\SJG\&#25955;&#28857;&#22270;.xlsx" TargetMode="External"/></Relationships>
</file>

<file path=word/charts/_rels/chart12.xml.rels><?xml version="1.0" encoding="UTF-8" standalone="yes"?>
<Relationships xmlns="http://schemas.openxmlformats.org/package/2006/relationships"><Relationship Id="rId4" Type="http://schemas.microsoft.com/office/2011/relationships/chartColorStyle" Target="colors9.xml"/><Relationship Id="rId3" Type="http://schemas.microsoft.com/office/2011/relationships/chartStyle" Target="style9.xml"/><Relationship Id="rId2" Type="http://schemas.openxmlformats.org/officeDocument/2006/relationships/chartUserShapes" Target="../drawings/drawing9.xml"/><Relationship Id="rId1" Type="http://schemas.openxmlformats.org/officeDocument/2006/relationships/oleObject" Target="file:///C:\Users\Administrator\Desktop\SJG\&#25955;&#28857;&#22270;.xlsx" TargetMode="External"/></Relationships>
</file>

<file path=word/charts/_rels/chart2.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chartUserShapes" Target="../drawings/drawing1.xml"/><Relationship Id="rId1" Type="http://schemas.openxmlformats.org/officeDocument/2006/relationships/oleObject" Target="file:///C:\Users\Administrator\Desktop\SJG\&#25955;&#28857;&#22270;.xlsx" TargetMode="External"/></Relationships>
</file>

<file path=word/charts/_rels/chart3.xml.rels><?xml version="1.0" encoding="UTF-8" standalone="yes"?>
<Relationships xmlns="http://schemas.openxmlformats.org/package/2006/relationships"><Relationship Id="rId4" Type="http://schemas.microsoft.com/office/2011/relationships/chartColorStyle" Target="colors5.xml"/><Relationship Id="rId3" Type="http://schemas.microsoft.com/office/2011/relationships/chartStyle" Target="style5.xml"/><Relationship Id="rId2" Type="http://schemas.openxmlformats.org/officeDocument/2006/relationships/chartUserShapes" Target="../drawings/drawing5.xml"/><Relationship Id="rId1" Type="http://schemas.openxmlformats.org/officeDocument/2006/relationships/oleObject" Target="file:///C:\Users\Administrator\Desktop\SJG\&#25955;&#28857;&#22270;.xlsx" TargetMode="External"/></Relationships>
</file>

<file path=word/charts/_rels/chart4.xml.rels><?xml version="1.0" encoding="UTF-8" standalone="yes"?>
<Relationships xmlns="http://schemas.openxmlformats.org/package/2006/relationships"><Relationship Id="rId4" Type="http://schemas.microsoft.com/office/2011/relationships/chartColorStyle" Target="colors11.xml"/><Relationship Id="rId3" Type="http://schemas.microsoft.com/office/2011/relationships/chartStyle" Target="style11.xml"/><Relationship Id="rId2" Type="http://schemas.openxmlformats.org/officeDocument/2006/relationships/chartUserShapes" Target="../drawings/drawing11.xml"/><Relationship Id="rId1" Type="http://schemas.openxmlformats.org/officeDocument/2006/relationships/oleObject" Target="file:///C:\Users\Administrator\Desktop\SJG\&#25955;&#28857;&#22270;.xlsx" TargetMode="External"/></Relationships>
</file>

<file path=word/charts/_rels/chart5.xml.rels><?xml version="1.0" encoding="UTF-8" standalone="yes"?>
<Relationships xmlns="http://schemas.openxmlformats.org/package/2006/relationships"><Relationship Id="rId4" Type="http://schemas.microsoft.com/office/2011/relationships/chartColorStyle" Target="colors10.xml"/><Relationship Id="rId3" Type="http://schemas.microsoft.com/office/2011/relationships/chartStyle" Target="style10.xml"/><Relationship Id="rId2" Type="http://schemas.openxmlformats.org/officeDocument/2006/relationships/chartUserShapes" Target="../drawings/drawing10.xml"/><Relationship Id="rId1" Type="http://schemas.openxmlformats.org/officeDocument/2006/relationships/oleObject" Target="file:///C:\Users\Administrator\Desktop\SJG\&#25955;&#28857;&#22270;.xlsx" TargetMode="External"/></Relationships>
</file>

<file path=word/charts/_rels/chart6.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chartUserShapes" Target="../drawings/drawing3.xml"/><Relationship Id="rId1" Type="http://schemas.openxmlformats.org/officeDocument/2006/relationships/oleObject" Target="file:///C:\Users\Administrator\Desktop\SJG\&#25955;&#28857;&#22270;.xlsx" TargetMode="External"/></Relationships>
</file>

<file path=word/charts/_rels/chart7.xml.rels><?xml version="1.0" encoding="UTF-8" standalone="yes"?>
<Relationships xmlns="http://schemas.openxmlformats.org/package/2006/relationships"><Relationship Id="rId4" Type="http://schemas.microsoft.com/office/2011/relationships/chartColorStyle" Target="colors6.xml"/><Relationship Id="rId3" Type="http://schemas.microsoft.com/office/2011/relationships/chartStyle" Target="style6.xml"/><Relationship Id="rId2" Type="http://schemas.openxmlformats.org/officeDocument/2006/relationships/chartUserShapes" Target="../drawings/drawing6.xml"/><Relationship Id="rId1" Type="http://schemas.openxmlformats.org/officeDocument/2006/relationships/oleObject" Target="file:///C:\Users\Administrator\Desktop\SJG\&#25955;&#28857;&#22270;.xlsx" TargetMode="External"/></Relationships>
</file>

<file path=word/charts/_rels/chart8.xml.rels><?xml version="1.0" encoding="UTF-8" standalone="yes"?>
<Relationships xmlns="http://schemas.openxmlformats.org/package/2006/relationships"><Relationship Id="rId4" Type="http://schemas.microsoft.com/office/2011/relationships/chartColorStyle" Target="colors4.xml"/><Relationship Id="rId3" Type="http://schemas.microsoft.com/office/2011/relationships/chartStyle" Target="style4.xml"/><Relationship Id="rId2" Type="http://schemas.openxmlformats.org/officeDocument/2006/relationships/chartUserShapes" Target="../drawings/drawing4.xml"/><Relationship Id="rId1" Type="http://schemas.openxmlformats.org/officeDocument/2006/relationships/oleObject" Target="file:///C:\Users\Administrator\Desktop\SJG\&#25955;&#28857;&#22270;.xlsx" TargetMode="External"/></Relationships>
</file>

<file path=word/charts/_rels/chart9.xml.rels><?xml version="1.0" encoding="UTF-8" standalone="yes"?>
<Relationships xmlns="http://schemas.openxmlformats.org/package/2006/relationships"><Relationship Id="rId4" Type="http://schemas.microsoft.com/office/2011/relationships/chartColorStyle" Target="colors12.xml"/><Relationship Id="rId3" Type="http://schemas.microsoft.com/office/2011/relationships/chartStyle" Target="style12.xml"/><Relationship Id="rId2" Type="http://schemas.openxmlformats.org/officeDocument/2006/relationships/chartUserShapes" Target="../drawings/drawing12.xml"/><Relationship Id="rId1" Type="http://schemas.openxmlformats.org/officeDocument/2006/relationships/oleObject" Target="file:///C:\Users\Administrator\Desktop\SJG\SJG-&#25955;&#28857;&#2227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spc="0" baseline="0">
                <a:solidFill>
                  <a:schemeClr val="tx1">
                    <a:lumMod val="65000"/>
                    <a:lumOff val="35000"/>
                  </a:schemeClr>
                </a:solidFill>
                <a:latin typeface="+mn-lt"/>
                <a:ea typeface="+mn-ea"/>
                <a:cs typeface="+mn-cs"/>
              </a:defRPr>
            </a:pPr>
            <a:r>
              <a:rPr lang="en-US" altLang="zh-CN" b="1"/>
              <a:t>pH</a:t>
            </a:r>
            <a:r>
              <a:rPr altLang="en-US" b="1"/>
              <a:t>值</a:t>
            </a:r>
            <a:endParaRPr altLang="en-US" b="1"/>
          </a:p>
        </c:rich>
      </c:tx>
      <c:layout/>
      <c:overlay val="0"/>
      <c:spPr>
        <a:noFill/>
        <a:ln>
          <a:noFill/>
        </a:ln>
        <a:effectLst/>
      </c:spPr>
    </c:title>
    <c:autoTitleDeleted val="0"/>
    <c:plotArea>
      <c:layout/>
      <c:lineChart>
        <c:grouping val="standard"/>
        <c:varyColors val="0"/>
        <c:ser>
          <c:idx val="0"/>
          <c:order val="0"/>
          <c:spPr>
            <a:ln w="28575" cap="rnd">
              <a:noFill/>
              <a:round/>
            </a:ln>
            <a:effectLst/>
          </c:spPr>
          <c:marker>
            <c:symbol val="circle"/>
            <c:size val="5"/>
            <c:spPr>
              <a:pattFill prst="pct50">
                <a:fgClr>
                  <a:schemeClr val="tx1"/>
                </a:fgClr>
                <a:bgClr>
                  <a:schemeClr val="bg1"/>
                </a:bgClr>
              </a:pattFill>
              <a:ln w="3175" cmpd="sng">
                <a:solidFill>
                  <a:schemeClr val="tx1"/>
                </a:solidFill>
                <a:prstDash val="solid"/>
              </a:ln>
              <a:effectLst/>
            </c:spPr>
          </c:marker>
          <c:dLbls>
            <c:delete val="1"/>
          </c:dLbls>
          <c:cat>
            <c:strRef>
              <c:f>[散点图.xlsx]Ph!$B$2:$Q$2</c:f>
              <c:strCache>
                <c:ptCount val="16"/>
                <c:pt idx="0">
                  <c:v>SJG-1-75</c:v>
                </c:pt>
                <c:pt idx="1">
                  <c:v>SJG-1-200</c:v>
                </c:pt>
                <c:pt idx="2">
                  <c:v>SJG-2-75</c:v>
                </c:pt>
                <c:pt idx="3">
                  <c:v>SJG-2-200</c:v>
                </c:pt>
                <c:pt idx="4">
                  <c:v>SJG-2-400</c:v>
                </c:pt>
                <c:pt idx="5">
                  <c:v>SJG-3</c:v>
                </c:pt>
                <c:pt idx="6">
                  <c:v>SJG-4</c:v>
                </c:pt>
                <c:pt idx="7">
                  <c:v>SJG-JJ-1</c:v>
                </c:pt>
                <c:pt idx="8">
                  <c:v>SJG-JJ-2</c:v>
                </c:pt>
                <c:pt idx="9">
                  <c:v>SJG-JJ-3</c:v>
                </c:pt>
                <c:pt idx="10">
                  <c:v>SJG-JJ-4</c:v>
                </c:pt>
                <c:pt idx="11">
                  <c:v>SJG-JJ-5</c:v>
                </c:pt>
                <c:pt idx="12">
                  <c:v>SJG-JJ-6</c:v>
                </c:pt>
                <c:pt idx="13">
                  <c:v>SJG-JJ-7</c:v>
                </c:pt>
                <c:pt idx="14">
                  <c:v>SJG-JJ-8</c:v>
                </c:pt>
                <c:pt idx="15">
                  <c:v>SJG-JJ-9</c:v>
                </c:pt>
              </c:strCache>
            </c:strRef>
          </c:cat>
          <c:val>
            <c:numRef>
              <c:f>[散点图.xlsx]Ph!$B$3:$Q$3</c:f>
              <c:numCache>
                <c:formatCode>General</c:formatCode>
                <c:ptCount val="16"/>
                <c:pt idx="0">
                  <c:v>8.4</c:v>
                </c:pt>
                <c:pt idx="1">
                  <c:v>7.19</c:v>
                </c:pt>
                <c:pt idx="2">
                  <c:v>7.34</c:v>
                </c:pt>
                <c:pt idx="3">
                  <c:v>7.54</c:v>
                </c:pt>
                <c:pt idx="4">
                  <c:v>6.22</c:v>
                </c:pt>
                <c:pt idx="5">
                  <c:v>8.44</c:v>
                </c:pt>
                <c:pt idx="6">
                  <c:v>8.48</c:v>
                </c:pt>
                <c:pt idx="7">
                  <c:v>5.93</c:v>
                </c:pt>
                <c:pt idx="8">
                  <c:v>6.38</c:v>
                </c:pt>
                <c:pt idx="9">
                  <c:v>5.38</c:v>
                </c:pt>
                <c:pt idx="10">
                  <c:v>5.92</c:v>
                </c:pt>
                <c:pt idx="11">
                  <c:v>8.05</c:v>
                </c:pt>
                <c:pt idx="12">
                  <c:v>8.15</c:v>
                </c:pt>
                <c:pt idx="13">
                  <c:v>8.55</c:v>
                </c:pt>
                <c:pt idx="14">
                  <c:v>8.42</c:v>
                </c:pt>
                <c:pt idx="15">
                  <c:v>8.31</c:v>
                </c:pt>
              </c:numCache>
            </c:numRef>
          </c:val>
          <c:smooth val="0"/>
        </c:ser>
        <c:dLbls>
          <c:showLegendKey val="0"/>
          <c:showVal val="0"/>
          <c:showCatName val="0"/>
          <c:showSerName val="0"/>
          <c:showPercent val="0"/>
          <c:showBubbleSize val="0"/>
        </c:dLbls>
        <c:marker val="1"/>
        <c:smooth val="0"/>
        <c:axId val="584464825"/>
        <c:axId val="632595772"/>
      </c:lineChart>
      <c:catAx>
        <c:axId val="58446482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2595772"/>
        <c:crosses val="autoZero"/>
        <c:auto val="1"/>
        <c:lblAlgn val="ctr"/>
        <c:lblOffset val="100"/>
        <c:noMultiLvlLbl val="0"/>
      </c:catAx>
      <c:valAx>
        <c:axId val="6325957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4464825"/>
        <c:crosses val="autoZero"/>
        <c:crossBetween val="between"/>
      </c:valAx>
      <c:spPr>
        <a:noFill/>
        <a:ln>
          <a:noFill/>
        </a:ln>
        <a:effectLst/>
      </c:spPr>
    </c:plotArea>
    <c:plotVisOnly val="1"/>
    <c:dispBlanksAs val="gap"/>
    <c:showDLblsOverMax val="0"/>
  </c:chart>
  <c:spPr>
    <a:solidFill>
      <a:schemeClr val="bg1"/>
    </a:solidFill>
    <a:ln w="19050" cap="flat" cmpd="sng" algn="ctr">
      <a:solidFill>
        <a:schemeClr val="tx2"/>
      </a:solidFill>
      <a:round/>
    </a:ln>
    <a:effectLst/>
  </c:spPr>
  <c:txPr>
    <a:bodyPr/>
    <a:lstStyle/>
    <a:p>
      <a:pPr>
        <a:defRPr lang="zh-CN"/>
      </a:pPr>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spc="0" baseline="0">
              <a:solidFill>
                <a:schemeClr val="tx1">
                  <a:lumMod val="65000"/>
                  <a:lumOff val="35000"/>
                </a:schemeClr>
              </a:solidFill>
              <a:latin typeface="+mn-lt"/>
              <a:ea typeface="+mn-ea"/>
              <a:cs typeface="+mn-cs"/>
            </a:defRPr>
          </a:pPr>
        </a:p>
      </c:txPr>
    </c:title>
    <c:autoTitleDeleted val="0"/>
    <c:plotArea>
      <c:layout/>
      <c:lineChart>
        <c:grouping val="standard"/>
        <c:varyColors val="0"/>
        <c:ser>
          <c:idx val="0"/>
          <c:order val="0"/>
          <c:tx>
            <c:strRef>
              <c:f>[散点图.xlsx]铬!$A$3</c:f>
              <c:strCache>
                <c:ptCount val="1"/>
                <c:pt idx="0">
                  <c:v>铬</c:v>
                </c:pt>
              </c:strCache>
            </c:strRef>
          </c:tx>
          <c:spPr>
            <a:ln w="28575" cap="rnd">
              <a:noFill/>
              <a:round/>
            </a:ln>
            <a:effectLst/>
          </c:spPr>
          <c:marker>
            <c:symbol val="circle"/>
            <c:size val="5"/>
            <c:spPr>
              <a:pattFill prst="pct50">
                <a:fgClr>
                  <a:schemeClr val="tx1"/>
                </a:fgClr>
                <a:bgClr>
                  <a:schemeClr val="bg1"/>
                </a:bgClr>
              </a:pattFill>
              <a:ln w="3175" cmpd="sng">
                <a:solidFill>
                  <a:schemeClr val="tx1"/>
                </a:solidFill>
                <a:prstDash val="solid"/>
              </a:ln>
              <a:effectLst/>
            </c:spPr>
          </c:marker>
          <c:dLbls>
            <c:delete val="1"/>
          </c:dLbls>
          <c:cat>
            <c:strRef>
              <c:f>[散点图.xlsx]铬!$B$2:$Q$2</c:f>
              <c:strCache>
                <c:ptCount val="16"/>
                <c:pt idx="0">
                  <c:v>SJG-1-75</c:v>
                </c:pt>
                <c:pt idx="1">
                  <c:v>SJG-1-200</c:v>
                </c:pt>
                <c:pt idx="2">
                  <c:v>SJG-2-75</c:v>
                </c:pt>
                <c:pt idx="3">
                  <c:v>SJG-2-200</c:v>
                </c:pt>
                <c:pt idx="4">
                  <c:v>SJG-2-400</c:v>
                </c:pt>
                <c:pt idx="5">
                  <c:v>SJG-3</c:v>
                </c:pt>
                <c:pt idx="6">
                  <c:v>SJG-4</c:v>
                </c:pt>
                <c:pt idx="7">
                  <c:v>SJG-JJ-1</c:v>
                </c:pt>
                <c:pt idx="8">
                  <c:v>SJG-JJ-2</c:v>
                </c:pt>
                <c:pt idx="9">
                  <c:v>SJG-JJ-3</c:v>
                </c:pt>
                <c:pt idx="10">
                  <c:v>SJG-JJ-4</c:v>
                </c:pt>
                <c:pt idx="11">
                  <c:v>SJG-JJ-5</c:v>
                </c:pt>
                <c:pt idx="12">
                  <c:v>SJG-JJ-6</c:v>
                </c:pt>
                <c:pt idx="13">
                  <c:v>SJG-JJ-7</c:v>
                </c:pt>
                <c:pt idx="14">
                  <c:v>SJG-JJ-8</c:v>
                </c:pt>
                <c:pt idx="15">
                  <c:v>SJG-JJ-9</c:v>
                </c:pt>
              </c:strCache>
            </c:strRef>
          </c:cat>
          <c:val>
            <c:numRef>
              <c:f>[散点图.xlsx]铬!$B$3:$Q$3</c:f>
              <c:numCache>
                <c:formatCode>General</c:formatCode>
                <c:ptCount val="16"/>
                <c:pt idx="0">
                  <c:v>58</c:v>
                </c:pt>
                <c:pt idx="1">
                  <c:v>61</c:v>
                </c:pt>
                <c:pt idx="2">
                  <c:v>100</c:v>
                </c:pt>
                <c:pt idx="3">
                  <c:v>85</c:v>
                </c:pt>
                <c:pt idx="4">
                  <c:v>86</c:v>
                </c:pt>
                <c:pt idx="5">
                  <c:v>37</c:v>
                </c:pt>
                <c:pt idx="6">
                  <c:v>45</c:v>
                </c:pt>
                <c:pt idx="7">
                  <c:v>68</c:v>
                </c:pt>
                <c:pt idx="8">
                  <c:v>63</c:v>
                </c:pt>
                <c:pt idx="9">
                  <c:v>57</c:v>
                </c:pt>
                <c:pt idx="10">
                  <c:v>67</c:v>
                </c:pt>
                <c:pt idx="11">
                  <c:v>65</c:v>
                </c:pt>
                <c:pt idx="12">
                  <c:v>47</c:v>
                </c:pt>
                <c:pt idx="13">
                  <c:v>58</c:v>
                </c:pt>
                <c:pt idx="14">
                  <c:v>45</c:v>
                </c:pt>
                <c:pt idx="15">
                  <c:v>60</c:v>
                </c:pt>
              </c:numCache>
            </c:numRef>
          </c:val>
          <c:smooth val="0"/>
        </c:ser>
        <c:dLbls>
          <c:showLegendKey val="0"/>
          <c:showVal val="0"/>
          <c:showCatName val="0"/>
          <c:showSerName val="0"/>
          <c:showPercent val="0"/>
          <c:showBubbleSize val="0"/>
        </c:dLbls>
        <c:marker val="1"/>
        <c:smooth val="0"/>
        <c:axId val="584464825"/>
        <c:axId val="632595772"/>
      </c:lineChart>
      <c:catAx>
        <c:axId val="58446482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2595772"/>
        <c:crosses val="autoZero"/>
        <c:auto val="1"/>
        <c:lblAlgn val="ctr"/>
        <c:lblOffset val="100"/>
        <c:noMultiLvlLbl val="0"/>
      </c:catAx>
      <c:valAx>
        <c:axId val="632595772"/>
        <c:scaling>
          <c:orientation val="minMax"/>
          <c:max val="18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altLang="en-US"/>
                  <a:t>检测值 </a:t>
                </a:r>
                <a:r>
                  <a:rPr lang="en-US" altLang="zh-CN"/>
                  <a:t>mg/kg</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4464825"/>
        <c:crosses val="autoZero"/>
        <c:crossBetween val="between"/>
      </c:valAx>
      <c:spPr>
        <a:noFill/>
        <a:ln>
          <a:noFill/>
        </a:ln>
        <a:effectLst/>
      </c:spPr>
    </c:plotArea>
    <c:plotVisOnly val="1"/>
    <c:dispBlanksAs val="gap"/>
    <c:showDLblsOverMax val="0"/>
  </c:chart>
  <c:spPr>
    <a:solidFill>
      <a:schemeClr val="bg1"/>
    </a:solidFill>
    <a:ln w="19050" cap="flat" cmpd="sng" algn="ctr">
      <a:solidFill>
        <a:schemeClr val="tx2"/>
      </a:solidFill>
      <a:round/>
    </a:ln>
    <a:effectLst/>
  </c:spPr>
  <c:txPr>
    <a:bodyPr/>
    <a:lstStyle/>
    <a:p>
      <a:pPr>
        <a:defRPr lang="zh-CN"/>
      </a:pPr>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spc="0" baseline="0">
                <a:solidFill>
                  <a:schemeClr val="tx1">
                    <a:lumMod val="65000"/>
                    <a:lumOff val="35000"/>
                  </a:schemeClr>
                </a:solidFill>
                <a:latin typeface="+mn-lt"/>
                <a:ea typeface="+mn-ea"/>
                <a:cs typeface="+mn-cs"/>
              </a:defRPr>
            </a:pPr>
            <a:r>
              <a:t>钼</a:t>
            </a:r>
          </a:p>
        </c:rich>
      </c:tx>
      <c:layout/>
      <c:overlay val="0"/>
      <c:spPr>
        <a:noFill/>
        <a:ln>
          <a:noFill/>
        </a:ln>
        <a:effectLst/>
      </c:spPr>
    </c:title>
    <c:autoTitleDeleted val="0"/>
    <c:plotArea>
      <c:layout/>
      <c:lineChart>
        <c:grouping val="standard"/>
        <c:varyColors val="0"/>
        <c:ser>
          <c:idx val="0"/>
          <c:order val="0"/>
          <c:spPr>
            <a:ln w="28575" cap="rnd">
              <a:noFill/>
              <a:round/>
            </a:ln>
            <a:effectLst/>
          </c:spPr>
          <c:marker>
            <c:symbol val="circle"/>
            <c:size val="5"/>
            <c:spPr>
              <a:pattFill prst="pct50">
                <a:fgClr>
                  <a:schemeClr val="tx1"/>
                </a:fgClr>
                <a:bgClr>
                  <a:schemeClr val="bg1"/>
                </a:bgClr>
              </a:pattFill>
              <a:ln w="3175" cmpd="sng">
                <a:solidFill>
                  <a:schemeClr val="tx1"/>
                </a:solidFill>
                <a:prstDash val="solid"/>
              </a:ln>
              <a:effectLst/>
            </c:spPr>
          </c:marker>
          <c:dLbls>
            <c:delete val="1"/>
          </c:dLbls>
          <c:cat>
            <c:strRef>
              <c:f>[散点图.xlsx]钼!$B$2:$Q$2</c:f>
              <c:strCache>
                <c:ptCount val="16"/>
                <c:pt idx="0">
                  <c:v>SJG-1-75</c:v>
                </c:pt>
                <c:pt idx="1">
                  <c:v>SJG-1-200</c:v>
                </c:pt>
                <c:pt idx="2">
                  <c:v>SJG-2-75</c:v>
                </c:pt>
                <c:pt idx="3">
                  <c:v>SJG-2-200</c:v>
                </c:pt>
                <c:pt idx="4">
                  <c:v>SJG-2-400</c:v>
                </c:pt>
                <c:pt idx="5">
                  <c:v>SJG-3</c:v>
                </c:pt>
                <c:pt idx="6">
                  <c:v>SJG-4</c:v>
                </c:pt>
                <c:pt idx="7">
                  <c:v>SJG-JJ-1</c:v>
                </c:pt>
                <c:pt idx="8">
                  <c:v>SJG-JJ-2</c:v>
                </c:pt>
                <c:pt idx="9">
                  <c:v>SJG-JJ-3</c:v>
                </c:pt>
                <c:pt idx="10">
                  <c:v>SJG-JJ-4</c:v>
                </c:pt>
                <c:pt idx="11">
                  <c:v>SJG-JJ-5</c:v>
                </c:pt>
                <c:pt idx="12">
                  <c:v>SJG-JJ-6</c:v>
                </c:pt>
                <c:pt idx="13">
                  <c:v>SJG-JJ-7</c:v>
                </c:pt>
                <c:pt idx="14">
                  <c:v>SJG-JJ-8</c:v>
                </c:pt>
                <c:pt idx="15">
                  <c:v>SJG-JJ-9</c:v>
                </c:pt>
              </c:strCache>
            </c:strRef>
          </c:cat>
          <c:val>
            <c:numRef>
              <c:f>[散点图.xlsx]钼!$B$3:$Q$3</c:f>
              <c:numCache>
                <c:formatCode>General</c:formatCode>
                <c:ptCount val="16"/>
                <c:pt idx="0">
                  <c:v>0.3</c:v>
                </c:pt>
                <c:pt idx="1">
                  <c:v>0.4</c:v>
                </c:pt>
                <c:pt idx="2">
                  <c:v>0.3</c:v>
                </c:pt>
                <c:pt idx="3">
                  <c:v>0.4</c:v>
                </c:pt>
                <c:pt idx="4">
                  <c:v>0.4</c:v>
                </c:pt>
                <c:pt idx="5">
                  <c:v>0.9</c:v>
                </c:pt>
                <c:pt idx="6">
                  <c:v>0.4</c:v>
                </c:pt>
                <c:pt idx="7">
                  <c:v>0.5</c:v>
                </c:pt>
                <c:pt idx="8">
                  <c:v>0.5</c:v>
                </c:pt>
                <c:pt idx="9">
                  <c:v>0.4</c:v>
                </c:pt>
                <c:pt idx="10">
                  <c:v>0.3</c:v>
                </c:pt>
                <c:pt idx="11">
                  <c:v>0.6</c:v>
                </c:pt>
                <c:pt idx="12">
                  <c:v>0.4</c:v>
                </c:pt>
                <c:pt idx="13">
                  <c:v>0.5</c:v>
                </c:pt>
                <c:pt idx="14">
                  <c:v>0.6</c:v>
                </c:pt>
                <c:pt idx="15">
                  <c:v>0.8</c:v>
                </c:pt>
              </c:numCache>
            </c:numRef>
          </c:val>
          <c:smooth val="0"/>
        </c:ser>
        <c:dLbls>
          <c:showLegendKey val="0"/>
          <c:showVal val="0"/>
          <c:showCatName val="0"/>
          <c:showSerName val="0"/>
          <c:showPercent val="0"/>
          <c:showBubbleSize val="0"/>
        </c:dLbls>
        <c:marker val="1"/>
        <c:smooth val="0"/>
        <c:axId val="584464825"/>
        <c:axId val="632595772"/>
      </c:lineChart>
      <c:catAx>
        <c:axId val="58446482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2595772"/>
        <c:crosses val="autoZero"/>
        <c:auto val="1"/>
        <c:lblAlgn val="ctr"/>
        <c:lblOffset val="100"/>
        <c:noMultiLvlLbl val="0"/>
      </c:catAx>
      <c:valAx>
        <c:axId val="632595772"/>
        <c:scaling>
          <c:orientation val="minMax"/>
          <c:max val="9"/>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altLang="en-US"/>
                  <a:t>检测值 </a:t>
                </a:r>
                <a:r>
                  <a:rPr lang="en-US" altLang="zh-CN"/>
                  <a:t>mg/kg</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4464825"/>
        <c:crosses val="autoZero"/>
        <c:crossBetween val="between"/>
      </c:valAx>
      <c:spPr>
        <a:noFill/>
        <a:ln>
          <a:noFill/>
        </a:ln>
        <a:effectLst/>
      </c:spPr>
    </c:plotArea>
    <c:plotVisOnly val="1"/>
    <c:dispBlanksAs val="gap"/>
    <c:showDLblsOverMax val="0"/>
  </c:chart>
  <c:spPr>
    <a:solidFill>
      <a:schemeClr val="bg1"/>
    </a:solidFill>
    <a:ln w="19050" cap="flat" cmpd="sng" algn="ctr">
      <a:solidFill>
        <a:schemeClr val="tx2"/>
      </a:solidFill>
      <a:round/>
    </a:ln>
    <a:effectLst/>
  </c:spPr>
  <c:txPr>
    <a:bodyPr/>
    <a:lstStyle/>
    <a:p>
      <a:pPr>
        <a:defRPr lang="zh-CN"/>
      </a:pPr>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spc="0" baseline="0">
                <a:solidFill>
                  <a:schemeClr val="tx1">
                    <a:lumMod val="65000"/>
                    <a:lumOff val="35000"/>
                  </a:schemeClr>
                </a:solidFill>
                <a:latin typeface="+mn-lt"/>
                <a:ea typeface="+mn-ea"/>
                <a:cs typeface="+mn-cs"/>
              </a:defRPr>
            </a:pPr>
            <a:r>
              <a:t>锑</a:t>
            </a:r>
          </a:p>
        </c:rich>
      </c:tx>
      <c:layout/>
      <c:overlay val="0"/>
      <c:spPr>
        <a:noFill/>
        <a:ln>
          <a:noFill/>
        </a:ln>
        <a:effectLst/>
      </c:spPr>
    </c:title>
    <c:autoTitleDeleted val="0"/>
    <c:plotArea>
      <c:layout/>
      <c:lineChart>
        <c:grouping val="standard"/>
        <c:varyColors val="0"/>
        <c:ser>
          <c:idx val="0"/>
          <c:order val="0"/>
          <c:spPr>
            <a:ln w="28575" cap="rnd">
              <a:noFill/>
              <a:round/>
            </a:ln>
            <a:effectLst/>
          </c:spPr>
          <c:marker>
            <c:symbol val="circle"/>
            <c:size val="5"/>
            <c:spPr>
              <a:pattFill prst="pct50">
                <a:fgClr>
                  <a:schemeClr val="tx1"/>
                </a:fgClr>
                <a:bgClr>
                  <a:schemeClr val="bg1"/>
                </a:bgClr>
              </a:pattFill>
              <a:ln w="3175" cmpd="sng">
                <a:solidFill>
                  <a:schemeClr val="tx1"/>
                </a:solidFill>
                <a:prstDash val="solid"/>
              </a:ln>
              <a:effectLst/>
            </c:spPr>
          </c:marker>
          <c:dLbls>
            <c:delete val="1"/>
          </c:dLbls>
          <c:cat>
            <c:strRef>
              <c:f>[散点图.xlsx]锑!$B$2:$Q$2</c:f>
              <c:strCache>
                <c:ptCount val="16"/>
                <c:pt idx="0">
                  <c:v>SJG-1-75</c:v>
                </c:pt>
                <c:pt idx="1">
                  <c:v>SJG-1-200</c:v>
                </c:pt>
                <c:pt idx="2">
                  <c:v>SJG-2-75</c:v>
                </c:pt>
                <c:pt idx="3">
                  <c:v>SJG-2-200</c:v>
                </c:pt>
                <c:pt idx="4">
                  <c:v>SJG-2-400</c:v>
                </c:pt>
                <c:pt idx="5">
                  <c:v>SJG-3</c:v>
                </c:pt>
                <c:pt idx="6">
                  <c:v>SJG-4</c:v>
                </c:pt>
                <c:pt idx="7">
                  <c:v>SJG-JJ-1</c:v>
                </c:pt>
                <c:pt idx="8">
                  <c:v>SJG-JJ-2</c:v>
                </c:pt>
                <c:pt idx="9">
                  <c:v>SJG-JJ-3</c:v>
                </c:pt>
                <c:pt idx="10">
                  <c:v>SJG-JJ-4</c:v>
                </c:pt>
                <c:pt idx="11">
                  <c:v>SJG-JJ-5</c:v>
                </c:pt>
                <c:pt idx="12">
                  <c:v>SJG-JJ-6</c:v>
                </c:pt>
                <c:pt idx="13">
                  <c:v>SJG-JJ-7</c:v>
                </c:pt>
                <c:pt idx="14">
                  <c:v>SJG-JJ-8</c:v>
                </c:pt>
                <c:pt idx="15">
                  <c:v>SJG-JJ-9</c:v>
                </c:pt>
              </c:strCache>
            </c:strRef>
          </c:cat>
          <c:val>
            <c:numRef>
              <c:f>[散点图.xlsx]锑!$B$3:$Q$3</c:f>
              <c:numCache>
                <c:formatCode>General</c:formatCode>
                <c:ptCount val="16"/>
                <c:pt idx="0">
                  <c:v>0</c:v>
                </c:pt>
                <c:pt idx="1">
                  <c:v>0.3</c:v>
                </c:pt>
                <c:pt idx="2">
                  <c:v>0.6</c:v>
                </c:pt>
                <c:pt idx="3">
                  <c:v>0.4</c:v>
                </c:pt>
                <c:pt idx="4">
                  <c:v>0.4</c:v>
                </c:pt>
                <c:pt idx="5">
                  <c:v>0.4</c:v>
                </c:pt>
                <c:pt idx="6">
                  <c:v>0.5</c:v>
                </c:pt>
                <c:pt idx="7">
                  <c:v>0.5</c:v>
                </c:pt>
                <c:pt idx="8">
                  <c:v>0.6</c:v>
                </c:pt>
                <c:pt idx="9">
                  <c:v>0.4</c:v>
                </c:pt>
                <c:pt idx="10">
                  <c:v>0</c:v>
                </c:pt>
                <c:pt idx="11">
                  <c:v>0</c:v>
                </c:pt>
                <c:pt idx="12">
                  <c:v>0.3</c:v>
                </c:pt>
                <c:pt idx="13">
                  <c:v>0.3</c:v>
                </c:pt>
                <c:pt idx="14">
                  <c:v>0.4</c:v>
                </c:pt>
                <c:pt idx="15">
                  <c:v>0.7</c:v>
                </c:pt>
              </c:numCache>
            </c:numRef>
          </c:val>
          <c:smooth val="0"/>
        </c:ser>
        <c:dLbls>
          <c:showLegendKey val="0"/>
          <c:showVal val="0"/>
          <c:showCatName val="0"/>
          <c:showSerName val="0"/>
          <c:showPercent val="0"/>
          <c:showBubbleSize val="0"/>
        </c:dLbls>
        <c:marker val="1"/>
        <c:smooth val="0"/>
        <c:axId val="584464825"/>
        <c:axId val="632595772"/>
      </c:lineChart>
      <c:catAx>
        <c:axId val="58446482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2595772"/>
        <c:crosses val="autoZero"/>
        <c:auto val="1"/>
        <c:lblAlgn val="ctr"/>
        <c:lblOffset val="100"/>
        <c:noMultiLvlLbl val="0"/>
      </c:catAx>
      <c:valAx>
        <c:axId val="632595772"/>
        <c:scaling>
          <c:orientation val="minMax"/>
          <c:max val="2.5"/>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altLang="en-US"/>
                  <a:t>检测值 </a:t>
                </a:r>
                <a:r>
                  <a:rPr lang="en-US" altLang="zh-CN"/>
                  <a:t>mg/kg</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4464825"/>
        <c:crosses val="autoZero"/>
        <c:crossBetween val="between"/>
      </c:valAx>
      <c:spPr>
        <a:noFill/>
        <a:ln>
          <a:noFill/>
        </a:ln>
        <a:effectLst/>
      </c:spPr>
    </c:plotArea>
    <c:plotVisOnly val="1"/>
    <c:dispBlanksAs val="gap"/>
    <c:showDLblsOverMax val="0"/>
  </c:chart>
  <c:spPr>
    <a:solidFill>
      <a:schemeClr val="bg1"/>
    </a:solidFill>
    <a:ln w="19050" cap="flat" cmpd="sng" algn="ctr">
      <a:solidFill>
        <a:schemeClr val="tx2"/>
      </a:solidFill>
      <a:round/>
    </a:ln>
    <a:effectLst/>
  </c:spPr>
  <c:txPr>
    <a:bodyPr/>
    <a:lstStyle/>
    <a:p>
      <a:pPr>
        <a:defRPr lang="zh-CN"/>
      </a:pPr>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spc="0" baseline="0">
                <a:solidFill>
                  <a:schemeClr val="tx1">
                    <a:lumMod val="65000"/>
                    <a:lumOff val="35000"/>
                  </a:schemeClr>
                </a:solidFill>
                <a:latin typeface="+mn-lt"/>
                <a:ea typeface="+mn-ea"/>
                <a:cs typeface="+mn-cs"/>
              </a:defRPr>
            </a:pPr>
            <a:r>
              <a:rPr altLang="en-US" b="1"/>
              <a:t>总氟化物</a:t>
            </a:r>
            <a:endParaRPr altLang="en-US" b="1"/>
          </a:p>
        </c:rich>
      </c:tx>
      <c:layout/>
      <c:overlay val="0"/>
      <c:spPr>
        <a:noFill/>
        <a:ln>
          <a:noFill/>
        </a:ln>
        <a:effectLst/>
      </c:spPr>
    </c:title>
    <c:autoTitleDeleted val="0"/>
    <c:plotArea>
      <c:layout/>
      <c:lineChart>
        <c:grouping val="standard"/>
        <c:varyColors val="0"/>
        <c:ser>
          <c:idx val="0"/>
          <c:order val="0"/>
          <c:spPr>
            <a:ln w="28575" cap="rnd">
              <a:noFill/>
              <a:round/>
            </a:ln>
            <a:effectLst/>
          </c:spPr>
          <c:marker>
            <c:symbol val="circle"/>
            <c:size val="5"/>
            <c:spPr>
              <a:pattFill prst="pct50">
                <a:fgClr>
                  <a:schemeClr val="tx1"/>
                </a:fgClr>
                <a:bgClr>
                  <a:schemeClr val="bg1"/>
                </a:bgClr>
              </a:pattFill>
              <a:ln w="3175" cmpd="sng">
                <a:solidFill>
                  <a:schemeClr val="tx1"/>
                </a:solidFill>
                <a:prstDash val="solid"/>
              </a:ln>
              <a:effectLst/>
            </c:spPr>
          </c:marker>
          <c:dLbls>
            <c:delete val="1"/>
          </c:dLbls>
          <c:cat>
            <c:strRef>
              <c:f>[散点图.xlsx]氟化物!$B$2:$Q$2</c:f>
              <c:strCache>
                <c:ptCount val="16"/>
                <c:pt idx="0">
                  <c:v>SJG-1-75</c:v>
                </c:pt>
                <c:pt idx="1">
                  <c:v>SJG-1-200</c:v>
                </c:pt>
                <c:pt idx="2">
                  <c:v>SJG-2-75</c:v>
                </c:pt>
                <c:pt idx="3">
                  <c:v>SJG-2-200</c:v>
                </c:pt>
                <c:pt idx="4">
                  <c:v>SJG-2-400</c:v>
                </c:pt>
                <c:pt idx="5">
                  <c:v>SJG-3</c:v>
                </c:pt>
                <c:pt idx="6">
                  <c:v>SJG-4</c:v>
                </c:pt>
                <c:pt idx="7">
                  <c:v>SJG-JJ-1</c:v>
                </c:pt>
                <c:pt idx="8">
                  <c:v>SJG-JJ-2</c:v>
                </c:pt>
                <c:pt idx="9">
                  <c:v>SJG-JJ-3</c:v>
                </c:pt>
                <c:pt idx="10">
                  <c:v>SJG-JJ-4</c:v>
                </c:pt>
                <c:pt idx="11">
                  <c:v>SJG-JJ-5</c:v>
                </c:pt>
                <c:pt idx="12">
                  <c:v>SJG-JJ-6</c:v>
                </c:pt>
                <c:pt idx="13">
                  <c:v>SJG-JJ-7</c:v>
                </c:pt>
                <c:pt idx="14">
                  <c:v>SJG-JJ-8</c:v>
                </c:pt>
                <c:pt idx="15">
                  <c:v>SJG-JJ-9</c:v>
                </c:pt>
              </c:strCache>
            </c:strRef>
          </c:cat>
          <c:val>
            <c:numRef>
              <c:f>[散点图.xlsx]氟化物!$B$3:$Q$3</c:f>
              <c:numCache>
                <c:formatCode>General</c:formatCode>
                <c:ptCount val="16"/>
                <c:pt idx="0">
                  <c:v>485</c:v>
                </c:pt>
                <c:pt idx="1">
                  <c:v>448</c:v>
                </c:pt>
                <c:pt idx="2">
                  <c:v>599</c:v>
                </c:pt>
                <c:pt idx="3">
                  <c:v>524</c:v>
                </c:pt>
                <c:pt idx="4">
                  <c:v>605</c:v>
                </c:pt>
                <c:pt idx="5">
                  <c:v>544</c:v>
                </c:pt>
                <c:pt idx="6">
                  <c:v>582</c:v>
                </c:pt>
                <c:pt idx="7">
                  <c:v>570</c:v>
                </c:pt>
                <c:pt idx="8">
                  <c:v>532</c:v>
                </c:pt>
                <c:pt idx="9">
                  <c:v>574</c:v>
                </c:pt>
                <c:pt idx="10">
                  <c:v>527</c:v>
                </c:pt>
                <c:pt idx="11">
                  <c:v>508</c:v>
                </c:pt>
                <c:pt idx="12">
                  <c:v>596</c:v>
                </c:pt>
                <c:pt idx="13">
                  <c:v>617</c:v>
                </c:pt>
                <c:pt idx="14">
                  <c:v>511</c:v>
                </c:pt>
                <c:pt idx="15">
                  <c:v>779</c:v>
                </c:pt>
              </c:numCache>
            </c:numRef>
          </c:val>
          <c:smooth val="0"/>
        </c:ser>
        <c:dLbls>
          <c:showLegendKey val="0"/>
          <c:showVal val="0"/>
          <c:showCatName val="0"/>
          <c:showSerName val="0"/>
          <c:showPercent val="0"/>
          <c:showBubbleSize val="0"/>
        </c:dLbls>
        <c:marker val="1"/>
        <c:smooth val="0"/>
        <c:axId val="584464825"/>
        <c:axId val="632595772"/>
      </c:lineChart>
      <c:catAx>
        <c:axId val="58446482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2595772"/>
        <c:crosses val="autoZero"/>
        <c:auto val="1"/>
        <c:lblAlgn val="ctr"/>
        <c:lblOffset val="100"/>
        <c:noMultiLvlLbl val="0"/>
      </c:catAx>
      <c:valAx>
        <c:axId val="6325957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altLang="en-US"/>
                  <a:t>检测值 </a:t>
                </a:r>
                <a:r>
                  <a:rPr lang="en-US" altLang="zh-CN"/>
                  <a:t>mg/kg</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4464825"/>
        <c:crosses val="autoZero"/>
        <c:crossBetween val="between"/>
      </c:valAx>
      <c:spPr>
        <a:noFill/>
        <a:ln>
          <a:noFill/>
        </a:ln>
        <a:effectLst/>
      </c:spPr>
    </c:plotArea>
    <c:plotVisOnly val="1"/>
    <c:dispBlanksAs val="gap"/>
    <c:showDLblsOverMax val="0"/>
  </c:chart>
  <c:spPr>
    <a:solidFill>
      <a:schemeClr val="bg1"/>
    </a:solidFill>
    <a:ln w="19050" cap="flat" cmpd="sng" algn="ctr">
      <a:solidFill>
        <a:schemeClr val="tx2"/>
      </a:solidFill>
      <a:round/>
    </a:ln>
    <a:effectLst/>
  </c:spPr>
  <c:txPr>
    <a:bodyPr/>
    <a:lstStyle/>
    <a:p>
      <a:pPr>
        <a:defRPr lang="zh-CN"/>
      </a:pPr>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spc="0" baseline="0">
              <a:solidFill>
                <a:schemeClr val="tx1">
                  <a:lumMod val="65000"/>
                  <a:lumOff val="35000"/>
                </a:schemeClr>
              </a:solidFill>
              <a:latin typeface="+mn-lt"/>
              <a:ea typeface="+mn-ea"/>
              <a:cs typeface="+mn-cs"/>
            </a:defRPr>
          </a:pPr>
        </a:p>
      </c:txPr>
    </c:title>
    <c:autoTitleDeleted val="0"/>
    <c:plotArea>
      <c:layout/>
      <c:lineChart>
        <c:grouping val="standard"/>
        <c:varyColors val="0"/>
        <c:ser>
          <c:idx val="0"/>
          <c:order val="0"/>
          <c:tx>
            <c:strRef>
              <c:f>[散点图.xlsx]铅!$A$3</c:f>
              <c:strCache>
                <c:ptCount val="1"/>
                <c:pt idx="0">
                  <c:v>铅</c:v>
                </c:pt>
              </c:strCache>
            </c:strRef>
          </c:tx>
          <c:spPr>
            <a:ln w="28575" cap="rnd">
              <a:noFill/>
              <a:round/>
            </a:ln>
            <a:effectLst/>
          </c:spPr>
          <c:marker>
            <c:symbol val="circle"/>
            <c:size val="5"/>
            <c:spPr>
              <a:pattFill prst="pct50">
                <a:fgClr>
                  <a:schemeClr val="tx1"/>
                </a:fgClr>
                <a:bgClr>
                  <a:schemeClr val="bg1"/>
                </a:bgClr>
              </a:pattFill>
              <a:ln w="3175" cmpd="sng">
                <a:solidFill>
                  <a:schemeClr val="tx1"/>
                </a:solidFill>
                <a:prstDash val="solid"/>
              </a:ln>
              <a:effectLst/>
            </c:spPr>
          </c:marker>
          <c:dLbls>
            <c:delete val="1"/>
          </c:dLbls>
          <c:cat>
            <c:strRef>
              <c:f>[散点图.xlsx]铅!$B$2:$Q$2</c:f>
              <c:strCache>
                <c:ptCount val="16"/>
                <c:pt idx="0">
                  <c:v>SJG-1-75</c:v>
                </c:pt>
                <c:pt idx="1">
                  <c:v>SJG-1-200</c:v>
                </c:pt>
                <c:pt idx="2">
                  <c:v>SJG-2-75</c:v>
                </c:pt>
                <c:pt idx="3">
                  <c:v>SJG-2-200</c:v>
                </c:pt>
                <c:pt idx="4">
                  <c:v>SJG-2-400</c:v>
                </c:pt>
                <c:pt idx="5">
                  <c:v>SJG-3</c:v>
                </c:pt>
                <c:pt idx="6">
                  <c:v>SJG-4</c:v>
                </c:pt>
                <c:pt idx="7">
                  <c:v>SJG-JJ-1</c:v>
                </c:pt>
                <c:pt idx="8">
                  <c:v>SJG-JJ-2</c:v>
                </c:pt>
                <c:pt idx="9">
                  <c:v>SJG-JJ-3</c:v>
                </c:pt>
                <c:pt idx="10">
                  <c:v>SJG-JJ-4</c:v>
                </c:pt>
                <c:pt idx="11">
                  <c:v>SJG-JJ-5</c:v>
                </c:pt>
                <c:pt idx="12">
                  <c:v>SJG-JJ-6</c:v>
                </c:pt>
                <c:pt idx="13">
                  <c:v>SJG-JJ-7</c:v>
                </c:pt>
                <c:pt idx="14">
                  <c:v>SJG-JJ-8</c:v>
                </c:pt>
                <c:pt idx="15">
                  <c:v>SJG-JJ-9</c:v>
                </c:pt>
              </c:strCache>
            </c:strRef>
          </c:cat>
          <c:val>
            <c:numRef>
              <c:f>[散点图.xlsx]铅!$B$3:$Q$3</c:f>
              <c:numCache>
                <c:formatCode>General</c:formatCode>
                <c:ptCount val="16"/>
                <c:pt idx="0">
                  <c:v>24.7</c:v>
                </c:pt>
                <c:pt idx="1">
                  <c:v>19.4</c:v>
                </c:pt>
                <c:pt idx="2">
                  <c:v>18.8</c:v>
                </c:pt>
                <c:pt idx="3">
                  <c:v>19.4</c:v>
                </c:pt>
                <c:pt idx="4">
                  <c:v>22</c:v>
                </c:pt>
                <c:pt idx="5">
                  <c:v>26.3</c:v>
                </c:pt>
                <c:pt idx="6">
                  <c:v>20</c:v>
                </c:pt>
                <c:pt idx="7">
                  <c:v>17.5</c:v>
                </c:pt>
                <c:pt idx="8">
                  <c:v>25.8</c:v>
                </c:pt>
                <c:pt idx="9">
                  <c:v>17.1</c:v>
                </c:pt>
                <c:pt idx="10">
                  <c:v>17.3</c:v>
                </c:pt>
                <c:pt idx="11">
                  <c:v>17.6</c:v>
                </c:pt>
                <c:pt idx="12">
                  <c:v>16.9</c:v>
                </c:pt>
                <c:pt idx="13">
                  <c:v>22</c:v>
                </c:pt>
                <c:pt idx="14">
                  <c:v>27.1</c:v>
                </c:pt>
                <c:pt idx="15">
                  <c:v>38.2</c:v>
                </c:pt>
              </c:numCache>
            </c:numRef>
          </c:val>
          <c:smooth val="0"/>
        </c:ser>
        <c:dLbls>
          <c:showLegendKey val="0"/>
          <c:showVal val="0"/>
          <c:showCatName val="0"/>
          <c:showSerName val="0"/>
          <c:showPercent val="0"/>
          <c:showBubbleSize val="0"/>
        </c:dLbls>
        <c:marker val="1"/>
        <c:smooth val="0"/>
        <c:axId val="584464825"/>
        <c:axId val="632595772"/>
      </c:lineChart>
      <c:catAx>
        <c:axId val="58446482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2595772"/>
        <c:crosses val="autoZero"/>
        <c:auto val="1"/>
        <c:lblAlgn val="ctr"/>
        <c:lblOffset val="100"/>
        <c:noMultiLvlLbl val="0"/>
      </c:catAx>
      <c:valAx>
        <c:axId val="632595772"/>
        <c:scaling>
          <c:orientation val="minMax"/>
          <c:max val="45"/>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altLang="en-US"/>
                  <a:t>检测值 </a:t>
                </a:r>
                <a:r>
                  <a:rPr lang="en-US" altLang="zh-CN"/>
                  <a:t>mg/kg</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4464825"/>
        <c:crosses val="autoZero"/>
        <c:crossBetween val="between"/>
      </c:valAx>
      <c:spPr>
        <a:noFill/>
        <a:ln>
          <a:noFill/>
        </a:ln>
        <a:effectLst/>
      </c:spPr>
    </c:plotArea>
    <c:plotVisOnly val="1"/>
    <c:dispBlanksAs val="gap"/>
    <c:showDLblsOverMax val="0"/>
  </c:chart>
  <c:spPr>
    <a:solidFill>
      <a:schemeClr val="bg1"/>
    </a:solidFill>
    <a:ln w="19050" cap="flat" cmpd="sng" algn="ctr">
      <a:solidFill>
        <a:schemeClr val="tx2"/>
      </a:solidFill>
      <a:round/>
    </a:ln>
    <a:effectLst/>
  </c:spPr>
  <c:txPr>
    <a:bodyPr/>
    <a:lstStyle/>
    <a:p>
      <a:pPr>
        <a:defRPr lang="zh-CN"/>
      </a:pPr>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spc="0" baseline="0">
              <a:solidFill>
                <a:schemeClr val="tx1">
                  <a:lumMod val="65000"/>
                  <a:lumOff val="35000"/>
                </a:schemeClr>
              </a:solidFill>
              <a:latin typeface="+mn-lt"/>
              <a:ea typeface="+mn-ea"/>
              <a:cs typeface="+mn-cs"/>
            </a:defRPr>
          </a:pPr>
        </a:p>
      </c:txPr>
    </c:title>
    <c:autoTitleDeleted val="0"/>
    <c:plotArea>
      <c:layout/>
      <c:lineChart>
        <c:grouping val="standard"/>
        <c:varyColors val="0"/>
        <c:ser>
          <c:idx val="0"/>
          <c:order val="0"/>
          <c:tx>
            <c:strRef>
              <c:f>[散点图.xlsx]汞!$A$3</c:f>
              <c:strCache>
                <c:ptCount val="1"/>
                <c:pt idx="0">
                  <c:v>汞</c:v>
                </c:pt>
              </c:strCache>
            </c:strRef>
          </c:tx>
          <c:spPr>
            <a:ln w="28575" cap="rnd">
              <a:noFill/>
              <a:round/>
            </a:ln>
            <a:effectLst/>
          </c:spPr>
          <c:marker>
            <c:symbol val="circle"/>
            <c:size val="5"/>
            <c:spPr>
              <a:pattFill prst="pct50">
                <a:fgClr>
                  <a:schemeClr val="tx1"/>
                </a:fgClr>
                <a:bgClr>
                  <a:schemeClr val="bg1"/>
                </a:bgClr>
              </a:pattFill>
              <a:ln w="3175" cmpd="sng">
                <a:solidFill>
                  <a:schemeClr val="tx1"/>
                </a:solidFill>
                <a:prstDash val="solid"/>
              </a:ln>
              <a:effectLst/>
            </c:spPr>
          </c:marker>
          <c:dLbls>
            <c:delete val="1"/>
          </c:dLbls>
          <c:cat>
            <c:strRef>
              <c:f>[散点图.xlsx]汞!$B$2:$Q$2</c:f>
              <c:strCache>
                <c:ptCount val="16"/>
                <c:pt idx="0">
                  <c:v>SJG-1-75</c:v>
                </c:pt>
                <c:pt idx="1">
                  <c:v>SJG-1-200</c:v>
                </c:pt>
                <c:pt idx="2">
                  <c:v>SJG-2-75</c:v>
                </c:pt>
                <c:pt idx="3">
                  <c:v>SJG-2-200</c:v>
                </c:pt>
                <c:pt idx="4">
                  <c:v>SJG-2-400</c:v>
                </c:pt>
                <c:pt idx="5">
                  <c:v>SJG-3</c:v>
                </c:pt>
                <c:pt idx="6">
                  <c:v>SJG-4</c:v>
                </c:pt>
                <c:pt idx="7">
                  <c:v>SJG-JJ-1</c:v>
                </c:pt>
                <c:pt idx="8">
                  <c:v>SJG-JJ-2</c:v>
                </c:pt>
                <c:pt idx="9">
                  <c:v>SJG-JJ-3</c:v>
                </c:pt>
                <c:pt idx="10">
                  <c:v>SJG-JJ-4</c:v>
                </c:pt>
                <c:pt idx="11">
                  <c:v>SJG-JJ-5</c:v>
                </c:pt>
                <c:pt idx="12">
                  <c:v>SJG-JJ-6</c:v>
                </c:pt>
                <c:pt idx="13">
                  <c:v>SJG-JJ-7</c:v>
                </c:pt>
                <c:pt idx="14">
                  <c:v>SJG-JJ-8</c:v>
                </c:pt>
                <c:pt idx="15">
                  <c:v>SJG-JJ-9</c:v>
                </c:pt>
              </c:strCache>
            </c:strRef>
          </c:cat>
          <c:val>
            <c:numRef>
              <c:f>[散点图.xlsx]汞!$B$3:$Q$3</c:f>
              <c:numCache>
                <c:formatCode>General</c:formatCode>
                <c:ptCount val="16"/>
                <c:pt idx="0">
                  <c:v>0.09</c:v>
                </c:pt>
                <c:pt idx="1">
                  <c:v>0.11</c:v>
                </c:pt>
                <c:pt idx="2">
                  <c:v>0.07</c:v>
                </c:pt>
                <c:pt idx="3">
                  <c:v>0.09</c:v>
                </c:pt>
                <c:pt idx="4">
                  <c:v>0.09</c:v>
                </c:pt>
                <c:pt idx="5">
                  <c:v>0.11</c:v>
                </c:pt>
                <c:pt idx="6">
                  <c:v>0.08</c:v>
                </c:pt>
                <c:pt idx="7">
                  <c:v>0.09</c:v>
                </c:pt>
                <c:pt idx="8">
                  <c:v>0.09</c:v>
                </c:pt>
                <c:pt idx="9">
                  <c:v>0.16</c:v>
                </c:pt>
                <c:pt idx="10">
                  <c:v>0.09</c:v>
                </c:pt>
                <c:pt idx="11">
                  <c:v>0.13</c:v>
                </c:pt>
                <c:pt idx="12">
                  <c:v>0.1</c:v>
                </c:pt>
                <c:pt idx="13">
                  <c:v>0.09</c:v>
                </c:pt>
                <c:pt idx="14">
                  <c:v>0.09</c:v>
                </c:pt>
                <c:pt idx="15">
                  <c:v>0.14</c:v>
                </c:pt>
              </c:numCache>
            </c:numRef>
          </c:val>
          <c:smooth val="0"/>
        </c:ser>
        <c:dLbls>
          <c:showLegendKey val="0"/>
          <c:showVal val="0"/>
          <c:showCatName val="0"/>
          <c:showSerName val="0"/>
          <c:showPercent val="0"/>
          <c:showBubbleSize val="0"/>
        </c:dLbls>
        <c:marker val="1"/>
        <c:smooth val="0"/>
        <c:axId val="584464825"/>
        <c:axId val="632595772"/>
      </c:lineChart>
      <c:catAx>
        <c:axId val="58446482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2595772"/>
        <c:crosses val="autoZero"/>
        <c:auto val="1"/>
        <c:lblAlgn val="ctr"/>
        <c:lblOffset val="100"/>
        <c:noMultiLvlLbl val="0"/>
      </c:catAx>
      <c:valAx>
        <c:axId val="632595772"/>
        <c:scaling>
          <c:orientation val="minMax"/>
          <c:max val="0.3"/>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altLang="en-US"/>
                  <a:t>检测值 </a:t>
                </a:r>
                <a:r>
                  <a:rPr lang="en-US" altLang="zh-CN"/>
                  <a:t>mg/kg</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4464825"/>
        <c:crosses val="autoZero"/>
        <c:crossBetween val="between"/>
      </c:valAx>
      <c:spPr>
        <a:noFill/>
        <a:ln>
          <a:noFill/>
        </a:ln>
        <a:effectLst/>
      </c:spPr>
    </c:plotArea>
    <c:plotVisOnly val="1"/>
    <c:dispBlanksAs val="gap"/>
    <c:showDLblsOverMax val="0"/>
  </c:chart>
  <c:spPr>
    <a:solidFill>
      <a:schemeClr val="bg1"/>
    </a:solidFill>
    <a:ln w="19050" cap="flat" cmpd="sng" algn="ctr">
      <a:solidFill>
        <a:schemeClr val="tx2"/>
      </a:solidFill>
      <a:round/>
    </a:ln>
    <a:effectLst/>
  </c:spPr>
  <c:txPr>
    <a:bodyPr/>
    <a:lstStyle/>
    <a:p>
      <a:pPr>
        <a:defRPr lang="zh-CN"/>
      </a:pPr>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spc="0" baseline="0">
                <a:solidFill>
                  <a:schemeClr val="tx1">
                    <a:lumMod val="65000"/>
                    <a:lumOff val="35000"/>
                  </a:schemeClr>
                </a:solidFill>
                <a:latin typeface="+mn-lt"/>
                <a:ea typeface="+mn-ea"/>
                <a:cs typeface="+mn-cs"/>
              </a:defRPr>
            </a:pPr>
            <a:r>
              <a:t>钴</a:t>
            </a:r>
          </a:p>
        </c:rich>
      </c:tx>
      <c:layout/>
      <c:overlay val="0"/>
      <c:spPr>
        <a:noFill/>
        <a:ln>
          <a:noFill/>
        </a:ln>
        <a:effectLst/>
      </c:spPr>
    </c:title>
    <c:autoTitleDeleted val="0"/>
    <c:plotArea>
      <c:layout/>
      <c:lineChart>
        <c:grouping val="standard"/>
        <c:varyColors val="0"/>
        <c:ser>
          <c:idx val="0"/>
          <c:order val="0"/>
          <c:spPr>
            <a:ln w="28575" cap="rnd">
              <a:noFill/>
              <a:round/>
            </a:ln>
            <a:effectLst/>
          </c:spPr>
          <c:marker>
            <c:symbol val="circle"/>
            <c:size val="5"/>
            <c:spPr>
              <a:pattFill prst="pct50">
                <a:fgClr>
                  <a:schemeClr val="tx1"/>
                </a:fgClr>
                <a:bgClr>
                  <a:schemeClr val="bg1"/>
                </a:bgClr>
              </a:pattFill>
              <a:ln w="3175" cmpd="sng">
                <a:solidFill>
                  <a:schemeClr val="tx1"/>
                </a:solidFill>
                <a:prstDash val="solid"/>
              </a:ln>
              <a:effectLst/>
            </c:spPr>
          </c:marker>
          <c:dLbls>
            <c:delete val="1"/>
          </c:dLbls>
          <c:cat>
            <c:strRef>
              <c:f>[散点图.xlsx]钴!$B$2:$Q$2</c:f>
              <c:strCache>
                <c:ptCount val="16"/>
                <c:pt idx="0">
                  <c:v>SJG-1-75</c:v>
                </c:pt>
                <c:pt idx="1">
                  <c:v>SJG-1-200</c:v>
                </c:pt>
                <c:pt idx="2">
                  <c:v>SJG-2-75</c:v>
                </c:pt>
                <c:pt idx="3">
                  <c:v>SJG-2-200</c:v>
                </c:pt>
                <c:pt idx="4">
                  <c:v>SJG-2-400</c:v>
                </c:pt>
                <c:pt idx="5">
                  <c:v>SJG-3</c:v>
                </c:pt>
                <c:pt idx="6">
                  <c:v>SJG-4</c:v>
                </c:pt>
                <c:pt idx="7">
                  <c:v>SJG-JJ-1</c:v>
                </c:pt>
                <c:pt idx="8">
                  <c:v>SJG-JJ-2</c:v>
                </c:pt>
                <c:pt idx="9">
                  <c:v>SJG-JJ-3</c:v>
                </c:pt>
                <c:pt idx="10">
                  <c:v>SJG-JJ-4</c:v>
                </c:pt>
                <c:pt idx="11">
                  <c:v>SJG-JJ-5</c:v>
                </c:pt>
                <c:pt idx="12">
                  <c:v>SJG-JJ-6</c:v>
                </c:pt>
                <c:pt idx="13">
                  <c:v>SJG-JJ-7</c:v>
                </c:pt>
                <c:pt idx="14">
                  <c:v>SJG-JJ-8</c:v>
                </c:pt>
                <c:pt idx="15">
                  <c:v>SJG-JJ-9</c:v>
                </c:pt>
              </c:strCache>
            </c:strRef>
          </c:cat>
          <c:val>
            <c:numRef>
              <c:f>[散点图.xlsx]钴!$B$3:$Q$3</c:f>
              <c:numCache>
                <c:formatCode>General</c:formatCode>
                <c:ptCount val="16"/>
                <c:pt idx="0">
                  <c:v>11.4</c:v>
                </c:pt>
                <c:pt idx="1">
                  <c:v>12</c:v>
                </c:pt>
                <c:pt idx="2">
                  <c:v>7.82</c:v>
                </c:pt>
                <c:pt idx="3">
                  <c:v>8</c:v>
                </c:pt>
                <c:pt idx="4">
                  <c:v>7.9</c:v>
                </c:pt>
                <c:pt idx="5">
                  <c:v>12.1</c:v>
                </c:pt>
                <c:pt idx="6">
                  <c:v>10.7</c:v>
                </c:pt>
                <c:pt idx="7">
                  <c:v>12.2</c:v>
                </c:pt>
                <c:pt idx="8">
                  <c:v>10.1</c:v>
                </c:pt>
                <c:pt idx="9">
                  <c:v>8.86</c:v>
                </c:pt>
                <c:pt idx="10">
                  <c:v>9.67</c:v>
                </c:pt>
                <c:pt idx="11">
                  <c:v>9.11</c:v>
                </c:pt>
                <c:pt idx="12">
                  <c:v>9.06</c:v>
                </c:pt>
                <c:pt idx="13">
                  <c:v>9.89</c:v>
                </c:pt>
                <c:pt idx="14">
                  <c:v>8.93</c:v>
                </c:pt>
                <c:pt idx="15">
                  <c:v>12.3</c:v>
                </c:pt>
              </c:numCache>
            </c:numRef>
          </c:val>
          <c:smooth val="0"/>
        </c:ser>
        <c:dLbls>
          <c:showLegendKey val="0"/>
          <c:showVal val="0"/>
          <c:showCatName val="0"/>
          <c:showSerName val="0"/>
          <c:showPercent val="0"/>
          <c:showBubbleSize val="0"/>
        </c:dLbls>
        <c:marker val="1"/>
        <c:smooth val="0"/>
        <c:axId val="584464825"/>
        <c:axId val="632595772"/>
      </c:lineChart>
      <c:catAx>
        <c:axId val="58446482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2595772"/>
        <c:crosses val="autoZero"/>
        <c:auto val="1"/>
        <c:lblAlgn val="ctr"/>
        <c:lblOffset val="100"/>
        <c:noMultiLvlLbl val="0"/>
      </c:catAx>
      <c:valAx>
        <c:axId val="632595772"/>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altLang="en-US"/>
                  <a:t>检测值 </a:t>
                </a:r>
                <a:r>
                  <a:rPr lang="en-US" altLang="zh-CN"/>
                  <a:t>mg/kg</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4464825"/>
        <c:crosses val="autoZero"/>
        <c:crossBetween val="between"/>
      </c:valAx>
      <c:spPr>
        <a:noFill/>
        <a:ln>
          <a:noFill/>
        </a:ln>
        <a:effectLst/>
      </c:spPr>
    </c:plotArea>
    <c:plotVisOnly val="1"/>
    <c:dispBlanksAs val="gap"/>
    <c:showDLblsOverMax val="0"/>
  </c:chart>
  <c:spPr>
    <a:solidFill>
      <a:schemeClr val="bg1"/>
    </a:solidFill>
    <a:ln w="19050" cap="flat" cmpd="sng" algn="ctr">
      <a:solidFill>
        <a:schemeClr val="tx2"/>
      </a:solidFill>
      <a:round/>
    </a:ln>
    <a:effectLst/>
  </c:spPr>
  <c:txPr>
    <a:bodyPr/>
    <a:lstStyle/>
    <a:p>
      <a:pPr>
        <a:defRPr lang="zh-CN"/>
      </a:pPr>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spc="0" baseline="0">
              <a:solidFill>
                <a:schemeClr val="tx1">
                  <a:lumMod val="65000"/>
                  <a:lumOff val="35000"/>
                </a:schemeClr>
              </a:solidFill>
              <a:latin typeface="+mn-lt"/>
              <a:ea typeface="+mn-ea"/>
              <a:cs typeface="+mn-cs"/>
            </a:defRPr>
          </a:pPr>
        </a:p>
      </c:txPr>
    </c:title>
    <c:autoTitleDeleted val="0"/>
    <c:plotArea>
      <c:layout/>
      <c:lineChart>
        <c:grouping val="standard"/>
        <c:varyColors val="0"/>
        <c:ser>
          <c:idx val="0"/>
          <c:order val="0"/>
          <c:tx>
            <c:strRef>
              <c:f>[散点图.xlsx]镉!$A$3</c:f>
              <c:strCache>
                <c:ptCount val="1"/>
                <c:pt idx="0">
                  <c:v>镉</c:v>
                </c:pt>
              </c:strCache>
            </c:strRef>
          </c:tx>
          <c:spPr>
            <a:ln w="28575" cap="rnd">
              <a:noFill/>
              <a:round/>
            </a:ln>
            <a:effectLst/>
          </c:spPr>
          <c:marker>
            <c:symbol val="circle"/>
            <c:size val="5"/>
            <c:spPr>
              <a:pattFill prst="pct50">
                <a:fgClr>
                  <a:schemeClr val="tx1"/>
                </a:fgClr>
                <a:bgClr>
                  <a:schemeClr val="bg1"/>
                </a:bgClr>
              </a:pattFill>
              <a:ln w="3175" cmpd="sng">
                <a:solidFill>
                  <a:schemeClr val="tx1"/>
                </a:solidFill>
                <a:prstDash val="solid"/>
              </a:ln>
              <a:effectLst/>
            </c:spPr>
          </c:marker>
          <c:dLbls>
            <c:delete val="1"/>
          </c:dLbls>
          <c:cat>
            <c:strRef>
              <c:f>[散点图.xlsx]镉!$B$2:$Q$2</c:f>
              <c:strCache>
                <c:ptCount val="16"/>
                <c:pt idx="0">
                  <c:v>SJG-1-75</c:v>
                </c:pt>
                <c:pt idx="1">
                  <c:v>SJG-1-200</c:v>
                </c:pt>
                <c:pt idx="2">
                  <c:v>SJG-2-75</c:v>
                </c:pt>
                <c:pt idx="3">
                  <c:v>SJG-2-200</c:v>
                </c:pt>
                <c:pt idx="4">
                  <c:v>SJG-2-400</c:v>
                </c:pt>
                <c:pt idx="5">
                  <c:v>SJG-3</c:v>
                </c:pt>
                <c:pt idx="6">
                  <c:v>SJG-4</c:v>
                </c:pt>
                <c:pt idx="7">
                  <c:v>SJG-JJ-1</c:v>
                </c:pt>
                <c:pt idx="8">
                  <c:v>SJG-JJ-2</c:v>
                </c:pt>
                <c:pt idx="9">
                  <c:v>SJG-JJ-3</c:v>
                </c:pt>
                <c:pt idx="10">
                  <c:v>SJG-JJ-4</c:v>
                </c:pt>
                <c:pt idx="11">
                  <c:v>SJG-JJ-5</c:v>
                </c:pt>
                <c:pt idx="12">
                  <c:v>SJG-JJ-6</c:v>
                </c:pt>
                <c:pt idx="13">
                  <c:v>SJG-JJ-7</c:v>
                </c:pt>
                <c:pt idx="14">
                  <c:v>SJG-JJ-8</c:v>
                </c:pt>
                <c:pt idx="15">
                  <c:v>SJG-JJ-9</c:v>
                </c:pt>
              </c:strCache>
            </c:strRef>
          </c:cat>
          <c:val>
            <c:numRef>
              <c:f>[散点图.xlsx]镉!$B$3:$Q$3</c:f>
              <c:numCache>
                <c:formatCode>General</c:formatCode>
                <c:ptCount val="16"/>
                <c:pt idx="0">
                  <c:v>0.04</c:v>
                </c:pt>
                <c:pt idx="1">
                  <c:v>0.04</c:v>
                </c:pt>
                <c:pt idx="2">
                  <c:v>0</c:v>
                </c:pt>
                <c:pt idx="3">
                  <c:v>0.04</c:v>
                </c:pt>
                <c:pt idx="4">
                  <c:v>0.08</c:v>
                </c:pt>
                <c:pt idx="5">
                  <c:v>0.19</c:v>
                </c:pt>
                <c:pt idx="6">
                  <c:v>0.13</c:v>
                </c:pt>
                <c:pt idx="7">
                  <c:v>0.06</c:v>
                </c:pt>
                <c:pt idx="8">
                  <c:v>0.13</c:v>
                </c:pt>
                <c:pt idx="9">
                  <c:v>0.04</c:v>
                </c:pt>
                <c:pt idx="10">
                  <c:v>0.05</c:v>
                </c:pt>
                <c:pt idx="11">
                  <c:v>0.08</c:v>
                </c:pt>
                <c:pt idx="12">
                  <c:v>0.06</c:v>
                </c:pt>
                <c:pt idx="13">
                  <c:v>0.04</c:v>
                </c:pt>
                <c:pt idx="14">
                  <c:v>0.07</c:v>
                </c:pt>
                <c:pt idx="15">
                  <c:v>0.09</c:v>
                </c:pt>
              </c:numCache>
            </c:numRef>
          </c:val>
          <c:smooth val="0"/>
        </c:ser>
        <c:dLbls>
          <c:showLegendKey val="0"/>
          <c:showVal val="0"/>
          <c:showCatName val="0"/>
          <c:showSerName val="0"/>
          <c:showPercent val="0"/>
          <c:showBubbleSize val="0"/>
        </c:dLbls>
        <c:marker val="1"/>
        <c:smooth val="0"/>
        <c:axId val="584464825"/>
        <c:axId val="632595772"/>
      </c:lineChart>
      <c:catAx>
        <c:axId val="58446482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2595772"/>
        <c:crosses val="autoZero"/>
        <c:auto val="1"/>
        <c:lblAlgn val="ctr"/>
        <c:lblOffset val="100"/>
        <c:noMultiLvlLbl val="0"/>
      </c:catAx>
      <c:valAx>
        <c:axId val="632595772"/>
        <c:scaling>
          <c:orientation val="minMax"/>
          <c:max val="0.6"/>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altLang="en-US"/>
                  <a:t>检测值 </a:t>
                </a:r>
                <a:r>
                  <a:rPr lang="en-US" altLang="zh-CN"/>
                  <a:t>mg/kg</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4464825"/>
        <c:crosses val="autoZero"/>
        <c:crossBetween val="between"/>
      </c:valAx>
      <c:spPr>
        <a:noFill/>
        <a:ln>
          <a:noFill/>
        </a:ln>
        <a:effectLst/>
      </c:spPr>
    </c:plotArea>
    <c:plotVisOnly val="1"/>
    <c:dispBlanksAs val="gap"/>
    <c:showDLblsOverMax val="0"/>
  </c:chart>
  <c:spPr>
    <a:solidFill>
      <a:schemeClr val="bg1"/>
    </a:solidFill>
    <a:ln w="19050" cap="flat" cmpd="sng" algn="ctr">
      <a:solidFill>
        <a:schemeClr val="tx2"/>
      </a:solidFill>
      <a:round/>
    </a:ln>
    <a:effectLst/>
  </c:spPr>
  <c:txPr>
    <a:bodyPr/>
    <a:lstStyle/>
    <a:p>
      <a:pPr>
        <a:defRPr lang="zh-CN"/>
      </a:pPr>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spc="0" baseline="0">
              <a:solidFill>
                <a:schemeClr val="tx1">
                  <a:lumMod val="65000"/>
                  <a:lumOff val="35000"/>
                </a:schemeClr>
              </a:solidFill>
              <a:latin typeface="+mn-lt"/>
              <a:ea typeface="+mn-ea"/>
              <a:cs typeface="+mn-cs"/>
            </a:defRPr>
          </a:pPr>
        </a:p>
      </c:txPr>
    </c:title>
    <c:autoTitleDeleted val="0"/>
    <c:plotArea>
      <c:layout/>
      <c:lineChart>
        <c:grouping val="standard"/>
        <c:varyColors val="0"/>
        <c:ser>
          <c:idx val="0"/>
          <c:order val="0"/>
          <c:tx>
            <c:strRef>
              <c:f>[散点图.xlsx]铜!$A$3</c:f>
              <c:strCache>
                <c:ptCount val="1"/>
                <c:pt idx="0">
                  <c:v>铜</c:v>
                </c:pt>
              </c:strCache>
            </c:strRef>
          </c:tx>
          <c:spPr>
            <a:ln w="28575" cap="rnd">
              <a:noFill/>
              <a:round/>
            </a:ln>
            <a:effectLst/>
          </c:spPr>
          <c:marker>
            <c:symbol val="circle"/>
            <c:size val="5"/>
            <c:spPr>
              <a:pattFill prst="pct50">
                <a:fgClr>
                  <a:schemeClr val="tx1"/>
                </a:fgClr>
                <a:bgClr>
                  <a:schemeClr val="bg1"/>
                </a:bgClr>
              </a:pattFill>
              <a:ln w="3175" cmpd="sng">
                <a:solidFill>
                  <a:schemeClr val="tx1"/>
                </a:solidFill>
                <a:prstDash val="solid"/>
              </a:ln>
              <a:effectLst/>
            </c:spPr>
          </c:marker>
          <c:dLbls>
            <c:delete val="1"/>
          </c:dLbls>
          <c:cat>
            <c:strRef>
              <c:f>[散点图.xlsx]铜!$B$2:$Q$2</c:f>
              <c:strCache>
                <c:ptCount val="16"/>
                <c:pt idx="0">
                  <c:v>SJG-1-75</c:v>
                </c:pt>
                <c:pt idx="1">
                  <c:v>SJG-1-200</c:v>
                </c:pt>
                <c:pt idx="2">
                  <c:v>SJG-2-75</c:v>
                </c:pt>
                <c:pt idx="3">
                  <c:v>SJG-2-200</c:v>
                </c:pt>
                <c:pt idx="4">
                  <c:v>SJG-2-400</c:v>
                </c:pt>
                <c:pt idx="5">
                  <c:v>SJG-3</c:v>
                </c:pt>
                <c:pt idx="6">
                  <c:v>SJG-4</c:v>
                </c:pt>
                <c:pt idx="7">
                  <c:v>SJG-JJ-1</c:v>
                </c:pt>
                <c:pt idx="8">
                  <c:v>SJG-JJ-2</c:v>
                </c:pt>
                <c:pt idx="9">
                  <c:v>SJG-JJ-3</c:v>
                </c:pt>
                <c:pt idx="10">
                  <c:v>SJG-JJ-4</c:v>
                </c:pt>
                <c:pt idx="11">
                  <c:v>SJG-JJ-5</c:v>
                </c:pt>
                <c:pt idx="12">
                  <c:v>SJG-JJ-6</c:v>
                </c:pt>
                <c:pt idx="13">
                  <c:v>SJG-JJ-7</c:v>
                </c:pt>
                <c:pt idx="14">
                  <c:v>SJG-JJ-8</c:v>
                </c:pt>
                <c:pt idx="15">
                  <c:v>SJG-JJ-9</c:v>
                </c:pt>
              </c:strCache>
            </c:strRef>
          </c:cat>
          <c:val>
            <c:numRef>
              <c:f>[散点图.xlsx]铜!$B$3:$Q$3</c:f>
              <c:numCache>
                <c:formatCode>General</c:formatCode>
                <c:ptCount val="16"/>
                <c:pt idx="0">
                  <c:v>21</c:v>
                </c:pt>
                <c:pt idx="1">
                  <c:v>22</c:v>
                </c:pt>
                <c:pt idx="2">
                  <c:v>23</c:v>
                </c:pt>
                <c:pt idx="3">
                  <c:v>22</c:v>
                </c:pt>
                <c:pt idx="4">
                  <c:v>28</c:v>
                </c:pt>
                <c:pt idx="5">
                  <c:v>41</c:v>
                </c:pt>
                <c:pt idx="6">
                  <c:v>24</c:v>
                </c:pt>
                <c:pt idx="7">
                  <c:v>26</c:v>
                </c:pt>
                <c:pt idx="8">
                  <c:v>26</c:v>
                </c:pt>
                <c:pt idx="9">
                  <c:v>22</c:v>
                </c:pt>
                <c:pt idx="10">
                  <c:v>23</c:v>
                </c:pt>
                <c:pt idx="11">
                  <c:v>27</c:v>
                </c:pt>
                <c:pt idx="12">
                  <c:v>28</c:v>
                </c:pt>
                <c:pt idx="13">
                  <c:v>27</c:v>
                </c:pt>
                <c:pt idx="14">
                  <c:v>31</c:v>
                </c:pt>
                <c:pt idx="15">
                  <c:v>35</c:v>
                </c:pt>
              </c:numCache>
            </c:numRef>
          </c:val>
          <c:smooth val="0"/>
        </c:ser>
        <c:dLbls>
          <c:showLegendKey val="0"/>
          <c:showVal val="0"/>
          <c:showCatName val="0"/>
          <c:showSerName val="0"/>
          <c:showPercent val="0"/>
          <c:showBubbleSize val="0"/>
        </c:dLbls>
        <c:marker val="1"/>
        <c:smooth val="0"/>
        <c:axId val="584464825"/>
        <c:axId val="632595772"/>
      </c:lineChart>
      <c:catAx>
        <c:axId val="58446482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2595772"/>
        <c:crosses val="autoZero"/>
        <c:auto val="1"/>
        <c:lblAlgn val="ctr"/>
        <c:lblOffset val="100"/>
        <c:noMultiLvlLbl val="0"/>
      </c:catAx>
      <c:valAx>
        <c:axId val="632595772"/>
        <c:scaling>
          <c:orientation val="minMax"/>
          <c:max val="6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altLang="en-US"/>
                  <a:t>检测值 </a:t>
                </a:r>
                <a:r>
                  <a:rPr lang="en-US" altLang="zh-CN"/>
                  <a:t>mg/kg</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4464825"/>
        <c:crosses val="autoZero"/>
        <c:crossBetween val="between"/>
      </c:valAx>
      <c:spPr>
        <a:noFill/>
        <a:ln>
          <a:noFill/>
        </a:ln>
        <a:effectLst/>
      </c:spPr>
    </c:plotArea>
    <c:plotVisOnly val="1"/>
    <c:dispBlanksAs val="gap"/>
    <c:showDLblsOverMax val="0"/>
  </c:chart>
  <c:spPr>
    <a:solidFill>
      <a:schemeClr val="bg1"/>
    </a:solidFill>
    <a:ln w="19050" cap="flat" cmpd="sng" algn="ctr">
      <a:solidFill>
        <a:schemeClr val="tx2"/>
      </a:solidFill>
      <a:round/>
    </a:ln>
    <a:effectLst/>
  </c:spPr>
  <c:txPr>
    <a:bodyPr/>
    <a:lstStyle/>
    <a:p>
      <a:pPr>
        <a:defRPr lang="zh-CN"/>
      </a:pPr>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spc="0" baseline="0">
              <a:solidFill>
                <a:schemeClr val="tx1">
                  <a:lumMod val="65000"/>
                  <a:lumOff val="35000"/>
                </a:schemeClr>
              </a:solidFill>
              <a:latin typeface="+mn-lt"/>
              <a:ea typeface="+mn-ea"/>
              <a:cs typeface="+mn-cs"/>
            </a:defRPr>
          </a:pPr>
        </a:p>
      </c:txPr>
    </c:title>
    <c:autoTitleDeleted val="0"/>
    <c:plotArea>
      <c:layout/>
      <c:lineChart>
        <c:grouping val="standard"/>
        <c:varyColors val="0"/>
        <c:ser>
          <c:idx val="0"/>
          <c:order val="0"/>
          <c:tx>
            <c:strRef>
              <c:f>[散点图.xlsx]镍!$A$3</c:f>
              <c:strCache>
                <c:ptCount val="1"/>
                <c:pt idx="0">
                  <c:v>镍</c:v>
                </c:pt>
              </c:strCache>
            </c:strRef>
          </c:tx>
          <c:spPr>
            <a:ln w="28575" cap="rnd">
              <a:noFill/>
              <a:round/>
            </a:ln>
            <a:effectLst/>
          </c:spPr>
          <c:marker>
            <c:symbol val="circle"/>
            <c:size val="5"/>
            <c:spPr>
              <a:pattFill prst="pct50">
                <a:fgClr>
                  <a:schemeClr val="tx1"/>
                </a:fgClr>
                <a:bgClr>
                  <a:schemeClr val="bg1"/>
                </a:bgClr>
              </a:pattFill>
              <a:ln w="3175" cmpd="sng">
                <a:solidFill>
                  <a:schemeClr val="tx1"/>
                </a:solidFill>
                <a:prstDash val="solid"/>
              </a:ln>
              <a:effectLst/>
            </c:spPr>
          </c:marker>
          <c:dLbls>
            <c:delete val="1"/>
          </c:dLbls>
          <c:cat>
            <c:strRef>
              <c:f>[散点图.xlsx]镍!$B$2:$Q$2</c:f>
              <c:strCache>
                <c:ptCount val="16"/>
                <c:pt idx="0">
                  <c:v>SJG-1-75</c:v>
                </c:pt>
                <c:pt idx="1">
                  <c:v>SJG-1-200</c:v>
                </c:pt>
                <c:pt idx="2">
                  <c:v>SJG-2-75</c:v>
                </c:pt>
                <c:pt idx="3">
                  <c:v>SJG-2-200</c:v>
                </c:pt>
                <c:pt idx="4">
                  <c:v>SJG-2-400</c:v>
                </c:pt>
                <c:pt idx="5">
                  <c:v>SJG-3</c:v>
                </c:pt>
                <c:pt idx="6">
                  <c:v>SJG-4</c:v>
                </c:pt>
                <c:pt idx="7">
                  <c:v>SJG-JJ-1</c:v>
                </c:pt>
                <c:pt idx="8">
                  <c:v>SJG-JJ-2</c:v>
                </c:pt>
                <c:pt idx="9">
                  <c:v>SJG-JJ-3</c:v>
                </c:pt>
                <c:pt idx="10">
                  <c:v>SJG-JJ-4</c:v>
                </c:pt>
                <c:pt idx="11">
                  <c:v>SJG-JJ-5</c:v>
                </c:pt>
                <c:pt idx="12">
                  <c:v>SJG-JJ-6</c:v>
                </c:pt>
                <c:pt idx="13">
                  <c:v>SJG-JJ-7</c:v>
                </c:pt>
                <c:pt idx="14">
                  <c:v>SJG-JJ-8</c:v>
                </c:pt>
                <c:pt idx="15">
                  <c:v>SJG-JJ-9</c:v>
                </c:pt>
              </c:strCache>
            </c:strRef>
          </c:cat>
          <c:val>
            <c:numRef>
              <c:f>[散点图.xlsx]镍!$B$3:$Q$3</c:f>
              <c:numCache>
                <c:formatCode>General</c:formatCode>
                <c:ptCount val="16"/>
                <c:pt idx="0">
                  <c:v>28</c:v>
                </c:pt>
                <c:pt idx="1">
                  <c:v>29</c:v>
                </c:pt>
                <c:pt idx="2">
                  <c:v>49</c:v>
                </c:pt>
                <c:pt idx="3">
                  <c:v>36</c:v>
                </c:pt>
                <c:pt idx="4">
                  <c:v>38</c:v>
                </c:pt>
                <c:pt idx="5">
                  <c:v>39</c:v>
                </c:pt>
                <c:pt idx="6">
                  <c:v>32</c:v>
                </c:pt>
                <c:pt idx="7">
                  <c:v>36</c:v>
                </c:pt>
                <c:pt idx="8">
                  <c:v>30</c:v>
                </c:pt>
                <c:pt idx="9">
                  <c:v>24</c:v>
                </c:pt>
                <c:pt idx="10">
                  <c:v>32</c:v>
                </c:pt>
                <c:pt idx="11">
                  <c:v>31</c:v>
                </c:pt>
                <c:pt idx="12">
                  <c:v>29</c:v>
                </c:pt>
                <c:pt idx="13">
                  <c:v>32</c:v>
                </c:pt>
                <c:pt idx="14">
                  <c:v>27</c:v>
                </c:pt>
                <c:pt idx="15">
                  <c:v>33</c:v>
                </c:pt>
              </c:numCache>
            </c:numRef>
          </c:val>
          <c:smooth val="0"/>
        </c:ser>
        <c:dLbls>
          <c:showLegendKey val="0"/>
          <c:showVal val="0"/>
          <c:showCatName val="0"/>
          <c:showSerName val="0"/>
          <c:showPercent val="0"/>
          <c:showBubbleSize val="0"/>
        </c:dLbls>
        <c:marker val="1"/>
        <c:smooth val="0"/>
        <c:axId val="584464825"/>
        <c:axId val="632595772"/>
      </c:lineChart>
      <c:catAx>
        <c:axId val="58446482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2595772"/>
        <c:crosses val="autoZero"/>
        <c:auto val="1"/>
        <c:lblAlgn val="ctr"/>
        <c:lblOffset val="100"/>
        <c:noMultiLvlLbl val="0"/>
      </c:catAx>
      <c:valAx>
        <c:axId val="632595772"/>
        <c:scaling>
          <c:orientation val="minMax"/>
          <c:max val="8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altLang="en-US"/>
                  <a:t>检测值 </a:t>
                </a:r>
                <a:r>
                  <a:rPr lang="en-US" altLang="zh-CN"/>
                  <a:t>mg/kg</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4464825"/>
        <c:crosses val="autoZero"/>
        <c:crossBetween val="between"/>
      </c:valAx>
      <c:spPr>
        <a:noFill/>
        <a:ln>
          <a:noFill/>
        </a:ln>
        <a:effectLst/>
      </c:spPr>
    </c:plotArea>
    <c:plotVisOnly val="1"/>
    <c:dispBlanksAs val="gap"/>
    <c:showDLblsOverMax val="0"/>
  </c:chart>
  <c:spPr>
    <a:solidFill>
      <a:schemeClr val="bg1"/>
    </a:solidFill>
    <a:ln w="19050" cap="flat" cmpd="sng" algn="ctr">
      <a:solidFill>
        <a:schemeClr val="tx2"/>
      </a:solidFill>
      <a:round/>
    </a:ln>
    <a:effectLst/>
  </c:spPr>
  <c:txPr>
    <a:bodyPr/>
    <a:lstStyle/>
    <a:p>
      <a:pPr>
        <a:defRPr lang="zh-CN"/>
      </a:pPr>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spc="0" baseline="0">
                <a:solidFill>
                  <a:schemeClr val="tx1">
                    <a:lumMod val="65000"/>
                    <a:lumOff val="35000"/>
                  </a:schemeClr>
                </a:solidFill>
                <a:latin typeface="+mn-lt"/>
                <a:ea typeface="+mn-ea"/>
                <a:cs typeface="+mn-cs"/>
              </a:defRPr>
            </a:pPr>
            <a:r>
              <a:t>砷</a:t>
            </a:r>
          </a:p>
        </c:rich>
      </c:tx>
      <c:layout/>
      <c:overlay val="0"/>
      <c:spPr>
        <a:noFill/>
        <a:ln>
          <a:noFill/>
        </a:ln>
        <a:effectLst/>
      </c:spPr>
    </c:title>
    <c:autoTitleDeleted val="0"/>
    <c:plotArea>
      <c:layout/>
      <c:lineChart>
        <c:grouping val="standard"/>
        <c:varyColors val="0"/>
        <c:ser>
          <c:idx val="0"/>
          <c:order val="0"/>
          <c:spPr>
            <a:ln w="28575" cap="rnd">
              <a:noFill/>
              <a:round/>
            </a:ln>
            <a:effectLst/>
          </c:spPr>
          <c:marker>
            <c:symbol val="circle"/>
            <c:size val="5"/>
            <c:spPr>
              <a:pattFill prst="pct50">
                <a:fgClr>
                  <a:schemeClr val="tx1"/>
                </a:fgClr>
                <a:bgClr>
                  <a:schemeClr val="bg1"/>
                </a:bgClr>
              </a:pattFill>
              <a:ln w="3175" cmpd="sng">
                <a:solidFill>
                  <a:schemeClr val="tx1"/>
                </a:solidFill>
                <a:prstDash val="solid"/>
              </a:ln>
              <a:effectLst/>
            </c:spPr>
          </c:marker>
          <c:dLbls>
            <c:delete val="1"/>
          </c:dLbls>
          <c:cat>
            <c:strRef>
              <c:f>'[SJG-散点图.xlsx]砷'!$B$2:$Q$2</c:f>
              <c:strCache>
                <c:ptCount val="16"/>
                <c:pt idx="0">
                  <c:v>SJG-1-75</c:v>
                </c:pt>
                <c:pt idx="1">
                  <c:v>SJG-1-200</c:v>
                </c:pt>
                <c:pt idx="2">
                  <c:v>SJG-2-75</c:v>
                </c:pt>
                <c:pt idx="3">
                  <c:v>SJG-2-200</c:v>
                </c:pt>
                <c:pt idx="4">
                  <c:v>SJG-2-400</c:v>
                </c:pt>
                <c:pt idx="5">
                  <c:v>SJG-3</c:v>
                </c:pt>
                <c:pt idx="6">
                  <c:v>SJG-4</c:v>
                </c:pt>
                <c:pt idx="7">
                  <c:v>SJG-JJ-1</c:v>
                </c:pt>
                <c:pt idx="8">
                  <c:v>SJG-JJ-2</c:v>
                </c:pt>
                <c:pt idx="9">
                  <c:v>SJG-JJ-3</c:v>
                </c:pt>
                <c:pt idx="10">
                  <c:v>SJG-JJ-4</c:v>
                </c:pt>
                <c:pt idx="11">
                  <c:v>SJG-JJ-5</c:v>
                </c:pt>
                <c:pt idx="12">
                  <c:v>SJG-JJ-6</c:v>
                </c:pt>
                <c:pt idx="13">
                  <c:v>SJG-JJ-7</c:v>
                </c:pt>
                <c:pt idx="14">
                  <c:v>SJG-JJ-8</c:v>
                </c:pt>
                <c:pt idx="15">
                  <c:v>SJG-JJ-9</c:v>
                </c:pt>
              </c:strCache>
            </c:strRef>
          </c:cat>
          <c:val>
            <c:numRef>
              <c:f>'[SJG-散点图.xlsx]砷'!$B$3:$Q$3</c:f>
              <c:numCache>
                <c:formatCode>General</c:formatCode>
                <c:ptCount val="16"/>
                <c:pt idx="0">
                  <c:v>7.3</c:v>
                </c:pt>
                <c:pt idx="1">
                  <c:v>9.9</c:v>
                </c:pt>
                <c:pt idx="2">
                  <c:v>9.4</c:v>
                </c:pt>
                <c:pt idx="3">
                  <c:v>9.8</c:v>
                </c:pt>
                <c:pt idx="4">
                  <c:v>11.5</c:v>
                </c:pt>
                <c:pt idx="5">
                  <c:v>9.7</c:v>
                </c:pt>
                <c:pt idx="6">
                  <c:v>8</c:v>
                </c:pt>
                <c:pt idx="7">
                  <c:v>11</c:v>
                </c:pt>
                <c:pt idx="8">
                  <c:v>9.6</c:v>
                </c:pt>
                <c:pt idx="9">
                  <c:v>8.2</c:v>
                </c:pt>
                <c:pt idx="10">
                  <c:v>8.8</c:v>
                </c:pt>
                <c:pt idx="11">
                  <c:v>6.8</c:v>
                </c:pt>
                <c:pt idx="12">
                  <c:v>6.6</c:v>
                </c:pt>
                <c:pt idx="13">
                  <c:v>9.8</c:v>
                </c:pt>
                <c:pt idx="14">
                  <c:v>10.2</c:v>
                </c:pt>
                <c:pt idx="15">
                  <c:v>10.7</c:v>
                </c:pt>
              </c:numCache>
            </c:numRef>
          </c:val>
          <c:smooth val="0"/>
        </c:ser>
        <c:dLbls>
          <c:showLegendKey val="0"/>
          <c:showVal val="0"/>
          <c:showCatName val="0"/>
          <c:showSerName val="0"/>
          <c:showPercent val="0"/>
          <c:showBubbleSize val="0"/>
        </c:dLbls>
        <c:marker val="1"/>
        <c:smooth val="0"/>
        <c:axId val="584464825"/>
        <c:axId val="632595772"/>
      </c:lineChart>
      <c:catAx>
        <c:axId val="58446482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2595772"/>
        <c:crosses val="autoZero"/>
        <c:auto val="1"/>
        <c:lblAlgn val="ctr"/>
        <c:lblOffset val="100"/>
        <c:noMultiLvlLbl val="0"/>
      </c:catAx>
      <c:valAx>
        <c:axId val="632595772"/>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altLang="en-US"/>
                  <a:t>检测值 </a:t>
                </a:r>
                <a:r>
                  <a:rPr lang="en-US" altLang="zh-CN"/>
                  <a:t>mg/kg</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4464825"/>
        <c:crosses val="autoZero"/>
        <c:crossBetween val="between"/>
      </c:valAx>
      <c:spPr>
        <a:noFill/>
        <a:ln>
          <a:noFill/>
        </a:ln>
        <a:effectLst/>
      </c:spPr>
    </c:plotArea>
    <c:plotVisOnly val="1"/>
    <c:dispBlanksAs val="gap"/>
    <c:showDLblsOverMax val="0"/>
  </c:chart>
  <c:spPr>
    <a:solidFill>
      <a:schemeClr val="bg1"/>
    </a:solidFill>
    <a:ln w="19050" cap="flat" cmpd="sng" algn="ctr">
      <a:solidFill>
        <a:schemeClr val="tx2"/>
      </a:solidFill>
      <a:round/>
    </a:ln>
    <a:effectLst/>
  </c:spPr>
  <c:txPr>
    <a:bodyPr/>
    <a:lstStyle/>
    <a:p>
      <a:pPr>
        <a:defRPr lang="zh-CN"/>
      </a:pPr>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0.0642050799623705</cdr:x>
      <cdr:y>0.34468160169342</cdr:y>
    </cdr:from>
    <cdr:to>
      <cdr:x>0.970954844778928</cdr:x>
      <cdr:y>0.344857999647204</cdr:y>
    </cdr:to>
    <cdr:sp>
      <cdr:nvSpPr>
        <cdr:cNvPr id="2" name="直接连接符 1"/>
        <cdr:cNvSpPr/>
      </cdr:nvSpPr>
      <cdr:spPr xmlns:a="http://schemas.openxmlformats.org/drawingml/2006/main">
        <a:xfrm xmlns:a="http://schemas.openxmlformats.org/drawingml/2006/main">
          <a:off x="346710" y="1240790"/>
          <a:ext cx="4896485" cy="635"/>
        </a:xfrm>
        <a:prstGeom xmlns:a="http://schemas.openxmlformats.org/drawingml/2006/main" prst="line">
          <a:avLst/>
        </a:prstGeom>
        <a:ln w="19050" cmpd="sng">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0.198730009407338</cdr:x>
      <cdr:y>1.20920797318751</cdr:y>
    </cdr:from>
    <cdr:to>
      <cdr:x>0.428033866415804</cdr:x>
      <cdr:y>1</cdr:y>
    </cdr:to>
    <cdr:sp>
      <cdr:nvSpPr>
        <cdr:cNvPr id="3" name="矩形 2"/>
        <cdr:cNvSpPr/>
      </cdr:nvSpPr>
      <cdr:spPr xmlns:a="http://schemas.openxmlformats.org/drawingml/2006/main">
        <a:xfrm xmlns:a="http://schemas.openxmlformats.org/drawingml/2006/main">
          <a:off x="1073150" y="3599815"/>
          <a:ext cx="1238250" cy="753110"/>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endParaRPr lang="zh-CN" altLang="en-US"/>
        </a:p>
      </cdr:txBody>
    </cdr:sp>
  </cdr:relSizeAnchor>
  <cdr:relSizeAnchor xmlns:cdr="http://schemas.openxmlformats.org/drawingml/2006/chartDrawing">
    <cdr:from>
      <cdr:x>0.495884289746002</cdr:x>
      <cdr:y>0.0768955009858398</cdr:y>
    </cdr:from>
    <cdr:to>
      <cdr:x>0.597365945437441</cdr:x>
      <cdr:y>0.150743860906973</cdr:y>
    </cdr:to>
    <cdr:sp>
      <cdr:nvSpPr>
        <cdr:cNvPr id="4" name="矩形 3"/>
        <cdr:cNvSpPr/>
      </cdr:nvSpPr>
      <cdr:spPr xmlns:a="http://schemas.openxmlformats.org/drawingml/2006/main">
        <a:xfrm xmlns:a="http://schemas.openxmlformats.org/drawingml/2006/main">
          <a:off x="2677795" y="272415"/>
          <a:ext cx="548005" cy="261620"/>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r>
            <a:rPr lang="zh-CN" altLang="en-US" sz="1000"/>
            <a:t>平均值</a:t>
          </a:r>
          <a:endParaRPr lang="zh-CN" altLang="en-US" sz="1000"/>
        </a:p>
        <a:p>
          <a:endParaRPr lang="zh-CN" altLang="en-US" sz="1000"/>
        </a:p>
      </cdr:txBody>
    </cdr:sp>
  </cdr:relSizeAnchor>
  <cdr:relSizeAnchor xmlns:cdr="http://schemas.openxmlformats.org/drawingml/2006/chartDrawing">
    <cdr:from>
      <cdr:x>0.437441204139229</cdr:x>
      <cdr:y>0.108357004037423</cdr:y>
    </cdr:from>
    <cdr:to>
      <cdr:x>0.484948259642521</cdr:x>
      <cdr:y>0.108894734813548</cdr:y>
    </cdr:to>
    <cdr:sp>
      <cdr:nvSpPr>
        <cdr:cNvPr id="5" name="直接连接符 4"/>
        <cdr:cNvSpPr/>
      </cdr:nvSpPr>
      <cdr:spPr xmlns:a="http://schemas.openxmlformats.org/drawingml/2006/main">
        <a:xfrm xmlns:a="http://schemas.openxmlformats.org/drawingml/2006/main" flipV="1">
          <a:off x="2362200" y="390065"/>
          <a:ext cx="256540" cy="1936"/>
        </a:xfrm>
        <a:prstGeom xmlns:a="http://schemas.openxmlformats.org/drawingml/2006/main" prst="line">
          <a:avLst/>
        </a:prstGeom>
        <a:l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10.xml><?xml version="1.0" encoding="utf-8"?>
<c:userShapes xmlns:c="http://schemas.openxmlformats.org/drawingml/2006/chart">
  <cdr:relSizeAnchor xmlns:cdr="http://schemas.openxmlformats.org/drawingml/2006/chartDrawing">
    <cdr:from>
      <cdr:x>0.10359830667921</cdr:x>
      <cdr:y>0.65866995942847</cdr:y>
    </cdr:from>
    <cdr:to>
      <cdr:x>0.978833490122295</cdr:x>
      <cdr:y>0.659551949197389</cdr:y>
    </cdr:to>
    <cdr:sp>
      <cdr:nvSpPr>
        <cdr:cNvPr id="2" name="直接连接符 1"/>
        <cdr:cNvSpPr/>
      </cdr:nvSpPr>
      <cdr:spPr xmlns:a="http://schemas.openxmlformats.org/drawingml/2006/main">
        <a:xfrm xmlns:a="http://schemas.openxmlformats.org/drawingml/2006/main">
          <a:off x="559435" y="2371090"/>
          <a:ext cx="4726305" cy="3175"/>
        </a:xfrm>
        <a:prstGeom xmlns:a="http://schemas.openxmlformats.org/drawingml/2006/main" prst="line">
          <a:avLst/>
        </a:prstGeom>
        <a:ln w="19050" cmpd="sng">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0.198730009407338</cdr:x>
      <cdr:y>1.20920797318751</cdr:y>
    </cdr:from>
    <cdr:to>
      <cdr:x>0.428033866415804</cdr:x>
      <cdr:y>1</cdr:y>
    </cdr:to>
    <cdr:sp>
      <cdr:nvSpPr>
        <cdr:cNvPr id="3" name="矩形 2"/>
        <cdr:cNvSpPr/>
      </cdr:nvSpPr>
      <cdr:spPr xmlns:a="http://schemas.openxmlformats.org/drawingml/2006/main">
        <a:xfrm xmlns:a="http://schemas.openxmlformats.org/drawingml/2006/main">
          <a:off x="1073150" y="3599815"/>
          <a:ext cx="1238250" cy="753110"/>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p>
          <a:endParaRPr lang="zh-CN" altLang="en-US"/>
        </a:p>
      </cdr:txBody>
    </cdr:sp>
  </cdr:relSizeAnchor>
  <cdr:relSizeAnchor xmlns:cdr="http://schemas.openxmlformats.org/drawingml/2006/chartDrawing">
    <cdr:from>
      <cdr:x>0.34771872060207</cdr:x>
      <cdr:y>0.0739107426353854</cdr:y>
    </cdr:from>
    <cdr:to>
      <cdr:x>0.768579492003763</cdr:x>
      <cdr:y>0.147821485270771</cdr:y>
    </cdr:to>
    <cdr:sp>
      <cdr:nvSpPr>
        <cdr:cNvPr id="4" name="矩形 3"/>
        <cdr:cNvSpPr/>
      </cdr:nvSpPr>
      <cdr:spPr xmlns:a="http://schemas.openxmlformats.org/drawingml/2006/main">
        <a:xfrm xmlns:a="http://schemas.openxmlformats.org/drawingml/2006/main">
          <a:off x="1877695" y="266065"/>
          <a:ext cx="2272665" cy="266065"/>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p>
          <a:r>
            <a:rPr lang="zh-CN" altLang="en-US" sz="1000"/>
            <a:t>平均值                                    区域背景值</a:t>
          </a:r>
          <a:endParaRPr lang="zh-CN" altLang="en-US" sz="1000"/>
        </a:p>
        <a:p>
          <a:endParaRPr lang="zh-CN" altLang="en-US" sz="1000"/>
        </a:p>
      </cdr:txBody>
    </cdr:sp>
  </cdr:relSizeAnchor>
  <cdr:relSizeAnchor xmlns:cdr="http://schemas.openxmlformats.org/drawingml/2006/chartDrawing">
    <cdr:from>
      <cdr:x>0.298447789275635</cdr:x>
      <cdr:y>0.103016405009702</cdr:y>
    </cdr:from>
    <cdr:to>
      <cdr:x>0.345954844778928</cdr:x>
      <cdr:y>0.103545598871053</cdr:y>
    </cdr:to>
    <cdr:sp>
      <cdr:nvSpPr>
        <cdr:cNvPr id="5" name="直接连接符 4"/>
        <cdr:cNvSpPr/>
      </cdr:nvSpPr>
      <cdr:spPr xmlns:a="http://schemas.openxmlformats.org/drawingml/2006/main">
        <a:xfrm xmlns:a="http://schemas.openxmlformats.org/drawingml/2006/main" flipV="1">
          <a:off x="1611630" y="370840"/>
          <a:ext cx="256540" cy="1905"/>
        </a:xfrm>
        <a:prstGeom xmlns:a="http://schemas.openxmlformats.org/drawingml/2006/main" prst="line">
          <a:avLst/>
        </a:prstGeom>
        <a:l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0.101386278195489</cdr:x>
      <cdr:y>0.13515932688865</cdr:y>
    </cdr:from>
    <cdr:to>
      <cdr:x>0.981672932330827</cdr:x>
      <cdr:y>0.135517364840673</cdr:y>
    </cdr:to>
    <cdr:sp>
      <cdr:nvSpPr>
        <cdr:cNvPr id="6" name="直接连接符 5"/>
        <cdr:cNvSpPr/>
      </cdr:nvSpPr>
      <cdr:spPr xmlns:a="http://schemas.openxmlformats.org/drawingml/2006/main">
        <a:xfrm xmlns:a="http://schemas.openxmlformats.org/drawingml/2006/main" flipV="1">
          <a:off x="548005" y="479425"/>
          <a:ext cx="4758055" cy="1270"/>
        </a:xfrm>
        <a:prstGeom xmlns:a="http://schemas.openxmlformats.org/drawingml/2006/main" prst="line">
          <a:avLst/>
        </a:prstGeom>
        <a:ln w="12700" cmpd="sng">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0.549498525073746</cdr:x>
      <cdr:y>0.10253231804498</cdr:y>
    </cdr:from>
    <cdr:to>
      <cdr:x>0.609321533923304</cdr:x>
      <cdr:y>0.10253231804498</cdr:y>
    </cdr:to>
    <cdr:sp>
      <cdr:nvSpPr>
        <cdr:cNvPr id="7" name="直接连接符 6"/>
        <cdr:cNvSpPr/>
      </cdr:nvSpPr>
      <cdr:spPr xmlns:a="http://schemas.openxmlformats.org/drawingml/2006/main">
        <a:xfrm xmlns:a="http://schemas.openxmlformats.org/drawingml/2006/main">
          <a:off x="2957195" y="367665"/>
          <a:ext cx="321945" cy="0"/>
        </a:xfrm>
        <a:prstGeom xmlns:a="http://schemas.openxmlformats.org/drawingml/2006/main" prst="line">
          <a:avLst/>
        </a:prstGeom>
        <a:ln w="12700" cmpd="sng">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11.xml><?xml version="1.0" encoding="utf-8"?>
<c:userShapes xmlns:c="http://schemas.openxmlformats.org/drawingml/2006/chart">
  <cdr:relSizeAnchor xmlns:cdr="http://schemas.openxmlformats.org/drawingml/2006/chartDrawing">
    <cdr:from>
      <cdr:x>0.109694700325978</cdr:x>
      <cdr:y>0.597271633361899</cdr:y>
    </cdr:from>
    <cdr:to>
      <cdr:x>0.984929883769063</cdr:x>
      <cdr:y>0.598153623130818</cdr:y>
    </cdr:to>
    <cdr:sp>
      <cdr:nvSpPr>
        <cdr:cNvPr id="2" name="直接连接符 1"/>
        <cdr:cNvSpPr/>
      </cdr:nvSpPr>
      <cdr:spPr xmlns:a="http://schemas.openxmlformats.org/drawingml/2006/main">
        <a:xfrm xmlns:a="http://schemas.openxmlformats.org/drawingml/2006/main">
          <a:off x="590614" y="2107969"/>
          <a:ext cx="4712411" cy="3113"/>
        </a:xfrm>
        <a:prstGeom xmlns:a="http://schemas.openxmlformats.org/drawingml/2006/main" prst="line">
          <a:avLst/>
        </a:prstGeom>
        <a:ln w="19050" cmpd="sng">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0.198730009407338</cdr:x>
      <cdr:y>1.20920797318751</cdr:y>
    </cdr:from>
    <cdr:to>
      <cdr:x>0.428033866415804</cdr:x>
      <cdr:y>1</cdr:y>
    </cdr:to>
    <cdr:sp>
      <cdr:nvSpPr>
        <cdr:cNvPr id="3" name="矩形 2"/>
        <cdr:cNvSpPr/>
      </cdr:nvSpPr>
      <cdr:spPr xmlns:a="http://schemas.openxmlformats.org/drawingml/2006/main">
        <a:xfrm xmlns:a="http://schemas.openxmlformats.org/drawingml/2006/main">
          <a:off x="1073150" y="3599815"/>
          <a:ext cx="1238250" cy="753110"/>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endParaRPr lang="zh-CN" altLang="en-US"/>
        </a:p>
      </cdr:txBody>
    </cdr:sp>
  </cdr:relSizeAnchor>
  <cdr:relSizeAnchor xmlns:cdr="http://schemas.openxmlformats.org/drawingml/2006/chartDrawing">
    <cdr:from>
      <cdr:x>0.34771872060207</cdr:x>
      <cdr:y>0.0739107426353854</cdr:y>
    </cdr:from>
    <cdr:to>
      <cdr:x>0.768579492003763</cdr:x>
      <cdr:y>0.147821485270771</cdr:y>
    </cdr:to>
    <cdr:sp>
      <cdr:nvSpPr>
        <cdr:cNvPr id="4" name="矩形 3"/>
        <cdr:cNvSpPr/>
      </cdr:nvSpPr>
      <cdr:spPr xmlns:a="http://schemas.openxmlformats.org/drawingml/2006/main">
        <a:xfrm xmlns:a="http://schemas.openxmlformats.org/drawingml/2006/main">
          <a:off x="1877695" y="266065"/>
          <a:ext cx="2272665" cy="266065"/>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r>
            <a:rPr lang="zh-CN" altLang="en-US" sz="1000"/>
            <a:t>平均值                                    区域背景值</a:t>
          </a:r>
          <a:endParaRPr lang="zh-CN" altLang="en-US" sz="1000"/>
        </a:p>
        <a:p>
          <a:endParaRPr lang="zh-CN" altLang="en-US" sz="1000"/>
        </a:p>
      </cdr:txBody>
    </cdr:sp>
  </cdr:relSizeAnchor>
  <cdr:relSizeAnchor xmlns:cdr="http://schemas.openxmlformats.org/drawingml/2006/chartDrawing">
    <cdr:from>
      <cdr:x>0.298447789275635</cdr:x>
      <cdr:y>0.103016405009702</cdr:y>
    </cdr:from>
    <cdr:to>
      <cdr:x>0.345954844778928</cdr:x>
      <cdr:y>0.103545598871053</cdr:y>
    </cdr:to>
    <cdr:sp>
      <cdr:nvSpPr>
        <cdr:cNvPr id="5" name="直接连接符 4"/>
        <cdr:cNvSpPr/>
      </cdr:nvSpPr>
      <cdr:spPr xmlns:a="http://schemas.openxmlformats.org/drawingml/2006/main">
        <a:xfrm xmlns:a="http://schemas.openxmlformats.org/drawingml/2006/main" flipV="1">
          <a:off x="1611630" y="370840"/>
          <a:ext cx="256540" cy="1905"/>
        </a:xfrm>
        <a:prstGeom xmlns:a="http://schemas.openxmlformats.org/drawingml/2006/main" prst="line">
          <a:avLst/>
        </a:prstGeom>
        <a:l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0.112624779800352</cdr:x>
      <cdr:y>0.384847409510291</cdr:y>
    </cdr:from>
    <cdr:to>
      <cdr:x>0.992014092777452</cdr:x>
      <cdr:y>0.386976579134138</cdr:y>
    </cdr:to>
    <cdr:sp>
      <cdr:nvSpPr>
        <cdr:cNvPr id="6" name="直接连接符 5"/>
        <cdr:cNvSpPr/>
      </cdr:nvSpPr>
      <cdr:spPr xmlns:a="http://schemas.openxmlformats.org/drawingml/2006/main">
        <a:xfrm xmlns:a="http://schemas.openxmlformats.org/drawingml/2006/main" flipV="1">
          <a:off x="608965" y="1377315"/>
          <a:ext cx="4754880" cy="7620"/>
        </a:xfrm>
        <a:prstGeom xmlns:a="http://schemas.openxmlformats.org/drawingml/2006/main" prst="line">
          <a:avLst/>
        </a:prstGeom>
        <a:ln w="12700" cmpd="sng">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0.549498525073746</cdr:x>
      <cdr:y>0.10253231804498</cdr:y>
    </cdr:from>
    <cdr:to>
      <cdr:x>0.609321533923304</cdr:x>
      <cdr:y>0.10253231804498</cdr:y>
    </cdr:to>
    <cdr:sp>
      <cdr:nvSpPr>
        <cdr:cNvPr id="7" name="直接连接符 6"/>
        <cdr:cNvSpPr/>
      </cdr:nvSpPr>
      <cdr:spPr xmlns:a="http://schemas.openxmlformats.org/drawingml/2006/main">
        <a:xfrm xmlns:a="http://schemas.openxmlformats.org/drawingml/2006/main">
          <a:off x="2957195" y="367665"/>
          <a:ext cx="321945" cy="0"/>
        </a:xfrm>
        <a:prstGeom xmlns:a="http://schemas.openxmlformats.org/drawingml/2006/main" prst="line">
          <a:avLst/>
        </a:prstGeom>
        <a:ln w="12700" cmpd="sng">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12.xml><?xml version="1.0" encoding="utf-8"?>
<c:userShapes xmlns:c="http://schemas.openxmlformats.org/drawingml/2006/chart">
  <cdr:relSizeAnchor xmlns:cdr="http://schemas.openxmlformats.org/drawingml/2006/chartDrawing">
    <cdr:from>
      <cdr:x>0.100188146754468</cdr:x>
      <cdr:y>0.66431469394955</cdr:y>
    </cdr:from>
    <cdr:to>
      <cdr:x>0.980832549388523</cdr:x>
      <cdr:y>0.664491091903334</cdr:y>
    </cdr:to>
    <cdr:sp>
      <cdr:nvSpPr>
        <cdr:cNvPr id="2" name="直接连接符 1"/>
        <cdr:cNvSpPr/>
      </cdr:nvSpPr>
      <cdr:spPr xmlns:a="http://schemas.openxmlformats.org/drawingml/2006/main">
        <a:xfrm xmlns:a="http://schemas.openxmlformats.org/drawingml/2006/main">
          <a:off x="541020" y="2391410"/>
          <a:ext cx="4755515" cy="635"/>
        </a:xfrm>
        <a:prstGeom xmlns:a="http://schemas.openxmlformats.org/drawingml/2006/main" prst="line">
          <a:avLst/>
        </a:prstGeom>
        <a:ln w="19050" cmpd="sng">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0.198730009407338</cdr:x>
      <cdr:y>1.20920797318751</cdr:y>
    </cdr:from>
    <cdr:to>
      <cdr:x>0.428033866415804</cdr:x>
      <cdr:y>1</cdr:y>
    </cdr:to>
    <cdr:sp>
      <cdr:nvSpPr>
        <cdr:cNvPr id="3" name="矩形 2"/>
        <cdr:cNvSpPr/>
      </cdr:nvSpPr>
      <cdr:spPr xmlns:a="http://schemas.openxmlformats.org/drawingml/2006/main">
        <a:xfrm xmlns:a="http://schemas.openxmlformats.org/drawingml/2006/main">
          <a:off x="1073150" y="3599815"/>
          <a:ext cx="1238250" cy="753110"/>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endParaRPr lang="zh-CN" altLang="en-US"/>
        </a:p>
      </cdr:txBody>
    </cdr:sp>
  </cdr:relSizeAnchor>
  <cdr:relSizeAnchor xmlns:cdr="http://schemas.openxmlformats.org/drawingml/2006/chartDrawing">
    <cdr:from>
      <cdr:x>0.34771872060207</cdr:x>
      <cdr:y>0.0739107426353854</cdr:y>
    </cdr:from>
    <cdr:to>
      <cdr:x>0.768579492003763</cdr:x>
      <cdr:y>0.147821485270771</cdr:y>
    </cdr:to>
    <cdr:sp>
      <cdr:nvSpPr>
        <cdr:cNvPr id="4" name="矩形 3"/>
        <cdr:cNvSpPr/>
      </cdr:nvSpPr>
      <cdr:spPr xmlns:a="http://schemas.openxmlformats.org/drawingml/2006/main">
        <a:xfrm xmlns:a="http://schemas.openxmlformats.org/drawingml/2006/main">
          <a:off x="1877695" y="266065"/>
          <a:ext cx="2272665" cy="266065"/>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r>
            <a:rPr lang="zh-CN" altLang="en-US" sz="1000"/>
            <a:t>平均值                                    区域背景值</a:t>
          </a:r>
          <a:endParaRPr lang="zh-CN" altLang="en-US" sz="1000"/>
        </a:p>
        <a:p>
          <a:endParaRPr lang="zh-CN" altLang="en-US" sz="1000"/>
        </a:p>
      </cdr:txBody>
    </cdr:sp>
  </cdr:relSizeAnchor>
  <cdr:relSizeAnchor xmlns:cdr="http://schemas.openxmlformats.org/drawingml/2006/chartDrawing">
    <cdr:from>
      <cdr:x>0.298447789275635</cdr:x>
      <cdr:y>0.103016405009702</cdr:y>
    </cdr:from>
    <cdr:to>
      <cdr:x>0.345954844778928</cdr:x>
      <cdr:y>0.103545598871053</cdr:y>
    </cdr:to>
    <cdr:sp>
      <cdr:nvSpPr>
        <cdr:cNvPr id="5" name="直接连接符 4"/>
        <cdr:cNvSpPr/>
      </cdr:nvSpPr>
      <cdr:spPr xmlns:a="http://schemas.openxmlformats.org/drawingml/2006/main">
        <a:xfrm xmlns:a="http://schemas.openxmlformats.org/drawingml/2006/main" flipV="1">
          <a:off x="1611630" y="370840"/>
          <a:ext cx="256540" cy="1905"/>
        </a:xfrm>
        <a:prstGeom xmlns:a="http://schemas.openxmlformats.org/drawingml/2006/main" prst="line">
          <a:avLst/>
        </a:prstGeom>
        <a:l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0.097356983218251</cdr:x>
      <cdr:y>0.13450903192172</cdr:y>
    </cdr:from>
    <cdr:to>
      <cdr:x>0.977685814692121</cdr:x>
      <cdr:y>0.135218755129669</cdr:y>
    </cdr:to>
    <cdr:sp>
      <cdr:nvSpPr>
        <cdr:cNvPr id="6" name="直接连接符 5"/>
        <cdr:cNvSpPr/>
      </cdr:nvSpPr>
      <cdr:spPr xmlns:a="http://schemas.openxmlformats.org/drawingml/2006/main">
        <a:xfrm xmlns:a="http://schemas.openxmlformats.org/drawingml/2006/main">
          <a:off x="526103" y="482670"/>
          <a:ext cx="4757165" cy="2547"/>
        </a:xfrm>
        <a:prstGeom xmlns:a="http://schemas.openxmlformats.org/drawingml/2006/main" prst="line">
          <a:avLst/>
        </a:prstGeom>
        <a:ln w="12700" cmpd="sng">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0.549498525073746</cdr:x>
      <cdr:y>0.10253231804498</cdr:y>
    </cdr:from>
    <cdr:to>
      <cdr:x>0.609321533923304</cdr:x>
      <cdr:y>0.10253231804498</cdr:y>
    </cdr:to>
    <cdr:sp>
      <cdr:nvSpPr>
        <cdr:cNvPr id="7" name="直接连接符 6"/>
        <cdr:cNvSpPr/>
      </cdr:nvSpPr>
      <cdr:spPr xmlns:a="http://schemas.openxmlformats.org/drawingml/2006/main">
        <a:xfrm xmlns:a="http://schemas.openxmlformats.org/drawingml/2006/main">
          <a:off x="2957195" y="367665"/>
          <a:ext cx="321945" cy="0"/>
        </a:xfrm>
        <a:prstGeom xmlns:a="http://schemas.openxmlformats.org/drawingml/2006/main" prst="line">
          <a:avLst/>
        </a:prstGeom>
        <a:ln w="12700" cmpd="sng">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2.xml><?xml version="1.0" encoding="utf-8"?>
<c:userShapes xmlns:c="http://schemas.openxmlformats.org/drawingml/2006/chart">
  <cdr:relSizeAnchor xmlns:cdr="http://schemas.openxmlformats.org/drawingml/2006/chartDrawing">
    <cdr:from>
      <cdr:x>0.0677328316086546</cdr:x>
      <cdr:y>0.257364614570471</cdr:y>
    </cdr:from>
    <cdr:to>
      <cdr:x>0.974482596425212</cdr:x>
      <cdr:y>0.257541012524255</cdr:y>
    </cdr:to>
    <cdr:sp>
      <cdr:nvSpPr>
        <cdr:cNvPr id="2" name="直接连接符 1"/>
        <cdr:cNvSpPr/>
      </cdr:nvSpPr>
      <cdr:spPr xmlns:a="http://schemas.openxmlformats.org/drawingml/2006/main">
        <a:xfrm xmlns:a="http://schemas.openxmlformats.org/drawingml/2006/main">
          <a:off x="365760" y="926465"/>
          <a:ext cx="4896485" cy="635"/>
        </a:xfrm>
        <a:prstGeom xmlns:a="http://schemas.openxmlformats.org/drawingml/2006/main" prst="line">
          <a:avLst/>
        </a:prstGeom>
        <a:ln w="19050" cmpd="sng">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0.198730009407338</cdr:x>
      <cdr:y>1.20920797318751</cdr:y>
    </cdr:from>
    <cdr:to>
      <cdr:x>0.428033866415804</cdr:x>
      <cdr:y>1</cdr:y>
    </cdr:to>
    <cdr:sp>
      <cdr:nvSpPr>
        <cdr:cNvPr id="3" name="矩形 2"/>
        <cdr:cNvSpPr/>
      </cdr:nvSpPr>
      <cdr:spPr xmlns:a="http://schemas.openxmlformats.org/drawingml/2006/main">
        <a:xfrm xmlns:a="http://schemas.openxmlformats.org/drawingml/2006/main">
          <a:off x="1073150" y="3599815"/>
          <a:ext cx="1238250" cy="753110"/>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endParaRPr lang="zh-CN" altLang="en-US"/>
        </a:p>
      </cdr:txBody>
    </cdr:sp>
  </cdr:relSizeAnchor>
  <cdr:relSizeAnchor xmlns:cdr="http://schemas.openxmlformats.org/drawingml/2006/chartDrawing">
    <cdr:from>
      <cdr:x>0.495884289746002</cdr:x>
      <cdr:y>0.0768955009858398</cdr:y>
    </cdr:from>
    <cdr:to>
      <cdr:x>0.597365945437441</cdr:x>
      <cdr:y>0.150743860906973</cdr:y>
    </cdr:to>
    <cdr:sp>
      <cdr:nvSpPr>
        <cdr:cNvPr id="4" name="矩形 3"/>
        <cdr:cNvSpPr/>
      </cdr:nvSpPr>
      <cdr:spPr xmlns:a="http://schemas.openxmlformats.org/drawingml/2006/main">
        <a:xfrm xmlns:a="http://schemas.openxmlformats.org/drawingml/2006/main">
          <a:off x="2677795" y="272415"/>
          <a:ext cx="548005" cy="261620"/>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r>
            <a:rPr lang="zh-CN" altLang="en-US" sz="1000"/>
            <a:t>平均值</a:t>
          </a:r>
          <a:endParaRPr lang="zh-CN" altLang="en-US" sz="1000"/>
        </a:p>
        <a:p>
          <a:endParaRPr lang="zh-CN" altLang="en-US" sz="1000"/>
        </a:p>
      </cdr:txBody>
    </cdr:sp>
  </cdr:relSizeAnchor>
  <cdr:relSizeAnchor xmlns:cdr="http://schemas.openxmlformats.org/drawingml/2006/chartDrawing">
    <cdr:from>
      <cdr:x>0.437441204139229</cdr:x>
      <cdr:y>0.108357004037423</cdr:y>
    </cdr:from>
    <cdr:to>
      <cdr:x>0.484948259642521</cdr:x>
      <cdr:y>0.108894734813548</cdr:y>
    </cdr:to>
    <cdr:sp>
      <cdr:nvSpPr>
        <cdr:cNvPr id="5" name="直接连接符 4"/>
        <cdr:cNvSpPr/>
      </cdr:nvSpPr>
      <cdr:spPr xmlns:a="http://schemas.openxmlformats.org/drawingml/2006/main">
        <a:xfrm xmlns:a="http://schemas.openxmlformats.org/drawingml/2006/main" flipV="1">
          <a:off x="2362200" y="390065"/>
          <a:ext cx="256540" cy="1936"/>
        </a:xfrm>
        <a:prstGeom xmlns:a="http://schemas.openxmlformats.org/drawingml/2006/main" prst="line">
          <a:avLst/>
        </a:prstGeom>
        <a:l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3.xml><?xml version="1.0" encoding="utf-8"?>
<c:userShapes xmlns:c="http://schemas.openxmlformats.org/drawingml/2006/chart">
  <cdr:relSizeAnchor xmlns:cdr="http://schemas.openxmlformats.org/drawingml/2006/chartDrawing">
    <cdr:from>
      <cdr:x>0.108889934148636</cdr:x>
      <cdr:y>0.743340977244664</cdr:y>
    </cdr:from>
    <cdr:to>
      <cdr:x>0.984125117591721</cdr:x>
      <cdr:y>0.744222967013583</cdr:y>
    </cdr:to>
    <cdr:sp>
      <cdr:nvSpPr>
        <cdr:cNvPr id="2" name="直接连接符 1"/>
        <cdr:cNvSpPr/>
      </cdr:nvSpPr>
      <cdr:spPr xmlns:a="http://schemas.openxmlformats.org/drawingml/2006/main">
        <a:xfrm xmlns:a="http://schemas.openxmlformats.org/drawingml/2006/main">
          <a:off x="588010" y="2675890"/>
          <a:ext cx="4726305" cy="3175"/>
        </a:xfrm>
        <a:prstGeom xmlns:a="http://schemas.openxmlformats.org/drawingml/2006/main" prst="line">
          <a:avLst/>
        </a:prstGeom>
        <a:ln w="19050" cmpd="sng">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0.198730009407338</cdr:x>
      <cdr:y>1.20920797318751</cdr:y>
    </cdr:from>
    <cdr:to>
      <cdr:x>0.428033866415804</cdr:x>
      <cdr:y>1</cdr:y>
    </cdr:to>
    <cdr:sp>
      <cdr:nvSpPr>
        <cdr:cNvPr id="3" name="矩形 2"/>
        <cdr:cNvSpPr/>
      </cdr:nvSpPr>
      <cdr:spPr xmlns:a="http://schemas.openxmlformats.org/drawingml/2006/main">
        <a:xfrm xmlns:a="http://schemas.openxmlformats.org/drawingml/2006/main">
          <a:off x="1073150" y="3599815"/>
          <a:ext cx="1238250" cy="753110"/>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endParaRPr lang="zh-CN" altLang="en-US"/>
        </a:p>
      </cdr:txBody>
    </cdr:sp>
  </cdr:relSizeAnchor>
  <cdr:relSizeAnchor xmlns:cdr="http://schemas.openxmlformats.org/drawingml/2006/chartDrawing">
    <cdr:from>
      <cdr:x>0.34771872060207</cdr:x>
      <cdr:y>0.0739107426353854</cdr:y>
    </cdr:from>
    <cdr:to>
      <cdr:x>0.768579492003763</cdr:x>
      <cdr:y>0.147821485270771</cdr:y>
    </cdr:to>
    <cdr:sp>
      <cdr:nvSpPr>
        <cdr:cNvPr id="4" name="矩形 3"/>
        <cdr:cNvSpPr/>
      </cdr:nvSpPr>
      <cdr:spPr xmlns:a="http://schemas.openxmlformats.org/drawingml/2006/main">
        <a:xfrm xmlns:a="http://schemas.openxmlformats.org/drawingml/2006/main">
          <a:off x="1877695" y="266065"/>
          <a:ext cx="2272665" cy="266065"/>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r>
            <a:rPr lang="zh-CN" altLang="en-US" sz="1000"/>
            <a:t>平均值                                    区域背景值</a:t>
          </a:r>
          <a:endParaRPr lang="zh-CN" altLang="en-US" sz="1000"/>
        </a:p>
        <a:p>
          <a:endParaRPr lang="zh-CN" altLang="en-US" sz="1000"/>
        </a:p>
      </cdr:txBody>
    </cdr:sp>
  </cdr:relSizeAnchor>
  <cdr:relSizeAnchor xmlns:cdr="http://schemas.openxmlformats.org/drawingml/2006/chartDrawing">
    <cdr:from>
      <cdr:x>0.298447789275635</cdr:x>
      <cdr:y>0.103016405009702</cdr:y>
    </cdr:from>
    <cdr:to>
      <cdr:x>0.345954844778928</cdr:x>
      <cdr:y>0.103545598871053</cdr:y>
    </cdr:to>
    <cdr:sp>
      <cdr:nvSpPr>
        <cdr:cNvPr id="5" name="直接连接符 4"/>
        <cdr:cNvSpPr/>
      </cdr:nvSpPr>
      <cdr:spPr xmlns:a="http://schemas.openxmlformats.org/drawingml/2006/main">
        <a:xfrm xmlns:a="http://schemas.openxmlformats.org/drawingml/2006/main" flipV="1">
          <a:off x="1611630" y="370840"/>
          <a:ext cx="256540" cy="1905"/>
        </a:xfrm>
        <a:prstGeom xmlns:a="http://schemas.openxmlformats.org/drawingml/2006/main" prst="line">
          <a:avLst/>
        </a:prstGeom>
        <a:l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0.549498525073746</cdr:x>
      <cdr:y>0.10253231804498</cdr:y>
    </cdr:from>
    <cdr:to>
      <cdr:x>0.609321533923304</cdr:x>
      <cdr:y>0.10253231804498</cdr:y>
    </cdr:to>
    <cdr:sp>
      <cdr:nvSpPr>
        <cdr:cNvPr id="6" name="直接连接符 5"/>
        <cdr:cNvSpPr/>
      </cdr:nvSpPr>
      <cdr:spPr xmlns:a="http://schemas.openxmlformats.org/drawingml/2006/main">
        <a:xfrm xmlns:a="http://schemas.openxmlformats.org/drawingml/2006/main">
          <a:off x="2957195" y="367665"/>
          <a:ext cx="321945" cy="0"/>
        </a:xfrm>
        <a:prstGeom xmlns:a="http://schemas.openxmlformats.org/drawingml/2006/main" prst="line">
          <a:avLst/>
        </a:prstGeom>
        <a:ln w="12700" cmpd="sng">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0.108775792078629</cdr:x>
      <cdr:y>0.183788503072535</cdr:y>
    </cdr:from>
    <cdr:to>
      <cdr:x>0.974887033571236</cdr:x>
      <cdr:y>0.184153666483162</cdr:y>
    </cdr:to>
    <cdr:sp>
      <cdr:nvSpPr>
        <cdr:cNvPr id="7" name="直接连接符 6"/>
        <cdr:cNvSpPr/>
      </cdr:nvSpPr>
      <cdr:spPr xmlns:a="http://schemas.openxmlformats.org/drawingml/2006/main">
        <a:xfrm xmlns:a="http://schemas.openxmlformats.org/drawingml/2006/main">
          <a:off x="587394" y="661605"/>
          <a:ext cx="4677035" cy="1315"/>
        </a:xfrm>
        <a:prstGeom xmlns:a="http://schemas.openxmlformats.org/drawingml/2006/main" prst="line">
          <a:avLst/>
        </a:prstGeom>
        <a:ln w="9525">
          <a:solidFill>
            <a:schemeClr val="tx1"/>
          </a:solidFill>
          <a:prstDash val="lg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4.xml><?xml version="1.0" encoding="utf-8"?>
<c:userShapes xmlns:c="http://schemas.openxmlformats.org/drawingml/2006/chart">
  <cdr:relSizeAnchor xmlns:cdr="http://schemas.openxmlformats.org/drawingml/2006/chartDrawing">
    <cdr:from>
      <cdr:x>0.0998269098607313</cdr:x>
      <cdr:y>0.544398078232155</cdr:y>
    </cdr:from>
    <cdr:to>
      <cdr:x>0.975062093303817</cdr:x>
      <cdr:y>0.545280068001075</cdr:y>
    </cdr:to>
    <cdr:sp>
      <cdr:nvSpPr>
        <cdr:cNvPr id="2" name="直接连接符 1"/>
        <cdr:cNvSpPr/>
      </cdr:nvSpPr>
      <cdr:spPr xmlns:a="http://schemas.openxmlformats.org/drawingml/2006/main">
        <a:xfrm xmlns:a="http://schemas.openxmlformats.org/drawingml/2006/main">
          <a:off x="539069" y="1959732"/>
          <a:ext cx="4726305" cy="3175"/>
        </a:xfrm>
        <a:prstGeom xmlns:a="http://schemas.openxmlformats.org/drawingml/2006/main" prst="line">
          <a:avLst/>
        </a:prstGeom>
        <a:ln w="19050" cmpd="sng">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0.198730009407338</cdr:x>
      <cdr:y>1.20920797318751</cdr:y>
    </cdr:from>
    <cdr:to>
      <cdr:x>0.428033866415804</cdr:x>
      <cdr:y>1</cdr:y>
    </cdr:to>
    <cdr:sp>
      <cdr:nvSpPr>
        <cdr:cNvPr id="3" name="矩形 2"/>
        <cdr:cNvSpPr/>
      </cdr:nvSpPr>
      <cdr:spPr xmlns:a="http://schemas.openxmlformats.org/drawingml/2006/main">
        <a:xfrm xmlns:a="http://schemas.openxmlformats.org/drawingml/2006/main">
          <a:off x="1073150" y="3599815"/>
          <a:ext cx="1238250" cy="753110"/>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endParaRPr lang="zh-CN" altLang="en-US"/>
        </a:p>
      </cdr:txBody>
    </cdr:sp>
  </cdr:relSizeAnchor>
  <cdr:relSizeAnchor xmlns:cdr="http://schemas.openxmlformats.org/drawingml/2006/chartDrawing">
    <cdr:from>
      <cdr:x>0.34771872060207</cdr:x>
      <cdr:y>0.0739107426353854</cdr:y>
    </cdr:from>
    <cdr:to>
      <cdr:x>0.768579492003763</cdr:x>
      <cdr:y>0.147821485270771</cdr:y>
    </cdr:to>
    <cdr:sp>
      <cdr:nvSpPr>
        <cdr:cNvPr id="4" name="矩形 3"/>
        <cdr:cNvSpPr/>
      </cdr:nvSpPr>
      <cdr:spPr xmlns:a="http://schemas.openxmlformats.org/drawingml/2006/main">
        <a:xfrm xmlns:a="http://schemas.openxmlformats.org/drawingml/2006/main">
          <a:off x="1877695" y="266065"/>
          <a:ext cx="2272665" cy="266065"/>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r>
            <a:rPr lang="zh-CN" altLang="en-US" sz="1000"/>
            <a:t>平均值                                    区域背景值</a:t>
          </a:r>
          <a:endParaRPr lang="zh-CN" altLang="en-US" sz="1000"/>
        </a:p>
        <a:p>
          <a:endParaRPr lang="zh-CN" altLang="en-US" sz="1000"/>
        </a:p>
      </cdr:txBody>
    </cdr:sp>
  </cdr:relSizeAnchor>
  <cdr:relSizeAnchor xmlns:cdr="http://schemas.openxmlformats.org/drawingml/2006/chartDrawing">
    <cdr:from>
      <cdr:x>0.298447789275635</cdr:x>
      <cdr:y>0.103016405009702</cdr:y>
    </cdr:from>
    <cdr:to>
      <cdr:x>0.345954844778928</cdr:x>
      <cdr:y>0.103545598871053</cdr:y>
    </cdr:to>
    <cdr:sp>
      <cdr:nvSpPr>
        <cdr:cNvPr id="5" name="直接连接符 4"/>
        <cdr:cNvSpPr/>
      </cdr:nvSpPr>
      <cdr:spPr xmlns:a="http://schemas.openxmlformats.org/drawingml/2006/main">
        <a:xfrm xmlns:a="http://schemas.openxmlformats.org/drawingml/2006/main" flipV="1">
          <a:off x="1611630" y="370840"/>
          <a:ext cx="256540" cy="1905"/>
        </a:xfrm>
        <a:prstGeom xmlns:a="http://schemas.openxmlformats.org/drawingml/2006/main" prst="line">
          <a:avLst/>
        </a:prstGeom>
        <a:l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0.104296645085344</cdr:x>
      <cdr:y>0.357612364540771</cdr:y>
    </cdr:from>
    <cdr:to>
      <cdr:x>0.983755150088287</cdr:x>
      <cdr:y>0.360632439154379</cdr:y>
    </cdr:to>
    <cdr:sp>
      <cdr:nvSpPr>
        <cdr:cNvPr id="6" name="直接连接符 5"/>
        <cdr:cNvSpPr/>
      </cdr:nvSpPr>
      <cdr:spPr xmlns:a="http://schemas.openxmlformats.org/drawingml/2006/main">
        <a:xfrm xmlns:a="http://schemas.openxmlformats.org/drawingml/2006/main" flipV="1">
          <a:off x="562610" y="1278255"/>
          <a:ext cx="4744085" cy="10795"/>
        </a:xfrm>
        <a:prstGeom xmlns:a="http://schemas.openxmlformats.org/drawingml/2006/main" prst="line">
          <a:avLst/>
        </a:prstGeom>
        <a:ln w="12700" cmpd="sng">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0.549498525073746</cdr:x>
      <cdr:y>0.10253231804498</cdr:y>
    </cdr:from>
    <cdr:to>
      <cdr:x>0.609321533923304</cdr:x>
      <cdr:y>0.10253231804498</cdr:y>
    </cdr:to>
    <cdr:sp>
      <cdr:nvSpPr>
        <cdr:cNvPr id="7" name="直接连接符 6"/>
        <cdr:cNvSpPr/>
      </cdr:nvSpPr>
      <cdr:spPr xmlns:a="http://schemas.openxmlformats.org/drawingml/2006/main">
        <a:xfrm xmlns:a="http://schemas.openxmlformats.org/drawingml/2006/main">
          <a:off x="2957195" y="367665"/>
          <a:ext cx="321945" cy="0"/>
        </a:xfrm>
        <a:prstGeom xmlns:a="http://schemas.openxmlformats.org/drawingml/2006/main" prst="line">
          <a:avLst/>
        </a:prstGeom>
        <a:ln w="12700" cmpd="sng">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5.xml><?xml version="1.0" encoding="utf-8"?>
<c:userShapes xmlns:c="http://schemas.openxmlformats.org/drawingml/2006/chart">
  <cdr:relSizeAnchor xmlns:cdr="http://schemas.openxmlformats.org/drawingml/2006/chartDrawing">
    <cdr:from>
      <cdr:x>0.101834430856068</cdr:x>
      <cdr:y>0.487563944258247</cdr:y>
    </cdr:from>
    <cdr:to>
      <cdr:x>0.975423330197554</cdr:x>
      <cdr:y>0.489327923796084</cdr:y>
    </cdr:to>
    <cdr:sp>
      <cdr:nvSpPr>
        <cdr:cNvPr id="2" name="直接连接符 1"/>
        <cdr:cNvSpPr/>
      </cdr:nvSpPr>
      <cdr:spPr xmlns:a="http://schemas.openxmlformats.org/drawingml/2006/main">
        <a:xfrm xmlns:a="http://schemas.openxmlformats.org/drawingml/2006/main" flipV="1">
          <a:off x="549910" y="1755140"/>
          <a:ext cx="4717415" cy="6350"/>
        </a:xfrm>
        <a:prstGeom xmlns:a="http://schemas.openxmlformats.org/drawingml/2006/main" prst="line">
          <a:avLst/>
        </a:prstGeom>
        <a:ln w="19050" cmpd="sng">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0.198730009407338</cdr:x>
      <cdr:y>1.20920797318751</cdr:y>
    </cdr:from>
    <cdr:to>
      <cdr:x>0.428033866415804</cdr:x>
      <cdr:y>1</cdr:y>
    </cdr:to>
    <cdr:sp>
      <cdr:nvSpPr>
        <cdr:cNvPr id="3" name="矩形 2"/>
        <cdr:cNvSpPr/>
      </cdr:nvSpPr>
      <cdr:spPr xmlns:a="http://schemas.openxmlformats.org/drawingml/2006/main">
        <a:xfrm xmlns:a="http://schemas.openxmlformats.org/drawingml/2006/main">
          <a:off x="1073150" y="3599815"/>
          <a:ext cx="1238250" cy="753110"/>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endParaRPr lang="zh-CN" altLang="en-US"/>
        </a:p>
      </cdr:txBody>
    </cdr:sp>
  </cdr:relSizeAnchor>
  <cdr:relSizeAnchor xmlns:cdr="http://schemas.openxmlformats.org/drawingml/2006/chartDrawing">
    <cdr:from>
      <cdr:x>0.34771872060207</cdr:x>
      <cdr:y>0.0739107426353854</cdr:y>
    </cdr:from>
    <cdr:to>
      <cdr:x>0.768579492003763</cdr:x>
      <cdr:y>0.147821485270771</cdr:y>
    </cdr:to>
    <cdr:sp>
      <cdr:nvSpPr>
        <cdr:cNvPr id="4" name="矩形 3"/>
        <cdr:cNvSpPr/>
      </cdr:nvSpPr>
      <cdr:spPr xmlns:a="http://schemas.openxmlformats.org/drawingml/2006/main">
        <a:xfrm xmlns:a="http://schemas.openxmlformats.org/drawingml/2006/main">
          <a:off x="1877695" y="266065"/>
          <a:ext cx="2272665" cy="266065"/>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r>
            <a:rPr lang="zh-CN" altLang="en-US" sz="1000"/>
            <a:t>平均值                                    区域背景值</a:t>
          </a:r>
          <a:endParaRPr lang="zh-CN" altLang="en-US" sz="1000"/>
        </a:p>
        <a:p>
          <a:endParaRPr lang="zh-CN" altLang="en-US" sz="1000"/>
        </a:p>
      </cdr:txBody>
    </cdr:sp>
  </cdr:relSizeAnchor>
  <cdr:relSizeAnchor xmlns:cdr="http://schemas.openxmlformats.org/drawingml/2006/chartDrawing">
    <cdr:from>
      <cdr:x>0.298447789275635</cdr:x>
      <cdr:y>0.103016405009702</cdr:y>
    </cdr:from>
    <cdr:to>
      <cdr:x>0.345954844778928</cdr:x>
      <cdr:y>0.103545598871053</cdr:y>
    </cdr:to>
    <cdr:sp>
      <cdr:nvSpPr>
        <cdr:cNvPr id="5" name="直接连接符 4"/>
        <cdr:cNvSpPr/>
      </cdr:nvSpPr>
      <cdr:spPr xmlns:a="http://schemas.openxmlformats.org/drawingml/2006/main">
        <a:xfrm xmlns:a="http://schemas.openxmlformats.org/drawingml/2006/main" flipV="1">
          <a:off x="1611630" y="370840"/>
          <a:ext cx="256540" cy="1905"/>
        </a:xfrm>
        <a:prstGeom xmlns:a="http://schemas.openxmlformats.org/drawingml/2006/main" prst="line">
          <a:avLst/>
        </a:prstGeom>
        <a:l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0.0999530736743313</cdr:x>
      <cdr:y>0.177183149520882</cdr:y>
    </cdr:from>
    <cdr:to>
      <cdr:x>0.981464101360863</cdr:x>
      <cdr:y>0.180256734767673</cdr:y>
    </cdr:to>
    <cdr:sp>
      <cdr:nvSpPr>
        <cdr:cNvPr id="6" name="直接连接符 5"/>
        <cdr:cNvSpPr/>
      </cdr:nvSpPr>
      <cdr:spPr xmlns:a="http://schemas.openxmlformats.org/drawingml/2006/main">
        <a:xfrm xmlns:a="http://schemas.openxmlformats.org/drawingml/2006/main" flipV="1">
          <a:off x="541020" y="622300"/>
          <a:ext cx="4771390" cy="10795"/>
        </a:xfrm>
        <a:prstGeom xmlns:a="http://schemas.openxmlformats.org/drawingml/2006/main" prst="line">
          <a:avLst/>
        </a:prstGeom>
        <a:ln w="12700" cmpd="sng">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0.549498525073746</cdr:x>
      <cdr:y>0.10253231804498</cdr:y>
    </cdr:from>
    <cdr:to>
      <cdr:x>0.609321533923304</cdr:x>
      <cdr:y>0.10253231804498</cdr:y>
    </cdr:to>
    <cdr:sp>
      <cdr:nvSpPr>
        <cdr:cNvPr id="7" name="直接连接符 6"/>
        <cdr:cNvSpPr/>
      </cdr:nvSpPr>
      <cdr:spPr xmlns:a="http://schemas.openxmlformats.org/drawingml/2006/main">
        <a:xfrm xmlns:a="http://schemas.openxmlformats.org/drawingml/2006/main">
          <a:off x="2957195" y="367665"/>
          <a:ext cx="321945" cy="0"/>
        </a:xfrm>
        <a:prstGeom xmlns:a="http://schemas.openxmlformats.org/drawingml/2006/main" prst="line">
          <a:avLst/>
        </a:prstGeom>
        <a:ln w="12700" cmpd="sng">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6.xml><?xml version="1.0" encoding="utf-8"?>
<c:userShapes xmlns:c="http://schemas.openxmlformats.org/drawingml/2006/chart">
  <cdr:relSizeAnchor xmlns:cdr="http://schemas.openxmlformats.org/drawingml/2006/chartDrawing">
    <cdr:from>
      <cdr:x>0.0983066792097837</cdr:x>
      <cdr:y>0.521079555477156</cdr:y>
    </cdr:from>
    <cdr:to>
      <cdr:x>0.973541862652869</cdr:x>
      <cdr:y>0.521961545246076</cdr:y>
    </cdr:to>
    <cdr:sp>
      <cdr:nvSpPr>
        <cdr:cNvPr id="2" name="直接连接符 1"/>
        <cdr:cNvSpPr/>
      </cdr:nvSpPr>
      <cdr:spPr xmlns:a="http://schemas.openxmlformats.org/drawingml/2006/main">
        <a:xfrm xmlns:a="http://schemas.openxmlformats.org/drawingml/2006/main">
          <a:off x="530860" y="1875790"/>
          <a:ext cx="4726305" cy="3175"/>
        </a:xfrm>
        <a:prstGeom xmlns:a="http://schemas.openxmlformats.org/drawingml/2006/main" prst="line">
          <a:avLst/>
        </a:prstGeom>
        <a:ln w="19050" cmpd="sng">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0.198730009407338</cdr:x>
      <cdr:y>1.20920797318751</cdr:y>
    </cdr:from>
    <cdr:to>
      <cdr:x>0.428033866415804</cdr:x>
      <cdr:y>1</cdr:y>
    </cdr:to>
    <cdr:sp>
      <cdr:nvSpPr>
        <cdr:cNvPr id="3" name="矩形 2"/>
        <cdr:cNvSpPr/>
      </cdr:nvSpPr>
      <cdr:spPr xmlns:a="http://schemas.openxmlformats.org/drawingml/2006/main">
        <a:xfrm xmlns:a="http://schemas.openxmlformats.org/drawingml/2006/main">
          <a:off x="1073150" y="3599815"/>
          <a:ext cx="1238250" cy="753110"/>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endParaRPr lang="zh-CN" altLang="en-US"/>
        </a:p>
      </cdr:txBody>
    </cdr:sp>
  </cdr:relSizeAnchor>
  <cdr:relSizeAnchor xmlns:cdr="http://schemas.openxmlformats.org/drawingml/2006/chartDrawing">
    <cdr:from>
      <cdr:x>0.34771872060207</cdr:x>
      <cdr:y>0.0739107426353854</cdr:y>
    </cdr:from>
    <cdr:to>
      <cdr:x>0.768579492003763</cdr:x>
      <cdr:y>0.147821485270771</cdr:y>
    </cdr:to>
    <cdr:sp>
      <cdr:nvSpPr>
        <cdr:cNvPr id="4" name="矩形 3"/>
        <cdr:cNvSpPr/>
      </cdr:nvSpPr>
      <cdr:spPr xmlns:a="http://schemas.openxmlformats.org/drawingml/2006/main">
        <a:xfrm xmlns:a="http://schemas.openxmlformats.org/drawingml/2006/main">
          <a:off x="1877695" y="266065"/>
          <a:ext cx="2272665" cy="266065"/>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r>
            <a:rPr lang="zh-CN" altLang="en-US" sz="1000"/>
            <a:t>平均值                                    区域背景值</a:t>
          </a:r>
          <a:endParaRPr lang="zh-CN" altLang="en-US" sz="1000"/>
        </a:p>
        <a:p>
          <a:endParaRPr lang="zh-CN" altLang="en-US" sz="1000"/>
        </a:p>
      </cdr:txBody>
    </cdr:sp>
  </cdr:relSizeAnchor>
  <cdr:relSizeAnchor xmlns:cdr="http://schemas.openxmlformats.org/drawingml/2006/chartDrawing">
    <cdr:from>
      <cdr:x>0.298447789275635</cdr:x>
      <cdr:y>0.103016405009702</cdr:y>
    </cdr:from>
    <cdr:to>
      <cdr:x>0.345954844778928</cdr:x>
      <cdr:y>0.103545598871053</cdr:y>
    </cdr:to>
    <cdr:sp>
      <cdr:nvSpPr>
        <cdr:cNvPr id="5" name="直接连接符 4"/>
        <cdr:cNvSpPr/>
      </cdr:nvSpPr>
      <cdr:spPr xmlns:a="http://schemas.openxmlformats.org/drawingml/2006/main">
        <a:xfrm xmlns:a="http://schemas.openxmlformats.org/drawingml/2006/main" flipV="1">
          <a:off x="1611630" y="370840"/>
          <a:ext cx="256540" cy="1905"/>
        </a:xfrm>
        <a:prstGeom xmlns:a="http://schemas.openxmlformats.org/drawingml/2006/main" prst="line">
          <a:avLst/>
        </a:prstGeom>
        <a:l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0.0863123236124177</cdr:x>
      <cdr:y>0.181394515146084</cdr:y>
    </cdr:from>
    <cdr:to>
      <cdr:x>0.990592662276576</cdr:x>
      <cdr:y>0.18211148951425</cdr:y>
    </cdr:to>
    <cdr:sp>
      <cdr:nvSpPr>
        <cdr:cNvPr id="6" name="直接连接符 5"/>
        <cdr:cNvSpPr/>
      </cdr:nvSpPr>
      <cdr:spPr xmlns:a="http://schemas.openxmlformats.org/drawingml/2006/main">
        <a:xfrm xmlns:a="http://schemas.openxmlformats.org/drawingml/2006/main">
          <a:off x="466090" y="642620"/>
          <a:ext cx="4883150" cy="2540"/>
        </a:xfrm>
        <a:prstGeom xmlns:a="http://schemas.openxmlformats.org/drawingml/2006/main" prst="line">
          <a:avLst/>
        </a:prstGeom>
        <a:ln w="12700" cmpd="sng">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0.549498525073746</cdr:x>
      <cdr:y>0.10253231804498</cdr:y>
    </cdr:from>
    <cdr:to>
      <cdr:x>0.609321533923304</cdr:x>
      <cdr:y>0.10253231804498</cdr:y>
    </cdr:to>
    <cdr:sp>
      <cdr:nvSpPr>
        <cdr:cNvPr id="7" name="直接连接符 6"/>
        <cdr:cNvSpPr/>
      </cdr:nvSpPr>
      <cdr:spPr xmlns:a="http://schemas.openxmlformats.org/drawingml/2006/main">
        <a:xfrm xmlns:a="http://schemas.openxmlformats.org/drawingml/2006/main">
          <a:off x="2957195" y="367665"/>
          <a:ext cx="321945" cy="0"/>
        </a:xfrm>
        <a:prstGeom xmlns:a="http://schemas.openxmlformats.org/drawingml/2006/main" prst="line">
          <a:avLst/>
        </a:prstGeom>
        <a:ln w="12700" cmpd="sng">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7.xml><?xml version="1.0" encoding="utf-8"?>
<c:userShapes xmlns:c="http://schemas.openxmlformats.org/drawingml/2006/chart">
  <cdr:relSizeAnchor xmlns:cdr="http://schemas.openxmlformats.org/drawingml/2006/chartDrawing">
    <cdr:from>
      <cdr:x>0.110070688780633</cdr:x>
      <cdr:y>0.577792089773557</cdr:y>
    </cdr:from>
    <cdr:to>
      <cdr:x>0.985305872223718</cdr:x>
      <cdr:y>0.578674079542477</cdr:y>
    </cdr:to>
    <cdr:sp>
      <cdr:nvSpPr>
        <cdr:cNvPr id="2" name="直接连接符 1"/>
        <cdr:cNvSpPr/>
      </cdr:nvSpPr>
      <cdr:spPr xmlns:a="http://schemas.openxmlformats.org/drawingml/2006/main">
        <a:xfrm xmlns:a="http://schemas.openxmlformats.org/drawingml/2006/main">
          <a:off x="595644" y="2009500"/>
          <a:ext cx="4736309" cy="3067"/>
        </a:xfrm>
        <a:prstGeom xmlns:a="http://schemas.openxmlformats.org/drawingml/2006/main" prst="line">
          <a:avLst/>
        </a:prstGeom>
        <a:ln w="19050" cmpd="sng">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0.198730009407338</cdr:x>
      <cdr:y>1.20920797318751</cdr:y>
    </cdr:from>
    <cdr:to>
      <cdr:x>0.428033866415804</cdr:x>
      <cdr:y>1</cdr:y>
    </cdr:to>
    <cdr:sp>
      <cdr:nvSpPr>
        <cdr:cNvPr id="3" name="矩形 2"/>
        <cdr:cNvSpPr/>
      </cdr:nvSpPr>
      <cdr:spPr xmlns:a="http://schemas.openxmlformats.org/drawingml/2006/main">
        <a:xfrm xmlns:a="http://schemas.openxmlformats.org/drawingml/2006/main">
          <a:off x="1073150" y="3599815"/>
          <a:ext cx="1238250" cy="753110"/>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endParaRPr lang="zh-CN" altLang="en-US"/>
        </a:p>
      </cdr:txBody>
    </cdr:sp>
  </cdr:relSizeAnchor>
  <cdr:relSizeAnchor xmlns:cdr="http://schemas.openxmlformats.org/drawingml/2006/chartDrawing">
    <cdr:from>
      <cdr:x>0.34771872060207</cdr:x>
      <cdr:y>0.0739107426353854</cdr:y>
    </cdr:from>
    <cdr:to>
      <cdr:x>0.768579492003763</cdr:x>
      <cdr:y>0.147821485270771</cdr:y>
    </cdr:to>
    <cdr:sp>
      <cdr:nvSpPr>
        <cdr:cNvPr id="4" name="矩形 3"/>
        <cdr:cNvSpPr/>
      </cdr:nvSpPr>
      <cdr:spPr xmlns:a="http://schemas.openxmlformats.org/drawingml/2006/main">
        <a:xfrm xmlns:a="http://schemas.openxmlformats.org/drawingml/2006/main">
          <a:off x="1877695" y="266065"/>
          <a:ext cx="2272665" cy="266065"/>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r>
            <a:rPr lang="zh-CN" altLang="en-US" sz="1000"/>
            <a:t>平均值                                    区域背景值</a:t>
          </a:r>
          <a:endParaRPr lang="zh-CN" altLang="en-US" sz="1000"/>
        </a:p>
        <a:p>
          <a:endParaRPr lang="zh-CN" altLang="en-US" sz="1000"/>
        </a:p>
      </cdr:txBody>
    </cdr:sp>
  </cdr:relSizeAnchor>
  <cdr:relSizeAnchor xmlns:cdr="http://schemas.openxmlformats.org/drawingml/2006/chartDrawing">
    <cdr:from>
      <cdr:x>0.298447789275635</cdr:x>
      <cdr:y>0.103016405009702</cdr:y>
    </cdr:from>
    <cdr:to>
      <cdr:x>0.345954844778928</cdr:x>
      <cdr:y>0.103545598871053</cdr:y>
    </cdr:to>
    <cdr:sp>
      <cdr:nvSpPr>
        <cdr:cNvPr id="5" name="直接连接符 4"/>
        <cdr:cNvSpPr/>
      </cdr:nvSpPr>
      <cdr:spPr xmlns:a="http://schemas.openxmlformats.org/drawingml/2006/main">
        <a:xfrm xmlns:a="http://schemas.openxmlformats.org/drawingml/2006/main" flipV="1">
          <a:off x="1611630" y="370840"/>
          <a:ext cx="256540" cy="1905"/>
        </a:xfrm>
        <a:prstGeom xmlns:a="http://schemas.openxmlformats.org/drawingml/2006/main" prst="line">
          <a:avLst/>
        </a:prstGeom>
        <a:l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0.101212192538543</cdr:x>
      <cdr:y>0.243064256309289</cdr:y>
    </cdr:from>
    <cdr:to>
      <cdr:x>0.97646228080499</cdr:x>
      <cdr:y>0.244854125648828</cdr:y>
    </cdr:to>
    <cdr:sp>
      <cdr:nvSpPr>
        <cdr:cNvPr id="6" name="直接连接符 5"/>
        <cdr:cNvSpPr/>
      </cdr:nvSpPr>
      <cdr:spPr xmlns:a="http://schemas.openxmlformats.org/drawingml/2006/main">
        <a:xfrm xmlns:a="http://schemas.openxmlformats.org/drawingml/2006/main" flipV="1">
          <a:off x="546100" y="862330"/>
          <a:ext cx="4722495" cy="6350"/>
        </a:xfrm>
        <a:prstGeom xmlns:a="http://schemas.openxmlformats.org/drawingml/2006/main" prst="line">
          <a:avLst/>
        </a:prstGeom>
        <a:ln w="12700" cmpd="sng">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0.549498525073746</cdr:x>
      <cdr:y>0.10253231804498</cdr:y>
    </cdr:from>
    <cdr:to>
      <cdr:x>0.609321533923304</cdr:x>
      <cdr:y>0.10253231804498</cdr:y>
    </cdr:to>
    <cdr:sp>
      <cdr:nvSpPr>
        <cdr:cNvPr id="7" name="直接连接符 6"/>
        <cdr:cNvSpPr/>
      </cdr:nvSpPr>
      <cdr:spPr xmlns:a="http://schemas.openxmlformats.org/drawingml/2006/main">
        <a:xfrm xmlns:a="http://schemas.openxmlformats.org/drawingml/2006/main">
          <a:off x="2957195" y="367665"/>
          <a:ext cx="321945" cy="0"/>
        </a:xfrm>
        <a:prstGeom xmlns:a="http://schemas.openxmlformats.org/drawingml/2006/main" prst="line">
          <a:avLst/>
        </a:prstGeom>
        <a:ln w="12700" cmpd="sng">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8.xml><?xml version="1.0" encoding="utf-8"?>
<c:userShapes xmlns:c="http://schemas.openxmlformats.org/drawingml/2006/chart">
  <cdr:relSizeAnchor xmlns:cdr="http://schemas.openxmlformats.org/drawingml/2006/chartDrawing">
    <cdr:from>
      <cdr:x>0.098424270931326</cdr:x>
      <cdr:y>0.79132122067384</cdr:y>
    </cdr:from>
    <cdr:to>
      <cdr:x>0.979068673565381</cdr:x>
      <cdr:y>0.791497618627624</cdr:y>
    </cdr:to>
    <cdr:sp>
      <cdr:nvSpPr>
        <cdr:cNvPr id="2" name="直接连接符 1"/>
        <cdr:cNvSpPr/>
      </cdr:nvSpPr>
      <cdr:spPr xmlns:a="http://schemas.openxmlformats.org/drawingml/2006/main">
        <a:xfrm xmlns:a="http://schemas.openxmlformats.org/drawingml/2006/main">
          <a:off x="531495" y="2848610"/>
          <a:ext cx="4755515" cy="635"/>
        </a:xfrm>
        <a:prstGeom xmlns:a="http://schemas.openxmlformats.org/drawingml/2006/main" prst="line">
          <a:avLst/>
        </a:prstGeom>
        <a:ln w="19050" cmpd="sng">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0.198730009407338</cdr:x>
      <cdr:y>1.20920797318751</cdr:y>
    </cdr:from>
    <cdr:to>
      <cdr:x>0.428033866415804</cdr:x>
      <cdr:y>1</cdr:y>
    </cdr:to>
    <cdr:sp>
      <cdr:nvSpPr>
        <cdr:cNvPr id="3" name="矩形 2"/>
        <cdr:cNvSpPr/>
      </cdr:nvSpPr>
      <cdr:spPr xmlns:a="http://schemas.openxmlformats.org/drawingml/2006/main">
        <a:xfrm xmlns:a="http://schemas.openxmlformats.org/drawingml/2006/main">
          <a:off x="1073150" y="3599815"/>
          <a:ext cx="1238250" cy="753110"/>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endParaRPr lang="zh-CN" altLang="en-US"/>
        </a:p>
      </cdr:txBody>
    </cdr:sp>
  </cdr:relSizeAnchor>
  <cdr:relSizeAnchor xmlns:cdr="http://schemas.openxmlformats.org/drawingml/2006/chartDrawing">
    <cdr:from>
      <cdr:x>0.34771872060207</cdr:x>
      <cdr:y>0.0739107426353854</cdr:y>
    </cdr:from>
    <cdr:to>
      <cdr:x>0.768579492003763</cdr:x>
      <cdr:y>0.147821485270771</cdr:y>
    </cdr:to>
    <cdr:sp>
      <cdr:nvSpPr>
        <cdr:cNvPr id="4" name="矩形 3"/>
        <cdr:cNvSpPr/>
      </cdr:nvSpPr>
      <cdr:spPr xmlns:a="http://schemas.openxmlformats.org/drawingml/2006/main">
        <a:xfrm xmlns:a="http://schemas.openxmlformats.org/drawingml/2006/main">
          <a:off x="1877695" y="266065"/>
          <a:ext cx="2272665" cy="266065"/>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r>
            <a:rPr lang="zh-CN" altLang="en-US" sz="1000"/>
            <a:t>平均值                                    区域背景值</a:t>
          </a:r>
          <a:endParaRPr lang="zh-CN" altLang="en-US" sz="1000"/>
        </a:p>
        <a:p>
          <a:endParaRPr lang="zh-CN" altLang="en-US" sz="1000"/>
        </a:p>
      </cdr:txBody>
    </cdr:sp>
  </cdr:relSizeAnchor>
  <cdr:relSizeAnchor xmlns:cdr="http://schemas.openxmlformats.org/drawingml/2006/chartDrawing">
    <cdr:from>
      <cdr:x>0.298447789275635</cdr:x>
      <cdr:y>0.103016405009702</cdr:y>
    </cdr:from>
    <cdr:to>
      <cdr:x>0.345954844778928</cdr:x>
      <cdr:y>0.103545598871053</cdr:y>
    </cdr:to>
    <cdr:sp>
      <cdr:nvSpPr>
        <cdr:cNvPr id="5" name="直接连接符 4"/>
        <cdr:cNvSpPr/>
      </cdr:nvSpPr>
      <cdr:spPr xmlns:a="http://schemas.openxmlformats.org/drawingml/2006/main">
        <a:xfrm xmlns:a="http://schemas.openxmlformats.org/drawingml/2006/main" flipV="1">
          <a:off x="1611630" y="370840"/>
          <a:ext cx="256540" cy="1905"/>
        </a:xfrm>
        <a:prstGeom xmlns:a="http://schemas.openxmlformats.org/drawingml/2006/main" prst="line">
          <a:avLst/>
        </a:prstGeom>
        <a:l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0.097356983218251</cdr:x>
      <cdr:y>0.13450903192172</cdr:y>
    </cdr:from>
    <cdr:to>
      <cdr:x>0.977685814692121</cdr:x>
      <cdr:y>0.135218755129669</cdr:y>
    </cdr:to>
    <cdr:sp>
      <cdr:nvSpPr>
        <cdr:cNvPr id="6" name="直接连接符 5"/>
        <cdr:cNvSpPr/>
      </cdr:nvSpPr>
      <cdr:spPr xmlns:a="http://schemas.openxmlformats.org/drawingml/2006/main">
        <a:xfrm xmlns:a="http://schemas.openxmlformats.org/drawingml/2006/main">
          <a:off x="526103" y="482670"/>
          <a:ext cx="4757165" cy="2547"/>
        </a:xfrm>
        <a:prstGeom xmlns:a="http://schemas.openxmlformats.org/drawingml/2006/main" prst="line">
          <a:avLst/>
        </a:prstGeom>
        <a:ln w="12700" cmpd="sng">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0.549498525073746</cdr:x>
      <cdr:y>0.10253231804498</cdr:y>
    </cdr:from>
    <cdr:to>
      <cdr:x>0.609321533923304</cdr:x>
      <cdr:y>0.10253231804498</cdr:y>
    </cdr:to>
    <cdr:sp>
      <cdr:nvSpPr>
        <cdr:cNvPr id="7" name="直接连接符 6"/>
        <cdr:cNvSpPr/>
      </cdr:nvSpPr>
      <cdr:spPr xmlns:a="http://schemas.openxmlformats.org/drawingml/2006/main">
        <a:xfrm xmlns:a="http://schemas.openxmlformats.org/drawingml/2006/main">
          <a:off x="2957195" y="367665"/>
          <a:ext cx="321945" cy="0"/>
        </a:xfrm>
        <a:prstGeom xmlns:a="http://schemas.openxmlformats.org/drawingml/2006/main" prst="line">
          <a:avLst/>
        </a:prstGeom>
        <a:ln w="12700" cmpd="sng">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9.xml><?xml version="1.0" encoding="utf-8"?>
<c:userShapes xmlns:c="http://schemas.openxmlformats.org/drawingml/2006/chart">
  <cdr:relSizeAnchor xmlns:cdr="http://schemas.openxmlformats.org/drawingml/2006/chartDrawing">
    <cdr:from>
      <cdr:x>0.103269116334012</cdr:x>
      <cdr:y>0.713787055411231</cdr:y>
    </cdr:from>
    <cdr:to>
      <cdr:x>0.983913518968067</cdr:x>
      <cdr:y>0.713963453365015</cdr:y>
    </cdr:to>
    <cdr:sp>
      <cdr:nvSpPr>
        <cdr:cNvPr id="2" name="直接连接符 1"/>
        <cdr:cNvSpPr/>
      </cdr:nvSpPr>
      <cdr:spPr xmlns:a="http://schemas.openxmlformats.org/drawingml/2006/main">
        <a:xfrm xmlns:a="http://schemas.openxmlformats.org/drawingml/2006/main">
          <a:off x="556805" y="2498340"/>
          <a:ext cx="4748245" cy="617"/>
        </a:xfrm>
        <a:prstGeom xmlns:a="http://schemas.openxmlformats.org/drawingml/2006/main" prst="line">
          <a:avLst/>
        </a:prstGeom>
        <a:ln w="19050" cmpd="sng">
          <a:solidFill>
            <a:schemeClr val="tx1"/>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0.198730009407338</cdr:x>
      <cdr:y>1.20920797318751</cdr:y>
    </cdr:from>
    <cdr:to>
      <cdr:x>0.428033866415804</cdr:x>
      <cdr:y>1</cdr:y>
    </cdr:to>
    <cdr:sp>
      <cdr:nvSpPr>
        <cdr:cNvPr id="3" name="矩形 2"/>
        <cdr:cNvSpPr/>
      </cdr:nvSpPr>
      <cdr:spPr xmlns:a="http://schemas.openxmlformats.org/drawingml/2006/main">
        <a:xfrm xmlns:a="http://schemas.openxmlformats.org/drawingml/2006/main">
          <a:off x="1073150" y="3599815"/>
          <a:ext cx="1238250" cy="753110"/>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endParaRPr lang="zh-CN" altLang="en-US"/>
        </a:p>
      </cdr:txBody>
    </cdr:sp>
  </cdr:relSizeAnchor>
  <cdr:relSizeAnchor xmlns:cdr="http://schemas.openxmlformats.org/drawingml/2006/chartDrawing">
    <cdr:from>
      <cdr:x>0.34771872060207</cdr:x>
      <cdr:y>0.0739107426353854</cdr:y>
    </cdr:from>
    <cdr:to>
      <cdr:x>0.768579492003763</cdr:x>
      <cdr:y>0.147821485270771</cdr:y>
    </cdr:to>
    <cdr:sp>
      <cdr:nvSpPr>
        <cdr:cNvPr id="4" name="矩形 3"/>
        <cdr:cNvSpPr/>
      </cdr:nvSpPr>
      <cdr:spPr xmlns:a="http://schemas.openxmlformats.org/drawingml/2006/main">
        <a:xfrm xmlns:a="http://schemas.openxmlformats.org/drawingml/2006/main">
          <a:off x="1877695" y="266065"/>
          <a:ext cx="2272665" cy="266065"/>
        </a:xfrm>
        <a:prstGeom xmlns:a="http://schemas.openxmlformats.org/drawingml/2006/main" prst="rect">
          <a:avLst/>
        </a:prstGeom>
      </cdr:spPr>
      <cdr:txBody xmlns:a="http://schemas.openxmlformats.org/drawingml/2006/main">
        <a:bodyPr vertOverflow="clip" horzOverflow="clip" vert="horz" wrap="square" lIns="45720" tIns="45720" rIns="45720" bIns="45720" rtlCol="0" anchor="t" anchorCtr="0">
          <a:normAutofit/>
        </a:bodyPr>
        <a:lstStyle>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a:r>
            <a:rPr lang="zh-CN" altLang="en-US" sz="1000"/>
            <a:t>平均值                                    区域背景值</a:t>
          </a:r>
          <a:endParaRPr lang="zh-CN" altLang="en-US" sz="1000"/>
        </a:p>
        <a:p>
          <a:endParaRPr lang="zh-CN" altLang="en-US" sz="1000"/>
        </a:p>
      </cdr:txBody>
    </cdr:sp>
  </cdr:relSizeAnchor>
  <cdr:relSizeAnchor xmlns:cdr="http://schemas.openxmlformats.org/drawingml/2006/chartDrawing">
    <cdr:from>
      <cdr:x>0.298447789275635</cdr:x>
      <cdr:y>0.103016405009702</cdr:y>
    </cdr:from>
    <cdr:to>
      <cdr:x>0.345954844778928</cdr:x>
      <cdr:y>0.103545598871053</cdr:y>
    </cdr:to>
    <cdr:sp>
      <cdr:nvSpPr>
        <cdr:cNvPr id="5" name="直接连接符 4"/>
        <cdr:cNvSpPr/>
      </cdr:nvSpPr>
      <cdr:spPr xmlns:a="http://schemas.openxmlformats.org/drawingml/2006/main">
        <a:xfrm xmlns:a="http://schemas.openxmlformats.org/drawingml/2006/main" flipV="1">
          <a:off x="1611630" y="370840"/>
          <a:ext cx="256540" cy="1905"/>
        </a:xfrm>
        <a:prstGeom xmlns:a="http://schemas.openxmlformats.org/drawingml/2006/main" prst="line">
          <a:avLst/>
        </a:prstGeom>
        <a:l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0.103952201684863</cdr:x>
      <cdr:y>0.219754239158593</cdr:y>
    </cdr:from>
    <cdr:to>
      <cdr:x>0.984281033158733</cdr:x>
      <cdr:y>0.220463962366542</cdr:y>
    </cdr:to>
    <cdr:sp>
      <cdr:nvSpPr>
        <cdr:cNvPr id="6" name="直接连接符 5"/>
        <cdr:cNvSpPr/>
      </cdr:nvSpPr>
      <cdr:spPr xmlns:a="http://schemas.openxmlformats.org/drawingml/2006/main">
        <a:xfrm xmlns:a="http://schemas.openxmlformats.org/drawingml/2006/main">
          <a:off x="560488" y="769166"/>
          <a:ext cx="4746544" cy="2484"/>
        </a:xfrm>
        <a:prstGeom xmlns:a="http://schemas.openxmlformats.org/drawingml/2006/main" prst="line">
          <a:avLst/>
        </a:prstGeom>
        <a:ln w="12700" cmpd="sng">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0.549498525073746</cdr:x>
      <cdr:y>0.10253231804498</cdr:y>
    </cdr:from>
    <cdr:to>
      <cdr:x>0.609321533923304</cdr:x>
      <cdr:y>0.10253231804498</cdr:y>
    </cdr:to>
    <cdr:sp>
      <cdr:nvSpPr>
        <cdr:cNvPr id="7" name="直接连接符 6"/>
        <cdr:cNvSpPr/>
      </cdr:nvSpPr>
      <cdr:spPr xmlns:a="http://schemas.openxmlformats.org/drawingml/2006/main">
        <a:xfrm xmlns:a="http://schemas.openxmlformats.org/drawingml/2006/main">
          <a:off x="2957195" y="367665"/>
          <a:ext cx="321945" cy="0"/>
        </a:xfrm>
        <a:prstGeom xmlns:a="http://schemas.openxmlformats.org/drawingml/2006/main" prst="line">
          <a:avLst/>
        </a:prstGeom>
        <a:ln w="12700" cmpd="sng">
          <a:solidFill>
            <a:schemeClr val="tx1"/>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64</Pages>
  <Words>10925</Words>
  <Characters>62276</Characters>
  <Lines>518</Lines>
  <Paragraphs>146</Paragraphs>
  <TotalTime>5</TotalTime>
  <ScaleCrop>false</ScaleCrop>
  <LinksUpToDate>false</LinksUpToDate>
  <CharactersWithSpaces>73055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2019-11-14T05:54:00Z</dcterms:created>
  <dc:creator>严子麟</dc:creator>
  <cp:lastModifiedBy>LeoXBunny</cp:lastModifiedBy>
  <cp:lastPrinted>2021-02-05T01:51:00Z</cp:lastPrinted>
  <dcterms:modified xsi:type="dcterms:W3CDTF">2021-03-03T02:44:54Z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