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drawings/drawing10.xml" ContentType="application/vnd.openxmlformats-officedocument.drawingml.chartshapes+xml"/>
  <Override PartName="/word/drawings/drawing11.xml" ContentType="application/vnd.openxmlformats-officedocument.drawingml.chartshapes+xml"/>
  <Override PartName="/word/drawings/drawing12.xml" ContentType="application/vnd.openxmlformats-officedocument.drawingml.chartshapes+xml"/>
  <Override PartName="/word/drawings/drawing13.xml" ContentType="application/vnd.openxmlformats-officedocument.drawingml.chartshapes+xml"/>
  <Override PartName="/word/drawings/drawing2.xml" ContentType="application/vnd.openxmlformats-officedocument.drawingml.chartshapes+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word/drawings/drawing6.xml" ContentType="application/vnd.openxmlformats-officedocument.drawingml.chartshapes+xml"/>
  <Override PartName="/word/drawings/drawing7.xml" ContentType="application/vnd.openxmlformats-officedocument.drawingml.chartshapes+xml"/>
  <Override PartName="/word/drawings/drawing8.xml" ContentType="application/vnd.openxmlformats-officedocument.drawingml.chartshapes+xml"/>
  <Override PartName="/word/drawings/drawing9.xml" ContentType="application/vnd.openxmlformats-officedocument.drawingml.chartshap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330C38">
      <w:pPr>
        <w:pStyle w:val="53"/>
        <w:wordWrap w:val="0"/>
        <w:rPr>
          <w:rFonts w:hint="default" w:ascii="Times New Roman" w:hAnsi="Times New Roman" w:eastAsia="宋体" w:cs="Times New Roman"/>
          <w:color w:val="auto"/>
          <w:sz w:val="24"/>
          <w:szCs w:val="24"/>
          <w:highlight w:val="none"/>
        </w:rPr>
      </w:pPr>
      <w:bookmarkStart w:id="58" w:name="_GoBack"/>
      <w:bookmarkEnd w:id="58"/>
      <w:r>
        <w:rPr>
          <w:rFonts w:hint="default" w:ascii="Times New Roman" w:hAnsi="Times New Roman" w:eastAsia="宋体" w:cs="Times New Roman"/>
          <w:color w:val="auto"/>
          <w:sz w:val="24"/>
          <w:szCs w:val="24"/>
          <w:highlight w:val="none"/>
        </w:rPr>
        <w:t>目  录</w:t>
      </w:r>
    </w:p>
    <w:p w14:paraId="63E475ED">
      <w:pPr>
        <w:jc w:val="center"/>
        <w:rPr>
          <w:rFonts w:hint="default" w:ascii="Times New Roman" w:hAnsi="Times New Roman" w:cs="Times New Roman"/>
          <w:b/>
          <w:i/>
          <w:color w:val="auto"/>
          <w:highlight w:val="none"/>
        </w:rPr>
      </w:pPr>
    </w:p>
    <w:p w14:paraId="612A9D74">
      <w:pPr>
        <w:pStyle w:val="16"/>
        <w:tabs>
          <w:tab w:val="right" w:leader="dot" w:pos="9638"/>
        </w:tabs>
        <w:rPr>
          <w:rFonts w:hint="default" w:ascii="Times New Roman" w:hAnsi="Times New Roman" w:cs="Times New Roman"/>
          <w:b/>
          <w:bCs/>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TOC \o "1-2" \h \u </w:instrText>
      </w:r>
      <w:r>
        <w:rPr>
          <w:rFonts w:hint="default" w:ascii="Times New Roman" w:hAnsi="Times New Roman" w:cs="Times New Roman"/>
          <w:color w:val="auto"/>
          <w:highlight w:val="none"/>
        </w:rPr>
        <w:fldChar w:fldCharType="separate"/>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HYPERLINK \l _Toc405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 概述</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_Toc405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- 1 -</w:t>
      </w:r>
      <w:r>
        <w:rPr>
          <w:rFonts w:hint="default" w:ascii="Times New Roman" w:hAnsi="Times New Roman" w:cs="Times New Roman"/>
          <w:b/>
          <w:bCs/>
          <w:color w:val="auto"/>
          <w:highlight w:val="none"/>
        </w:rPr>
        <w:fldChar w:fldCharType="end"/>
      </w:r>
      <w:r>
        <w:rPr>
          <w:rFonts w:hint="default" w:ascii="Times New Roman" w:hAnsi="Times New Roman" w:cs="Times New Roman"/>
          <w:b/>
          <w:bCs/>
          <w:color w:val="auto"/>
          <w:highlight w:val="none"/>
        </w:rPr>
        <w:fldChar w:fldCharType="end"/>
      </w:r>
    </w:p>
    <w:p w14:paraId="707B0552">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_Toc19093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1.1. </w:t>
      </w:r>
      <w:r>
        <w:rPr>
          <w:rFonts w:hint="default" w:ascii="Times New Roman" w:hAnsi="Times New Roman" w:cs="Times New Roman"/>
          <w:color w:val="auto"/>
          <w:highlight w:val="none"/>
        </w:rPr>
        <w:t>项目由来</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_Toc19093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- 1 -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164D79E6">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_Toc397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1.2. </w:t>
      </w:r>
      <w:r>
        <w:rPr>
          <w:rFonts w:hint="default" w:ascii="Times New Roman" w:hAnsi="Times New Roman" w:cs="Times New Roman"/>
          <w:color w:val="auto"/>
          <w:highlight w:val="none"/>
        </w:rPr>
        <w:t>调查目的和原则</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_Toc397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- 1 -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73751DB3">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_Toc20459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1.3. </w:t>
      </w:r>
      <w:r>
        <w:rPr>
          <w:rFonts w:hint="default" w:ascii="Times New Roman" w:hAnsi="Times New Roman" w:cs="Times New Roman"/>
          <w:color w:val="auto"/>
          <w:highlight w:val="none"/>
        </w:rPr>
        <w:t>调查对象和范围</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_Toc20459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- 2 -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77B92276">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_Toc20333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1.4. </w:t>
      </w:r>
      <w:r>
        <w:rPr>
          <w:rFonts w:hint="default" w:ascii="Times New Roman" w:hAnsi="Times New Roman" w:cs="Times New Roman"/>
          <w:color w:val="auto"/>
          <w:highlight w:val="none"/>
        </w:rPr>
        <w:t>调查依据</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_Toc20333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- 2 -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372BD666">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_Toc960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1.5. </w:t>
      </w:r>
      <w:r>
        <w:rPr>
          <w:rFonts w:hint="default" w:ascii="Times New Roman" w:hAnsi="Times New Roman" w:cs="Times New Roman"/>
          <w:color w:val="auto"/>
          <w:highlight w:val="none"/>
        </w:rPr>
        <w:t>调查方法</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_Toc960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- 4 -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485FA747">
      <w:pPr>
        <w:pStyle w:val="16"/>
        <w:tabs>
          <w:tab w:val="right" w:leader="dot" w:pos="9638"/>
        </w:tabs>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HYPERLINK \l _Toc13868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 调查区域概况</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_Toc13868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- 6 -</w:t>
      </w:r>
      <w:r>
        <w:rPr>
          <w:rFonts w:hint="default" w:ascii="Times New Roman" w:hAnsi="Times New Roman" w:cs="Times New Roman"/>
          <w:b/>
          <w:bCs/>
          <w:color w:val="auto"/>
          <w:highlight w:val="none"/>
        </w:rPr>
        <w:fldChar w:fldCharType="end"/>
      </w:r>
      <w:r>
        <w:rPr>
          <w:rFonts w:hint="default" w:ascii="Times New Roman" w:hAnsi="Times New Roman" w:cs="Times New Roman"/>
          <w:b/>
          <w:bCs/>
          <w:color w:val="auto"/>
          <w:highlight w:val="none"/>
        </w:rPr>
        <w:fldChar w:fldCharType="end"/>
      </w:r>
    </w:p>
    <w:p w14:paraId="7ADE377A">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_Toc14573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2.1. </w:t>
      </w:r>
      <w:r>
        <w:rPr>
          <w:rFonts w:hint="default" w:ascii="Times New Roman" w:hAnsi="Times New Roman" w:cs="Times New Roman"/>
          <w:color w:val="auto"/>
          <w:highlight w:val="none"/>
        </w:rPr>
        <w:t>区域环境概况</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_Toc14573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- 6 -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53AB2586">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_Toc2574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2.2. </w:t>
      </w:r>
      <w:r>
        <w:rPr>
          <w:rFonts w:hint="default" w:ascii="Times New Roman" w:hAnsi="Times New Roman" w:cs="Times New Roman"/>
          <w:color w:val="auto"/>
          <w:highlight w:val="none"/>
        </w:rPr>
        <w:t>园区概况</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_Toc2574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- 8 -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5B4D83D4">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_Toc21544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2.3. </w:t>
      </w:r>
      <w:r>
        <w:rPr>
          <w:rFonts w:hint="default" w:ascii="Times New Roman" w:hAnsi="Times New Roman" w:cs="Times New Roman"/>
          <w:color w:val="auto"/>
          <w:highlight w:val="none"/>
        </w:rPr>
        <w:t>园区污染源分析</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_Toc21544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- 12 -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6EC0050A">
      <w:pPr>
        <w:pStyle w:val="16"/>
        <w:tabs>
          <w:tab w:val="right" w:leader="dot" w:pos="9638"/>
        </w:tabs>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HYPERLINK \l _Toc8279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3. 调查工作方案</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_Toc8279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- 14 -</w:t>
      </w:r>
      <w:r>
        <w:rPr>
          <w:rFonts w:hint="default" w:ascii="Times New Roman" w:hAnsi="Times New Roman" w:cs="Times New Roman"/>
          <w:b/>
          <w:bCs/>
          <w:color w:val="auto"/>
          <w:highlight w:val="none"/>
        </w:rPr>
        <w:fldChar w:fldCharType="end"/>
      </w:r>
      <w:r>
        <w:rPr>
          <w:rFonts w:hint="default" w:ascii="Times New Roman" w:hAnsi="Times New Roman" w:cs="Times New Roman"/>
          <w:b/>
          <w:bCs/>
          <w:color w:val="auto"/>
          <w:highlight w:val="none"/>
        </w:rPr>
        <w:fldChar w:fldCharType="end"/>
      </w:r>
    </w:p>
    <w:p w14:paraId="19F47531">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_Toc21380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3.1. </w:t>
      </w:r>
      <w:r>
        <w:rPr>
          <w:rFonts w:hint="default" w:ascii="Times New Roman" w:hAnsi="Times New Roman" w:cs="Times New Roman"/>
          <w:color w:val="auto"/>
          <w:highlight w:val="none"/>
        </w:rPr>
        <w:t>土壤布点方案</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_Toc21380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- 14 -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63503AD1">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_Toc27962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3.2. </w:t>
      </w:r>
      <w:r>
        <w:rPr>
          <w:rFonts w:hint="default" w:ascii="Times New Roman" w:hAnsi="Times New Roman" w:cs="Times New Roman"/>
          <w:color w:val="auto"/>
          <w:highlight w:val="none"/>
        </w:rPr>
        <w:t>地下水布点方案</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_Toc27962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- 17 -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2C6537F9">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_Toc22292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3.3. </w:t>
      </w:r>
      <w:r>
        <w:rPr>
          <w:rFonts w:hint="default" w:ascii="Times New Roman" w:hAnsi="Times New Roman" w:cs="Times New Roman"/>
          <w:color w:val="auto"/>
          <w:highlight w:val="none"/>
        </w:rPr>
        <w:t>采样方案</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_Toc22292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- 17 -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7938F0A1">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_Toc17030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3.4. </w:t>
      </w:r>
      <w:r>
        <w:rPr>
          <w:rFonts w:hint="default" w:ascii="Times New Roman" w:hAnsi="Times New Roman" w:cs="Times New Roman"/>
          <w:color w:val="auto"/>
          <w:highlight w:val="none"/>
        </w:rPr>
        <w:t>质量保证与质量控制</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_Toc17030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- 19 -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29903C35">
      <w:pPr>
        <w:pStyle w:val="16"/>
        <w:tabs>
          <w:tab w:val="right" w:leader="dot" w:pos="9638"/>
        </w:tabs>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HYPERLINK \l _Toc23391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4. 现场工作及实验室分析</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_Toc23391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- 21 -</w:t>
      </w:r>
      <w:r>
        <w:rPr>
          <w:rFonts w:hint="default" w:ascii="Times New Roman" w:hAnsi="Times New Roman" w:cs="Times New Roman"/>
          <w:b/>
          <w:bCs/>
          <w:color w:val="auto"/>
          <w:highlight w:val="none"/>
        </w:rPr>
        <w:fldChar w:fldCharType="end"/>
      </w:r>
      <w:r>
        <w:rPr>
          <w:rFonts w:hint="default" w:ascii="Times New Roman" w:hAnsi="Times New Roman" w:cs="Times New Roman"/>
          <w:b/>
          <w:bCs/>
          <w:color w:val="auto"/>
          <w:highlight w:val="none"/>
        </w:rPr>
        <w:fldChar w:fldCharType="end"/>
      </w:r>
    </w:p>
    <w:p w14:paraId="28125DC4">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_Toc15538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4.1. </w:t>
      </w:r>
      <w:r>
        <w:rPr>
          <w:rFonts w:hint="default" w:ascii="Times New Roman" w:hAnsi="Times New Roman" w:cs="Times New Roman"/>
          <w:color w:val="auto"/>
          <w:highlight w:val="none"/>
        </w:rPr>
        <w:t>现场定点测绘</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_Toc15538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- 21 -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373DCA69">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_Toc7376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4.2. </w:t>
      </w:r>
      <w:r>
        <w:rPr>
          <w:rFonts w:hint="default" w:ascii="Times New Roman" w:hAnsi="Times New Roman" w:cs="Times New Roman"/>
          <w:color w:val="auto"/>
          <w:highlight w:val="none"/>
        </w:rPr>
        <w:t>样品采集</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_Toc7376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- 21 -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68A562EF">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_Toc6439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4.3. </w:t>
      </w:r>
      <w:r>
        <w:rPr>
          <w:rFonts w:hint="default" w:ascii="Times New Roman" w:hAnsi="Times New Roman" w:cs="Times New Roman"/>
          <w:color w:val="auto"/>
          <w:highlight w:val="none"/>
        </w:rPr>
        <w:t>现场记录</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_Toc6439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- 25 -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389A7960">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_Toc4930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4.4. </w:t>
      </w:r>
      <w:r>
        <w:rPr>
          <w:rFonts w:hint="default" w:ascii="Times New Roman" w:hAnsi="Times New Roman" w:cs="Times New Roman"/>
          <w:color w:val="auto"/>
          <w:highlight w:val="none"/>
        </w:rPr>
        <w:t>实验室分析</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_Toc4930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- 28 -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1D242DEC">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_Toc18428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4.5. </w:t>
      </w:r>
      <w:r>
        <w:rPr>
          <w:rFonts w:hint="default" w:ascii="Times New Roman" w:hAnsi="Times New Roman" w:cs="Times New Roman"/>
          <w:color w:val="auto"/>
          <w:highlight w:val="none"/>
        </w:rPr>
        <w:t>现场质量控制</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_Toc18428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- 31 -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4C4490C7">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_Toc12124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4.6. </w:t>
      </w:r>
      <w:r>
        <w:rPr>
          <w:rFonts w:hint="default" w:ascii="Times New Roman" w:hAnsi="Times New Roman" w:cs="Times New Roman"/>
          <w:color w:val="auto"/>
          <w:highlight w:val="none"/>
        </w:rPr>
        <w:t>实验室质量控制</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_Toc12124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- 34 -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23B000FD">
      <w:pPr>
        <w:pStyle w:val="16"/>
        <w:tabs>
          <w:tab w:val="right" w:leader="dot" w:pos="9638"/>
        </w:tabs>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HYPERLINK \l _Toc23685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5. 结果与评价</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_Toc23685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- 37 -</w:t>
      </w:r>
      <w:r>
        <w:rPr>
          <w:rFonts w:hint="default" w:ascii="Times New Roman" w:hAnsi="Times New Roman" w:cs="Times New Roman"/>
          <w:b/>
          <w:bCs/>
          <w:color w:val="auto"/>
          <w:highlight w:val="none"/>
        </w:rPr>
        <w:fldChar w:fldCharType="end"/>
      </w:r>
      <w:r>
        <w:rPr>
          <w:rFonts w:hint="default" w:ascii="Times New Roman" w:hAnsi="Times New Roman" w:cs="Times New Roman"/>
          <w:b/>
          <w:bCs/>
          <w:color w:val="auto"/>
          <w:highlight w:val="none"/>
        </w:rPr>
        <w:fldChar w:fldCharType="end"/>
      </w:r>
    </w:p>
    <w:p w14:paraId="46B24C23">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_Toc3929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5.1. </w:t>
      </w:r>
      <w:r>
        <w:rPr>
          <w:rFonts w:hint="default" w:ascii="Times New Roman" w:hAnsi="Times New Roman" w:cs="Times New Roman"/>
          <w:color w:val="auto"/>
          <w:highlight w:val="none"/>
        </w:rPr>
        <w:t>园区环境质量参考标准</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_Toc3929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- 37 -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682C5770">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_Toc23394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5.2. </w:t>
      </w:r>
      <w:r>
        <w:rPr>
          <w:rFonts w:hint="default" w:ascii="Times New Roman" w:hAnsi="Times New Roman" w:cs="Times New Roman"/>
          <w:color w:val="auto"/>
          <w:highlight w:val="none"/>
        </w:rPr>
        <w:t>结果分析方法</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_Toc23394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- 42 -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1B6278C9">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_Toc20326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5.3. </w:t>
      </w:r>
      <w:r>
        <w:rPr>
          <w:rFonts w:hint="default" w:ascii="Times New Roman" w:hAnsi="Times New Roman" w:cs="Times New Roman"/>
          <w:color w:val="auto"/>
          <w:highlight w:val="none"/>
        </w:rPr>
        <w:t>监测结果对标分析</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_Toc20326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- 44 -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3A5A58FC">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_Toc6638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5.4. </w:t>
      </w:r>
      <w:r>
        <w:rPr>
          <w:rFonts w:hint="default" w:ascii="Times New Roman" w:hAnsi="Times New Roman" w:cs="Times New Roman"/>
          <w:color w:val="auto"/>
          <w:highlight w:val="none"/>
        </w:rPr>
        <w:t>土壤环境质量评价</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_Toc6638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- 56 -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114AC60D">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_Toc31180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5.5. </w:t>
      </w:r>
      <w:r>
        <w:rPr>
          <w:rFonts w:hint="default" w:ascii="Times New Roman" w:hAnsi="Times New Roman" w:cs="Times New Roman"/>
          <w:color w:val="auto"/>
          <w:highlight w:val="none"/>
        </w:rPr>
        <w:t>检测结果小结</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_Toc31180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- 59 -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29DF1804">
      <w:pPr>
        <w:pStyle w:val="16"/>
        <w:tabs>
          <w:tab w:val="right" w:leader="dot" w:pos="9638"/>
        </w:tabs>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HYPERLINK \l _Toc16958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6. 结论与建议</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_Toc16958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- 61 -</w:t>
      </w:r>
      <w:r>
        <w:rPr>
          <w:rFonts w:hint="default" w:ascii="Times New Roman" w:hAnsi="Times New Roman" w:cs="Times New Roman"/>
          <w:b/>
          <w:bCs/>
          <w:color w:val="auto"/>
          <w:highlight w:val="none"/>
        </w:rPr>
        <w:fldChar w:fldCharType="end"/>
      </w:r>
      <w:r>
        <w:rPr>
          <w:rFonts w:hint="default" w:ascii="Times New Roman" w:hAnsi="Times New Roman" w:cs="Times New Roman"/>
          <w:b/>
          <w:bCs/>
          <w:color w:val="auto"/>
          <w:highlight w:val="none"/>
        </w:rPr>
        <w:fldChar w:fldCharType="end"/>
      </w:r>
    </w:p>
    <w:p w14:paraId="5E7F1E77">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_Toc32118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6.1. </w:t>
      </w:r>
      <w:r>
        <w:rPr>
          <w:rFonts w:hint="default" w:ascii="Times New Roman" w:hAnsi="Times New Roman" w:cs="Times New Roman"/>
          <w:color w:val="auto"/>
          <w:highlight w:val="none"/>
        </w:rPr>
        <w:t>调查结论</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_Toc32118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- 61 -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0BF98388">
      <w:pPr>
        <w:pStyle w:val="18"/>
        <w:tabs>
          <w:tab w:val="right" w:leader="dot" w:pos="9638"/>
        </w:tabs>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_Toc26645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zCs w:val="24"/>
          <w:highlight w:val="none"/>
        </w:rPr>
        <w:t xml:space="preserve">6.2. </w:t>
      </w:r>
      <w:r>
        <w:rPr>
          <w:rFonts w:hint="default" w:ascii="Times New Roman" w:hAnsi="Times New Roman" w:cs="Times New Roman"/>
          <w:color w:val="auto"/>
          <w:highlight w:val="none"/>
        </w:rPr>
        <w:t>建议</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PAGEREF _Toc26645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- 62 -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fldChar w:fldCharType="end"/>
      </w:r>
    </w:p>
    <w:p w14:paraId="05D5C806">
      <w:pPr>
        <w:rPr>
          <w:rFonts w:hint="default" w:ascii="Times New Roman" w:hAnsi="Times New Roman" w:cs="Times New Roman"/>
          <w:b/>
          <w:color w:val="auto"/>
          <w:highlight w:val="none"/>
        </w:rPr>
        <w:sectPr>
          <w:headerReference r:id="rId5" w:type="default"/>
          <w:pgSz w:w="11906" w:h="16838"/>
          <w:pgMar w:top="1134" w:right="1134" w:bottom="1134" w:left="1134"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r>
        <w:rPr>
          <w:rFonts w:hint="default" w:ascii="Times New Roman" w:hAnsi="Times New Roman" w:cs="Times New Roman"/>
          <w:color w:val="auto"/>
          <w:highlight w:val="none"/>
        </w:rPr>
        <w:fldChar w:fldCharType="end"/>
      </w:r>
    </w:p>
    <w:p w14:paraId="4A75E8C9">
      <w:pPr>
        <w:pStyle w:val="30"/>
        <w:adjustRightInd w:val="0"/>
        <w:snapToGrid w:val="0"/>
        <w:spacing w:after="0"/>
        <w:ind w:firstLine="0" w:firstLineChars="0"/>
        <w:rPr>
          <w:rFonts w:hint="default" w:ascii="Times New Roman" w:hAnsi="Times New Roman" w:cs="Times New Roman"/>
          <w:b/>
          <w:bCs/>
          <w:caps/>
          <w:color w:val="auto"/>
          <w:szCs w:val="24"/>
          <w:highlight w:val="none"/>
        </w:rPr>
      </w:pPr>
    </w:p>
    <w:p w14:paraId="589D3275">
      <w:pPr>
        <w:pStyle w:val="30"/>
        <w:adjustRightInd w:val="0"/>
        <w:snapToGrid w:val="0"/>
        <w:spacing w:after="0"/>
        <w:ind w:firstLine="0" w:firstLineChars="0"/>
        <w:rPr>
          <w:rFonts w:hint="default" w:ascii="Times New Roman" w:hAnsi="Times New Roman" w:cs="Times New Roman"/>
          <w:b/>
          <w:bCs/>
          <w:caps/>
          <w:color w:val="auto"/>
          <w:szCs w:val="24"/>
          <w:highlight w:val="none"/>
        </w:rPr>
      </w:pPr>
    </w:p>
    <w:p w14:paraId="1EF3383B">
      <w:pPr>
        <w:pStyle w:val="30"/>
        <w:adjustRightInd w:val="0"/>
        <w:snapToGrid w:val="0"/>
        <w:spacing w:after="0"/>
        <w:ind w:firstLine="0" w:firstLineChars="0"/>
        <w:rPr>
          <w:rFonts w:hint="default" w:ascii="Times New Roman" w:hAnsi="Times New Roman" w:cs="Times New Roman"/>
          <w:b/>
          <w:bCs/>
          <w:caps/>
          <w:color w:val="auto"/>
          <w:szCs w:val="24"/>
          <w:highlight w:val="none"/>
        </w:rPr>
      </w:pPr>
      <w:r>
        <w:rPr>
          <w:rFonts w:hint="default" w:ascii="Times New Roman" w:hAnsi="Times New Roman" w:cs="Times New Roman"/>
          <w:b/>
          <w:bCs/>
          <w:caps/>
          <w:color w:val="auto"/>
          <w:szCs w:val="24"/>
          <w:highlight w:val="none"/>
        </w:rPr>
        <w:t>附件：</w:t>
      </w:r>
    </w:p>
    <w:p w14:paraId="30C33297">
      <w:pPr>
        <w:pStyle w:val="30"/>
        <w:adjustRightInd w:val="0"/>
        <w:snapToGrid w:val="0"/>
        <w:spacing w:after="0"/>
        <w:ind w:firstLine="480"/>
        <w:rPr>
          <w:rFonts w:hint="default" w:ascii="Times New Roman" w:hAnsi="Times New Roman" w:cs="Times New Roman"/>
          <w:bCs/>
          <w:caps/>
          <w:color w:val="auto"/>
          <w:szCs w:val="24"/>
          <w:highlight w:val="none"/>
        </w:rPr>
      </w:pPr>
      <w:r>
        <w:rPr>
          <w:rFonts w:hint="default" w:ascii="Times New Roman" w:hAnsi="Times New Roman" w:cs="Times New Roman"/>
          <w:bCs/>
          <w:caps/>
          <w:color w:val="auto"/>
          <w:szCs w:val="24"/>
          <w:highlight w:val="none"/>
        </w:rPr>
        <w:t>附件1 现场记录</w:t>
      </w:r>
    </w:p>
    <w:p w14:paraId="24D99158">
      <w:pPr>
        <w:pStyle w:val="30"/>
        <w:adjustRightInd w:val="0"/>
        <w:snapToGrid w:val="0"/>
        <w:spacing w:after="0"/>
        <w:ind w:firstLine="480"/>
        <w:rPr>
          <w:rFonts w:hint="default" w:ascii="Times New Roman" w:hAnsi="Times New Roman" w:cs="Times New Roman"/>
          <w:bCs/>
          <w:caps/>
          <w:color w:val="auto"/>
          <w:szCs w:val="24"/>
          <w:highlight w:val="none"/>
        </w:rPr>
      </w:pPr>
      <w:r>
        <w:rPr>
          <w:rFonts w:hint="default" w:ascii="Times New Roman" w:hAnsi="Times New Roman" w:cs="Times New Roman"/>
          <w:bCs/>
          <w:caps/>
          <w:color w:val="auto"/>
          <w:szCs w:val="24"/>
          <w:highlight w:val="none"/>
        </w:rPr>
        <w:t>附件2 检测单位资质证书</w:t>
      </w:r>
    </w:p>
    <w:p w14:paraId="7FF041B6">
      <w:pPr>
        <w:pStyle w:val="30"/>
        <w:adjustRightInd w:val="0"/>
        <w:snapToGrid w:val="0"/>
        <w:spacing w:after="0"/>
        <w:ind w:firstLine="480"/>
        <w:rPr>
          <w:rFonts w:hint="default" w:ascii="Times New Roman" w:hAnsi="Times New Roman" w:cs="Times New Roman"/>
          <w:bCs/>
          <w:caps/>
          <w:color w:val="auto"/>
          <w:szCs w:val="24"/>
          <w:highlight w:val="none"/>
        </w:rPr>
      </w:pPr>
      <w:r>
        <w:rPr>
          <w:rFonts w:hint="default" w:ascii="Times New Roman" w:hAnsi="Times New Roman" w:cs="Times New Roman"/>
          <w:bCs/>
          <w:caps/>
          <w:color w:val="auto"/>
          <w:szCs w:val="24"/>
          <w:highlight w:val="none"/>
        </w:rPr>
        <w:t>附件3 监测报告</w:t>
      </w:r>
    </w:p>
    <w:p w14:paraId="38DCCB2A">
      <w:pPr>
        <w:pStyle w:val="30"/>
        <w:adjustRightInd w:val="0"/>
        <w:snapToGrid w:val="0"/>
        <w:spacing w:after="0"/>
        <w:ind w:firstLine="480"/>
        <w:rPr>
          <w:rFonts w:hint="default" w:ascii="Times New Roman" w:hAnsi="Times New Roman" w:eastAsia="宋体" w:cs="Times New Roman"/>
          <w:bCs/>
          <w:caps/>
          <w:color w:val="auto"/>
          <w:szCs w:val="24"/>
          <w:highlight w:val="none"/>
          <w:lang w:eastAsia="zh-CN"/>
        </w:rPr>
      </w:pPr>
      <w:r>
        <w:rPr>
          <w:rFonts w:hint="default" w:ascii="Times New Roman" w:hAnsi="Times New Roman" w:cs="Times New Roman"/>
          <w:bCs/>
          <w:caps/>
          <w:color w:val="auto"/>
          <w:szCs w:val="24"/>
          <w:highlight w:val="none"/>
        </w:rPr>
        <w:t>附件4 质控报告</w:t>
      </w:r>
    </w:p>
    <w:p w14:paraId="233A778C">
      <w:pPr>
        <w:pStyle w:val="30"/>
        <w:adjustRightInd w:val="0"/>
        <w:snapToGrid w:val="0"/>
        <w:spacing w:after="0"/>
        <w:ind w:firstLine="480"/>
        <w:rPr>
          <w:rFonts w:hint="default" w:ascii="Times New Roman" w:hAnsi="Times New Roman" w:cs="Times New Roman"/>
          <w:bCs/>
          <w:caps/>
          <w:color w:val="auto"/>
          <w:szCs w:val="24"/>
          <w:highlight w:val="none"/>
        </w:rPr>
      </w:pPr>
      <w:r>
        <w:rPr>
          <w:rFonts w:hint="default" w:ascii="Times New Roman" w:hAnsi="Times New Roman" w:cs="Times New Roman"/>
          <w:bCs/>
          <w:caps/>
          <w:color w:val="auto"/>
          <w:szCs w:val="24"/>
          <w:highlight w:val="none"/>
          <w:lang w:val="en-US" w:eastAsia="zh-CN"/>
        </w:rPr>
        <w:t xml:space="preserve">附件5 </w:t>
      </w:r>
      <w:r>
        <w:rPr>
          <w:rFonts w:hint="default" w:ascii="Times New Roman" w:hAnsi="Times New Roman" w:cs="Times New Roman"/>
          <w:bCs/>
          <w:caps/>
          <w:color w:val="auto"/>
          <w:szCs w:val="24"/>
          <w:highlight w:val="none"/>
        </w:rPr>
        <w:t>现场采样情况说明</w:t>
      </w:r>
    </w:p>
    <w:p w14:paraId="642FA4CB">
      <w:pPr>
        <w:pStyle w:val="30"/>
        <w:adjustRightInd w:val="0"/>
        <w:snapToGrid w:val="0"/>
        <w:spacing w:after="0"/>
        <w:ind w:firstLine="480"/>
        <w:rPr>
          <w:highlight w:val="none"/>
        </w:rPr>
      </w:pPr>
      <w:r>
        <w:rPr>
          <w:rFonts w:hint="eastAsia" w:cs="Times New Roman"/>
          <w:bCs/>
          <w:caps/>
          <w:color w:val="auto"/>
          <w:szCs w:val="24"/>
          <w:highlight w:val="none"/>
          <w:lang w:val="en-US" w:eastAsia="zh-CN"/>
        </w:rPr>
        <w:t>附件6 地下水监测井洗井记录单</w:t>
      </w:r>
    </w:p>
    <w:p w14:paraId="48A3098B">
      <w:pPr>
        <w:pStyle w:val="30"/>
        <w:adjustRightInd w:val="0"/>
        <w:snapToGrid w:val="0"/>
        <w:spacing w:after="0"/>
        <w:ind w:firstLine="480"/>
        <w:rPr>
          <w:rFonts w:hint="eastAsia"/>
          <w:highlight w:val="none"/>
          <w:lang w:val="en-US" w:eastAsia="zh-CN"/>
        </w:rPr>
      </w:pPr>
      <w:r>
        <w:rPr>
          <w:rFonts w:hint="default"/>
          <w:highlight w:val="none"/>
        </w:rPr>
        <w:t>附件7</w:t>
      </w:r>
      <w:r>
        <w:rPr>
          <w:rFonts w:hint="eastAsia"/>
          <w:highlight w:val="none"/>
          <w:lang w:val="en-US" w:eastAsia="zh-CN"/>
        </w:rPr>
        <w:t xml:space="preserve"> 专家意见及签到表</w:t>
      </w:r>
    </w:p>
    <w:p w14:paraId="009A3900">
      <w:pPr>
        <w:pStyle w:val="30"/>
        <w:adjustRightInd w:val="0"/>
        <w:snapToGrid w:val="0"/>
        <w:spacing w:after="0"/>
        <w:ind w:firstLine="480"/>
        <w:rPr>
          <w:rFonts w:hint="default" w:ascii="Times New Roman" w:hAnsi="Times New Roman" w:cs="Times New Roman"/>
          <w:bCs/>
          <w:caps/>
          <w:color w:val="auto"/>
          <w:szCs w:val="24"/>
          <w:highlight w:val="none"/>
          <w:lang w:eastAsia="zh-CN"/>
        </w:rPr>
      </w:pPr>
    </w:p>
    <w:p w14:paraId="169ABA71">
      <w:pPr>
        <w:pStyle w:val="30"/>
        <w:adjustRightInd w:val="0"/>
        <w:snapToGrid w:val="0"/>
        <w:spacing w:after="0"/>
        <w:ind w:firstLine="480"/>
        <w:rPr>
          <w:rFonts w:hint="default" w:ascii="Times New Roman" w:hAnsi="Times New Roman" w:cs="Times New Roman"/>
          <w:bCs/>
          <w:caps/>
          <w:color w:val="auto"/>
          <w:szCs w:val="24"/>
          <w:highlight w:val="none"/>
        </w:rPr>
      </w:pPr>
    </w:p>
    <w:p w14:paraId="3A591E33">
      <w:pPr>
        <w:pStyle w:val="30"/>
        <w:adjustRightInd w:val="0"/>
        <w:snapToGrid w:val="0"/>
        <w:spacing w:after="0"/>
        <w:ind w:firstLine="480"/>
        <w:rPr>
          <w:rFonts w:hint="default" w:ascii="Times New Roman" w:hAnsi="Times New Roman" w:cs="Times New Roman"/>
          <w:bCs/>
          <w:caps/>
          <w:color w:val="auto"/>
          <w:szCs w:val="24"/>
          <w:highlight w:val="none"/>
        </w:rPr>
      </w:pPr>
    </w:p>
    <w:p w14:paraId="1FE32301">
      <w:pPr>
        <w:pStyle w:val="30"/>
        <w:adjustRightInd w:val="0"/>
        <w:snapToGrid w:val="0"/>
        <w:spacing w:after="0"/>
        <w:ind w:firstLine="480"/>
        <w:rPr>
          <w:rFonts w:hint="default" w:ascii="Times New Roman" w:hAnsi="Times New Roman" w:cs="Times New Roman"/>
          <w:bCs/>
          <w:caps/>
          <w:color w:val="auto"/>
          <w:szCs w:val="24"/>
          <w:highlight w:val="none"/>
        </w:rPr>
      </w:pPr>
    </w:p>
    <w:p w14:paraId="360D2C4F">
      <w:pPr>
        <w:pStyle w:val="30"/>
        <w:adjustRightInd w:val="0"/>
        <w:snapToGrid w:val="0"/>
        <w:spacing w:after="0"/>
        <w:ind w:firstLine="0" w:firstLineChars="0"/>
        <w:rPr>
          <w:rFonts w:hint="default" w:ascii="Times New Roman" w:hAnsi="Times New Roman" w:cs="Times New Roman"/>
          <w:b/>
          <w:bCs/>
          <w:caps/>
          <w:color w:val="auto"/>
          <w:szCs w:val="24"/>
          <w:highlight w:val="none"/>
        </w:rPr>
      </w:pPr>
      <w:r>
        <w:rPr>
          <w:rFonts w:hint="default" w:ascii="Times New Roman" w:hAnsi="Times New Roman" w:cs="Times New Roman"/>
          <w:b/>
          <w:bCs/>
          <w:caps/>
          <w:color w:val="auto"/>
          <w:szCs w:val="24"/>
          <w:highlight w:val="none"/>
        </w:rPr>
        <w:t>附图：</w:t>
      </w:r>
    </w:p>
    <w:p w14:paraId="2F56CD79">
      <w:pPr>
        <w:pStyle w:val="30"/>
        <w:adjustRightInd w:val="0"/>
        <w:snapToGrid w:val="0"/>
        <w:spacing w:after="0"/>
        <w:ind w:firstLine="480"/>
        <w:rPr>
          <w:rFonts w:hint="default" w:ascii="Times New Roman" w:hAnsi="Times New Roman" w:cs="Times New Roman"/>
          <w:bCs/>
          <w:caps/>
          <w:color w:val="auto"/>
          <w:szCs w:val="24"/>
          <w:highlight w:val="none"/>
        </w:rPr>
      </w:pPr>
      <w:r>
        <w:rPr>
          <w:rFonts w:hint="default" w:ascii="Times New Roman" w:hAnsi="Times New Roman" w:cs="Times New Roman"/>
          <w:bCs/>
          <w:caps/>
          <w:color w:val="auto"/>
          <w:szCs w:val="24"/>
          <w:highlight w:val="none"/>
        </w:rPr>
        <w:t xml:space="preserve">附图1 </w:t>
      </w:r>
      <w:r>
        <w:rPr>
          <w:rFonts w:hint="eastAsia" w:cs="Times New Roman"/>
          <w:bCs/>
          <w:caps/>
          <w:color w:val="auto"/>
          <w:szCs w:val="24"/>
          <w:highlight w:val="none"/>
          <w:lang w:val="en-US" w:eastAsia="zh-CN"/>
        </w:rPr>
        <w:t xml:space="preserve"> </w:t>
      </w:r>
      <w:r>
        <w:rPr>
          <w:rFonts w:hint="default" w:ascii="Times New Roman" w:hAnsi="Times New Roman" w:cs="Times New Roman"/>
          <w:bCs/>
          <w:caps/>
          <w:color w:val="auto"/>
          <w:szCs w:val="24"/>
          <w:highlight w:val="none"/>
          <w:lang w:eastAsia="zh-CN"/>
        </w:rPr>
        <w:t>城东产业园（鄂城新区）</w:t>
      </w:r>
      <w:r>
        <w:rPr>
          <w:rFonts w:hint="default" w:ascii="Times New Roman" w:hAnsi="Times New Roman" w:cs="Times New Roman"/>
          <w:bCs/>
          <w:caps/>
          <w:color w:val="auto"/>
          <w:szCs w:val="24"/>
          <w:highlight w:val="none"/>
        </w:rPr>
        <w:t>地理位置图</w:t>
      </w:r>
    </w:p>
    <w:p w14:paraId="41AEB2C1">
      <w:pPr>
        <w:pStyle w:val="30"/>
        <w:adjustRightInd w:val="0"/>
        <w:snapToGrid w:val="0"/>
        <w:spacing w:after="0"/>
        <w:ind w:firstLine="480"/>
        <w:rPr>
          <w:rFonts w:hint="default" w:ascii="Times New Roman" w:hAnsi="Times New Roman" w:cs="Times New Roman"/>
          <w:bCs/>
          <w:caps/>
          <w:color w:val="auto"/>
          <w:szCs w:val="24"/>
          <w:highlight w:val="none"/>
        </w:rPr>
      </w:pPr>
      <w:r>
        <w:rPr>
          <w:rFonts w:hint="default" w:ascii="Times New Roman" w:hAnsi="Times New Roman" w:cs="Times New Roman"/>
          <w:bCs/>
          <w:caps/>
          <w:color w:val="auto"/>
          <w:szCs w:val="24"/>
          <w:highlight w:val="none"/>
        </w:rPr>
        <w:t xml:space="preserve">附图2 </w:t>
      </w:r>
      <w:r>
        <w:rPr>
          <w:rFonts w:hint="eastAsia" w:cs="Times New Roman"/>
          <w:bCs/>
          <w:caps/>
          <w:color w:val="auto"/>
          <w:szCs w:val="24"/>
          <w:highlight w:val="none"/>
          <w:lang w:val="en-US" w:eastAsia="zh-CN"/>
        </w:rPr>
        <w:t xml:space="preserve"> </w:t>
      </w:r>
      <w:r>
        <w:rPr>
          <w:rFonts w:hint="default" w:ascii="Times New Roman" w:hAnsi="Times New Roman" w:cs="Times New Roman"/>
          <w:bCs/>
          <w:caps/>
          <w:color w:val="auto"/>
          <w:szCs w:val="24"/>
          <w:highlight w:val="none"/>
          <w:lang w:eastAsia="zh-CN"/>
        </w:rPr>
        <w:t>城东产业园（鄂城新区）</w:t>
      </w:r>
      <w:r>
        <w:rPr>
          <w:rFonts w:hint="default" w:ascii="Times New Roman" w:hAnsi="Times New Roman" w:cs="Times New Roman"/>
          <w:bCs/>
          <w:caps/>
          <w:color w:val="auto"/>
          <w:szCs w:val="24"/>
          <w:highlight w:val="none"/>
        </w:rPr>
        <w:t>调查范围及周边情况图</w:t>
      </w:r>
    </w:p>
    <w:p w14:paraId="1A83DB57">
      <w:pPr>
        <w:pStyle w:val="30"/>
        <w:adjustRightInd w:val="0"/>
        <w:snapToGrid w:val="0"/>
        <w:spacing w:after="0"/>
        <w:ind w:firstLine="480"/>
        <w:rPr>
          <w:rFonts w:hint="default" w:ascii="Times New Roman" w:hAnsi="Times New Roman" w:cs="Times New Roman"/>
          <w:bCs/>
          <w:caps/>
          <w:color w:val="auto"/>
          <w:szCs w:val="24"/>
          <w:highlight w:val="none"/>
        </w:rPr>
      </w:pPr>
      <w:r>
        <w:rPr>
          <w:rFonts w:hint="default" w:ascii="Times New Roman" w:hAnsi="Times New Roman" w:cs="Times New Roman"/>
          <w:bCs/>
          <w:caps/>
          <w:color w:val="auto"/>
          <w:szCs w:val="24"/>
          <w:highlight w:val="none"/>
        </w:rPr>
        <w:t>附图3</w:t>
      </w:r>
      <w:r>
        <w:rPr>
          <w:rFonts w:hint="eastAsia" w:cs="Times New Roman"/>
          <w:bCs/>
          <w:caps/>
          <w:color w:val="auto"/>
          <w:szCs w:val="24"/>
          <w:highlight w:val="none"/>
          <w:lang w:val="en-US" w:eastAsia="zh-CN"/>
        </w:rPr>
        <w:t xml:space="preserve"> </w:t>
      </w:r>
      <w:r>
        <w:rPr>
          <w:rFonts w:hint="default" w:ascii="Times New Roman" w:hAnsi="Times New Roman" w:cs="Times New Roman"/>
          <w:bCs/>
          <w:caps/>
          <w:color w:val="auto"/>
          <w:szCs w:val="24"/>
          <w:highlight w:val="none"/>
        </w:rPr>
        <w:t xml:space="preserve"> 鄂州市远景城乡产业结构图</w:t>
      </w:r>
    </w:p>
    <w:p w14:paraId="2279FE47">
      <w:pPr>
        <w:pStyle w:val="30"/>
        <w:adjustRightInd w:val="0"/>
        <w:snapToGrid w:val="0"/>
        <w:spacing w:after="0"/>
        <w:ind w:firstLine="480"/>
        <w:rPr>
          <w:rFonts w:hint="default" w:ascii="Times New Roman" w:hAnsi="Times New Roman" w:cs="Times New Roman"/>
          <w:bCs/>
          <w:caps/>
          <w:color w:val="auto"/>
          <w:szCs w:val="24"/>
          <w:highlight w:val="none"/>
        </w:rPr>
      </w:pPr>
      <w:r>
        <w:rPr>
          <w:rFonts w:hint="default" w:ascii="Times New Roman" w:hAnsi="Times New Roman" w:cs="Times New Roman"/>
          <w:bCs/>
          <w:caps/>
          <w:color w:val="auto"/>
          <w:szCs w:val="24"/>
          <w:highlight w:val="none"/>
        </w:rPr>
        <w:t xml:space="preserve">附图4 </w:t>
      </w:r>
      <w:r>
        <w:rPr>
          <w:rFonts w:hint="eastAsia" w:cs="Times New Roman"/>
          <w:bCs/>
          <w:caps/>
          <w:color w:val="auto"/>
          <w:szCs w:val="24"/>
          <w:highlight w:val="none"/>
          <w:lang w:val="en-US" w:eastAsia="zh-CN"/>
        </w:rPr>
        <w:t xml:space="preserve"> </w:t>
      </w:r>
      <w:r>
        <w:rPr>
          <w:rFonts w:hint="default" w:ascii="Times New Roman" w:hAnsi="Times New Roman" w:cs="Times New Roman"/>
          <w:bCs/>
          <w:caps/>
          <w:color w:val="auto"/>
          <w:szCs w:val="24"/>
          <w:highlight w:val="none"/>
        </w:rPr>
        <w:t>鄂州市主城区用地布局规划图</w:t>
      </w:r>
    </w:p>
    <w:p w14:paraId="275BC871">
      <w:pPr>
        <w:pStyle w:val="30"/>
        <w:adjustRightInd w:val="0"/>
        <w:snapToGrid w:val="0"/>
        <w:spacing w:after="0"/>
        <w:ind w:firstLine="480"/>
        <w:rPr>
          <w:rFonts w:hint="default" w:ascii="Times New Roman" w:hAnsi="Times New Roman" w:cs="Times New Roman"/>
          <w:bCs/>
          <w:caps/>
          <w:color w:val="auto"/>
          <w:szCs w:val="24"/>
          <w:highlight w:val="none"/>
        </w:rPr>
      </w:pPr>
      <w:r>
        <w:rPr>
          <w:rFonts w:hint="default" w:ascii="Times New Roman" w:hAnsi="Times New Roman" w:cs="Times New Roman"/>
          <w:bCs/>
          <w:caps/>
          <w:color w:val="auto"/>
          <w:szCs w:val="24"/>
          <w:highlight w:val="none"/>
        </w:rPr>
        <w:t xml:space="preserve">附图5 </w:t>
      </w:r>
      <w:r>
        <w:rPr>
          <w:rFonts w:hint="default" w:ascii="Times New Roman" w:hAnsi="Times New Roman" w:cs="Times New Roman"/>
          <w:bCs/>
          <w:caps/>
          <w:color w:val="auto"/>
          <w:szCs w:val="24"/>
          <w:highlight w:val="none"/>
          <w:lang w:eastAsia="zh-CN"/>
        </w:rPr>
        <w:t>《鄂城新区永久基本农田示意图—土地利用现状（2014年）》</w:t>
      </w:r>
    </w:p>
    <w:p w14:paraId="1B882997">
      <w:pPr>
        <w:pStyle w:val="30"/>
        <w:adjustRightInd w:val="0"/>
        <w:snapToGrid w:val="0"/>
        <w:spacing w:after="0"/>
        <w:ind w:firstLine="480"/>
        <w:rPr>
          <w:rFonts w:hint="default" w:ascii="Times New Roman" w:hAnsi="Times New Roman" w:cs="Times New Roman"/>
          <w:bCs/>
          <w:caps/>
          <w:color w:val="auto"/>
          <w:szCs w:val="24"/>
          <w:highlight w:val="none"/>
        </w:rPr>
      </w:pPr>
      <w:r>
        <w:rPr>
          <w:rFonts w:hint="default" w:ascii="Times New Roman" w:hAnsi="Times New Roman" w:cs="Times New Roman"/>
          <w:bCs/>
          <w:caps/>
          <w:color w:val="auto"/>
          <w:szCs w:val="24"/>
          <w:highlight w:val="none"/>
        </w:rPr>
        <w:t xml:space="preserve">附图6 </w:t>
      </w:r>
      <w:r>
        <w:rPr>
          <w:rFonts w:hint="eastAsia" w:cs="Times New Roman"/>
          <w:bCs/>
          <w:caps/>
          <w:color w:val="auto"/>
          <w:szCs w:val="24"/>
          <w:highlight w:val="none"/>
          <w:lang w:val="en-US" w:eastAsia="zh-CN"/>
        </w:rPr>
        <w:t xml:space="preserve"> </w:t>
      </w:r>
      <w:r>
        <w:rPr>
          <w:rFonts w:hint="default" w:ascii="Times New Roman" w:hAnsi="Times New Roman" w:cs="Times New Roman"/>
          <w:bCs/>
          <w:caps/>
          <w:color w:val="auto"/>
          <w:szCs w:val="24"/>
          <w:highlight w:val="none"/>
          <w:lang w:eastAsia="zh-CN"/>
        </w:rPr>
        <w:t>城东产业园（鄂城新区）</w:t>
      </w:r>
      <w:r>
        <w:rPr>
          <w:rFonts w:hint="default" w:ascii="Times New Roman" w:hAnsi="Times New Roman" w:cs="Times New Roman"/>
          <w:bCs/>
          <w:caps/>
          <w:color w:val="auto"/>
          <w:szCs w:val="24"/>
          <w:highlight w:val="none"/>
          <w:lang w:val="en-US" w:eastAsia="zh-CN"/>
        </w:rPr>
        <w:t>已建成企业</w:t>
      </w:r>
      <w:r>
        <w:rPr>
          <w:rFonts w:hint="eastAsia" w:cs="Times New Roman"/>
          <w:bCs/>
          <w:caps/>
          <w:color w:val="auto"/>
          <w:szCs w:val="24"/>
          <w:highlight w:val="none"/>
          <w:lang w:val="en-US" w:eastAsia="zh-CN"/>
        </w:rPr>
        <w:t>聚集区及典型企业</w:t>
      </w:r>
      <w:r>
        <w:rPr>
          <w:rFonts w:hint="default" w:ascii="Times New Roman" w:hAnsi="Times New Roman" w:cs="Times New Roman"/>
          <w:bCs/>
          <w:caps/>
          <w:color w:val="auto"/>
          <w:szCs w:val="24"/>
          <w:highlight w:val="none"/>
          <w:lang w:val="en-US" w:eastAsia="zh-CN"/>
        </w:rPr>
        <w:t>分布图</w:t>
      </w:r>
    </w:p>
    <w:p w14:paraId="61127D84">
      <w:pPr>
        <w:pStyle w:val="30"/>
        <w:adjustRightInd w:val="0"/>
        <w:snapToGrid w:val="0"/>
        <w:spacing w:after="0"/>
        <w:ind w:firstLine="480"/>
        <w:rPr>
          <w:rFonts w:hint="default" w:ascii="Times New Roman" w:hAnsi="Times New Roman" w:cs="Times New Roman"/>
          <w:bCs/>
          <w:caps/>
          <w:color w:val="auto"/>
          <w:szCs w:val="24"/>
          <w:highlight w:val="none"/>
        </w:rPr>
      </w:pPr>
      <w:r>
        <w:rPr>
          <w:rFonts w:hint="default" w:ascii="Times New Roman" w:hAnsi="Times New Roman" w:cs="Times New Roman"/>
          <w:bCs/>
          <w:caps/>
          <w:color w:val="auto"/>
          <w:szCs w:val="24"/>
          <w:highlight w:val="none"/>
        </w:rPr>
        <w:t xml:space="preserve">附图7 </w:t>
      </w:r>
      <w:r>
        <w:rPr>
          <w:rFonts w:hint="eastAsia" w:cs="Times New Roman"/>
          <w:bCs/>
          <w:caps/>
          <w:color w:val="auto"/>
          <w:szCs w:val="24"/>
          <w:highlight w:val="none"/>
          <w:lang w:val="en-US" w:eastAsia="zh-CN"/>
        </w:rPr>
        <w:t xml:space="preserve"> </w:t>
      </w:r>
      <w:r>
        <w:rPr>
          <w:rFonts w:hint="default" w:ascii="Times New Roman" w:hAnsi="Times New Roman" w:cs="Times New Roman"/>
          <w:bCs/>
          <w:caps/>
          <w:color w:val="auto"/>
          <w:szCs w:val="24"/>
          <w:highlight w:val="none"/>
        </w:rPr>
        <w:t>土壤和地下水实际采样点位分布图</w:t>
      </w:r>
    </w:p>
    <w:p w14:paraId="15671893">
      <w:pPr>
        <w:pStyle w:val="30"/>
        <w:adjustRightInd w:val="0"/>
        <w:snapToGrid w:val="0"/>
        <w:spacing w:after="0"/>
        <w:ind w:firstLine="480"/>
        <w:rPr>
          <w:rFonts w:hint="default" w:ascii="Times New Roman" w:hAnsi="Times New Roman" w:eastAsia="宋体" w:cs="Times New Roman"/>
          <w:bCs/>
          <w:caps/>
          <w:color w:val="auto"/>
          <w:szCs w:val="24"/>
          <w:highlight w:val="none"/>
          <w:lang w:val="en-US" w:eastAsia="zh-CN"/>
        </w:rPr>
        <w:sectPr>
          <w:headerReference r:id="rId6" w:type="default"/>
          <w:footerReference r:id="rId7" w:type="default"/>
          <w:pgSz w:w="11906" w:h="16838"/>
          <w:pgMar w:top="1134" w:right="1134" w:bottom="1134"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6585D6DF">
      <w:pPr>
        <w:pStyle w:val="30"/>
        <w:adjustRightInd w:val="0"/>
        <w:snapToGrid w:val="0"/>
        <w:spacing w:after="0"/>
        <w:ind w:firstLine="480"/>
        <w:rPr>
          <w:rFonts w:hint="default" w:ascii="Times New Roman" w:hAnsi="Times New Roman" w:eastAsia="宋体" w:cs="Times New Roman"/>
          <w:bCs/>
          <w:caps/>
          <w:color w:val="auto"/>
          <w:szCs w:val="24"/>
          <w:highlight w:val="none"/>
          <w:lang w:val="en-US" w:eastAsia="zh-CN"/>
        </w:rPr>
        <w:sectPr>
          <w:headerReference r:id="rId8" w:type="default"/>
          <w:pgSz w:w="11906" w:h="16838"/>
          <w:pgMar w:top="1134" w:right="1134" w:bottom="1134"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779FC8F7">
      <w:pPr>
        <w:pStyle w:val="30"/>
        <w:adjustRightInd w:val="0"/>
        <w:snapToGrid w:val="0"/>
        <w:spacing w:after="0"/>
        <w:ind w:firstLine="480"/>
        <w:rPr>
          <w:rFonts w:hint="default" w:ascii="Times New Roman" w:hAnsi="Times New Roman" w:cs="Times New Roman"/>
          <w:bCs/>
          <w:caps/>
          <w:color w:val="auto"/>
          <w:szCs w:val="24"/>
          <w:highlight w:val="none"/>
        </w:rPr>
      </w:pPr>
    </w:p>
    <w:p w14:paraId="279EFBAB">
      <w:pPr>
        <w:pStyle w:val="3"/>
        <w:pageBreakBefore w:val="0"/>
        <w:numPr>
          <w:ilvl w:val="0"/>
          <w:numId w:val="1"/>
        </w:numPr>
        <w:tabs>
          <w:tab w:val="clear" w:pos="425"/>
        </w:tabs>
        <w:rPr>
          <w:rFonts w:hint="default" w:ascii="Times New Roman" w:hAnsi="Times New Roman" w:cs="Times New Roman"/>
          <w:color w:val="auto"/>
          <w:highlight w:val="none"/>
        </w:rPr>
      </w:pPr>
      <w:bookmarkStart w:id="0" w:name="_Toc405"/>
      <w:r>
        <w:rPr>
          <w:rFonts w:hint="default" w:ascii="Times New Roman" w:hAnsi="Times New Roman" w:cs="Times New Roman"/>
          <w:color w:val="auto"/>
          <w:highlight w:val="none"/>
        </w:rPr>
        <w:t>概述</w:t>
      </w:r>
      <w:bookmarkEnd w:id="0"/>
    </w:p>
    <w:p w14:paraId="3F04B5AF">
      <w:pPr>
        <w:pStyle w:val="4"/>
        <w:tabs>
          <w:tab w:val="left" w:leader="dot" w:pos="0"/>
          <w:tab w:val="clear" w:pos="567"/>
        </w:tabs>
        <w:rPr>
          <w:rFonts w:hint="default" w:ascii="Times New Roman" w:hAnsi="Times New Roman" w:cs="Times New Roman"/>
          <w:color w:val="auto"/>
          <w:highlight w:val="none"/>
        </w:rPr>
      </w:pPr>
      <w:bookmarkStart w:id="1" w:name="_Toc10642668"/>
      <w:bookmarkStart w:id="2" w:name="_Toc19093"/>
      <w:r>
        <w:rPr>
          <w:rFonts w:hint="default" w:ascii="Times New Roman" w:hAnsi="Times New Roman" w:cs="Times New Roman"/>
          <w:color w:val="auto"/>
          <w:highlight w:val="none"/>
        </w:rPr>
        <w:t>项目由来</w:t>
      </w:r>
      <w:bookmarkEnd w:id="1"/>
      <w:bookmarkEnd w:id="2"/>
    </w:p>
    <w:p w14:paraId="7BFDDCA8">
      <w:pPr>
        <w:ind w:left="1" w:firstLine="480" w:firstLineChars="200"/>
        <w:rPr>
          <w:rFonts w:hint="default" w:ascii="Times New Roman" w:hAnsi="Times New Roman" w:cs="Times New Roman" w:eastAsiaTheme="minorEastAsia"/>
          <w:color w:val="auto"/>
          <w:highlight w:val="none"/>
        </w:rPr>
      </w:pPr>
      <w:r>
        <w:rPr>
          <w:rFonts w:hint="default" w:ascii="Times New Roman" w:hAnsi="Times New Roman" w:eastAsia="宋体" w:cs="Times New Roman"/>
          <w:color w:val="auto"/>
          <w:sz w:val="24"/>
          <w:szCs w:val="24"/>
          <w:highlight w:val="none"/>
        </w:rPr>
        <w:t>为贯彻落实《中华人民共和国土壤污染防治法》、《国务院关于印发土壤污染防治行动计划的通知》（国发〔2016〕31号）、《省人民政府关于印发湖北省土壤污染防治行动计划工作方案的通知》（鄂政发〔2016〕85号）、《市人民政府关于印发鄂州市土壤污染防治工作方案的通知》、《鄂州市土壤污染治理与修复规划（2018-2020）》中“有关环境保护部门要定期对重点监管企业和工业园区周边开展监测”的要求，切实推进鄂州市土壤污染防治工作，摸清重点监管单位及工业园区土壤污染状况，将调查结果作为风险预警的重要依据，2020年9月，鄂州市生态环境局委托湖北君邦环境技术有限责任公司开展鄂州市华容创业园、三江港经济区、城东产业园（鄂城新区）、鄂州经济开发区、花湖开发区共五个工业园周边土壤环境质量调查工作。接受委托后，湖北君邦环境技术有限责任公司（以下简称“我公司”）于2020年10月至12月开展了现场调查和样品采集工作，结合园区现场情况及前期收集的相关资料，基于现场采集送检样品的检测数据开展数据分析及报告编制工作。</w:t>
      </w:r>
    </w:p>
    <w:p w14:paraId="17945BBB">
      <w:pPr>
        <w:ind w:left="1" w:firstLine="480" w:firstLineChars="200"/>
        <w:rPr>
          <w:rFonts w:hint="default" w:ascii="Times New Roman" w:hAnsi="Times New Roman" w:cs="Times New Roman" w:eastAsiaTheme="minorEastAsia"/>
          <w:b/>
          <w:bCs/>
          <w:color w:val="auto"/>
          <w:highlight w:val="none"/>
        </w:rPr>
      </w:pPr>
      <w:r>
        <w:rPr>
          <w:rFonts w:hint="default" w:ascii="Times New Roman" w:hAnsi="Times New Roman" w:cs="Times New Roman" w:eastAsiaTheme="minorEastAsia"/>
          <w:color w:val="auto"/>
          <w:highlight w:val="none"/>
        </w:rPr>
        <w:t>其中，</w:t>
      </w:r>
      <w:r>
        <w:rPr>
          <w:rFonts w:hint="default" w:ascii="Times New Roman" w:hAnsi="Times New Roman" w:cs="Times New Roman" w:eastAsiaTheme="minorEastAsia"/>
          <w:color w:val="auto"/>
          <w:highlight w:val="none"/>
          <w:lang w:eastAsia="zh-CN"/>
        </w:rPr>
        <w:t>城东产业园（鄂城新区）</w:t>
      </w:r>
      <w:r>
        <w:rPr>
          <w:rFonts w:hint="default" w:ascii="Times New Roman" w:hAnsi="Times New Roman" w:cs="Times New Roman" w:eastAsiaTheme="minorEastAsia"/>
          <w:color w:val="auto"/>
          <w:highlight w:val="none"/>
        </w:rPr>
        <w:t>位于鄂州市鄂城区</w:t>
      </w:r>
      <w:r>
        <w:rPr>
          <w:rFonts w:hint="default" w:ascii="Times New Roman" w:hAnsi="Times New Roman" w:cs="Times New Roman" w:eastAsiaTheme="minorEastAsia"/>
          <w:color w:val="auto"/>
          <w:highlight w:val="none"/>
          <w:lang w:val="en-US" w:eastAsia="zh-CN"/>
        </w:rPr>
        <w:t>东部，由新庙镇政府管辖</w:t>
      </w:r>
      <w:r>
        <w:rPr>
          <w:rFonts w:hint="default" w:ascii="Times New Roman" w:hAnsi="Times New Roman" w:cs="Times New Roman" w:eastAsiaTheme="minorEastAsia"/>
          <w:color w:val="auto"/>
          <w:highlight w:val="none"/>
        </w:rPr>
        <w:t>，调查面积</w:t>
      </w:r>
      <w:r>
        <w:rPr>
          <w:rFonts w:hint="default" w:ascii="Times New Roman" w:hAnsi="Times New Roman" w:cs="Times New Roman" w:eastAsiaTheme="minorEastAsia"/>
          <w:color w:val="auto"/>
          <w:highlight w:val="none"/>
          <w:lang w:val="en-US" w:eastAsia="zh-CN"/>
        </w:rPr>
        <w:t>约</w:t>
      </w:r>
      <w:r>
        <w:rPr>
          <w:rFonts w:hint="default" w:ascii="Times New Roman" w:hAnsi="Times New Roman" w:cs="Times New Roman" w:eastAsiaTheme="minorEastAsia"/>
          <w:color w:val="auto"/>
          <w:highlight w:val="none"/>
        </w:rPr>
        <w:t>为43.35km</w:t>
      </w:r>
      <w:r>
        <w:rPr>
          <w:rFonts w:hint="default" w:ascii="Times New Roman" w:hAnsi="Times New Roman" w:cs="Times New Roman" w:eastAsiaTheme="minorEastAsia"/>
          <w:color w:val="auto"/>
          <w:highlight w:val="none"/>
          <w:vertAlign w:val="superscript"/>
        </w:rPr>
        <w:t>2</w:t>
      </w:r>
      <w:r>
        <w:rPr>
          <w:rFonts w:hint="default" w:ascii="Times New Roman" w:hAnsi="Times New Roman" w:cs="Times New Roman" w:eastAsiaTheme="minorEastAsia"/>
          <w:color w:val="auto"/>
          <w:highlight w:val="none"/>
        </w:rPr>
        <w:t>。我公司于202</w:t>
      </w:r>
      <w:r>
        <w:rPr>
          <w:rFonts w:hint="default" w:ascii="Times New Roman" w:hAnsi="Times New Roman" w:cs="Times New Roman" w:eastAsiaTheme="minorEastAsia"/>
          <w:color w:val="auto"/>
          <w:highlight w:val="none"/>
          <w:lang w:val="en-US" w:eastAsia="zh-CN"/>
        </w:rPr>
        <w:t>1</w:t>
      </w:r>
      <w:r>
        <w:rPr>
          <w:rFonts w:hint="default" w:ascii="Times New Roman" w:hAnsi="Times New Roman" w:cs="Times New Roman" w:eastAsiaTheme="minorEastAsia"/>
          <w:color w:val="auto"/>
          <w:highlight w:val="none"/>
        </w:rPr>
        <w:t>年</w:t>
      </w:r>
      <w:r>
        <w:rPr>
          <w:rFonts w:hint="eastAsia" w:cs="Times New Roman" w:eastAsiaTheme="minorEastAsia"/>
          <w:color w:val="auto"/>
          <w:highlight w:val="none"/>
          <w:lang w:val="en-US" w:eastAsia="zh-CN"/>
        </w:rPr>
        <w:t>2</w:t>
      </w:r>
      <w:r>
        <w:rPr>
          <w:rFonts w:hint="default" w:ascii="Times New Roman" w:hAnsi="Times New Roman" w:cs="Times New Roman" w:eastAsiaTheme="minorEastAsia"/>
          <w:color w:val="auto"/>
          <w:highlight w:val="none"/>
        </w:rPr>
        <w:t>月编制完成了《鄂州市工业园区周边土壤质量调查评估报告（2020年）——</w:t>
      </w:r>
      <w:r>
        <w:rPr>
          <w:rFonts w:hint="default" w:ascii="Times New Roman" w:hAnsi="Times New Roman" w:cs="Times New Roman" w:eastAsiaTheme="minorEastAsia"/>
          <w:color w:val="auto"/>
          <w:highlight w:val="none"/>
          <w:lang w:eastAsia="zh-CN"/>
        </w:rPr>
        <w:t>城东产业园（鄂城新区）》（送审稿）</w:t>
      </w:r>
      <w:r>
        <w:rPr>
          <w:rFonts w:hint="default" w:ascii="Times New Roman" w:hAnsi="Times New Roman" w:cs="Times New Roman" w:eastAsiaTheme="minorEastAsia"/>
          <w:color w:val="auto"/>
          <w:highlight w:val="none"/>
        </w:rPr>
        <w:t>》</w:t>
      </w:r>
      <w:r>
        <w:rPr>
          <w:rFonts w:hint="default" w:ascii="Times New Roman" w:hAnsi="Times New Roman" w:cs="Times New Roman" w:eastAsiaTheme="minorEastAsia"/>
          <w:color w:val="auto"/>
          <w:sz w:val="24"/>
          <w:szCs w:val="24"/>
          <w:highlight w:val="none"/>
          <w:shd w:val="clear" w:color="auto" w:fill="auto"/>
          <w:lang w:val="en-US" w:eastAsia="zh-CN"/>
        </w:rPr>
        <w:t>，</w:t>
      </w:r>
      <w:r>
        <w:rPr>
          <w:rFonts w:hint="eastAsia" w:cs="Times New Roman" w:eastAsiaTheme="minorEastAsia"/>
          <w:color w:val="auto"/>
          <w:sz w:val="24"/>
          <w:szCs w:val="24"/>
          <w:highlight w:val="none"/>
          <w:shd w:val="clear" w:color="auto" w:fill="auto"/>
          <w:lang w:val="en-US" w:eastAsia="zh-CN"/>
        </w:rPr>
        <w:t>并于2021年2月7日通过了专家评审会（专家意见见附件7）。现将</w:t>
      </w:r>
      <w:r>
        <w:rPr>
          <w:rFonts w:eastAsiaTheme="minorEastAsia"/>
          <w:highlight w:val="none"/>
        </w:rPr>
        <w:t>《鄂州市工业园区周边土壤质量调查评估报告（2020年）——</w:t>
      </w:r>
      <w:r>
        <w:rPr>
          <w:rFonts w:hint="default" w:ascii="Times New Roman" w:hAnsi="Times New Roman" w:cs="Times New Roman" w:eastAsiaTheme="minorEastAsia"/>
          <w:color w:val="auto"/>
          <w:highlight w:val="none"/>
          <w:lang w:eastAsia="zh-CN"/>
        </w:rPr>
        <w:t>城东产业园（鄂城新区）</w:t>
      </w:r>
      <w:r>
        <w:rPr>
          <w:rFonts w:eastAsiaTheme="minorEastAsia"/>
          <w:highlight w:val="none"/>
        </w:rPr>
        <w:t>（</w:t>
      </w:r>
      <w:r>
        <w:rPr>
          <w:rFonts w:hint="eastAsia" w:eastAsiaTheme="minorEastAsia"/>
          <w:highlight w:val="none"/>
          <w:lang w:val="en-US" w:eastAsia="zh-CN"/>
        </w:rPr>
        <w:t>备案稿</w:t>
      </w:r>
      <w:r>
        <w:rPr>
          <w:rFonts w:eastAsiaTheme="minorEastAsia"/>
          <w:highlight w:val="none"/>
        </w:rPr>
        <w:t>）》</w:t>
      </w:r>
      <w:r>
        <w:rPr>
          <w:rFonts w:hint="eastAsia" w:cs="Times New Roman" w:eastAsiaTheme="minorEastAsia"/>
          <w:color w:val="auto"/>
          <w:sz w:val="24"/>
          <w:szCs w:val="24"/>
          <w:highlight w:val="none"/>
          <w:shd w:val="clear" w:color="auto" w:fill="auto"/>
          <w:lang w:val="en-US" w:eastAsia="zh-CN"/>
        </w:rPr>
        <w:t>交由鄂州市生态环境局备案</w:t>
      </w:r>
      <w:r>
        <w:rPr>
          <w:rFonts w:hint="default" w:ascii="Times New Roman" w:hAnsi="Times New Roman" w:cs="Times New Roman" w:eastAsiaTheme="minorEastAsia"/>
          <w:color w:val="auto"/>
          <w:sz w:val="24"/>
          <w:szCs w:val="24"/>
          <w:highlight w:val="none"/>
          <w:shd w:val="clear" w:color="auto" w:fill="auto"/>
          <w:lang w:val="en-US" w:eastAsia="zh-CN"/>
        </w:rPr>
        <w:t>。</w:t>
      </w:r>
    </w:p>
    <w:p w14:paraId="20B8074B">
      <w:pPr>
        <w:pStyle w:val="4"/>
        <w:tabs>
          <w:tab w:val="left" w:leader="dot" w:pos="0"/>
          <w:tab w:val="clear" w:pos="567"/>
        </w:tabs>
        <w:rPr>
          <w:rFonts w:hint="default" w:ascii="Times New Roman" w:hAnsi="Times New Roman" w:cs="Times New Roman"/>
          <w:color w:val="auto"/>
          <w:highlight w:val="none"/>
        </w:rPr>
      </w:pPr>
      <w:bookmarkStart w:id="3" w:name="_Toc397"/>
      <w:bookmarkStart w:id="4" w:name="_Toc15371849"/>
      <w:r>
        <w:rPr>
          <w:rFonts w:hint="default" w:ascii="Times New Roman" w:hAnsi="Times New Roman" w:cs="Times New Roman"/>
          <w:color w:val="auto"/>
          <w:highlight w:val="none"/>
        </w:rPr>
        <w:t>调查目的和原则</w:t>
      </w:r>
      <w:bookmarkEnd w:id="3"/>
      <w:bookmarkEnd w:id="4"/>
    </w:p>
    <w:p w14:paraId="3611F02B">
      <w:pPr>
        <w:pStyle w:val="5"/>
        <w:tabs>
          <w:tab w:val="clear" w:pos="851"/>
        </w:tabs>
        <w:rPr>
          <w:rFonts w:hint="default" w:ascii="Times New Roman" w:hAnsi="Times New Roman" w:cs="Times New Roman"/>
          <w:color w:val="auto"/>
          <w:highlight w:val="none"/>
        </w:rPr>
      </w:pPr>
      <w:r>
        <w:rPr>
          <w:rFonts w:hint="default" w:ascii="Times New Roman" w:hAnsi="Times New Roman" w:cs="Times New Roman"/>
          <w:color w:val="auto"/>
          <w:highlight w:val="none"/>
        </w:rPr>
        <w:t>调查目的</w:t>
      </w:r>
    </w:p>
    <w:p w14:paraId="24C32180">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本次调查的目的为：</w:t>
      </w:r>
    </w:p>
    <w:p w14:paraId="20958648">
      <w:pPr>
        <w:numPr>
          <w:ilvl w:val="0"/>
          <w:numId w:val="4"/>
        </w:num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初步了解</w:t>
      </w:r>
      <w:r>
        <w:rPr>
          <w:rFonts w:hint="default" w:ascii="Times New Roman" w:hAnsi="Times New Roman" w:cs="Times New Roman"/>
          <w:color w:val="auto"/>
          <w:kern w:val="0"/>
          <w:highlight w:val="none"/>
        </w:rPr>
        <w:t>工业园区周边是否存在土壤和地下水污染；</w:t>
      </w:r>
    </w:p>
    <w:p w14:paraId="72D3F121">
      <w:pPr>
        <w:numPr>
          <w:ilvl w:val="0"/>
          <w:numId w:val="4"/>
        </w:num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了解工业园区内已建成企业分布情况，</w:t>
      </w:r>
      <w:r>
        <w:rPr>
          <w:rFonts w:hint="default" w:ascii="Times New Roman" w:hAnsi="Times New Roman" w:cs="Times New Roman"/>
          <w:color w:val="auto"/>
          <w:kern w:val="0"/>
          <w:highlight w:val="none"/>
          <w:lang w:val="en-US" w:eastAsia="zh-CN"/>
        </w:rPr>
        <w:t>调查</w:t>
      </w:r>
      <w:r>
        <w:rPr>
          <w:rFonts w:hint="default" w:ascii="Times New Roman" w:hAnsi="Times New Roman" w:cs="Times New Roman"/>
          <w:color w:val="auto"/>
          <w:kern w:val="0"/>
          <w:highlight w:val="none"/>
        </w:rPr>
        <w:t>工业园内已建成企业聚集区周边是否存在土壤和地下水污染；</w:t>
      </w:r>
    </w:p>
    <w:p w14:paraId="254752D7">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（3）若存在污染，明确调查范围内土壤和地下水中污染物类别，初步分析污染成因；</w:t>
      </w:r>
    </w:p>
    <w:p w14:paraId="46E7AFBE">
      <w:pPr>
        <w:ind w:left="1"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（4）对土壤及地下水环境质量现状进行评价，为环境风险预警提供重要依据。</w:t>
      </w:r>
    </w:p>
    <w:p w14:paraId="284E3DA5">
      <w:pPr>
        <w:pStyle w:val="5"/>
        <w:tabs>
          <w:tab w:val="clear" w:pos="851"/>
        </w:tabs>
        <w:rPr>
          <w:rFonts w:hint="default" w:ascii="Times New Roman" w:hAnsi="Times New Roman" w:cs="Times New Roman"/>
          <w:color w:val="auto"/>
          <w:highlight w:val="none"/>
        </w:rPr>
      </w:pPr>
      <w:r>
        <w:rPr>
          <w:rFonts w:hint="default" w:ascii="Times New Roman" w:hAnsi="Times New Roman" w:cs="Times New Roman"/>
          <w:color w:val="auto"/>
          <w:highlight w:val="none"/>
        </w:rPr>
        <w:t>调查原则</w:t>
      </w:r>
    </w:p>
    <w:p w14:paraId="2F5DDD70">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（1）针对性原则</w:t>
      </w:r>
    </w:p>
    <w:p w14:paraId="18EB4348">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根据鄂州市</w:t>
      </w:r>
      <w:r>
        <w:rPr>
          <w:rFonts w:hint="default" w:ascii="Times New Roman" w:hAnsi="Times New Roman" w:cs="Times New Roman"/>
          <w:color w:val="auto"/>
          <w:kern w:val="0"/>
          <w:highlight w:val="none"/>
          <w:lang w:eastAsia="zh-CN"/>
        </w:rPr>
        <w:t>城东产业园（鄂城新区）</w:t>
      </w:r>
      <w:r>
        <w:rPr>
          <w:rFonts w:hint="default" w:ascii="Times New Roman" w:hAnsi="Times New Roman" w:cs="Times New Roman"/>
          <w:color w:val="auto"/>
          <w:kern w:val="0"/>
          <w:highlight w:val="none"/>
          <w:lang w:val="en-US" w:eastAsia="zh-CN"/>
        </w:rPr>
        <w:t>工业园区</w:t>
      </w:r>
      <w:r>
        <w:rPr>
          <w:rFonts w:hint="default" w:ascii="Times New Roman" w:hAnsi="Times New Roman" w:cs="Times New Roman"/>
          <w:color w:val="auto"/>
          <w:kern w:val="0"/>
          <w:highlight w:val="none"/>
        </w:rPr>
        <w:t>土地利用现状、已建成企业分布情况，将整个工业园园区</w:t>
      </w:r>
      <w:r>
        <w:rPr>
          <w:rFonts w:hint="default" w:ascii="Times New Roman" w:hAnsi="Times New Roman" w:cs="Times New Roman"/>
          <w:color w:val="auto"/>
          <w:kern w:val="0"/>
          <w:highlight w:val="none"/>
          <w:lang w:val="en-US" w:eastAsia="zh-CN"/>
        </w:rPr>
        <w:t>及园区内</w:t>
      </w:r>
      <w:r>
        <w:rPr>
          <w:rFonts w:hint="default" w:ascii="Times New Roman" w:hAnsi="Times New Roman" w:cs="Times New Roman"/>
          <w:color w:val="auto"/>
          <w:kern w:val="0"/>
          <w:highlight w:val="none"/>
        </w:rPr>
        <w:t>已建成企业聚集区域作为调查重点；根据园区产业功能定位、</w:t>
      </w:r>
      <w:r>
        <w:rPr>
          <w:rFonts w:hint="eastAsia" w:cs="Times New Roman"/>
          <w:color w:val="auto"/>
          <w:kern w:val="0"/>
          <w:highlight w:val="none"/>
          <w:lang w:val="en-US" w:eastAsia="zh-CN"/>
        </w:rPr>
        <w:t>典型企业</w:t>
      </w:r>
      <w:r>
        <w:rPr>
          <w:rFonts w:hint="default" w:ascii="Times New Roman" w:hAnsi="Times New Roman" w:cs="Times New Roman"/>
          <w:color w:val="auto"/>
          <w:kern w:val="0"/>
          <w:highlight w:val="none"/>
        </w:rPr>
        <w:t>的产排污环节，有针对性地设定调查项目。</w:t>
      </w:r>
    </w:p>
    <w:p w14:paraId="5B4DCE6C">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（2）规范性原则</w:t>
      </w:r>
    </w:p>
    <w:p w14:paraId="332A1398">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参考目前国内及国际上场地土壤及地下水调查的相关技术规范，对现场调查采样、样品保存运输、样品分析等一系列过程进行严格的质量控制，保证调查和评估结果的科学性、准确性和客观性。</w:t>
      </w:r>
    </w:p>
    <w:p w14:paraId="268F3DA7">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（3）可操作性原则</w:t>
      </w:r>
    </w:p>
    <w:p w14:paraId="1948BEB9">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综合考虑调查园区复杂性、污染特点和环境条件等因素，制定可操作的调查方案和采样计划，确保调查评估工作顺利完成。</w:t>
      </w:r>
    </w:p>
    <w:p w14:paraId="425F02EA">
      <w:pPr>
        <w:pStyle w:val="4"/>
        <w:tabs>
          <w:tab w:val="left" w:leader="dot" w:pos="0"/>
          <w:tab w:val="clear" w:pos="567"/>
        </w:tabs>
        <w:rPr>
          <w:rFonts w:hint="default" w:ascii="Times New Roman" w:hAnsi="Times New Roman" w:cs="Times New Roman"/>
          <w:color w:val="auto"/>
          <w:highlight w:val="none"/>
        </w:rPr>
      </w:pPr>
      <w:bookmarkStart w:id="5" w:name="_Toc20459"/>
      <w:bookmarkStart w:id="6" w:name="_Toc15371850"/>
      <w:r>
        <w:rPr>
          <w:rFonts w:hint="default" w:ascii="Times New Roman" w:hAnsi="Times New Roman" w:cs="Times New Roman"/>
          <w:color w:val="auto"/>
          <w:highlight w:val="none"/>
        </w:rPr>
        <w:t>调查对象和范围</w:t>
      </w:r>
      <w:bookmarkEnd w:id="5"/>
      <w:bookmarkEnd w:id="6"/>
    </w:p>
    <w:p w14:paraId="5B4133AF">
      <w:pPr>
        <w:ind w:firstLine="480" w:firstLineChars="200"/>
        <w:rPr>
          <w:rFonts w:hint="default" w:ascii="Times New Roman" w:hAnsi="Times New Roman" w:cs="Times New Roman" w:eastAsiaTheme="minorEastAsia"/>
          <w:color w:val="auto"/>
          <w:highlight w:val="none"/>
        </w:rPr>
      </w:pPr>
      <w:r>
        <w:rPr>
          <w:rFonts w:hint="default" w:ascii="Times New Roman" w:hAnsi="Times New Roman" w:cs="Times New Roman"/>
          <w:color w:val="auto"/>
          <w:kern w:val="0"/>
          <w:highlight w:val="none"/>
        </w:rPr>
        <w:t>本次调查对象为鄂州市</w:t>
      </w:r>
      <w:r>
        <w:rPr>
          <w:rFonts w:hint="default" w:ascii="Times New Roman" w:hAnsi="Times New Roman" w:cs="Times New Roman"/>
          <w:color w:val="auto"/>
          <w:kern w:val="0"/>
          <w:highlight w:val="none"/>
          <w:lang w:eastAsia="zh-CN"/>
        </w:rPr>
        <w:t>城东产业园（鄂城新区）</w:t>
      </w:r>
      <w:r>
        <w:rPr>
          <w:rFonts w:hint="default" w:ascii="Times New Roman" w:hAnsi="Times New Roman" w:cs="Times New Roman"/>
          <w:color w:val="auto"/>
          <w:kern w:val="0"/>
          <w:highlight w:val="none"/>
        </w:rPr>
        <w:t>，主要针对工业园区周边土壤和地下水、已建成企业聚集区周边土壤</w:t>
      </w:r>
      <w:r>
        <w:rPr>
          <w:rFonts w:hint="eastAsia" w:cs="Times New Roman"/>
          <w:color w:val="auto"/>
          <w:kern w:val="0"/>
          <w:highlight w:val="none"/>
          <w:lang w:eastAsia="zh-CN"/>
        </w:rPr>
        <w:t>环境</w:t>
      </w:r>
      <w:r>
        <w:rPr>
          <w:rFonts w:hint="default" w:ascii="Times New Roman" w:hAnsi="Times New Roman" w:cs="Times New Roman"/>
          <w:color w:val="auto"/>
          <w:kern w:val="0"/>
          <w:highlight w:val="none"/>
        </w:rPr>
        <w:t>质量进行调查评估</w:t>
      </w:r>
      <w:r>
        <w:rPr>
          <w:rFonts w:hint="default" w:ascii="Times New Roman" w:hAnsi="Times New Roman" w:cs="Times New Roman" w:eastAsiaTheme="minorEastAsia"/>
          <w:color w:val="auto"/>
          <w:highlight w:val="none"/>
        </w:rPr>
        <w:t>。</w:t>
      </w:r>
    </w:p>
    <w:p w14:paraId="251A31C3">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eastAsiaTheme="minorEastAsia"/>
          <w:color w:val="auto"/>
          <w:highlight w:val="none"/>
          <w:lang w:eastAsia="zh-CN"/>
        </w:rPr>
        <w:t>城东产业园（鄂城新区）</w:t>
      </w:r>
      <w:r>
        <w:rPr>
          <w:rFonts w:hint="default" w:ascii="Times New Roman" w:hAnsi="Times New Roman" w:cs="Times New Roman" w:eastAsiaTheme="minorEastAsia"/>
          <w:color w:val="auto"/>
          <w:highlight w:val="none"/>
        </w:rPr>
        <w:t>位于鄂州市鄂城区</w:t>
      </w:r>
      <w:r>
        <w:rPr>
          <w:rFonts w:hint="default" w:ascii="Times New Roman" w:hAnsi="Times New Roman" w:cs="Times New Roman" w:eastAsiaTheme="minorEastAsia"/>
          <w:color w:val="auto"/>
          <w:highlight w:val="none"/>
          <w:lang w:val="en-US" w:eastAsia="zh-CN"/>
        </w:rPr>
        <w:t>东部</w:t>
      </w:r>
      <w:r>
        <w:rPr>
          <w:rFonts w:hint="default" w:ascii="Times New Roman" w:hAnsi="Times New Roman" w:cs="Times New Roman" w:eastAsiaTheme="minorEastAsia"/>
          <w:color w:val="auto"/>
          <w:highlight w:val="none"/>
        </w:rPr>
        <w:t>，根据《鄂城新区永久基本农田示意图—土地利用现状（2014年）》</w:t>
      </w:r>
      <w:r>
        <w:rPr>
          <w:rFonts w:hint="default" w:ascii="Times New Roman" w:hAnsi="Times New Roman" w:cs="Times New Roman" w:eastAsiaTheme="minorEastAsia"/>
          <w:color w:val="auto"/>
          <w:highlight w:val="none"/>
          <w:lang w:eastAsia="zh-CN"/>
        </w:rPr>
        <w:t>（</w:t>
      </w:r>
      <w:r>
        <w:rPr>
          <w:rFonts w:hint="default" w:ascii="Times New Roman" w:hAnsi="Times New Roman" w:cs="Times New Roman" w:eastAsiaTheme="minorEastAsia"/>
          <w:color w:val="auto"/>
          <w:highlight w:val="none"/>
          <w:lang w:val="en-US" w:eastAsia="zh-CN"/>
        </w:rPr>
        <w:t>附图5</w:t>
      </w:r>
      <w:r>
        <w:rPr>
          <w:rFonts w:hint="default" w:ascii="Times New Roman" w:hAnsi="Times New Roman" w:cs="Times New Roman" w:eastAsiaTheme="minorEastAsia"/>
          <w:color w:val="auto"/>
          <w:highlight w:val="none"/>
          <w:lang w:eastAsia="zh-CN"/>
        </w:rPr>
        <w:t>）</w:t>
      </w:r>
      <w:r>
        <w:rPr>
          <w:rFonts w:hint="default" w:ascii="Times New Roman" w:hAnsi="Times New Roman" w:cs="Times New Roman" w:eastAsiaTheme="minorEastAsia"/>
          <w:color w:val="auto"/>
          <w:highlight w:val="none"/>
        </w:rPr>
        <w:t>，</w:t>
      </w:r>
      <w:r>
        <w:rPr>
          <w:rFonts w:hint="default" w:ascii="Times New Roman" w:hAnsi="Times New Roman" w:cs="Times New Roman" w:eastAsiaTheme="minorEastAsia"/>
          <w:color w:val="auto"/>
          <w:highlight w:val="none"/>
          <w:lang w:eastAsia="zh-CN"/>
        </w:rPr>
        <w:t>城东产业园（鄂城新区）</w:t>
      </w:r>
      <w:r>
        <w:rPr>
          <w:rFonts w:hint="default" w:ascii="Times New Roman" w:hAnsi="Times New Roman" w:cs="Times New Roman" w:eastAsiaTheme="minorEastAsia"/>
          <w:color w:val="auto"/>
          <w:highlight w:val="none"/>
        </w:rPr>
        <w:t>调查面积为43.35km</w:t>
      </w:r>
      <w:r>
        <w:rPr>
          <w:rFonts w:hint="default" w:ascii="Times New Roman" w:hAnsi="Times New Roman" w:cs="Times New Roman" w:eastAsiaTheme="minorEastAsia"/>
          <w:color w:val="auto"/>
          <w:highlight w:val="none"/>
          <w:vertAlign w:val="superscript"/>
        </w:rPr>
        <w:t>2</w:t>
      </w:r>
      <w:r>
        <w:rPr>
          <w:rFonts w:hint="default" w:ascii="Times New Roman" w:hAnsi="Times New Roman" w:cs="Times New Roman" w:eastAsiaTheme="minorEastAsia"/>
          <w:color w:val="auto"/>
          <w:highlight w:val="none"/>
        </w:rPr>
        <w:t>，</w:t>
      </w:r>
      <w:r>
        <w:rPr>
          <w:rFonts w:hint="default" w:ascii="Times New Roman" w:hAnsi="Times New Roman" w:cs="Times New Roman" w:eastAsiaTheme="minorEastAsia"/>
          <w:bCs/>
          <w:caps/>
          <w:color w:val="auto"/>
          <w:highlight w:val="none"/>
          <w:lang w:eastAsia="zh-CN"/>
        </w:rPr>
        <w:t>城东产业园（鄂城新区）</w:t>
      </w:r>
      <w:r>
        <w:rPr>
          <w:rFonts w:hint="default" w:ascii="Times New Roman" w:hAnsi="Times New Roman" w:cs="Times New Roman"/>
          <w:bCs/>
          <w:caps/>
          <w:color w:val="auto"/>
          <w:highlight w:val="none"/>
        </w:rPr>
        <w:t>地理位置图</w:t>
      </w:r>
      <w:r>
        <w:rPr>
          <w:rFonts w:hint="default" w:ascii="Times New Roman" w:hAnsi="Times New Roman" w:cs="Times New Roman" w:eastAsiaTheme="minorEastAsia"/>
          <w:color w:val="auto"/>
          <w:highlight w:val="none"/>
        </w:rPr>
        <w:t>见附图1，调查范</w:t>
      </w:r>
      <w:r>
        <w:rPr>
          <w:rFonts w:hint="default" w:ascii="Times New Roman" w:hAnsi="Times New Roman" w:cs="Times New Roman"/>
          <w:color w:val="auto"/>
          <w:kern w:val="0"/>
          <w:highlight w:val="none"/>
        </w:rPr>
        <w:t>围及周边情况图见附图2。</w:t>
      </w:r>
    </w:p>
    <w:p w14:paraId="6636956B">
      <w:pPr>
        <w:pStyle w:val="4"/>
        <w:tabs>
          <w:tab w:val="left" w:leader="dot" w:pos="0"/>
          <w:tab w:val="clear" w:pos="567"/>
        </w:tabs>
        <w:spacing w:before="240"/>
        <w:rPr>
          <w:rFonts w:hint="default" w:ascii="Times New Roman" w:hAnsi="Times New Roman" w:cs="Times New Roman"/>
          <w:color w:val="auto"/>
          <w:highlight w:val="none"/>
        </w:rPr>
      </w:pPr>
      <w:bookmarkStart w:id="7" w:name="_Toc20333"/>
      <w:r>
        <w:rPr>
          <w:rFonts w:hint="default" w:ascii="Times New Roman" w:hAnsi="Times New Roman" w:cs="Times New Roman"/>
          <w:color w:val="auto"/>
          <w:highlight w:val="none"/>
        </w:rPr>
        <w:t>调查依据</w:t>
      </w:r>
      <w:bookmarkEnd w:id="7"/>
    </w:p>
    <w:p w14:paraId="54AF51AF">
      <w:pPr>
        <w:pStyle w:val="5"/>
        <w:tabs>
          <w:tab w:val="clear" w:pos="851"/>
        </w:tabs>
        <w:rPr>
          <w:rFonts w:hint="default" w:ascii="Times New Roman" w:hAnsi="Times New Roman" w:cs="Times New Roman"/>
          <w:color w:val="auto"/>
          <w:highlight w:val="none"/>
        </w:rPr>
      </w:pPr>
      <w:r>
        <w:rPr>
          <w:rFonts w:hint="default" w:ascii="Times New Roman" w:hAnsi="Times New Roman" w:cs="Times New Roman"/>
          <w:color w:val="auto"/>
          <w:highlight w:val="none"/>
        </w:rPr>
        <w:t>法律法规</w:t>
      </w:r>
    </w:p>
    <w:p w14:paraId="7466B40D">
      <w:pPr>
        <w:ind w:left="240"/>
        <w:rPr>
          <w:rFonts w:hint="default" w:ascii="Times New Roman" w:hAnsi="Times New Roman" w:cs="Times New Roman"/>
          <w:color w:val="auto"/>
          <w:highlight w:val="none"/>
        </w:rPr>
      </w:pPr>
      <w:r>
        <w:rPr>
          <w:rFonts w:hint="default" w:ascii="Times New Roman" w:hAnsi="Times New Roman" w:cs="Times New Roman"/>
          <w:color w:val="auto"/>
          <w:highlight w:val="none"/>
        </w:rPr>
        <w:t>（1）《中华人民共和国环境保护法》（2014年4月24日修订，2015年1月1日施行）；</w:t>
      </w:r>
    </w:p>
    <w:p w14:paraId="1D566941">
      <w:pPr>
        <w:ind w:firstLine="240" w:firstLineChars="100"/>
        <w:rPr>
          <w:rFonts w:hint="default" w:ascii="Times New Roman" w:hAnsi="Times New Roman" w:cs="Times New Roman"/>
          <w:color w:val="auto"/>
          <w:highlight w:val="none"/>
        </w:rPr>
      </w:pPr>
      <w:r>
        <w:rPr>
          <w:rFonts w:hint="default" w:ascii="Times New Roman" w:hAnsi="Times New Roman" w:cs="Times New Roman"/>
          <w:color w:val="auto"/>
          <w:highlight w:val="none"/>
        </w:rPr>
        <w:t>（2）《中华人民共和国土壤污染防治法》（2019年1月1日施行）；</w:t>
      </w:r>
    </w:p>
    <w:p w14:paraId="579688EF">
      <w:pPr>
        <w:ind w:firstLine="240" w:firstLineChars="10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r>
        <w:rPr>
          <w:rFonts w:hint="default" w:ascii="Times New Roman" w:hAnsi="Times New Roman" w:cs="Times New Roman"/>
          <w:color w:val="auto"/>
          <w:kern w:val="0"/>
          <w:highlight w:val="none"/>
        </w:rPr>
        <w:t>《国务院关于印发土壤污染防治行动计划的通知》（国发[2016]31号）；</w:t>
      </w:r>
    </w:p>
    <w:p w14:paraId="054B994F">
      <w:pPr>
        <w:ind w:firstLine="240" w:firstLineChars="100"/>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（4）</w:t>
      </w:r>
      <w:r>
        <w:rPr>
          <w:rFonts w:hint="default" w:ascii="Times New Roman" w:hAnsi="Times New Roman" w:cs="Times New Roman"/>
          <w:color w:val="auto"/>
          <w:kern w:val="0"/>
          <w:highlight w:val="none"/>
        </w:rPr>
        <w:t>《湖北省土壤污染防治行动计划工作方案》（鄂政发[2016]85号）；</w:t>
      </w:r>
    </w:p>
    <w:p w14:paraId="64054148">
      <w:pPr>
        <w:ind w:firstLine="240" w:firstLineChars="100"/>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（5）</w:t>
      </w:r>
      <w:r>
        <w:rPr>
          <w:rFonts w:hint="default" w:ascii="Times New Roman" w:hAnsi="Times New Roman" w:cs="Times New Roman"/>
          <w:color w:val="auto"/>
          <w:kern w:val="0"/>
          <w:highlight w:val="none"/>
        </w:rPr>
        <w:t>《湖北省土壤污染防治条例》（2016年10月1日起施行）；</w:t>
      </w:r>
    </w:p>
    <w:p w14:paraId="6C74A136">
      <w:pPr>
        <w:ind w:firstLine="240" w:firstLineChars="100"/>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（6）《市人民政府关于印发鄂州市土壤污染防治工作方案的通知》</w:t>
      </w:r>
      <w:r>
        <w:rPr>
          <w:rFonts w:hint="default" w:ascii="Times New Roman" w:hAnsi="Times New Roman" w:cs="Times New Roman"/>
          <w:color w:val="auto"/>
          <w:highlight w:val="none"/>
          <w:lang w:eastAsia="zh-CN"/>
        </w:rPr>
        <w:t>（鄂州市人民政府</w:t>
      </w:r>
      <w:r>
        <w:rPr>
          <w:rFonts w:hint="default" w:ascii="Times New Roman" w:hAnsi="Times New Roman" w:cs="Times New Roman"/>
          <w:color w:val="auto"/>
          <w:highlight w:val="none"/>
          <w:lang w:val="en-US" w:eastAsia="zh-CN"/>
        </w:rPr>
        <w:t>2017年5月</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p>
    <w:p w14:paraId="59A3C5CB">
      <w:pPr>
        <w:ind w:firstLine="240" w:firstLineChars="100"/>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（7）《鄂州市土壤污染治理与修复规划（2018-2020）》</w:t>
      </w:r>
      <w:r>
        <w:rPr>
          <w:rFonts w:hint="default" w:ascii="Times New Roman" w:hAnsi="Times New Roman" w:cs="Times New Roman"/>
          <w:color w:val="auto"/>
          <w:kern w:val="0"/>
          <w:highlight w:val="none"/>
        </w:rPr>
        <w:t>（2018年8月）。</w:t>
      </w:r>
    </w:p>
    <w:p w14:paraId="64BB92FC">
      <w:pPr>
        <w:pStyle w:val="5"/>
        <w:tabs>
          <w:tab w:val="clear" w:pos="851"/>
        </w:tabs>
        <w:rPr>
          <w:rFonts w:hint="default" w:ascii="Times New Roman" w:hAnsi="Times New Roman" w:cs="Times New Roman"/>
          <w:color w:val="auto"/>
          <w:highlight w:val="none"/>
        </w:rPr>
      </w:pPr>
      <w:r>
        <w:rPr>
          <w:rFonts w:hint="default" w:ascii="Times New Roman" w:hAnsi="Times New Roman" w:cs="Times New Roman"/>
          <w:color w:val="auto"/>
          <w:highlight w:val="none"/>
        </w:rPr>
        <w:t>规章及规范性文件</w:t>
      </w:r>
    </w:p>
    <w:p w14:paraId="484CF624">
      <w:pPr>
        <w:numPr>
          <w:ilvl w:val="0"/>
          <w:numId w:val="5"/>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《国家重点监控企业污染源监督性监测及信息公开办法》（环发〔2013〕81号）；</w:t>
      </w:r>
    </w:p>
    <w:p w14:paraId="3B5C3753">
      <w:pPr>
        <w:numPr>
          <w:ilvl w:val="0"/>
          <w:numId w:val="5"/>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《土壤环境监测技术规范》（HJ/T 166-2004）；</w:t>
      </w:r>
    </w:p>
    <w:p w14:paraId="3126F102">
      <w:pPr>
        <w:numPr>
          <w:ilvl w:val="0"/>
          <w:numId w:val="5"/>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《地下水环境监测技术规范》（HJ/T 164-2004）；</w:t>
      </w:r>
    </w:p>
    <w:p w14:paraId="0C9E8F18">
      <w:pPr>
        <w:numPr>
          <w:ilvl w:val="0"/>
          <w:numId w:val="5"/>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《地下水污染地质调查评价规范》（DD 2008-01）；</w:t>
      </w:r>
    </w:p>
    <w:p w14:paraId="54AD065F">
      <w:pPr>
        <w:numPr>
          <w:ilvl w:val="0"/>
          <w:numId w:val="5"/>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《水文水井地质钻探规程》（</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"http://www.so.com/link?m=a1YwI%2F0%2BYRdYzN9gH7AmoqYK0k5XBBQ78EfoPvN0C4ul1lgOU9LQ344m3y4zBz4X3YodIVcvYWhFCmPmSM2fsLAihDFhW9dXJC9SLZBwYouE0I0sc4EX9UF8hHzXRC7H8AqIQVVp0GP2RJumPi%2BgnsPozumplTOe17J5HHAXiZn2ne2ju3870nRiZ14Q4j7Xnz%2ByMu7ICSioTJkDBWn%2BFqg%3D%3D" \t "_blank"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DZ/T 0148-2014 </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w:t>
      </w:r>
    </w:p>
    <w:p w14:paraId="795A552A">
      <w:pPr>
        <w:numPr>
          <w:ilvl w:val="0"/>
          <w:numId w:val="5"/>
        </w:numPr>
        <w:ind w:firstLine="360" w:firstLineChars="150"/>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《岩土工程勘查规范》（GB 50021-2001）。</w:t>
      </w:r>
    </w:p>
    <w:p w14:paraId="6577C7D7">
      <w:pPr>
        <w:pStyle w:val="5"/>
        <w:tabs>
          <w:tab w:val="clear" w:pos="851"/>
        </w:tabs>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技术标准和导则 </w:t>
      </w:r>
    </w:p>
    <w:p w14:paraId="03F2D49B">
      <w:pPr>
        <w:numPr>
          <w:ilvl w:val="0"/>
          <w:numId w:val="6"/>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《土壤环境质量 建设用地土壤污染风险管控标准（试行）》（GB36600-2018）；</w:t>
      </w:r>
    </w:p>
    <w:p w14:paraId="6523C565">
      <w:pPr>
        <w:numPr>
          <w:ilvl w:val="0"/>
          <w:numId w:val="6"/>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《土壤环境质量 农用地土壤污染风险管控标准（试行）》（GB15618-2018）；</w:t>
      </w:r>
    </w:p>
    <w:p w14:paraId="62446256">
      <w:pPr>
        <w:numPr>
          <w:ilvl w:val="0"/>
          <w:numId w:val="6"/>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《地下水质量标准》（GB/T 14848-2017）；</w:t>
      </w:r>
    </w:p>
    <w:p w14:paraId="418E8EB2">
      <w:pPr>
        <w:numPr>
          <w:ilvl w:val="0"/>
          <w:numId w:val="6"/>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《地表水环境质量标准》（GB3838-2002）；</w:t>
      </w:r>
    </w:p>
    <w:p w14:paraId="3349B9AA">
      <w:pPr>
        <w:numPr>
          <w:ilvl w:val="0"/>
          <w:numId w:val="6"/>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《建设</w:t>
      </w:r>
      <w:r>
        <w:rPr>
          <w:rFonts w:hint="default" w:ascii="Times New Roman" w:hAnsi="Times New Roman" w:eastAsia="宋体" w:cs="Times New Roman"/>
          <w:color w:val="auto"/>
          <w:highlight w:val="none"/>
        </w:rPr>
        <w:t>用地</w:t>
      </w:r>
      <w:r>
        <w:rPr>
          <w:rFonts w:hint="default" w:ascii="Times New Roman" w:hAnsi="Times New Roman" w:cs="Times New Roman"/>
          <w:color w:val="auto"/>
          <w:highlight w:val="none"/>
        </w:rPr>
        <w:t>土壤污染风险筛选值》（DB13_T 5216-2020）</w:t>
      </w:r>
      <w:r>
        <w:rPr>
          <w:rFonts w:hint="default" w:ascii="Times New Roman" w:hAnsi="Times New Roman" w:cs="Times New Roman"/>
          <w:color w:val="auto"/>
          <w:highlight w:val="none"/>
          <w:lang w:eastAsia="zh-CN"/>
        </w:rPr>
        <w:t>；</w:t>
      </w:r>
    </w:p>
    <w:p w14:paraId="5B7B767A">
      <w:pPr>
        <w:numPr>
          <w:ilvl w:val="0"/>
          <w:numId w:val="6"/>
        </w:numPr>
        <w:ind w:firstLine="360" w:firstLineChars="15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《建设用地土壤污染风险筛选值和管制值</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（DB4403_T 67-2020）</w:t>
      </w:r>
      <w:r>
        <w:rPr>
          <w:rFonts w:hint="default" w:ascii="Times New Roman" w:hAnsi="Times New Roman" w:cs="Times New Roman"/>
          <w:color w:val="auto"/>
          <w:highlight w:val="none"/>
          <w:lang w:eastAsia="zh-CN"/>
        </w:rPr>
        <w:t>；</w:t>
      </w:r>
    </w:p>
    <w:p w14:paraId="31D6C416">
      <w:pPr>
        <w:numPr>
          <w:ilvl w:val="0"/>
          <w:numId w:val="6"/>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《建设用地土壤污染状况调查技术导则》（HJ 25.1-2019）；</w:t>
      </w:r>
    </w:p>
    <w:p w14:paraId="75BF9A1B">
      <w:pPr>
        <w:numPr>
          <w:ilvl w:val="0"/>
          <w:numId w:val="6"/>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《建设用地土壤污染风险管控和修复监测技术导则》（HJ 25.2-2019）；</w:t>
      </w:r>
    </w:p>
    <w:p w14:paraId="03C7B9D5">
      <w:pPr>
        <w:numPr>
          <w:ilvl w:val="0"/>
          <w:numId w:val="6"/>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《建设用地土壤污染风险管控和修复术语》（HJ 682-2019）；</w:t>
      </w:r>
    </w:p>
    <w:p w14:paraId="41EACD51">
      <w:pPr>
        <w:numPr>
          <w:ilvl w:val="0"/>
          <w:numId w:val="6"/>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《工业企业场地环境调查评估与修复工作指南（试行）》（环境保护部公告2014年第78号）；</w:t>
      </w:r>
    </w:p>
    <w:p w14:paraId="415D6255">
      <w:pPr>
        <w:numPr>
          <w:ilvl w:val="0"/>
          <w:numId w:val="6"/>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《地块土壤和地下水中挥发性有机物采样技术导则》（HJ 1019-2019）；</w:t>
      </w:r>
    </w:p>
    <w:p w14:paraId="7F63CB89">
      <w:pPr>
        <w:numPr>
          <w:ilvl w:val="0"/>
          <w:numId w:val="6"/>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《地下水环境状况调查评价工作指南》（2019年9月）；</w:t>
      </w:r>
    </w:p>
    <w:p w14:paraId="5BC1D9CB">
      <w:pPr>
        <w:numPr>
          <w:ilvl w:val="0"/>
          <w:numId w:val="6"/>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《重点区域土壤环境质量监测风险点位布设方法》（环办监测函（2016）1号）；</w:t>
      </w:r>
    </w:p>
    <w:p w14:paraId="5BBA37C1">
      <w:pPr>
        <w:numPr>
          <w:ilvl w:val="0"/>
          <w:numId w:val="6"/>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《四川省土壤污染重点监管单位和工业园区周边土壤环境监督性监测工作方案》（川环办函〔2018〕547号）；</w:t>
      </w:r>
    </w:p>
    <w:p w14:paraId="35CD375A">
      <w:pPr>
        <w:numPr>
          <w:ilvl w:val="0"/>
          <w:numId w:val="6"/>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《省级土壤污染状况详查实施方案编制指南》（环办土壤函[2017]1023号）</w:t>
      </w:r>
      <w:r>
        <w:rPr>
          <w:rFonts w:hint="default" w:ascii="Times New Roman" w:hAnsi="Times New Roman" w:cs="Times New Roman"/>
          <w:color w:val="auto"/>
          <w:highlight w:val="none"/>
          <w:lang w:eastAsia="zh-CN"/>
        </w:rPr>
        <w:t>；</w:t>
      </w:r>
    </w:p>
    <w:p w14:paraId="16D5FB37">
      <w:pPr>
        <w:numPr>
          <w:ilvl w:val="0"/>
          <w:numId w:val="6"/>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《全国土</w:t>
      </w:r>
      <w:r>
        <w:rPr>
          <w:rFonts w:hint="default" w:ascii="Times New Roman" w:hAnsi="Times New Roman" w:cs="Times New Roman"/>
          <w:color w:val="auto"/>
          <w:kern w:val="0"/>
          <w:highlight w:val="none"/>
        </w:rPr>
        <w:t>壤污染状况评价技术</w:t>
      </w:r>
      <w:r>
        <w:rPr>
          <w:rFonts w:hint="default" w:ascii="Times New Roman" w:hAnsi="Times New Roman" w:cs="Times New Roman"/>
          <w:color w:val="auto"/>
          <w:highlight w:val="none"/>
        </w:rPr>
        <w:t>规定》（环发[2008]39号）。</w:t>
      </w:r>
    </w:p>
    <w:p w14:paraId="53584214">
      <w:pPr>
        <w:pStyle w:val="5"/>
        <w:tabs>
          <w:tab w:val="clear" w:pos="851"/>
        </w:tabs>
        <w:rPr>
          <w:rFonts w:hint="default" w:ascii="Times New Roman" w:hAnsi="Times New Roman" w:cs="Times New Roman"/>
          <w:color w:val="auto"/>
          <w:highlight w:val="none"/>
        </w:rPr>
      </w:pPr>
      <w:r>
        <w:rPr>
          <w:rFonts w:hint="default" w:ascii="Times New Roman" w:hAnsi="Times New Roman" w:cs="Times New Roman"/>
          <w:color w:val="auto"/>
          <w:highlight w:val="none"/>
        </w:rPr>
        <w:t>参考资料</w:t>
      </w:r>
    </w:p>
    <w:p w14:paraId="5AC014FF">
      <w:pPr>
        <w:numPr>
          <w:ilvl w:val="0"/>
          <w:numId w:val="7"/>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《鄂州市城乡总体规划（2011-2020年）》；</w:t>
      </w:r>
    </w:p>
    <w:p w14:paraId="77E320B6">
      <w:pPr>
        <w:numPr>
          <w:ilvl w:val="0"/>
          <w:numId w:val="7"/>
        </w:numPr>
        <w:ind w:firstLine="480" w:firstLineChars="200"/>
        <w:rPr>
          <w:rFonts w:hint="default" w:ascii="Times New Roman" w:hAnsi="Times New Roman" w:cs="Times New Roman"/>
          <w:color w:val="auto"/>
          <w:highlight w:val="none"/>
        </w:rPr>
      </w:pPr>
      <w:r>
        <w:rPr>
          <w:rFonts w:hint="default" w:ascii="Times New Roman" w:hAnsi="Times New Roman" w:cs="Times New Roman" w:eastAsiaTheme="minorEastAsia"/>
          <w:color w:val="auto"/>
          <w:highlight w:val="none"/>
        </w:rPr>
        <w:t>《鄂城新区永久基本农田示意图—土地利用现状（2014年）》</w:t>
      </w:r>
      <w:r>
        <w:rPr>
          <w:rFonts w:hint="default" w:ascii="Times New Roman" w:hAnsi="Times New Roman" w:cs="Times New Roman"/>
          <w:color w:val="auto"/>
          <w:highlight w:val="none"/>
        </w:rPr>
        <w:t>；</w:t>
      </w:r>
    </w:p>
    <w:p w14:paraId="2BDAAE72">
      <w:pPr>
        <w:numPr>
          <w:ilvl w:val="0"/>
          <w:numId w:val="7"/>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《壳牌沥青鄂州公司第一阶段和第二阶段场地环境调查报告》（格林曼环境，2016年12月）；</w:t>
      </w:r>
    </w:p>
    <w:p w14:paraId="5E49977A">
      <w:pPr>
        <w:numPr>
          <w:ilvl w:val="0"/>
          <w:numId w:val="7"/>
        </w:numPr>
        <w:ind w:firstLine="480" w:firstLineChars="200"/>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rPr>
        <w:t>《鄂州市城区污水</w:t>
      </w:r>
      <w:r>
        <w:rPr>
          <w:rFonts w:hint="default" w:ascii="Times New Roman" w:hAnsi="Times New Roman" w:eastAsia="宋体" w:cs="Times New Roman"/>
          <w:color w:val="auto"/>
          <w:highlight w:val="none"/>
        </w:rPr>
        <w:t>处理厂提标升级改造工程环境影响报告表》（湖北慧智环境科学研究有限公司，2016年9月）</w:t>
      </w:r>
      <w:r>
        <w:rPr>
          <w:rFonts w:hint="default" w:ascii="Times New Roman" w:hAnsi="Times New Roman" w:eastAsia="宋体" w:cs="Times New Roman"/>
          <w:color w:val="auto"/>
          <w:highlight w:val="none"/>
          <w:lang w:eastAsia="zh-CN"/>
        </w:rPr>
        <w:t>；</w:t>
      </w:r>
    </w:p>
    <w:p w14:paraId="4C747B25">
      <w:pPr>
        <w:numPr>
          <w:ilvl w:val="0"/>
          <w:numId w:val="7"/>
        </w:num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《中国土壤元素背景值》（国家环境保护局 主持, 中国环境监测总站 主编. 中国土壤元素背景值[J]. 1990.）</w:t>
      </w:r>
      <w:r>
        <w:rPr>
          <w:rFonts w:hint="default" w:ascii="Times New Roman" w:hAnsi="Times New Roman" w:cs="Times New Roman"/>
          <w:color w:val="auto"/>
          <w:highlight w:val="none"/>
          <w:lang w:val="en-US" w:eastAsia="zh-CN"/>
        </w:rPr>
        <w:t>；</w:t>
      </w:r>
    </w:p>
    <w:p w14:paraId="0D8FD650">
      <w:pPr>
        <w:numPr>
          <w:ilvl w:val="0"/>
          <w:numId w:val="7"/>
        </w:num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《湖北省地下水污染防治</w:t>
      </w:r>
      <w:r>
        <w:rPr>
          <w:rFonts w:hint="default" w:ascii="Times New Roman" w:hAnsi="Times New Roman" w:eastAsia="宋体" w:cs="Times New Roman"/>
          <w:color w:val="auto"/>
          <w:highlight w:val="none"/>
          <w:lang w:val="en-US" w:eastAsia="zh-CN"/>
        </w:rPr>
        <w:t>规划实施方案（2011-2020年）》</w:t>
      </w:r>
      <w:r>
        <w:rPr>
          <w:rFonts w:hint="eastAsia" w:cs="Times New Roman"/>
          <w:color w:val="auto"/>
          <w:highlight w:val="none"/>
          <w:lang w:val="en-US" w:eastAsia="zh-CN"/>
        </w:rPr>
        <w:t>；</w:t>
      </w:r>
    </w:p>
    <w:p w14:paraId="3DFF2F5F">
      <w:pPr>
        <w:numPr>
          <w:ilvl w:val="0"/>
          <w:numId w:val="7"/>
        </w:numPr>
        <w:ind w:firstLine="480" w:firstLineChars="200"/>
        <w:rPr>
          <w:rFonts w:hint="default" w:ascii="Times New Roman" w:hAnsi="Times New Roman" w:eastAsia="宋体" w:cs="Times New Roman"/>
          <w:color w:val="auto"/>
          <w:highlight w:val="none"/>
        </w:rPr>
      </w:pPr>
      <w:r>
        <w:rPr>
          <w:rFonts w:hint="eastAsia" w:cs="Times New Roman"/>
          <w:color w:val="auto"/>
          <w:highlight w:val="none"/>
          <w:lang w:val="en-US" w:eastAsia="zh-CN"/>
        </w:rPr>
        <w:t xml:space="preserve"> 其他资料</w:t>
      </w:r>
      <w:r>
        <w:rPr>
          <w:rFonts w:hint="default" w:ascii="Times New Roman" w:hAnsi="Times New Roman" w:eastAsia="宋体" w:cs="Times New Roman"/>
          <w:color w:val="auto"/>
          <w:highlight w:val="none"/>
        </w:rPr>
        <w:t>。</w:t>
      </w:r>
    </w:p>
    <w:p w14:paraId="5C7050A5">
      <w:pPr>
        <w:pStyle w:val="4"/>
        <w:tabs>
          <w:tab w:val="left" w:leader="dot" w:pos="0"/>
          <w:tab w:val="clear" w:pos="567"/>
        </w:tabs>
        <w:rPr>
          <w:rFonts w:hint="default" w:ascii="Times New Roman" w:hAnsi="Times New Roman" w:cs="Times New Roman"/>
          <w:color w:val="auto"/>
          <w:highlight w:val="none"/>
        </w:rPr>
      </w:pPr>
      <w:bookmarkStart w:id="8" w:name="_Toc960"/>
      <w:r>
        <w:rPr>
          <w:rFonts w:hint="default" w:ascii="Times New Roman" w:hAnsi="Times New Roman" w:cs="Times New Roman"/>
          <w:color w:val="auto"/>
          <w:highlight w:val="none"/>
        </w:rPr>
        <w:t>调查方法</w:t>
      </w:r>
      <w:bookmarkEnd w:id="8"/>
    </w:p>
    <w:p w14:paraId="02ADDB90">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参考《建设用地土壤污染状况调查技术导则》（HJ25.1-2019）、</w:t>
      </w:r>
      <w:r>
        <w:rPr>
          <w:rFonts w:hint="default" w:ascii="Times New Roman" w:hAnsi="Times New Roman" w:cs="Times New Roman"/>
          <w:color w:val="auto"/>
          <w:kern w:val="0"/>
          <w:highlight w:val="none"/>
        </w:rPr>
        <w:t>《重点区域土壤环境质量监测风险点位布设方法》（环办监测函（2016）1号）、《四川省土壤污染重点监管单位和工业园区周边土壤环境监督性监测工作方案》（川环办函〔2018〕547号），本次调查主要分为两个阶段。</w:t>
      </w:r>
    </w:p>
    <w:p w14:paraId="3FE94F33">
      <w:pPr>
        <w:spacing w:line="360" w:lineRule="auto"/>
        <w:ind w:firstLine="480" w:firstLineChars="200"/>
        <w:rPr>
          <w:rFonts w:hint="default" w:ascii="Times New Roman" w:hAnsi="Times New Roman" w:cs="Times New Roman" w:eastAsiaTheme="minorEastAsia"/>
          <w:color w:val="auto"/>
          <w:sz w:val="24"/>
          <w:highlight w:val="none"/>
          <w:shd w:val="clear" w:color="auto" w:fill="auto"/>
          <w:lang w:eastAsia="zh-CN"/>
        </w:rPr>
      </w:pPr>
      <w:r>
        <w:rPr>
          <w:rFonts w:hint="default" w:ascii="Times New Roman" w:hAnsi="Times New Roman" w:cs="Times New Roman"/>
          <w:color w:val="auto"/>
          <w:highlight w:val="none"/>
        </w:rPr>
        <w:t>第一阶段，前期准备阶段，是以资料收集、现场踏勘为主的前期调研阶段。主要针对</w:t>
      </w:r>
      <w:r>
        <w:rPr>
          <w:rFonts w:hint="default" w:ascii="Times New Roman" w:hAnsi="Times New Roman" w:cs="Times New Roman" w:eastAsiaTheme="minorEastAsia"/>
          <w:color w:val="auto"/>
          <w:highlight w:val="none"/>
          <w:lang w:eastAsia="zh-CN"/>
        </w:rPr>
        <w:t>城东产业园（鄂城新区）</w:t>
      </w:r>
      <w:r>
        <w:rPr>
          <w:rFonts w:hint="default" w:ascii="Times New Roman" w:hAnsi="Times New Roman" w:cs="Times New Roman" w:eastAsiaTheme="minorEastAsia"/>
          <w:color w:val="auto"/>
          <w:highlight w:val="none"/>
        </w:rPr>
        <w:t>的规划定位、产业结构及布局、开发情况进行调查分析，</w:t>
      </w:r>
      <w:r>
        <w:rPr>
          <w:rFonts w:hint="default" w:ascii="Times New Roman" w:hAnsi="Times New Roman" w:cs="Times New Roman" w:eastAsiaTheme="minorEastAsia"/>
          <w:color w:val="auto"/>
          <w:sz w:val="24"/>
          <w:highlight w:val="none"/>
          <w:shd w:val="clear" w:color="auto" w:fill="auto"/>
          <w:lang w:eastAsia="zh-CN"/>
        </w:rPr>
        <w:t>初步判断工业园和园区内</w:t>
      </w:r>
      <w:r>
        <w:rPr>
          <w:rFonts w:hint="default" w:ascii="Times New Roman" w:hAnsi="Times New Roman" w:cs="Times New Roman"/>
          <w:color w:val="auto"/>
          <w:kern w:val="0"/>
          <w:sz w:val="24"/>
          <w:highlight w:val="none"/>
          <w:lang w:eastAsia="zh-CN"/>
        </w:rPr>
        <w:t>已建成企业聚集区</w:t>
      </w:r>
      <w:r>
        <w:rPr>
          <w:rFonts w:hint="eastAsia" w:cs="Times New Roman"/>
          <w:color w:val="auto"/>
          <w:kern w:val="0"/>
          <w:sz w:val="24"/>
          <w:highlight w:val="none"/>
          <w:lang w:val="en-US" w:eastAsia="zh-CN"/>
        </w:rPr>
        <w:t>是否存在</w:t>
      </w:r>
      <w:r>
        <w:rPr>
          <w:rFonts w:hint="default" w:ascii="Times New Roman" w:hAnsi="Times New Roman" w:cs="Times New Roman" w:eastAsiaTheme="minorEastAsia"/>
          <w:color w:val="auto"/>
          <w:sz w:val="24"/>
          <w:highlight w:val="none"/>
          <w:shd w:val="clear" w:color="auto" w:fill="auto"/>
          <w:lang w:eastAsia="zh-CN"/>
        </w:rPr>
        <w:t>对周边土壤产生污染的</w:t>
      </w:r>
      <w:r>
        <w:rPr>
          <w:rFonts w:hint="eastAsia" w:cs="Times New Roman" w:eastAsiaTheme="minorEastAsia"/>
          <w:color w:val="auto"/>
          <w:sz w:val="24"/>
          <w:highlight w:val="none"/>
          <w:shd w:val="clear" w:color="auto" w:fill="auto"/>
          <w:lang w:val="en-US" w:eastAsia="zh-CN"/>
        </w:rPr>
        <w:t>污染源，若有</w:t>
      </w:r>
      <w:r>
        <w:rPr>
          <w:rFonts w:ascii="宋体" w:hAnsi="宋体" w:eastAsia="宋体" w:cs="宋体"/>
          <w:sz w:val="24"/>
          <w:szCs w:val="24"/>
          <w:highlight w:val="none"/>
        </w:rPr>
        <w:t>说明可能的污染类型、污染状况和来源</w:t>
      </w:r>
      <w:r>
        <w:rPr>
          <w:rFonts w:hint="default" w:ascii="Times New Roman" w:hAnsi="Times New Roman" w:cs="Times New Roman" w:eastAsiaTheme="minorEastAsia"/>
          <w:color w:val="auto"/>
          <w:sz w:val="24"/>
          <w:highlight w:val="none"/>
          <w:shd w:val="clear" w:color="auto" w:fill="auto"/>
          <w:lang w:eastAsia="zh-CN"/>
        </w:rPr>
        <w:t>。</w:t>
      </w:r>
    </w:p>
    <w:p w14:paraId="74E4CAE7">
      <w:pPr>
        <w:ind w:firstLine="480" w:firstLineChars="200"/>
        <w:rPr>
          <w:rFonts w:hint="default" w:ascii="Times New Roman" w:hAnsi="Times New Roman" w:cs="Times New Roman"/>
          <w:color w:val="auto"/>
          <w:highlight w:val="none"/>
        </w:rPr>
      </w:pPr>
      <w:r>
        <w:rPr>
          <w:rFonts w:hint="default" w:ascii="Times New Roman" w:hAnsi="Times New Roman" w:cs="Times New Roman" w:eastAsiaTheme="minorEastAsia"/>
          <w:color w:val="auto"/>
          <w:highlight w:val="none"/>
        </w:rPr>
        <w:t>第二阶段，工业园周边土壤</w:t>
      </w:r>
      <w:r>
        <w:rPr>
          <w:rFonts w:hint="default" w:ascii="Times New Roman" w:hAnsi="Times New Roman" w:cs="Times New Roman"/>
          <w:color w:val="auto"/>
          <w:highlight w:val="none"/>
        </w:rPr>
        <w:t>环境初步调查阶段，是以采样与分析为主的污染证实阶段</w:t>
      </w:r>
      <w:r>
        <w:rPr>
          <w:rFonts w:hint="default" w:ascii="Times New Roman" w:hAnsi="Times New Roman" w:cs="Times New Roman" w:eastAsiaTheme="minorEastAsia"/>
          <w:color w:val="auto"/>
          <w:highlight w:val="none"/>
        </w:rPr>
        <w:t>。</w:t>
      </w:r>
      <w:r>
        <w:rPr>
          <w:rFonts w:hint="default" w:ascii="Times New Roman" w:hAnsi="Times New Roman" w:cs="Times New Roman"/>
          <w:color w:val="auto"/>
          <w:highlight w:val="none"/>
        </w:rPr>
        <w:t>将在第一阶段查表明工业园和园内已建成企业聚集区的周围区域存在可能的污染源的基础上，进行现场采样和实验室分析，以确定污染种类和程度，并对土壤污染状况进行分析评估，提出下一步污染防治工作建议。</w:t>
      </w:r>
    </w:p>
    <w:p w14:paraId="61F34960">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5194935" cy="7101840"/>
            <wp:effectExtent l="19050" t="19050" r="28575" b="26670"/>
            <wp:docPr id="10" name="图片 10" descr="未命名文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未命名文件(1)"/>
                    <pic:cNvPicPr>
                      <a:picLocks noChangeAspect="1"/>
                    </pic:cNvPicPr>
                  </pic:nvPicPr>
                  <pic:blipFill>
                    <a:blip r:embed="rId26"/>
                    <a:stretch>
                      <a:fillRect/>
                    </a:stretch>
                  </pic:blipFill>
                  <pic:spPr>
                    <a:xfrm>
                      <a:off x="0" y="0"/>
                      <a:ext cx="5194935" cy="7101840"/>
                    </a:xfrm>
                    <a:prstGeom prst="rect">
                      <a:avLst/>
                    </a:prstGeom>
                    <a:ln w="19050" cmpd="sng">
                      <a:solidFill>
                        <a:schemeClr val="tx1"/>
                      </a:solidFill>
                      <a:prstDash val="solid"/>
                    </a:ln>
                  </pic:spPr>
                </pic:pic>
              </a:graphicData>
            </a:graphic>
          </wp:inline>
        </w:drawing>
      </w:r>
    </w:p>
    <w:p w14:paraId="37F9E48E">
      <w:pPr>
        <w:jc w:val="center"/>
        <w:rPr>
          <w:rFonts w:hint="default" w:ascii="Times New Roman" w:hAnsi="Times New Roman" w:eastAsia="黑体" w:cs="Times New Roman"/>
          <w:b/>
          <w:color w:val="auto"/>
          <w:highlight w:val="none"/>
        </w:rPr>
        <w:sectPr>
          <w:headerReference r:id="rId9" w:type="default"/>
          <w:footerReference r:id="rId10" w:type="default"/>
          <w:pgSz w:w="11906" w:h="16838"/>
          <w:pgMar w:top="1134" w:right="1134" w:bottom="1134" w:left="1134"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r>
        <w:rPr>
          <w:rFonts w:hint="default" w:ascii="Times New Roman" w:hAnsi="Times New Roman" w:eastAsia="黑体" w:cs="Times New Roman"/>
          <w:b/>
          <w:color w:val="auto"/>
          <w:highlight w:val="none"/>
        </w:rPr>
        <w:t>图1-5-1 调查方法流程示意图</w:t>
      </w:r>
    </w:p>
    <w:p w14:paraId="58D54EFE">
      <w:pPr>
        <w:pStyle w:val="3"/>
        <w:numPr>
          <w:ilvl w:val="0"/>
          <w:numId w:val="1"/>
        </w:numPr>
        <w:rPr>
          <w:rFonts w:hint="default" w:ascii="Times New Roman" w:hAnsi="Times New Roman" w:cs="Times New Roman"/>
          <w:color w:val="auto"/>
          <w:highlight w:val="none"/>
        </w:rPr>
      </w:pPr>
      <w:bookmarkStart w:id="9" w:name="_Toc13868"/>
      <w:r>
        <w:rPr>
          <w:rFonts w:hint="default" w:ascii="Times New Roman" w:hAnsi="Times New Roman" w:cs="Times New Roman"/>
          <w:color w:val="auto"/>
          <w:highlight w:val="none"/>
        </w:rPr>
        <w:t>调查区域概况</w:t>
      </w:r>
      <w:bookmarkEnd w:id="9"/>
    </w:p>
    <w:p w14:paraId="3DE9DE05">
      <w:pPr>
        <w:pStyle w:val="4"/>
        <w:rPr>
          <w:rFonts w:hint="default" w:ascii="Times New Roman" w:hAnsi="Times New Roman" w:cs="Times New Roman"/>
          <w:color w:val="auto"/>
          <w:highlight w:val="none"/>
        </w:rPr>
      </w:pPr>
      <w:bookmarkStart w:id="10" w:name="_Toc14573"/>
      <w:bookmarkStart w:id="11" w:name="_Toc15371854"/>
      <w:r>
        <w:rPr>
          <w:rFonts w:hint="default" w:ascii="Times New Roman" w:hAnsi="Times New Roman" w:cs="Times New Roman"/>
          <w:color w:val="auto"/>
          <w:highlight w:val="none"/>
        </w:rPr>
        <w:t>区域环境概况</w:t>
      </w:r>
      <w:bookmarkEnd w:id="10"/>
    </w:p>
    <w:p w14:paraId="23215CDB">
      <w:pPr>
        <w:pStyle w:val="5"/>
        <w:rPr>
          <w:rFonts w:hint="default" w:ascii="Times New Roman" w:hAnsi="Times New Roman" w:cs="Times New Roman"/>
          <w:color w:val="auto"/>
          <w:highlight w:val="none"/>
        </w:rPr>
      </w:pPr>
      <w:r>
        <w:rPr>
          <w:rFonts w:hint="default" w:ascii="Times New Roman" w:hAnsi="Times New Roman" w:cs="Times New Roman"/>
          <w:color w:val="auto"/>
          <w:highlight w:val="none"/>
        </w:rPr>
        <w:t>地理位置</w:t>
      </w:r>
    </w:p>
    <w:p w14:paraId="66602241">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鄂州市位于东经114</w:t>
      </w:r>
      <w:r>
        <w:rPr>
          <w:rFonts w:hint="default" w:ascii="Times New Roman" w:hAnsi="Times New Roman" w:cs="Times New Roman"/>
          <w:color w:val="auto"/>
          <w:kern w:val="0"/>
          <w:highlight w:val="none"/>
          <w:lang w:val="en-US" w:eastAsia="zh-CN"/>
        </w:rPr>
        <w:t>°</w:t>
      </w:r>
      <w:r>
        <w:rPr>
          <w:rFonts w:hint="default" w:ascii="Times New Roman" w:hAnsi="Times New Roman" w:cs="Times New Roman"/>
          <w:color w:val="auto"/>
          <w:kern w:val="0"/>
          <w:highlight w:val="none"/>
        </w:rPr>
        <w:t>30</w:t>
      </w:r>
      <w:r>
        <w:rPr>
          <w:rFonts w:hint="default" w:ascii="Times New Roman" w:hAnsi="Times New Roman" w:cs="Times New Roman"/>
          <w:color w:val="auto"/>
          <w:kern w:val="0"/>
          <w:highlight w:val="none"/>
          <w:lang w:val="en-US" w:eastAsia="zh-CN"/>
        </w:rPr>
        <w:t>′</w:t>
      </w:r>
      <w:r>
        <w:rPr>
          <w:rFonts w:hint="default" w:ascii="Times New Roman" w:hAnsi="Times New Roman" w:cs="Times New Roman"/>
          <w:color w:val="auto"/>
          <w:kern w:val="0"/>
          <w:highlight w:val="none"/>
        </w:rPr>
        <w:t>-115</w:t>
      </w:r>
      <w:r>
        <w:rPr>
          <w:rFonts w:hint="default" w:ascii="Times New Roman" w:hAnsi="Times New Roman" w:cs="Times New Roman"/>
          <w:color w:val="auto"/>
          <w:kern w:val="0"/>
          <w:highlight w:val="none"/>
          <w:lang w:val="en-US" w:eastAsia="zh-CN"/>
        </w:rPr>
        <w:t>°</w:t>
      </w:r>
      <w:r>
        <w:rPr>
          <w:rFonts w:hint="default" w:ascii="Times New Roman" w:hAnsi="Times New Roman" w:cs="Times New Roman"/>
          <w:color w:val="auto"/>
          <w:kern w:val="0"/>
          <w:highlight w:val="none"/>
        </w:rPr>
        <w:t>05</w:t>
      </w:r>
      <w:r>
        <w:rPr>
          <w:rFonts w:hint="default" w:ascii="Times New Roman" w:hAnsi="Times New Roman" w:cs="Times New Roman"/>
          <w:color w:val="auto"/>
          <w:kern w:val="0"/>
          <w:highlight w:val="none"/>
          <w:lang w:val="en-US" w:eastAsia="zh-CN"/>
        </w:rPr>
        <w:t>′</w:t>
      </w:r>
      <w:r>
        <w:rPr>
          <w:rFonts w:hint="default" w:ascii="Times New Roman" w:hAnsi="Times New Roman" w:cs="Times New Roman"/>
          <w:color w:val="auto"/>
          <w:kern w:val="0"/>
          <w:highlight w:val="none"/>
        </w:rPr>
        <w:t>，北纬30</w:t>
      </w:r>
      <w:r>
        <w:rPr>
          <w:rFonts w:hint="default" w:ascii="Times New Roman" w:hAnsi="Times New Roman" w:cs="Times New Roman"/>
          <w:color w:val="auto"/>
          <w:kern w:val="0"/>
          <w:highlight w:val="none"/>
          <w:lang w:val="en-US" w:eastAsia="zh-CN"/>
        </w:rPr>
        <w:t>°</w:t>
      </w:r>
      <w:r>
        <w:rPr>
          <w:rFonts w:hint="default" w:ascii="Times New Roman" w:hAnsi="Times New Roman" w:cs="Times New Roman"/>
          <w:color w:val="auto"/>
          <w:kern w:val="0"/>
          <w:highlight w:val="none"/>
        </w:rPr>
        <w:t>01</w:t>
      </w:r>
      <w:r>
        <w:rPr>
          <w:rFonts w:hint="default" w:ascii="Times New Roman" w:hAnsi="Times New Roman" w:cs="Times New Roman"/>
          <w:color w:val="auto"/>
          <w:kern w:val="0"/>
          <w:highlight w:val="none"/>
          <w:lang w:val="en-US" w:eastAsia="zh-CN"/>
        </w:rPr>
        <w:t>′</w:t>
      </w:r>
      <w:r>
        <w:rPr>
          <w:rFonts w:hint="default" w:ascii="Times New Roman" w:hAnsi="Times New Roman" w:cs="Times New Roman"/>
          <w:color w:val="auto"/>
          <w:kern w:val="0"/>
          <w:highlight w:val="none"/>
        </w:rPr>
        <w:t>-30</w:t>
      </w:r>
      <w:r>
        <w:rPr>
          <w:rFonts w:hint="default" w:ascii="Times New Roman" w:hAnsi="Times New Roman" w:cs="Times New Roman"/>
          <w:color w:val="auto"/>
          <w:kern w:val="0"/>
          <w:highlight w:val="none"/>
          <w:lang w:val="en-US" w:eastAsia="zh-CN"/>
        </w:rPr>
        <w:t>°</w:t>
      </w:r>
      <w:r>
        <w:rPr>
          <w:rFonts w:hint="default" w:ascii="Times New Roman" w:hAnsi="Times New Roman" w:cs="Times New Roman"/>
          <w:color w:val="auto"/>
          <w:kern w:val="0"/>
          <w:highlight w:val="none"/>
        </w:rPr>
        <w:t>36</w:t>
      </w:r>
      <w:r>
        <w:rPr>
          <w:rFonts w:hint="default" w:ascii="Times New Roman" w:hAnsi="Times New Roman" w:cs="Times New Roman"/>
          <w:color w:val="auto"/>
          <w:kern w:val="0"/>
          <w:highlight w:val="none"/>
          <w:lang w:val="en-US" w:eastAsia="zh-CN"/>
        </w:rPr>
        <w:t>′</w:t>
      </w:r>
      <w:r>
        <w:rPr>
          <w:rFonts w:hint="default" w:ascii="Times New Roman" w:hAnsi="Times New Roman" w:cs="Times New Roman"/>
          <w:color w:val="auto"/>
          <w:kern w:val="0"/>
          <w:highlight w:val="none"/>
        </w:rPr>
        <w:t>，湖北省东南部，长江中游南岸。西与武汉市的江夏区、洪山区接壤，东南与黄石市毗连，北临长江，自西向东分别与武汉市的新洲区和黄冈市的团风县、黄州区、浠水县等地隔江相望。整个地域在地图上近似“人”字形。全市地势东南高、西北低、中间较平，境内最高点四峰山海拔485.8米，最低点梁子湖海拔11.7米。</w:t>
      </w:r>
    </w:p>
    <w:p w14:paraId="5575B915">
      <w:pPr>
        <w:pStyle w:val="5"/>
        <w:rPr>
          <w:rFonts w:hint="default" w:ascii="Times New Roman" w:hAnsi="Times New Roman" w:cs="Times New Roman"/>
          <w:color w:val="auto"/>
          <w:highlight w:val="none"/>
        </w:rPr>
      </w:pPr>
      <w:r>
        <w:rPr>
          <w:rFonts w:hint="default" w:ascii="Times New Roman" w:hAnsi="Times New Roman" w:cs="Times New Roman"/>
          <w:color w:val="auto"/>
          <w:highlight w:val="none"/>
        </w:rPr>
        <w:t>地质地貌</w:t>
      </w:r>
    </w:p>
    <w:p w14:paraId="25026FA6">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鄂州市属扬子准地台下扬子台坪中的三级构造单元－－大冶台褶带，跨太子庙台褶束和梁子湖凹陷两个四级构造单元。</w:t>
      </w:r>
    </w:p>
    <w:p w14:paraId="59C175ED">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鄂州市市域范围内出露的地层简单，分布的基岩地层，从下古生界志留系至新生界除缺失志留系上、下统、泥盆系中下统、石炭系下统、三叠系下统嘉陵江组和二叠系上统外，其余地层均有分布。侏罗系～白垩系下统主要出露在鄂州市的中部和梁子湖盆区，三叠系中至上统零星出露在南东部，志留系、泥盆系、石炭系和二叠系零星出露在市区的西山北侧临长江南侧一带。</w:t>
      </w:r>
    </w:p>
    <w:p w14:paraId="3AC9FB09">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石炭系上统～二叠系下统、三叠系下统，为本区三套碳酸盐岩。二叠系上统为海相含煤建造；志留系及泥盆系上统为滨海相碎屑岩建造；三叠系中、上统～侏罗系中统为海湾～湖相碎屑岩建造；侏罗系上统和白垩系下统为陆相火山碎屑岩建造；上白垩～第三系为陆相砂页岩沉积。新生界以松散堆积物为主。第四系松散层广泛分布，其中湖区与沿江地带最发育。</w:t>
      </w:r>
    </w:p>
    <w:p w14:paraId="3A3D2DE8">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鄂州市最高地势四峰山，海拔485.8m；最低梁子镇之梁子门，海拔11.7m。分布有四种类型的地貌单元：北侧白浒镇～临江、东侧燕矶～杨叶为长江冲积阶地；东部和南部之东侧，由白雉山、峰尖子山和早山组成了丘陵地貌之基本骨架；北部和南部之西侧，为岗状平原，岗丘标高多在90m左右；中部梁子湖、鸭儿湖、三山湖、洋澜湖横贯鄂州腹地，形成了滞水冲湖积平原。</w:t>
      </w:r>
    </w:p>
    <w:p w14:paraId="5AD93A05">
      <w:pPr>
        <w:pStyle w:val="5"/>
        <w:rPr>
          <w:rFonts w:hint="default" w:ascii="Times New Roman" w:hAnsi="Times New Roman" w:cs="Times New Roman"/>
          <w:color w:val="auto"/>
          <w:highlight w:val="none"/>
        </w:rPr>
      </w:pPr>
      <w:r>
        <w:rPr>
          <w:rFonts w:hint="default" w:ascii="Times New Roman" w:hAnsi="Times New Roman" w:cs="Times New Roman"/>
          <w:color w:val="auto"/>
          <w:highlight w:val="none"/>
        </w:rPr>
        <w:t>气象气候</w:t>
      </w:r>
    </w:p>
    <w:p w14:paraId="21D58C9D">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鄂州市属亚热带季风气候区，季风气候明显，气候受我国东亚季风环流支配。冬冷夏热，四季分明，气温偏高变幅大；雨量充沛，梅雨明显，降水分布均衡，春秋季多阴雨，夏季降水明显偏少，易暴雨成灾；光照充足，多集中于7月；年均无霜期长，为250~300天。</w:t>
      </w:r>
    </w:p>
    <w:p w14:paraId="10BF5268">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鄂州市秋、冬两季主导风向是偏北风，春、夏两季主导风向是偏东风。年均降雨量1282.8毫米，年均日照2003.8小时，年均无霜期266天，平均气温17℃，最高气温40.7℃，最低气温-12.4℃。</w:t>
      </w:r>
    </w:p>
    <w:p w14:paraId="5A578A05">
      <w:pPr>
        <w:pStyle w:val="5"/>
        <w:rPr>
          <w:rFonts w:hint="default" w:ascii="Times New Roman" w:hAnsi="Times New Roman" w:cs="Times New Roman"/>
          <w:color w:val="auto"/>
          <w:highlight w:val="none"/>
        </w:rPr>
      </w:pPr>
      <w:r>
        <w:rPr>
          <w:rFonts w:hint="default" w:ascii="Times New Roman" w:hAnsi="Times New Roman" w:cs="Times New Roman"/>
          <w:color w:val="auto"/>
          <w:highlight w:val="none"/>
        </w:rPr>
        <w:t>水文水资源</w:t>
      </w:r>
    </w:p>
    <w:p w14:paraId="1530403D">
      <w:pPr>
        <w:ind w:firstLine="480" w:firstLineChars="200"/>
        <w:jc w:val="left"/>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鄂州市位于长江中游南岸，境内河流星罗棋布，河道交叉纵横，素有“百湖之市”的美称。城区为河流所环绕，地表水体主要有北面的长江、西面的新港、长港，城区内的洋澜湖及市内零星分布的湖、水塘，地表水资源相当丰富。</w:t>
      </w:r>
    </w:p>
    <w:p w14:paraId="1B5DB548">
      <w:pPr>
        <w:ind w:firstLine="480" w:firstLineChars="200"/>
        <w:jc w:val="left"/>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长江自西依市境而东流，在城区过境长约9km，河道较直，水深量大，江面宽约2000m，年平均流量23331m</w:t>
      </w:r>
      <w:r>
        <w:rPr>
          <w:rFonts w:hint="default" w:ascii="Times New Roman" w:hAnsi="Times New Roman" w:cs="Times New Roman" w:eastAsiaTheme="minorEastAsia"/>
          <w:color w:val="auto"/>
          <w:highlight w:val="none"/>
          <w:vertAlign w:val="superscript"/>
        </w:rPr>
        <w:t>3</w:t>
      </w:r>
      <w:r>
        <w:rPr>
          <w:rFonts w:hint="default" w:ascii="Times New Roman" w:hAnsi="Times New Roman" w:cs="Times New Roman" w:eastAsiaTheme="minorEastAsia"/>
          <w:color w:val="auto"/>
          <w:highlight w:val="none"/>
        </w:rPr>
        <w:t>/s，水位 17.37m</w:t>
      </w:r>
      <w:r>
        <w:rPr>
          <w:rFonts w:hint="default" w:ascii="Times New Roman" w:hAnsi="Times New Roman" w:cs="Times New Roman" w:eastAsiaTheme="minorEastAsia"/>
          <w:color w:val="auto"/>
          <w:highlight w:val="none"/>
          <w:lang w:eastAsia="zh-CN"/>
        </w:rPr>
        <w:t>；</w:t>
      </w:r>
      <w:r>
        <w:rPr>
          <w:rFonts w:hint="default" w:ascii="Times New Roman" w:hAnsi="Times New Roman" w:cs="Times New Roman" w:eastAsiaTheme="minorEastAsia"/>
          <w:color w:val="auto"/>
          <w:highlight w:val="none"/>
        </w:rPr>
        <w:t>丰水期流量39100m</w:t>
      </w:r>
      <w:r>
        <w:rPr>
          <w:rFonts w:hint="default" w:ascii="Times New Roman" w:hAnsi="Times New Roman" w:cs="Times New Roman" w:eastAsiaTheme="minorEastAsia"/>
          <w:color w:val="auto"/>
          <w:highlight w:val="none"/>
          <w:vertAlign w:val="superscript"/>
        </w:rPr>
        <w:t>3</w:t>
      </w:r>
      <w:r>
        <w:rPr>
          <w:rFonts w:hint="default" w:ascii="Times New Roman" w:hAnsi="Times New Roman" w:cs="Times New Roman" w:eastAsiaTheme="minorEastAsia"/>
          <w:color w:val="auto"/>
          <w:highlight w:val="none"/>
        </w:rPr>
        <w:t>/s，水位21.58m；枯水期平均流量 12076m</w:t>
      </w:r>
      <w:r>
        <w:rPr>
          <w:rFonts w:hint="default" w:ascii="Times New Roman" w:hAnsi="Times New Roman" w:cs="Times New Roman" w:eastAsiaTheme="minorEastAsia"/>
          <w:color w:val="auto"/>
          <w:highlight w:val="none"/>
          <w:vertAlign w:val="superscript"/>
        </w:rPr>
        <w:t>3</w:t>
      </w:r>
      <w:r>
        <w:rPr>
          <w:rFonts w:hint="default" w:ascii="Times New Roman" w:hAnsi="Times New Roman" w:cs="Times New Roman" w:eastAsiaTheme="minorEastAsia"/>
          <w:color w:val="auto"/>
          <w:highlight w:val="none"/>
        </w:rPr>
        <w:t>/s，水位 14.03m。鄂州市境内长江窄宽相间，单一性和弯曲型河段较窄，最小河宽870米，河宽最大达8000米。由于长江水量丰沛，汛期时间长，在多年的平均情况下，每年 5~10月为汛期，2~3月为枯水期，境内长江年平均水位17.20米，年平均流量为23800立方米/秒，年平均含沙量为0.586公斤/立方米，年平均输沙量为43000万吨。</w:t>
      </w:r>
    </w:p>
    <w:p w14:paraId="5B5484D6">
      <w:pPr>
        <w:pStyle w:val="5"/>
        <w:tabs>
          <w:tab w:val="clear" w:pos="851"/>
        </w:tabs>
        <w:rPr>
          <w:rFonts w:hint="default" w:ascii="Times New Roman" w:hAnsi="Times New Roman" w:cs="Times New Roman"/>
          <w:color w:val="auto"/>
          <w:highlight w:val="none"/>
        </w:rPr>
      </w:pPr>
      <w:r>
        <w:rPr>
          <w:rFonts w:hint="default" w:ascii="Times New Roman" w:hAnsi="Times New Roman" w:cs="Times New Roman"/>
          <w:color w:val="auto"/>
          <w:highlight w:val="none"/>
        </w:rPr>
        <w:t>工程地质及水文地质概况</w:t>
      </w:r>
    </w:p>
    <w:p w14:paraId="29B68C90">
      <w:pPr>
        <w:autoSpaceDE w:val="0"/>
        <w:autoSpaceDN w:val="0"/>
        <w:adjustRightInd w:val="0"/>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鄂州通世达沥青有限公司（壳牌（鄂州）有限公司、鄂州科氏沥青产品有限公司）、城东污水处理厂（鄂州浦华鄂清水务有限公司）位于本园区的红线范围北部区域，本报告引用《壳牌沥青鄂州公司第一阶段和第二阶段场地环境调查报告》（格林曼环境，2016年12月）（以下简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壳牌</w:t>
      </w:r>
      <w:r>
        <w:rPr>
          <w:rFonts w:hint="default" w:ascii="Times New Roman" w:hAnsi="Times New Roman" w:cs="Times New Roman"/>
          <w:color w:val="auto"/>
          <w:highlight w:val="none"/>
          <w:lang w:val="en-US" w:eastAsia="zh-CN"/>
        </w:rPr>
        <w:t>沥青</w:t>
      </w:r>
      <w:r>
        <w:rPr>
          <w:rFonts w:hint="default" w:ascii="Times New Roman" w:hAnsi="Times New Roman" w:cs="Times New Roman"/>
          <w:color w:val="auto"/>
          <w:highlight w:val="none"/>
        </w:rPr>
        <w:t>地勘报告</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）和《鄂州市城区污水处理厂提标升级改造工程环境影响报告表》（湖北慧智环境科学研究有限公司，2016年9月）（以下简称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城东污水处理厂环评报告</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）中相关内容进行</w:t>
      </w:r>
      <w:r>
        <w:rPr>
          <w:rFonts w:hint="default" w:ascii="Times New Roman" w:hAnsi="Times New Roman" w:cs="Times New Roman"/>
          <w:color w:val="auto"/>
          <w:highlight w:val="none"/>
          <w:lang w:val="en-US" w:eastAsia="zh-CN"/>
        </w:rPr>
        <w:t>工程地质和水文地质概况的</w:t>
      </w:r>
      <w:r>
        <w:rPr>
          <w:rFonts w:hint="default" w:ascii="Times New Roman" w:hAnsi="Times New Roman" w:cs="Times New Roman"/>
          <w:color w:val="auto"/>
          <w:highlight w:val="none"/>
        </w:rPr>
        <w:t>分析。</w:t>
      </w:r>
    </w:p>
    <w:p w14:paraId="68680500">
      <w:pPr>
        <w:pStyle w:val="6"/>
        <w:numPr>
          <w:ilvl w:val="0"/>
          <w:numId w:val="0"/>
        </w:numPr>
        <w:rPr>
          <w:rFonts w:hint="default" w:ascii="Times New Roman" w:hAnsi="Times New Roman" w:cs="Times New Roman"/>
          <w:color w:val="auto"/>
          <w:highlight w:val="none"/>
        </w:rPr>
      </w:pPr>
      <w:r>
        <w:rPr>
          <w:rFonts w:hint="default" w:ascii="Times New Roman" w:hAnsi="Times New Roman" w:cs="Times New Roman"/>
          <w:color w:val="auto"/>
          <w:highlight w:val="none"/>
        </w:rPr>
        <w:t>2.1.5.1工程地质概况</w:t>
      </w:r>
    </w:p>
    <w:p w14:paraId="6157F7AC">
      <w:pPr>
        <w:autoSpaceDE w:val="0"/>
        <w:autoSpaceDN w:val="0"/>
        <w:adjustRightInd w:val="0"/>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根据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壳牌</w:t>
      </w:r>
      <w:r>
        <w:rPr>
          <w:rFonts w:hint="default" w:ascii="Times New Roman" w:hAnsi="Times New Roman" w:cs="Times New Roman"/>
          <w:color w:val="auto"/>
          <w:highlight w:val="none"/>
          <w:lang w:val="en-US" w:eastAsia="zh-CN"/>
        </w:rPr>
        <w:t>沥青</w:t>
      </w:r>
      <w:r>
        <w:rPr>
          <w:rFonts w:hint="default" w:ascii="Times New Roman" w:hAnsi="Times New Roman" w:cs="Times New Roman"/>
          <w:color w:val="auto"/>
          <w:highlight w:val="none"/>
        </w:rPr>
        <w:t>地勘报告</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，调查地块地表至地表以下3.8m主要为填土层，由粉质粘土构成。</w:t>
      </w:r>
    </w:p>
    <w:p w14:paraId="172C268C">
      <w:pPr>
        <w:pStyle w:val="6"/>
        <w:numPr>
          <w:ilvl w:val="0"/>
          <w:numId w:val="0"/>
        </w:numPr>
        <w:rPr>
          <w:rFonts w:hint="default" w:ascii="Times New Roman" w:hAnsi="Times New Roman" w:cs="Times New Roman"/>
          <w:color w:val="auto"/>
          <w:highlight w:val="none"/>
        </w:rPr>
      </w:pPr>
      <w:r>
        <w:rPr>
          <w:rFonts w:hint="default" w:ascii="Times New Roman" w:hAnsi="Times New Roman" w:cs="Times New Roman"/>
          <w:color w:val="auto"/>
          <w:highlight w:val="none"/>
        </w:rPr>
        <w:t>2.1.5.2水文地质概况</w:t>
      </w:r>
    </w:p>
    <w:p w14:paraId="71C649FB">
      <w:pPr>
        <w:autoSpaceDE w:val="0"/>
        <w:autoSpaceDN w:val="0"/>
        <w:adjustRightInd w:val="0"/>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根据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城东污水处理厂环评报告</w:t>
      </w:r>
      <w:r>
        <w:rPr>
          <w:rFonts w:hint="default" w:ascii="Times New Roman" w:hAnsi="Times New Roman" w:cs="Times New Roman"/>
          <w:color w:val="auto"/>
          <w:highlight w:val="none"/>
          <w:lang w:eastAsia="zh-CN"/>
        </w:rPr>
        <w:t>》</w:t>
      </w:r>
      <w:r>
        <w:rPr>
          <w:rFonts w:hint="default" w:ascii="Times New Roman" w:hAnsi="Times New Roman" w:cs="Times New Roman"/>
          <w:color w:val="auto"/>
          <w:kern w:val="0"/>
          <w:highlight w:val="none"/>
        </w:rPr>
        <w:t>，鄂州市沿江一带和中部地区地下水资源丰富，鄂州市地下水可分为孔隙潜水和孔隙承压水，孔隙潜水主要分布在市中部的杜山、东沟和南部太和、公友一带，孔隙潜水埋藏度小，一般不超过10m。孔隙承压水主要分布在沿江的临江、燕矶、杨叶和中部的蒲团一带，孔隙承压水埋藏度较浅，一般不超过30m。</w:t>
      </w:r>
    </w:p>
    <w:bookmarkEnd w:id="11"/>
    <w:p w14:paraId="6F867357">
      <w:pPr>
        <w:pStyle w:val="4"/>
        <w:rPr>
          <w:rFonts w:hint="default" w:ascii="Times New Roman" w:hAnsi="Times New Roman" w:cs="Times New Roman"/>
          <w:color w:val="auto"/>
          <w:highlight w:val="none"/>
        </w:rPr>
      </w:pPr>
      <w:bookmarkStart w:id="12" w:name="_Toc2574"/>
      <w:r>
        <w:rPr>
          <w:rFonts w:hint="default" w:ascii="Times New Roman" w:hAnsi="Times New Roman" w:cs="Times New Roman"/>
          <w:color w:val="auto"/>
          <w:highlight w:val="none"/>
        </w:rPr>
        <w:t>园区概况</w:t>
      </w:r>
      <w:bookmarkEnd w:id="12"/>
    </w:p>
    <w:p w14:paraId="146C67C1">
      <w:pPr>
        <w:pStyle w:val="5"/>
        <w:rPr>
          <w:rFonts w:hint="default" w:ascii="Times New Roman" w:hAnsi="Times New Roman" w:cs="Times New Roman"/>
          <w:color w:val="auto"/>
          <w:highlight w:val="none"/>
        </w:rPr>
      </w:pPr>
      <w:r>
        <w:rPr>
          <w:rFonts w:hint="default" w:ascii="Times New Roman" w:hAnsi="Times New Roman" w:cs="Times New Roman"/>
          <w:color w:val="auto"/>
          <w:highlight w:val="none"/>
        </w:rPr>
        <w:t>园区地理位置及周边情况</w:t>
      </w:r>
    </w:p>
    <w:p w14:paraId="2C93B2D9">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eastAsiaTheme="minorEastAsia"/>
          <w:color w:val="auto"/>
          <w:highlight w:val="none"/>
          <w:lang w:eastAsia="zh-CN"/>
        </w:rPr>
        <w:t>城东产业园（鄂城新区）</w:t>
      </w:r>
      <w:r>
        <w:rPr>
          <w:rFonts w:hint="default" w:ascii="Times New Roman" w:hAnsi="Times New Roman" w:cs="Times New Roman" w:eastAsiaTheme="minorEastAsia"/>
          <w:color w:val="auto"/>
          <w:highlight w:val="none"/>
        </w:rPr>
        <w:t>位于鄂州市鄂城区</w:t>
      </w:r>
      <w:r>
        <w:rPr>
          <w:rFonts w:hint="default" w:ascii="Times New Roman" w:hAnsi="Times New Roman" w:cs="Times New Roman" w:eastAsiaTheme="minorEastAsia"/>
          <w:color w:val="auto"/>
          <w:highlight w:val="none"/>
          <w:lang w:val="en-US" w:eastAsia="zh-CN"/>
        </w:rPr>
        <w:t>东部</w:t>
      </w:r>
      <w:r>
        <w:rPr>
          <w:rFonts w:hint="default" w:ascii="Times New Roman" w:hAnsi="Times New Roman" w:cs="Times New Roman" w:eastAsiaTheme="minorEastAsia"/>
          <w:color w:val="auto"/>
          <w:highlight w:val="none"/>
        </w:rPr>
        <w:t>，根据《鄂城新区永久基本农田示意图—土地利用现状（2014年）》</w:t>
      </w:r>
      <w:r>
        <w:rPr>
          <w:rFonts w:hint="default" w:ascii="Times New Roman" w:hAnsi="Times New Roman" w:cs="Times New Roman" w:eastAsiaTheme="minorEastAsia"/>
          <w:color w:val="auto"/>
          <w:highlight w:val="none"/>
          <w:lang w:eastAsia="zh-CN"/>
        </w:rPr>
        <w:t>（</w:t>
      </w:r>
      <w:r>
        <w:rPr>
          <w:rFonts w:hint="default" w:ascii="Times New Roman" w:hAnsi="Times New Roman" w:cs="Times New Roman" w:eastAsiaTheme="minorEastAsia"/>
          <w:color w:val="auto"/>
          <w:highlight w:val="none"/>
          <w:lang w:val="en-US" w:eastAsia="zh-CN"/>
        </w:rPr>
        <w:t>附图5</w:t>
      </w:r>
      <w:r>
        <w:rPr>
          <w:rFonts w:hint="default" w:ascii="Times New Roman" w:hAnsi="Times New Roman" w:cs="Times New Roman" w:eastAsiaTheme="minorEastAsia"/>
          <w:color w:val="auto"/>
          <w:highlight w:val="none"/>
          <w:lang w:eastAsia="zh-CN"/>
        </w:rPr>
        <w:t>）</w:t>
      </w:r>
      <w:r>
        <w:rPr>
          <w:rFonts w:hint="default" w:ascii="Times New Roman" w:hAnsi="Times New Roman" w:cs="Times New Roman" w:eastAsiaTheme="minorEastAsia"/>
          <w:color w:val="auto"/>
          <w:highlight w:val="none"/>
        </w:rPr>
        <w:t>，</w:t>
      </w:r>
      <w:r>
        <w:rPr>
          <w:rFonts w:hint="default" w:ascii="Times New Roman" w:hAnsi="Times New Roman" w:cs="Times New Roman" w:eastAsiaTheme="minorEastAsia"/>
          <w:color w:val="auto"/>
          <w:highlight w:val="none"/>
          <w:lang w:eastAsia="zh-CN"/>
        </w:rPr>
        <w:t>城东产业园（鄂城新区）</w:t>
      </w:r>
      <w:r>
        <w:rPr>
          <w:rFonts w:hint="default" w:ascii="Times New Roman" w:hAnsi="Times New Roman" w:cs="Times New Roman" w:eastAsiaTheme="minorEastAsia"/>
          <w:color w:val="auto"/>
          <w:highlight w:val="none"/>
        </w:rPr>
        <w:t>调查面积为43.35km</w:t>
      </w:r>
      <w:r>
        <w:rPr>
          <w:rFonts w:hint="default" w:ascii="Times New Roman" w:hAnsi="Times New Roman" w:cs="Times New Roman" w:eastAsiaTheme="minorEastAsia"/>
          <w:color w:val="auto"/>
          <w:highlight w:val="none"/>
          <w:vertAlign w:val="superscript"/>
        </w:rPr>
        <w:t>2</w:t>
      </w:r>
      <w:r>
        <w:rPr>
          <w:rFonts w:hint="default" w:ascii="Times New Roman" w:hAnsi="Times New Roman" w:cs="Times New Roman" w:eastAsiaTheme="minorEastAsia"/>
          <w:color w:val="auto"/>
          <w:highlight w:val="none"/>
        </w:rPr>
        <w:t>，</w:t>
      </w:r>
      <w:r>
        <w:rPr>
          <w:rFonts w:hint="default" w:ascii="Times New Roman" w:hAnsi="Times New Roman" w:cs="Times New Roman" w:eastAsiaTheme="minorEastAsia"/>
          <w:color w:val="auto"/>
          <w:highlight w:val="none"/>
          <w:lang w:eastAsia="zh-CN"/>
        </w:rPr>
        <w:t>城东产业园（鄂城新区）</w:t>
      </w:r>
      <w:r>
        <w:rPr>
          <w:rFonts w:hint="default" w:ascii="Times New Roman" w:hAnsi="Times New Roman" w:cs="Times New Roman" w:eastAsiaTheme="minorEastAsia"/>
          <w:color w:val="auto"/>
          <w:highlight w:val="none"/>
        </w:rPr>
        <w:t>调查范</w:t>
      </w:r>
      <w:r>
        <w:rPr>
          <w:rFonts w:hint="default" w:ascii="Times New Roman" w:hAnsi="Times New Roman" w:cs="Times New Roman"/>
          <w:color w:val="auto"/>
          <w:kern w:val="0"/>
          <w:highlight w:val="none"/>
        </w:rPr>
        <w:t>围及周边情况见附图2。</w:t>
      </w:r>
    </w:p>
    <w:p w14:paraId="18BFE69A">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根据</w:t>
      </w:r>
      <w:r>
        <w:rPr>
          <w:rFonts w:hint="default" w:ascii="Times New Roman" w:hAnsi="Times New Roman" w:cs="Times New Roman"/>
          <w:color w:val="auto"/>
          <w:kern w:val="0"/>
          <w:highlight w:val="none"/>
          <w:lang w:eastAsia="zh-CN"/>
        </w:rPr>
        <w:t>城东产业园（鄂城新区）</w:t>
      </w:r>
      <w:r>
        <w:rPr>
          <w:rFonts w:hint="default" w:ascii="Times New Roman" w:hAnsi="Times New Roman" w:cs="Times New Roman"/>
          <w:color w:val="auto"/>
          <w:kern w:val="0"/>
          <w:highlight w:val="none"/>
        </w:rPr>
        <w:t>及周边</w:t>
      </w:r>
      <w:r>
        <w:rPr>
          <w:rFonts w:hint="default" w:ascii="Times New Roman" w:hAnsi="Times New Roman" w:cs="Times New Roman"/>
          <w:color w:val="auto"/>
          <w:kern w:val="0"/>
          <w:highlight w:val="none"/>
          <w:lang w:val="en-US" w:eastAsia="zh-CN"/>
        </w:rPr>
        <w:t>环境</w:t>
      </w:r>
      <w:r>
        <w:rPr>
          <w:rFonts w:hint="default" w:ascii="Times New Roman" w:hAnsi="Times New Roman" w:cs="Times New Roman"/>
          <w:color w:val="auto"/>
          <w:kern w:val="0"/>
          <w:highlight w:val="none"/>
        </w:rPr>
        <w:t>现状卫片，</w:t>
      </w:r>
      <w:r>
        <w:rPr>
          <w:rFonts w:hint="default" w:ascii="Times New Roman" w:hAnsi="Times New Roman" w:cs="Times New Roman"/>
          <w:color w:val="auto"/>
          <w:kern w:val="0"/>
          <w:highlight w:val="none"/>
          <w:lang w:eastAsia="zh-CN"/>
        </w:rPr>
        <w:t>城东产业园（鄂城新区）</w:t>
      </w:r>
      <w:r>
        <w:rPr>
          <w:rFonts w:hint="default" w:ascii="Times New Roman" w:hAnsi="Times New Roman" w:cs="Times New Roman"/>
          <w:color w:val="auto"/>
          <w:kern w:val="0"/>
          <w:highlight w:val="none"/>
          <w:lang w:val="en-US" w:eastAsia="zh-CN"/>
        </w:rPr>
        <w:t>西北、西南区域</w:t>
      </w:r>
      <w:r>
        <w:rPr>
          <w:rFonts w:hint="default" w:ascii="Times New Roman" w:hAnsi="Times New Roman" w:cs="Times New Roman"/>
          <w:color w:val="auto"/>
          <w:kern w:val="0"/>
          <w:highlight w:val="none"/>
        </w:rPr>
        <w:t>为城市建成区</w:t>
      </w:r>
      <w:r>
        <w:rPr>
          <w:rFonts w:hint="default" w:ascii="Times New Roman" w:hAnsi="Times New Roman" w:cs="Times New Roman"/>
          <w:color w:val="auto"/>
          <w:kern w:val="0"/>
          <w:highlight w:val="none"/>
          <w:lang w:eastAsia="zh-CN"/>
        </w:rPr>
        <w:t>，</w:t>
      </w:r>
      <w:r>
        <w:rPr>
          <w:rFonts w:hint="default" w:ascii="Times New Roman" w:hAnsi="Times New Roman" w:cs="Times New Roman"/>
          <w:color w:val="auto"/>
          <w:kern w:val="0"/>
          <w:highlight w:val="none"/>
        </w:rPr>
        <w:t>开发利用程度较高，</w:t>
      </w:r>
      <w:r>
        <w:rPr>
          <w:rFonts w:hint="default" w:ascii="Times New Roman" w:hAnsi="Times New Roman" w:cs="Times New Roman"/>
          <w:color w:val="auto"/>
          <w:kern w:val="0"/>
          <w:highlight w:val="none"/>
          <w:lang w:val="en-US" w:eastAsia="zh-CN"/>
        </w:rPr>
        <w:t>其他多为未开发区域</w:t>
      </w:r>
      <w:r>
        <w:rPr>
          <w:rFonts w:hint="default" w:ascii="Times New Roman" w:hAnsi="Times New Roman" w:cs="Times New Roman"/>
          <w:color w:val="auto"/>
          <w:kern w:val="0"/>
          <w:highlight w:val="none"/>
        </w:rPr>
        <w:t>，开发利用比例较低。</w:t>
      </w:r>
    </w:p>
    <w:p w14:paraId="49DF0DDF">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eastAsia="zh-CN"/>
        </w:rPr>
        <w:t>城东产业园（鄂城新区）</w:t>
      </w:r>
      <w:r>
        <w:rPr>
          <w:rFonts w:hint="default" w:ascii="Times New Roman" w:hAnsi="Times New Roman" w:cs="Times New Roman"/>
          <w:color w:val="auto"/>
          <w:kern w:val="0"/>
          <w:highlight w:val="none"/>
        </w:rPr>
        <w:t>西北侧主要功能以居住、文化教育、行政办公居多；北侧临长江（鄂州段）</w:t>
      </w:r>
      <w:r>
        <w:rPr>
          <w:rFonts w:hint="default" w:ascii="Times New Roman" w:hAnsi="Times New Roman" w:cs="Times New Roman"/>
          <w:color w:val="auto"/>
          <w:kern w:val="0"/>
          <w:highlight w:val="none"/>
          <w:lang w:eastAsia="zh-CN"/>
        </w:rPr>
        <w:t>；</w:t>
      </w:r>
      <w:r>
        <w:rPr>
          <w:rFonts w:hint="default" w:ascii="Times New Roman" w:hAnsi="Times New Roman" w:cs="Times New Roman"/>
          <w:color w:val="auto"/>
          <w:kern w:val="0"/>
          <w:highlight w:val="none"/>
        </w:rPr>
        <w:t>东侧、南侧多为村落、农用地及少量工业企业等，尚未按规划开展建设。</w:t>
      </w:r>
    </w:p>
    <w:p w14:paraId="3FB839CB">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eastAsia="zh-CN"/>
        </w:rPr>
        <w:t>城东产业园（鄂城新区）</w:t>
      </w:r>
      <w:r>
        <w:rPr>
          <w:rFonts w:hint="default" w:ascii="Times New Roman" w:hAnsi="Times New Roman" w:cs="Times New Roman"/>
          <w:color w:val="auto"/>
          <w:kern w:val="0"/>
          <w:highlight w:val="none"/>
        </w:rPr>
        <w:t>周边敏感点分布情况如下表所示：</w:t>
      </w:r>
    </w:p>
    <w:p w14:paraId="7EA0A701">
      <w:pPr>
        <w:jc w:val="center"/>
        <w:rPr>
          <w:rFonts w:hint="default" w:ascii="Times New Roman" w:hAnsi="Times New Roman" w:eastAsia="黑体" w:cs="Times New Roman"/>
          <w:b/>
          <w:color w:val="auto"/>
          <w:highlight w:val="none"/>
        </w:rPr>
      </w:pPr>
      <w:r>
        <w:rPr>
          <w:rFonts w:hint="default" w:ascii="Times New Roman" w:hAnsi="Times New Roman" w:eastAsia="黑体" w:cs="Times New Roman"/>
          <w:b/>
          <w:color w:val="auto"/>
          <w:highlight w:val="none"/>
        </w:rPr>
        <w:t xml:space="preserve">表2-2-1 </w:t>
      </w:r>
      <w:r>
        <w:rPr>
          <w:rFonts w:hint="default" w:ascii="Times New Roman" w:hAnsi="Times New Roman" w:eastAsia="黑体" w:cs="Times New Roman"/>
          <w:b/>
          <w:color w:val="auto"/>
          <w:highlight w:val="none"/>
          <w:lang w:eastAsia="zh-CN"/>
        </w:rPr>
        <w:t>城东产业园（鄂城新区）</w:t>
      </w:r>
      <w:r>
        <w:rPr>
          <w:rFonts w:hint="default" w:ascii="Times New Roman" w:hAnsi="Times New Roman" w:eastAsia="黑体" w:cs="Times New Roman"/>
          <w:b/>
          <w:color w:val="auto"/>
          <w:highlight w:val="none"/>
        </w:rPr>
        <w:t>周边敏感点分布情况</w:t>
      </w:r>
    </w:p>
    <w:tbl>
      <w:tblPr>
        <w:tblStyle w:val="22"/>
        <w:tblW w:w="498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3128"/>
        <w:gridCol w:w="1302"/>
        <w:gridCol w:w="3329"/>
        <w:gridCol w:w="1302"/>
      </w:tblGrid>
      <w:tr w14:paraId="25B786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1" w:type="pct"/>
            <w:tcBorders>
              <w:bottom w:val="single" w:color="auto" w:sz="12" w:space="0"/>
            </w:tcBorders>
            <w:vAlign w:val="center"/>
          </w:tcPr>
          <w:p w14:paraId="7194BD85">
            <w:pPr>
              <w:pStyle w:val="2"/>
              <w:spacing w:after="0"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编号</w:t>
            </w:r>
          </w:p>
        </w:tc>
        <w:tc>
          <w:tcPr>
            <w:tcW w:w="1590" w:type="pct"/>
            <w:tcBorders>
              <w:bottom w:val="single" w:color="auto" w:sz="12" w:space="0"/>
            </w:tcBorders>
            <w:vAlign w:val="center"/>
          </w:tcPr>
          <w:p w14:paraId="44774CDC">
            <w:pPr>
              <w:pStyle w:val="2"/>
              <w:spacing w:after="0"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项目</w:t>
            </w:r>
          </w:p>
        </w:tc>
        <w:tc>
          <w:tcPr>
            <w:tcW w:w="662" w:type="pct"/>
            <w:tcBorders>
              <w:bottom w:val="single" w:color="auto" w:sz="12" w:space="0"/>
            </w:tcBorders>
            <w:vAlign w:val="center"/>
          </w:tcPr>
          <w:p w14:paraId="3FE32517">
            <w:pPr>
              <w:pStyle w:val="2"/>
              <w:spacing w:after="0"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相对方位</w:t>
            </w:r>
          </w:p>
        </w:tc>
        <w:tc>
          <w:tcPr>
            <w:tcW w:w="1692" w:type="pct"/>
            <w:tcBorders>
              <w:bottom w:val="single" w:color="auto" w:sz="12" w:space="0"/>
            </w:tcBorders>
            <w:vAlign w:val="center"/>
          </w:tcPr>
          <w:p w14:paraId="2D4847FB">
            <w:pPr>
              <w:pStyle w:val="2"/>
              <w:spacing w:after="0"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与工业园区最近距离（m）</w:t>
            </w:r>
          </w:p>
        </w:tc>
        <w:tc>
          <w:tcPr>
            <w:tcW w:w="662" w:type="pct"/>
            <w:tcBorders>
              <w:bottom w:val="single" w:color="auto" w:sz="12" w:space="0"/>
            </w:tcBorders>
            <w:vAlign w:val="center"/>
          </w:tcPr>
          <w:p w14:paraId="72EE45FC">
            <w:pPr>
              <w:pStyle w:val="2"/>
              <w:spacing w:after="0"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备注</w:t>
            </w:r>
          </w:p>
        </w:tc>
      </w:tr>
      <w:tr w14:paraId="05AC84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1" w:type="pct"/>
            <w:vAlign w:val="center"/>
          </w:tcPr>
          <w:p w14:paraId="3429EA7A">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590" w:type="pct"/>
            <w:vAlign w:val="center"/>
          </w:tcPr>
          <w:p w14:paraId="1C160BEA">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鄂州在水一方</w:t>
            </w:r>
          </w:p>
        </w:tc>
        <w:tc>
          <w:tcPr>
            <w:tcW w:w="662" w:type="pct"/>
            <w:vAlign w:val="center"/>
          </w:tcPr>
          <w:p w14:paraId="60F12AB3">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w:t>
            </w:r>
          </w:p>
        </w:tc>
        <w:tc>
          <w:tcPr>
            <w:tcW w:w="1692" w:type="pct"/>
            <w:vAlign w:val="center"/>
          </w:tcPr>
          <w:p w14:paraId="1BE34635">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5C497F75">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51429A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7B149C81">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1590" w:type="pct"/>
            <w:vAlign w:val="center"/>
          </w:tcPr>
          <w:p w14:paraId="18920DF9">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洋澜湖</w:t>
            </w:r>
          </w:p>
        </w:tc>
        <w:tc>
          <w:tcPr>
            <w:tcW w:w="662" w:type="pct"/>
            <w:vAlign w:val="center"/>
          </w:tcPr>
          <w:p w14:paraId="181ED9CE">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w:t>
            </w:r>
          </w:p>
        </w:tc>
        <w:tc>
          <w:tcPr>
            <w:tcW w:w="1692" w:type="pct"/>
            <w:vAlign w:val="center"/>
          </w:tcPr>
          <w:p w14:paraId="1F727D14">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28288DE1">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地表水</w:t>
            </w:r>
          </w:p>
        </w:tc>
      </w:tr>
      <w:tr w14:paraId="4274F1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7DC34B52">
            <w:pPr>
              <w:pStyle w:val="2"/>
              <w:spacing w:after="0"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3</w:t>
            </w:r>
          </w:p>
        </w:tc>
        <w:tc>
          <w:tcPr>
            <w:tcW w:w="1590" w:type="pct"/>
            <w:vAlign w:val="center"/>
          </w:tcPr>
          <w:p w14:paraId="2B927092">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怡馨苑</w:t>
            </w:r>
          </w:p>
        </w:tc>
        <w:tc>
          <w:tcPr>
            <w:tcW w:w="662" w:type="pct"/>
            <w:vAlign w:val="center"/>
          </w:tcPr>
          <w:p w14:paraId="229DDBC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w:t>
            </w:r>
          </w:p>
        </w:tc>
        <w:tc>
          <w:tcPr>
            <w:tcW w:w="1692" w:type="pct"/>
            <w:vAlign w:val="center"/>
          </w:tcPr>
          <w:p w14:paraId="6B75D5AE">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57E06CD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0F2D85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69782C84">
            <w:pPr>
              <w:pStyle w:val="2"/>
              <w:spacing w:after="0"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4</w:t>
            </w:r>
          </w:p>
        </w:tc>
        <w:tc>
          <w:tcPr>
            <w:tcW w:w="1590" w:type="pct"/>
            <w:vAlign w:val="center"/>
          </w:tcPr>
          <w:p w14:paraId="47ECC89D">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滨湖一号小区</w:t>
            </w:r>
          </w:p>
        </w:tc>
        <w:tc>
          <w:tcPr>
            <w:tcW w:w="662" w:type="pct"/>
            <w:vAlign w:val="center"/>
          </w:tcPr>
          <w:p w14:paraId="5843B8B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w:t>
            </w:r>
          </w:p>
        </w:tc>
        <w:tc>
          <w:tcPr>
            <w:tcW w:w="1692" w:type="pct"/>
            <w:vAlign w:val="center"/>
          </w:tcPr>
          <w:p w14:paraId="386B01EA">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6185AE4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3E4041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296A3255">
            <w:pPr>
              <w:pStyle w:val="2"/>
              <w:spacing w:after="0"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5</w:t>
            </w:r>
          </w:p>
        </w:tc>
        <w:tc>
          <w:tcPr>
            <w:tcW w:w="1590" w:type="pct"/>
            <w:vAlign w:val="center"/>
          </w:tcPr>
          <w:p w14:paraId="419BF2EE">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鄂州市质监局</w:t>
            </w:r>
          </w:p>
        </w:tc>
        <w:tc>
          <w:tcPr>
            <w:tcW w:w="662" w:type="pct"/>
            <w:vAlign w:val="center"/>
          </w:tcPr>
          <w:p w14:paraId="3EB699E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w:t>
            </w:r>
          </w:p>
        </w:tc>
        <w:tc>
          <w:tcPr>
            <w:tcW w:w="1692" w:type="pct"/>
            <w:vAlign w:val="center"/>
          </w:tcPr>
          <w:p w14:paraId="53EDB4D7">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320</w:t>
            </w:r>
          </w:p>
        </w:tc>
        <w:tc>
          <w:tcPr>
            <w:tcW w:w="662" w:type="pct"/>
            <w:vAlign w:val="center"/>
          </w:tcPr>
          <w:p w14:paraId="29F6CD1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行政办公</w:t>
            </w:r>
          </w:p>
        </w:tc>
      </w:tr>
      <w:tr w14:paraId="36C7CB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06B4811E">
            <w:pPr>
              <w:pStyle w:val="2"/>
              <w:spacing w:after="0"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w:t>
            </w:r>
          </w:p>
        </w:tc>
        <w:tc>
          <w:tcPr>
            <w:tcW w:w="1590" w:type="pct"/>
            <w:vAlign w:val="center"/>
          </w:tcPr>
          <w:p w14:paraId="03F162A4">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丁家老屋</w:t>
            </w:r>
          </w:p>
        </w:tc>
        <w:tc>
          <w:tcPr>
            <w:tcW w:w="662" w:type="pct"/>
            <w:vAlign w:val="center"/>
          </w:tcPr>
          <w:p w14:paraId="115AC97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w:t>
            </w:r>
          </w:p>
        </w:tc>
        <w:tc>
          <w:tcPr>
            <w:tcW w:w="1692" w:type="pct"/>
            <w:vAlign w:val="center"/>
          </w:tcPr>
          <w:p w14:paraId="479DE124">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66E11705">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217C80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175B600C">
            <w:pPr>
              <w:pStyle w:val="2"/>
              <w:spacing w:after="0"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7</w:t>
            </w:r>
          </w:p>
        </w:tc>
        <w:tc>
          <w:tcPr>
            <w:tcW w:w="1590" w:type="pct"/>
            <w:vAlign w:val="center"/>
          </w:tcPr>
          <w:p w14:paraId="15677B97">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金桥名邸</w:t>
            </w:r>
          </w:p>
        </w:tc>
        <w:tc>
          <w:tcPr>
            <w:tcW w:w="662" w:type="pct"/>
            <w:vAlign w:val="center"/>
          </w:tcPr>
          <w:p w14:paraId="43D6FD9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w:t>
            </w:r>
          </w:p>
        </w:tc>
        <w:tc>
          <w:tcPr>
            <w:tcW w:w="1692" w:type="pct"/>
            <w:vAlign w:val="center"/>
          </w:tcPr>
          <w:p w14:paraId="3EF013D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330</w:t>
            </w:r>
          </w:p>
        </w:tc>
        <w:tc>
          <w:tcPr>
            <w:tcW w:w="662" w:type="pct"/>
            <w:vAlign w:val="center"/>
          </w:tcPr>
          <w:p w14:paraId="044BF51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1E7530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16592490">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8</w:t>
            </w:r>
          </w:p>
        </w:tc>
        <w:tc>
          <w:tcPr>
            <w:tcW w:w="1590" w:type="pct"/>
            <w:vAlign w:val="center"/>
          </w:tcPr>
          <w:p w14:paraId="0B0DC252">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驰恒之城</w:t>
            </w:r>
          </w:p>
        </w:tc>
        <w:tc>
          <w:tcPr>
            <w:tcW w:w="662" w:type="pct"/>
            <w:vAlign w:val="center"/>
          </w:tcPr>
          <w:p w14:paraId="0040740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北</w:t>
            </w:r>
          </w:p>
        </w:tc>
        <w:tc>
          <w:tcPr>
            <w:tcW w:w="1692" w:type="pct"/>
            <w:vAlign w:val="center"/>
          </w:tcPr>
          <w:p w14:paraId="34B55EA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6F2A7A1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1C52C3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0CD1275B">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9</w:t>
            </w:r>
          </w:p>
        </w:tc>
        <w:tc>
          <w:tcPr>
            <w:tcW w:w="1590" w:type="pct"/>
            <w:vAlign w:val="center"/>
          </w:tcPr>
          <w:p w14:paraId="5F8D48CB">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吴都春天</w:t>
            </w:r>
          </w:p>
        </w:tc>
        <w:tc>
          <w:tcPr>
            <w:tcW w:w="662" w:type="pct"/>
            <w:vAlign w:val="center"/>
          </w:tcPr>
          <w:p w14:paraId="2606724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w:t>
            </w:r>
          </w:p>
        </w:tc>
        <w:tc>
          <w:tcPr>
            <w:tcW w:w="1692" w:type="pct"/>
            <w:vAlign w:val="center"/>
          </w:tcPr>
          <w:p w14:paraId="40CC90A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180</w:t>
            </w:r>
          </w:p>
        </w:tc>
        <w:tc>
          <w:tcPr>
            <w:tcW w:w="662" w:type="pct"/>
            <w:vAlign w:val="center"/>
          </w:tcPr>
          <w:p w14:paraId="7DFFC5F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50BC6D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4B44C1DE">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10</w:t>
            </w:r>
          </w:p>
        </w:tc>
        <w:tc>
          <w:tcPr>
            <w:tcW w:w="1590" w:type="pct"/>
            <w:vAlign w:val="center"/>
          </w:tcPr>
          <w:p w14:paraId="1A545EFB">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莲花小镇</w:t>
            </w:r>
          </w:p>
        </w:tc>
        <w:tc>
          <w:tcPr>
            <w:tcW w:w="662" w:type="pct"/>
            <w:vAlign w:val="center"/>
          </w:tcPr>
          <w:p w14:paraId="19BFCBA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w:t>
            </w:r>
          </w:p>
        </w:tc>
        <w:tc>
          <w:tcPr>
            <w:tcW w:w="1692" w:type="pct"/>
            <w:vAlign w:val="center"/>
          </w:tcPr>
          <w:p w14:paraId="0D28112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1425243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417FA9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77F5D57A">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11</w:t>
            </w:r>
          </w:p>
        </w:tc>
        <w:tc>
          <w:tcPr>
            <w:tcW w:w="1590" w:type="pct"/>
            <w:vAlign w:val="center"/>
          </w:tcPr>
          <w:p w14:paraId="2C00A082">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龚家塆</w:t>
            </w:r>
          </w:p>
        </w:tc>
        <w:tc>
          <w:tcPr>
            <w:tcW w:w="662" w:type="pct"/>
            <w:vAlign w:val="center"/>
          </w:tcPr>
          <w:p w14:paraId="3FA52759">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w:t>
            </w:r>
          </w:p>
        </w:tc>
        <w:tc>
          <w:tcPr>
            <w:tcW w:w="1692" w:type="pct"/>
            <w:vAlign w:val="center"/>
          </w:tcPr>
          <w:p w14:paraId="1BD04FD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340</w:t>
            </w:r>
          </w:p>
        </w:tc>
        <w:tc>
          <w:tcPr>
            <w:tcW w:w="662" w:type="pct"/>
            <w:vAlign w:val="center"/>
          </w:tcPr>
          <w:p w14:paraId="7F0F739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74176D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597F6B9B">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12</w:t>
            </w:r>
          </w:p>
        </w:tc>
        <w:tc>
          <w:tcPr>
            <w:tcW w:w="1590" w:type="pct"/>
            <w:vAlign w:val="center"/>
          </w:tcPr>
          <w:p w14:paraId="1483D946">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鄂州市建委会</w:t>
            </w:r>
          </w:p>
        </w:tc>
        <w:tc>
          <w:tcPr>
            <w:tcW w:w="662" w:type="pct"/>
            <w:vAlign w:val="center"/>
          </w:tcPr>
          <w:p w14:paraId="7AAA513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北</w:t>
            </w:r>
          </w:p>
        </w:tc>
        <w:tc>
          <w:tcPr>
            <w:tcW w:w="1692" w:type="pct"/>
            <w:vAlign w:val="center"/>
          </w:tcPr>
          <w:p w14:paraId="6C7E9E0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w:t>
            </w:r>
          </w:p>
        </w:tc>
        <w:tc>
          <w:tcPr>
            <w:tcW w:w="662" w:type="pct"/>
            <w:vAlign w:val="center"/>
          </w:tcPr>
          <w:p w14:paraId="4085DB5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行政办公</w:t>
            </w:r>
          </w:p>
        </w:tc>
      </w:tr>
      <w:tr w14:paraId="78AFC5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07CA04F1">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13</w:t>
            </w:r>
          </w:p>
        </w:tc>
        <w:tc>
          <w:tcPr>
            <w:tcW w:w="1590" w:type="pct"/>
            <w:vAlign w:val="center"/>
          </w:tcPr>
          <w:p w14:paraId="7E61DB8D">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鄂州市实验小学</w:t>
            </w:r>
          </w:p>
        </w:tc>
        <w:tc>
          <w:tcPr>
            <w:tcW w:w="662" w:type="pct"/>
            <w:vAlign w:val="center"/>
          </w:tcPr>
          <w:p w14:paraId="7092467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北</w:t>
            </w:r>
          </w:p>
        </w:tc>
        <w:tc>
          <w:tcPr>
            <w:tcW w:w="1692" w:type="pct"/>
            <w:vAlign w:val="center"/>
          </w:tcPr>
          <w:p w14:paraId="7DEC4EA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662" w:type="pct"/>
            <w:vAlign w:val="center"/>
          </w:tcPr>
          <w:p w14:paraId="28B1596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文化教育</w:t>
            </w:r>
          </w:p>
        </w:tc>
      </w:tr>
      <w:tr w14:paraId="3DCEF4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1B7ED126">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14</w:t>
            </w:r>
          </w:p>
        </w:tc>
        <w:tc>
          <w:tcPr>
            <w:tcW w:w="1590" w:type="pct"/>
            <w:vAlign w:val="center"/>
          </w:tcPr>
          <w:p w14:paraId="309AF81C">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鄂州市吴都中学</w:t>
            </w:r>
          </w:p>
        </w:tc>
        <w:tc>
          <w:tcPr>
            <w:tcW w:w="662" w:type="pct"/>
            <w:vAlign w:val="center"/>
          </w:tcPr>
          <w:p w14:paraId="6692CCA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北</w:t>
            </w:r>
          </w:p>
        </w:tc>
        <w:tc>
          <w:tcPr>
            <w:tcW w:w="1692" w:type="pct"/>
            <w:vAlign w:val="center"/>
          </w:tcPr>
          <w:p w14:paraId="6C85067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135</w:t>
            </w:r>
          </w:p>
        </w:tc>
        <w:tc>
          <w:tcPr>
            <w:tcW w:w="662" w:type="pct"/>
            <w:vAlign w:val="center"/>
          </w:tcPr>
          <w:p w14:paraId="6459C2D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文化教育</w:t>
            </w:r>
          </w:p>
        </w:tc>
      </w:tr>
      <w:tr w14:paraId="7E922C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7514D258">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15</w:t>
            </w:r>
          </w:p>
        </w:tc>
        <w:tc>
          <w:tcPr>
            <w:tcW w:w="1590" w:type="pct"/>
            <w:vAlign w:val="center"/>
          </w:tcPr>
          <w:p w14:paraId="5076274A">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领秀1加8</w:t>
            </w:r>
          </w:p>
        </w:tc>
        <w:tc>
          <w:tcPr>
            <w:tcW w:w="662" w:type="pct"/>
            <w:vAlign w:val="center"/>
          </w:tcPr>
          <w:p w14:paraId="1423C9B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北</w:t>
            </w:r>
          </w:p>
        </w:tc>
        <w:tc>
          <w:tcPr>
            <w:tcW w:w="1692" w:type="pct"/>
            <w:vAlign w:val="center"/>
          </w:tcPr>
          <w:p w14:paraId="0A1A0D5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70</w:t>
            </w:r>
          </w:p>
        </w:tc>
        <w:tc>
          <w:tcPr>
            <w:tcW w:w="662" w:type="pct"/>
            <w:vAlign w:val="center"/>
          </w:tcPr>
          <w:p w14:paraId="579818EF">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5365BA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4B74C03E">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16</w:t>
            </w:r>
          </w:p>
        </w:tc>
        <w:tc>
          <w:tcPr>
            <w:tcW w:w="1590" w:type="pct"/>
            <w:vAlign w:val="center"/>
          </w:tcPr>
          <w:p w14:paraId="6FB1D042">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马鞍山小区</w:t>
            </w:r>
          </w:p>
        </w:tc>
        <w:tc>
          <w:tcPr>
            <w:tcW w:w="662" w:type="pct"/>
            <w:vAlign w:val="center"/>
          </w:tcPr>
          <w:p w14:paraId="7D8BE0D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w:t>
            </w:r>
          </w:p>
        </w:tc>
        <w:tc>
          <w:tcPr>
            <w:tcW w:w="1692" w:type="pct"/>
            <w:vAlign w:val="center"/>
          </w:tcPr>
          <w:p w14:paraId="2BB185E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06AAE6A9">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6F966C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50F31DFE">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17</w:t>
            </w:r>
          </w:p>
        </w:tc>
        <w:tc>
          <w:tcPr>
            <w:tcW w:w="1590" w:type="pct"/>
            <w:vAlign w:val="center"/>
          </w:tcPr>
          <w:p w14:paraId="7F82ADC7">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孟家湾</w:t>
            </w:r>
          </w:p>
        </w:tc>
        <w:tc>
          <w:tcPr>
            <w:tcW w:w="662" w:type="pct"/>
            <w:vAlign w:val="center"/>
          </w:tcPr>
          <w:p w14:paraId="0A36658F">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w:t>
            </w:r>
          </w:p>
        </w:tc>
        <w:tc>
          <w:tcPr>
            <w:tcW w:w="1692" w:type="pct"/>
            <w:vAlign w:val="center"/>
          </w:tcPr>
          <w:p w14:paraId="680DA7CF">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7F6303C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5E2E4B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33925ED1">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18</w:t>
            </w:r>
          </w:p>
        </w:tc>
        <w:tc>
          <w:tcPr>
            <w:tcW w:w="1590" w:type="pct"/>
            <w:vAlign w:val="center"/>
          </w:tcPr>
          <w:p w14:paraId="7EE2069D">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李家屋</w:t>
            </w:r>
          </w:p>
        </w:tc>
        <w:tc>
          <w:tcPr>
            <w:tcW w:w="662" w:type="pct"/>
            <w:vAlign w:val="center"/>
          </w:tcPr>
          <w:p w14:paraId="0CA9B276">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w:t>
            </w:r>
          </w:p>
        </w:tc>
        <w:tc>
          <w:tcPr>
            <w:tcW w:w="1692" w:type="pct"/>
            <w:vAlign w:val="center"/>
          </w:tcPr>
          <w:p w14:paraId="27D1DE4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63B8248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0B64A2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3A60D522">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19</w:t>
            </w:r>
          </w:p>
        </w:tc>
        <w:tc>
          <w:tcPr>
            <w:tcW w:w="1590" w:type="pct"/>
            <w:vAlign w:val="center"/>
          </w:tcPr>
          <w:p w14:paraId="22B7A3AB">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裤子塘</w:t>
            </w:r>
          </w:p>
        </w:tc>
        <w:tc>
          <w:tcPr>
            <w:tcW w:w="662" w:type="pct"/>
            <w:vAlign w:val="center"/>
          </w:tcPr>
          <w:p w14:paraId="533740B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w:t>
            </w:r>
          </w:p>
        </w:tc>
        <w:tc>
          <w:tcPr>
            <w:tcW w:w="1692" w:type="pct"/>
            <w:vAlign w:val="center"/>
          </w:tcPr>
          <w:p w14:paraId="36DD34E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310</w:t>
            </w:r>
          </w:p>
        </w:tc>
        <w:tc>
          <w:tcPr>
            <w:tcW w:w="662" w:type="pct"/>
            <w:vAlign w:val="center"/>
          </w:tcPr>
          <w:p w14:paraId="7C0C0F1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05C3B2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290EC584">
            <w:pPr>
              <w:pStyle w:val="2"/>
              <w:spacing w:after="0"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w:t>
            </w:r>
          </w:p>
        </w:tc>
        <w:tc>
          <w:tcPr>
            <w:tcW w:w="1590" w:type="pct"/>
            <w:vAlign w:val="center"/>
          </w:tcPr>
          <w:p w14:paraId="75F7DA9B">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上沈</w:t>
            </w:r>
          </w:p>
        </w:tc>
        <w:tc>
          <w:tcPr>
            <w:tcW w:w="662" w:type="pct"/>
            <w:vAlign w:val="center"/>
          </w:tcPr>
          <w:p w14:paraId="2ECEE366">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w:t>
            </w:r>
          </w:p>
        </w:tc>
        <w:tc>
          <w:tcPr>
            <w:tcW w:w="1692" w:type="pct"/>
            <w:vAlign w:val="center"/>
          </w:tcPr>
          <w:p w14:paraId="51BA78D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300</w:t>
            </w:r>
          </w:p>
        </w:tc>
        <w:tc>
          <w:tcPr>
            <w:tcW w:w="662" w:type="pct"/>
            <w:vAlign w:val="center"/>
          </w:tcPr>
          <w:p w14:paraId="58B7271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361A36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65FEC21B">
            <w:pPr>
              <w:pStyle w:val="2"/>
              <w:spacing w:after="0"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21</w:t>
            </w:r>
          </w:p>
        </w:tc>
        <w:tc>
          <w:tcPr>
            <w:tcW w:w="1590" w:type="pct"/>
            <w:vAlign w:val="center"/>
          </w:tcPr>
          <w:p w14:paraId="37F759D5">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鄂州市学生综合实践基地</w:t>
            </w:r>
          </w:p>
        </w:tc>
        <w:tc>
          <w:tcPr>
            <w:tcW w:w="662" w:type="pct"/>
            <w:vAlign w:val="center"/>
          </w:tcPr>
          <w:p w14:paraId="1B1FE88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w:t>
            </w:r>
          </w:p>
        </w:tc>
        <w:tc>
          <w:tcPr>
            <w:tcW w:w="1692" w:type="pct"/>
            <w:vAlign w:val="center"/>
          </w:tcPr>
          <w:p w14:paraId="4AEE9B55">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170</w:t>
            </w:r>
          </w:p>
        </w:tc>
        <w:tc>
          <w:tcPr>
            <w:tcW w:w="662" w:type="pct"/>
            <w:vAlign w:val="center"/>
          </w:tcPr>
          <w:p w14:paraId="04806986">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文化教育</w:t>
            </w:r>
          </w:p>
        </w:tc>
      </w:tr>
      <w:tr w14:paraId="64260D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314C7479">
            <w:pPr>
              <w:pStyle w:val="2"/>
              <w:spacing w:after="0"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22</w:t>
            </w:r>
          </w:p>
        </w:tc>
        <w:tc>
          <w:tcPr>
            <w:tcW w:w="1590" w:type="pct"/>
            <w:vAlign w:val="center"/>
          </w:tcPr>
          <w:p w14:paraId="2CE344A4">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银山村</w:t>
            </w:r>
          </w:p>
        </w:tc>
        <w:tc>
          <w:tcPr>
            <w:tcW w:w="662" w:type="pct"/>
            <w:vAlign w:val="center"/>
          </w:tcPr>
          <w:p w14:paraId="41E2BBE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w:t>
            </w:r>
          </w:p>
        </w:tc>
        <w:tc>
          <w:tcPr>
            <w:tcW w:w="1692" w:type="pct"/>
            <w:vAlign w:val="center"/>
          </w:tcPr>
          <w:p w14:paraId="7FA3B44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360</w:t>
            </w:r>
          </w:p>
        </w:tc>
        <w:tc>
          <w:tcPr>
            <w:tcW w:w="662" w:type="pct"/>
            <w:vAlign w:val="center"/>
          </w:tcPr>
          <w:p w14:paraId="6F84CBD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29A6E1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722B3624">
            <w:pPr>
              <w:pStyle w:val="2"/>
              <w:spacing w:after="0"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23</w:t>
            </w:r>
          </w:p>
        </w:tc>
        <w:tc>
          <w:tcPr>
            <w:tcW w:w="1590" w:type="pct"/>
            <w:vAlign w:val="center"/>
          </w:tcPr>
          <w:p w14:paraId="45FE87DB">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方家园</w:t>
            </w:r>
          </w:p>
        </w:tc>
        <w:tc>
          <w:tcPr>
            <w:tcW w:w="662" w:type="pct"/>
            <w:vAlign w:val="center"/>
          </w:tcPr>
          <w:p w14:paraId="2F765C5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w:t>
            </w:r>
          </w:p>
        </w:tc>
        <w:tc>
          <w:tcPr>
            <w:tcW w:w="1692" w:type="pct"/>
            <w:vAlign w:val="center"/>
          </w:tcPr>
          <w:p w14:paraId="28748CA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300</w:t>
            </w:r>
          </w:p>
        </w:tc>
        <w:tc>
          <w:tcPr>
            <w:tcW w:w="662" w:type="pct"/>
            <w:vAlign w:val="center"/>
          </w:tcPr>
          <w:p w14:paraId="6F8FA52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50A809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6C7A7596">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24</w:t>
            </w:r>
          </w:p>
        </w:tc>
        <w:tc>
          <w:tcPr>
            <w:tcW w:w="1590" w:type="pct"/>
            <w:vAlign w:val="center"/>
          </w:tcPr>
          <w:p w14:paraId="44264D76">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魁丰塆</w:t>
            </w:r>
          </w:p>
        </w:tc>
        <w:tc>
          <w:tcPr>
            <w:tcW w:w="662" w:type="pct"/>
            <w:vAlign w:val="center"/>
          </w:tcPr>
          <w:p w14:paraId="60BA6BD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w:t>
            </w:r>
          </w:p>
        </w:tc>
        <w:tc>
          <w:tcPr>
            <w:tcW w:w="1692" w:type="pct"/>
            <w:vAlign w:val="center"/>
          </w:tcPr>
          <w:p w14:paraId="3656BC5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662" w:type="pct"/>
            <w:vAlign w:val="center"/>
          </w:tcPr>
          <w:p w14:paraId="7E09B30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2F8612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4204FC7B">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w:t>
            </w:r>
          </w:p>
        </w:tc>
        <w:tc>
          <w:tcPr>
            <w:tcW w:w="1590" w:type="pct"/>
            <w:vAlign w:val="center"/>
          </w:tcPr>
          <w:p w14:paraId="5707DA92">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新塆</w:t>
            </w:r>
          </w:p>
        </w:tc>
        <w:tc>
          <w:tcPr>
            <w:tcW w:w="662" w:type="pct"/>
            <w:vAlign w:val="center"/>
          </w:tcPr>
          <w:p w14:paraId="4F21276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w:t>
            </w:r>
          </w:p>
        </w:tc>
        <w:tc>
          <w:tcPr>
            <w:tcW w:w="1692" w:type="pct"/>
            <w:vAlign w:val="center"/>
          </w:tcPr>
          <w:p w14:paraId="4420059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230</w:t>
            </w:r>
          </w:p>
        </w:tc>
        <w:tc>
          <w:tcPr>
            <w:tcW w:w="662" w:type="pct"/>
            <w:vAlign w:val="center"/>
          </w:tcPr>
          <w:p w14:paraId="4921E72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6A2E95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17CD1557">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26</w:t>
            </w:r>
          </w:p>
        </w:tc>
        <w:tc>
          <w:tcPr>
            <w:tcW w:w="1590" w:type="pct"/>
            <w:vAlign w:val="center"/>
          </w:tcPr>
          <w:p w14:paraId="2AFF52F0">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周永丰</w:t>
            </w:r>
          </w:p>
        </w:tc>
        <w:tc>
          <w:tcPr>
            <w:tcW w:w="662" w:type="pct"/>
            <w:vAlign w:val="center"/>
          </w:tcPr>
          <w:p w14:paraId="6B499A2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w:t>
            </w:r>
          </w:p>
        </w:tc>
        <w:tc>
          <w:tcPr>
            <w:tcW w:w="1692" w:type="pct"/>
            <w:vAlign w:val="center"/>
          </w:tcPr>
          <w:p w14:paraId="5963E9E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67485FC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2BBD79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4F4E2C9C">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27</w:t>
            </w:r>
          </w:p>
        </w:tc>
        <w:tc>
          <w:tcPr>
            <w:tcW w:w="1590" w:type="pct"/>
            <w:vAlign w:val="center"/>
          </w:tcPr>
          <w:p w14:paraId="44AA8500">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新建村</w:t>
            </w:r>
          </w:p>
        </w:tc>
        <w:tc>
          <w:tcPr>
            <w:tcW w:w="662" w:type="pct"/>
            <w:vAlign w:val="center"/>
          </w:tcPr>
          <w:p w14:paraId="3045D94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w:t>
            </w:r>
          </w:p>
        </w:tc>
        <w:tc>
          <w:tcPr>
            <w:tcW w:w="1692" w:type="pct"/>
            <w:vAlign w:val="center"/>
          </w:tcPr>
          <w:p w14:paraId="18B97CB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320</w:t>
            </w:r>
          </w:p>
        </w:tc>
        <w:tc>
          <w:tcPr>
            <w:tcW w:w="662" w:type="pct"/>
            <w:vAlign w:val="center"/>
          </w:tcPr>
          <w:p w14:paraId="79959E7F">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4B15B0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543160FB">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28</w:t>
            </w:r>
          </w:p>
        </w:tc>
        <w:tc>
          <w:tcPr>
            <w:tcW w:w="1590" w:type="pct"/>
            <w:vAlign w:val="center"/>
          </w:tcPr>
          <w:p w14:paraId="6A6A7C09">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胡道士</w:t>
            </w:r>
          </w:p>
        </w:tc>
        <w:tc>
          <w:tcPr>
            <w:tcW w:w="662" w:type="pct"/>
            <w:vAlign w:val="center"/>
          </w:tcPr>
          <w:p w14:paraId="4F10431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w:t>
            </w:r>
          </w:p>
        </w:tc>
        <w:tc>
          <w:tcPr>
            <w:tcW w:w="1692" w:type="pct"/>
            <w:vAlign w:val="center"/>
          </w:tcPr>
          <w:p w14:paraId="1068DF8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08459D79">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0FE5A5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78498632">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29</w:t>
            </w:r>
          </w:p>
        </w:tc>
        <w:tc>
          <w:tcPr>
            <w:tcW w:w="1590" w:type="pct"/>
            <w:vAlign w:val="center"/>
          </w:tcPr>
          <w:p w14:paraId="03D20E05">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晒划基</w:t>
            </w:r>
          </w:p>
        </w:tc>
        <w:tc>
          <w:tcPr>
            <w:tcW w:w="662" w:type="pct"/>
            <w:vAlign w:val="center"/>
          </w:tcPr>
          <w:p w14:paraId="3C73E589">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w:t>
            </w:r>
          </w:p>
        </w:tc>
        <w:tc>
          <w:tcPr>
            <w:tcW w:w="1692" w:type="pct"/>
            <w:vAlign w:val="center"/>
          </w:tcPr>
          <w:p w14:paraId="5813882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220</w:t>
            </w:r>
          </w:p>
        </w:tc>
        <w:tc>
          <w:tcPr>
            <w:tcW w:w="662" w:type="pct"/>
            <w:vAlign w:val="center"/>
          </w:tcPr>
          <w:p w14:paraId="389FF01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661E7C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32941530">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30</w:t>
            </w:r>
          </w:p>
        </w:tc>
        <w:tc>
          <w:tcPr>
            <w:tcW w:w="1590" w:type="pct"/>
            <w:vAlign w:val="center"/>
          </w:tcPr>
          <w:p w14:paraId="52C4DC48">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燕儿塆</w:t>
            </w:r>
          </w:p>
        </w:tc>
        <w:tc>
          <w:tcPr>
            <w:tcW w:w="662" w:type="pct"/>
            <w:vAlign w:val="center"/>
          </w:tcPr>
          <w:p w14:paraId="574C042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w:t>
            </w:r>
          </w:p>
        </w:tc>
        <w:tc>
          <w:tcPr>
            <w:tcW w:w="1692" w:type="pct"/>
            <w:vAlign w:val="center"/>
          </w:tcPr>
          <w:p w14:paraId="1AA1B3A5">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312AA9F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1DC947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3C884B0B">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31</w:t>
            </w:r>
          </w:p>
        </w:tc>
        <w:tc>
          <w:tcPr>
            <w:tcW w:w="1590" w:type="pct"/>
            <w:vAlign w:val="center"/>
          </w:tcPr>
          <w:p w14:paraId="752F0E6B">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凤火塆</w:t>
            </w:r>
          </w:p>
        </w:tc>
        <w:tc>
          <w:tcPr>
            <w:tcW w:w="662" w:type="pct"/>
            <w:vAlign w:val="center"/>
          </w:tcPr>
          <w:p w14:paraId="36A4004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w:t>
            </w:r>
          </w:p>
        </w:tc>
        <w:tc>
          <w:tcPr>
            <w:tcW w:w="1692" w:type="pct"/>
            <w:vAlign w:val="center"/>
          </w:tcPr>
          <w:p w14:paraId="786F7E89">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2A95F54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715A21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26D17774">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32</w:t>
            </w:r>
          </w:p>
        </w:tc>
        <w:tc>
          <w:tcPr>
            <w:tcW w:w="1590" w:type="pct"/>
            <w:vAlign w:val="center"/>
          </w:tcPr>
          <w:p w14:paraId="7116A1CD">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后沙窝</w:t>
            </w:r>
          </w:p>
        </w:tc>
        <w:tc>
          <w:tcPr>
            <w:tcW w:w="662" w:type="pct"/>
            <w:vAlign w:val="center"/>
          </w:tcPr>
          <w:p w14:paraId="45231FE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w:t>
            </w:r>
          </w:p>
        </w:tc>
        <w:tc>
          <w:tcPr>
            <w:tcW w:w="1692" w:type="pct"/>
            <w:vAlign w:val="center"/>
          </w:tcPr>
          <w:p w14:paraId="0F5E8506">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370</w:t>
            </w:r>
          </w:p>
        </w:tc>
        <w:tc>
          <w:tcPr>
            <w:tcW w:w="662" w:type="pct"/>
            <w:vAlign w:val="center"/>
          </w:tcPr>
          <w:p w14:paraId="013C6CBF">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2AE702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10019853">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33</w:t>
            </w:r>
          </w:p>
        </w:tc>
        <w:tc>
          <w:tcPr>
            <w:tcW w:w="1590" w:type="pct"/>
            <w:vAlign w:val="center"/>
          </w:tcPr>
          <w:p w14:paraId="3C1E5BA8">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朱家湾</w:t>
            </w:r>
          </w:p>
        </w:tc>
        <w:tc>
          <w:tcPr>
            <w:tcW w:w="662" w:type="pct"/>
            <w:vAlign w:val="center"/>
          </w:tcPr>
          <w:p w14:paraId="64806375">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w:t>
            </w:r>
          </w:p>
        </w:tc>
        <w:tc>
          <w:tcPr>
            <w:tcW w:w="1692" w:type="pct"/>
            <w:vAlign w:val="center"/>
          </w:tcPr>
          <w:p w14:paraId="134EF475">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200</w:t>
            </w:r>
          </w:p>
        </w:tc>
        <w:tc>
          <w:tcPr>
            <w:tcW w:w="662" w:type="pct"/>
            <w:vAlign w:val="center"/>
          </w:tcPr>
          <w:p w14:paraId="7F75031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0DF012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4DDD2D51">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34</w:t>
            </w:r>
          </w:p>
        </w:tc>
        <w:tc>
          <w:tcPr>
            <w:tcW w:w="1590" w:type="pct"/>
            <w:vAlign w:val="center"/>
          </w:tcPr>
          <w:p w14:paraId="7837C009">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田家楼</w:t>
            </w:r>
          </w:p>
        </w:tc>
        <w:tc>
          <w:tcPr>
            <w:tcW w:w="662" w:type="pct"/>
            <w:vAlign w:val="center"/>
          </w:tcPr>
          <w:p w14:paraId="161D1CE5">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w:t>
            </w:r>
          </w:p>
        </w:tc>
        <w:tc>
          <w:tcPr>
            <w:tcW w:w="1692" w:type="pct"/>
            <w:vAlign w:val="center"/>
          </w:tcPr>
          <w:p w14:paraId="7FE9DC8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230</w:t>
            </w:r>
          </w:p>
        </w:tc>
        <w:tc>
          <w:tcPr>
            <w:tcW w:w="662" w:type="pct"/>
            <w:vAlign w:val="center"/>
          </w:tcPr>
          <w:p w14:paraId="62693475">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50DE88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2CA65E5A">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35</w:t>
            </w:r>
          </w:p>
        </w:tc>
        <w:tc>
          <w:tcPr>
            <w:tcW w:w="1590" w:type="pct"/>
            <w:vAlign w:val="center"/>
          </w:tcPr>
          <w:p w14:paraId="70739B86">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黄家细塆</w:t>
            </w:r>
          </w:p>
        </w:tc>
        <w:tc>
          <w:tcPr>
            <w:tcW w:w="662" w:type="pct"/>
            <w:vAlign w:val="center"/>
          </w:tcPr>
          <w:p w14:paraId="1B03204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w:t>
            </w:r>
          </w:p>
        </w:tc>
        <w:tc>
          <w:tcPr>
            <w:tcW w:w="1692" w:type="pct"/>
            <w:vAlign w:val="center"/>
          </w:tcPr>
          <w:p w14:paraId="7695978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1DB54DA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26F642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512696C8">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36</w:t>
            </w:r>
          </w:p>
        </w:tc>
        <w:tc>
          <w:tcPr>
            <w:tcW w:w="1590" w:type="pct"/>
            <w:vAlign w:val="center"/>
          </w:tcPr>
          <w:p w14:paraId="15019E9F">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胡家破坝</w:t>
            </w:r>
          </w:p>
        </w:tc>
        <w:tc>
          <w:tcPr>
            <w:tcW w:w="662" w:type="pct"/>
            <w:vAlign w:val="center"/>
          </w:tcPr>
          <w:p w14:paraId="3C508BB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w:t>
            </w:r>
          </w:p>
        </w:tc>
        <w:tc>
          <w:tcPr>
            <w:tcW w:w="1692" w:type="pct"/>
            <w:vAlign w:val="center"/>
          </w:tcPr>
          <w:p w14:paraId="660288E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65D1FDE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6FAB6F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0ED4C2A3">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37</w:t>
            </w:r>
          </w:p>
        </w:tc>
        <w:tc>
          <w:tcPr>
            <w:tcW w:w="1590" w:type="pct"/>
            <w:vAlign w:val="center"/>
          </w:tcPr>
          <w:p w14:paraId="521D4307">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江家畈</w:t>
            </w:r>
          </w:p>
        </w:tc>
        <w:tc>
          <w:tcPr>
            <w:tcW w:w="662" w:type="pct"/>
            <w:vAlign w:val="center"/>
          </w:tcPr>
          <w:p w14:paraId="73A153F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w:t>
            </w:r>
          </w:p>
        </w:tc>
        <w:tc>
          <w:tcPr>
            <w:tcW w:w="1692" w:type="pct"/>
            <w:vAlign w:val="center"/>
          </w:tcPr>
          <w:p w14:paraId="16BEB89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260</w:t>
            </w:r>
          </w:p>
        </w:tc>
        <w:tc>
          <w:tcPr>
            <w:tcW w:w="662" w:type="pct"/>
            <w:vAlign w:val="center"/>
          </w:tcPr>
          <w:p w14:paraId="2528AB5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725C2E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78F2198A">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38</w:t>
            </w:r>
          </w:p>
        </w:tc>
        <w:tc>
          <w:tcPr>
            <w:tcW w:w="1590" w:type="pct"/>
            <w:vAlign w:val="center"/>
          </w:tcPr>
          <w:p w14:paraId="28B4FCCB">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军田咀</w:t>
            </w:r>
          </w:p>
        </w:tc>
        <w:tc>
          <w:tcPr>
            <w:tcW w:w="662" w:type="pct"/>
            <w:vAlign w:val="center"/>
          </w:tcPr>
          <w:p w14:paraId="127408B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w:t>
            </w:r>
          </w:p>
        </w:tc>
        <w:tc>
          <w:tcPr>
            <w:tcW w:w="1692" w:type="pct"/>
            <w:vAlign w:val="center"/>
          </w:tcPr>
          <w:p w14:paraId="0A09160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110</w:t>
            </w:r>
          </w:p>
        </w:tc>
        <w:tc>
          <w:tcPr>
            <w:tcW w:w="662" w:type="pct"/>
            <w:vAlign w:val="center"/>
          </w:tcPr>
          <w:p w14:paraId="72188EB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13C0D7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086E94DC">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39</w:t>
            </w:r>
          </w:p>
        </w:tc>
        <w:tc>
          <w:tcPr>
            <w:tcW w:w="1590" w:type="pct"/>
            <w:vAlign w:val="center"/>
          </w:tcPr>
          <w:p w14:paraId="6A2189AB">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马山村</w:t>
            </w:r>
          </w:p>
        </w:tc>
        <w:tc>
          <w:tcPr>
            <w:tcW w:w="662" w:type="pct"/>
            <w:vAlign w:val="center"/>
          </w:tcPr>
          <w:p w14:paraId="49A317A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w:t>
            </w:r>
          </w:p>
        </w:tc>
        <w:tc>
          <w:tcPr>
            <w:tcW w:w="1692" w:type="pct"/>
            <w:vAlign w:val="center"/>
          </w:tcPr>
          <w:p w14:paraId="56665009">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28CAB6A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0B0EAE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1267A1F4">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40</w:t>
            </w:r>
          </w:p>
        </w:tc>
        <w:tc>
          <w:tcPr>
            <w:tcW w:w="1590" w:type="pct"/>
            <w:vAlign w:val="center"/>
          </w:tcPr>
          <w:p w14:paraId="0855AA8A">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广家湾</w:t>
            </w:r>
          </w:p>
        </w:tc>
        <w:tc>
          <w:tcPr>
            <w:tcW w:w="662" w:type="pct"/>
            <w:vAlign w:val="center"/>
          </w:tcPr>
          <w:p w14:paraId="7D788E5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w:t>
            </w:r>
          </w:p>
        </w:tc>
        <w:tc>
          <w:tcPr>
            <w:tcW w:w="1692" w:type="pct"/>
            <w:vAlign w:val="center"/>
          </w:tcPr>
          <w:p w14:paraId="1D51BC4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150</w:t>
            </w:r>
          </w:p>
        </w:tc>
        <w:tc>
          <w:tcPr>
            <w:tcW w:w="662" w:type="pct"/>
            <w:vAlign w:val="center"/>
          </w:tcPr>
          <w:p w14:paraId="03E6629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26C7A3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3AA4E636">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41</w:t>
            </w:r>
          </w:p>
        </w:tc>
        <w:tc>
          <w:tcPr>
            <w:tcW w:w="1590" w:type="pct"/>
            <w:vAlign w:val="center"/>
          </w:tcPr>
          <w:p w14:paraId="5EFF5AD0">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庙脚塆</w:t>
            </w:r>
          </w:p>
        </w:tc>
        <w:tc>
          <w:tcPr>
            <w:tcW w:w="662" w:type="pct"/>
            <w:vAlign w:val="center"/>
          </w:tcPr>
          <w:p w14:paraId="202E049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w:t>
            </w:r>
          </w:p>
        </w:tc>
        <w:tc>
          <w:tcPr>
            <w:tcW w:w="1692" w:type="pct"/>
            <w:vAlign w:val="center"/>
          </w:tcPr>
          <w:p w14:paraId="55E087C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340</w:t>
            </w:r>
          </w:p>
        </w:tc>
        <w:tc>
          <w:tcPr>
            <w:tcW w:w="662" w:type="pct"/>
            <w:vAlign w:val="center"/>
          </w:tcPr>
          <w:p w14:paraId="50BBAB1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70FF42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08215446">
            <w:pPr>
              <w:pStyle w:val="2"/>
              <w:spacing w:after="0"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4</w:t>
            </w:r>
            <w:r>
              <w:rPr>
                <w:rFonts w:hint="default" w:ascii="Times New Roman" w:hAnsi="Times New Roman" w:cs="Times New Roman"/>
                <w:color w:val="auto"/>
                <w:sz w:val="21"/>
                <w:szCs w:val="21"/>
                <w:highlight w:val="none"/>
                <w:lang w:val="en-US" w:eastAsia="zh-CN"/>
              </w:rPr>
              <w:t>2</w:t>
            </w:r>
          </w:p>
        </w:tc>
        <w:tc>
          <w:tcPr>
            <w:tcW w:w="1590" w:type="pct"/>
            <w:vAlign w:val="center"/>
          </w:tcPr>
          <w:p w14:paraId="7FF008BF">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黎家塆</w:t>
            </w:r>
          </w:p>
        </w:tc>
        <w:tc>
          <w:tcPr>
            <w:tcW w:w="662" w:type="pct"/>
            <w:vAlign w:val="center"/>
          </w:tcPr>
          <w:p w14:paraId="5349D30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w:t>
            </w:r>
          </w:p>
        </w:tc>
        <w:tc>
          <w:tcPr>
            <w:tcW w:w="1692" w:type="pct"/>
            <w:vAlign w:val="center"/>
          </w:tcPr>
          <w:p w14:paraId="38F0DAC5">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022C2FF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3D350F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0C1E4464">
            <w:pPr>
              <w:pStyle w:val="2"/>
              <w:spacing w:after="0"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4</w:t>
            </w:r>
            <w:r>
              <w:rPr>
                <w:rFonts w:hint="default" w:ascii="Times New Roman" w:hAnsi="Times New Roman" w:cs="Times New Roman"/>
                <w:color w:val="auto"/>
                <w:sz w:val="21"/>
                <w:szCs w:val="21"/>
                <w:highlight w:val="none"/>
                <w:lang w:val="en-US" w:eastAsia="zh-CN"/>
              </w:rPr>
              <w:t>3</w:t>
            </w:r>
          </w:p>
        </w:tc>
        <w:tc>
          <w:tcPr>
            <w:tcW w:w="1590" w:type="pct"/>
            <w:vAlign w:val="center"/>
          </w:tcPr>
          <w:p w14:paraId="7B73746E">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石头桥</w:t>
            </w:r>
          </w:p>
        </w:tc>
        <w:tc>
          <w:tcPr>
            <w:tcW w:w="662" w:type="pct"/>
            <w:vAlign w:val="center"/>
          </w:tcPr>
          <w:p w14:paraId="676AA9A6">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东南</w:t>
            </w:r>
          </w:p>
        </w:tc>
        <w:tc>
          <w:tcPr>
            <w:tcW w:w="1692" w:type="pct"/>
            <w:vAlign w:val="center"/>
          </w:tcPr>
          <w:p w14:paraId="4057A66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400</w:t>
            </w:r>
          </w:p>
        </w:tc>
        <w:tc>
          <w:tcPr>
            <w:tcW w:w="662" w:type="pct"/>
            <w:vAlign w:val="center"/>
          </w:tcPr>
          <w:p w14:paraId="5775FDB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56BE32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47FE170E">
            <w:pPr>
              <w:pStyle w:val="2"/>
              <w:spacing w:after="0"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44</w:t>
            </w:r>
          </w:p>
        </w:tc>
        <w:tc>
          <w:tcPr>
            <w:tcW w:w="1590" w:type="pct"/>
            <w:vAlign w:val="center"/>
          </w:tcPr>
          <w:p w14:paraId="5E9E2DAA">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陈家泥湖</w:t>
            </w:r>
          </w:p>
        </w:tc>
        <w:tc>
          <w:tcPr>
            <w:tcW w:w="662" w:type="pct"/>
            <w:vAlign w:val="center"/>
          </w:tcPr>
          <w:p w14:paraId="10023AB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w:t>
            </w:r>
          </w:p>
        </w:tc>
        <w:tc>
          <w:tcPr>
            <w:tcW w:w="1692" w:type="pct"/>
            <w:vAlign w:val="center"/>
          </w:tcPr>
          <w:p w14:paraId="47B2D3D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5AFC2ABA">
            <w:pPr>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sz w:val="21"/>
                <w:szCs w:val="21"/>
                <w:highlight w:val="none"/>
              </w:rPr>
              <w:t>地表水</w:t>
            </w:r>
          </w:p>
        </w:tc>
      </w:tr>
      <w:tr w14:paraId="02A1DA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74C4F310">
            <w:pPr>
              <w:pStyle w:val="2"/>
              <w:spacing w:after="0"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45</w:t>
            </w:r>
          </w:p>
        </w:tc>
        <w:tc>
          <w:tcPr>
            <w:tcW w:w="1590" w:type="pct"/>
            <w:vAlign w:val="center"/>
          </w:tcPr>
          <w:p w14:paraId="259ECDA2">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榨铺脚</w:t>
            </w:r>
          </w:p>
        </w:tc>
        <w:tc>
          <w:tcPr>
            <w:tcW w:w="662" w:type="pct"/>
            <w:vAlign w:val="center"/>
          </w:tcPr>
          <w:p w14:paraId="3222BD7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w:t>
            </w:r>
          </w:p>
        </w:tc>
        <w:tc>
          <w:tcPr>
            <w:tcW w:w="1692" w:type="pct"/>
            <w:vAlign w:val="center"/>
          </w:tcPr>
          <w:p w14:paraId="339A890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400</w:t>
            </w:r>
          </w:p>
        </w:tc>
        <w:tc>
          <w:tcPr>
            <w:tcW w:w="662" w:type="pct"/>
            <w:vAlign w:val="center"/>
          </w:tcPr>
          <w:p w14:paraId="7FA437D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40D510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04D3569E">
            <w:pPr>
              <w:pStyle w:val="2"/>
              <w:spacing w:after="0"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46</w:t>
            </w:r>
          </w:p>
        </w:tc>
        <w:tc>
          <w:tcPr>
            <w:tcW w:w="1590" w:type="pct"/>
            <w:vAlign w:val="center"/>
          </w:tcPr>
          <w:p w14:paraId="3756E9BC">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卢子塆</w:t>
            </w:r>
          </w:p>
        </w:tc>
        <w:tc>
          <w:tcPr>
            <w:tcW w:w="662" w:type="pct"/>
            <w:vAlign w:val="center"/>
          </w:tcPr>
          <w:p w14:paraId="14BC023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w:t>
            </w:r>
          </w:p>
        </w:tc>
        <w:tc>
          <w:tcPr>
            <w:tcW w:w="1692" w:type="pct"/>
            <w:vAlign w:val="center"/>
          </w:tcPr>
          <w:p w14:paraId="0ACC1E4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300</w:t>
            </w:r>
          </w:p>
        </w:tc>
        <w:tc>
          <w:tcPr>
            <w:tcW w:w="662" w:type="pct"/>
            <w:vAlign w:val="center"/>
          </w:tcPr>
          <w:p w14:paraId="74DBF055">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w:t>
            </w:r>
          </w:p>
        </w:tc>
      </w:tr>
      <w:tr w14:paraId="699DDB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vAlign w:val="center"/>
          </w:tcPr>
          <w:p w14:paraId="37FA1467">
            <w:pPr>
              <w:pStyle w:val="2"/>
              <w:spacing w:after="0"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47</w:t>
            </w:r>
          </w:p>
        </w:tc>
        <w:tc>
          <w:tcPr>
            <w:tcW w:w="1590" w:type="pct"/>
            <w:vAlign w:val="center"/>
          </w:tcPr>
          <w:p w14:paraId="74D57112">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长江（鄂州段）</w:t>
            </w:r>
          </w:p>
        </w:tc>
        <w:tc>
          <w:tcPr>
            <w:tcW w:w="662" w:type="pct"/>
            <w:vAlign w:val="center"/>
          </w:tcPr>
          <w:p w14:paraId="2128E9A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北</w:t>
            </w:r>
          </w:p>
        </w:tc>
        <w:tc>
          <w:tcPr>
            <w:tcW w:w="1692" w:type="pct"/>
            <w:vAlign w:val="center"/>
          </w:tcPr>
          <w:p w14:paraId="3AC3F04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62" w:type="pct"/>
            <w:vAlign w:val="center"/>
          </w:tcPr>
          <w:p w14:paraId="57C60F1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地表水</w:t>
            </w:r>
          </w:p>
        </w:tc>
      </w:tr>
    </w:tbl>
    <w:p w14:paraId="1DFB8E7D">
      <w:pPr>
        <w:pStyle w:val="5"/>
        <w:rPr>
          <w:rFonts w:hint="default" w:ascii="Times New Roman" w:hAnsi="Times New Roman" w:cs="Times New Roman"/>
          <w:color w:val="auto"/>
          <w:highlight w:val="none"/>
        </w:rPr>
      </w:pPr>
      <w:r>
        <w:rPr>
          <w:rFonts w:hint="default" w:ascii="Times New Roman" w:hAnsi="Times New Roman" w:cs="Times New Roman"/>
          <w:color w:val="auto"/>
          <w:highlight w:val="none"/>
        </w:rPr>
        <w:t>规划定位</w:t>
      </w:r>
    </w:p>
    <w:p w14:paraId="4AE6E71D">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kern w:val="0"/>
          <w:highlight w:val="none"/>
        </w:rPr>
        <w:t>根据《鄂州市城乡总体规划》（2011-2020），鄂州市通过多条通道的联接，形成西联东湖高新区、北湖化工区，东接黄石老工业基地的葛店开发区、华容创业园、三江港经济区、鄂州经济开发区、城东产业园区（鄂城新区）、花湖开发区“一线串六园区”的沿江综合产业走廊。其中，</w:t>
      </w:r>
      <w:r>
        <w:rPr>
          <w:rFonts w:hint="default" w:ascii="Times New Roman" w:hAnsi="Times New Roman" w:cs="Times New Roman"/>
          <w:color w:val="auto"/>
          <w:kern w:val="0"/>
          <w:highlight w:val="none"/>
          <w:lang w:eastAsia="zh-CN"/>
        </w:rPr>
        <w:t>城东产业园（鄂城新区）</w:t>
      </w:r>
      <w:r>
        <w:rPr>
          <w:rFonts w:hint="default" w:ascii="Times New Roman" w:hAnsi="Times New Roman" w:cs="Times New Roman"/>
          <w:color w:val="auto"/>
          <w:szCs w:val="21"/>
          <w:highlight w:val="none"/>
        </w:rPr>
        <w:t>重点发展冶金、金刚石、纺织服装、家具、食品</w:t>
      </w:r>
      <w:r>
        <w:rPr>
          <w:rFonts w:hint="default" w:ascii="Times New Roman" w:hAnsi="Times New Roman" w:cs="Times New Roman"/>
          <w:color w:val="auto"/>
          <w:highlight w:val="none"/>
        </w:rPr>
        <w:t>。</w:t>
      </w:r>
    </w:p>
    <w:p w14:paraId="6DDC29B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kern w:val="0"/>
          <w:highlight w:val="none"/>
        </w:rPr>
        <w:t>鄂州市远景城乡产业结构图见附图3。</w:t>
      </w:r>
      <w:r>
        <w:rPr>
          <w:rFonts w:hint="default" w:ascii="Times New Roman" w:hAnsi="Times New Roman" w:cs="Times New Roman"/>
          <w:color w:val="auto"/>
          <w:kern w:val="0"/>
          <w:highlight w:val="none"/>
          <w:lang w:val="en-US" w:eastAsia="zh-CN"/>
        </w:rPr>
        <w:t>城东产业园（鄂城新区）用地规划情况详见</w:t>
      </w:r>
      <w:r>
        <w:rPr>
          <w:rFonts w:hint="default" w:ascii="Times New Roman" w:hAnsi="Times New Roman" w:cs="Times New Roman"/>
          <w:color w:val="auto"/>
          <w:kern w:val="0"/>
          <w:highlight w:val="none"/>
        </w:rPr>
        <w:t>附图4。</w:t>
      </w:r>
    </w:p>
    <w:p w14:paraId="0FCA8B69">
      <w:pPr>
        <w:pStyle w:val="5"/>
        <w:rPr>
          <w:rFonts w:hint="default" w:ascii="Times New Roman" w:hAnsi="Times New Roman" w:cs="Times New Roman"/>
          <w:color w:val="auto"/>
          <w:highlight w:val="none"/>
        </w:rPr>
      </w:pPr>
      <w:r>
        <w:rPr>
          <w:rFonts w:hint="default" w:ascii="Times New Roman" w:hAnsi="Times New Roman" w:cs="Times New Roman"/>
          <w:color w:val="auto"/>
          <w:highlight w:val="none"/>
        </w:rPr>
        <w:t>园区土地利用现状</w:t>
      </w:r>
    </w:p>
    <w:p w14:paraId="7ED30BDA">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根据现场踏勘和谷歌卫片图，</w:t>
      </w:r>
      <w:r>
        <w:rPr>
          <w:rFonts w:hint="default" w:ascii="Times New Roman" w:hAnsi="Times New Roman" w:cs="Times New Roman"/>
          <w:color w:val="auto"/>
          <w:kern w:val="0"/>
          <w:highlight w:val="none"/>
          <w:lang w:eastAsia="zh-CN"/>
        </w:rPr>
        <w:t>城东产业园（鄂城新区）</w:t>
      </w:r>
      <w:r>
        <w:rPr>
          <w:rFonts w:hint="default" w:ascii="Times New Roman" w:hAnsi="Times New Roman" w:cs="Times New Roman"/>
          <w:color w:val="auto"/>
          <w:kern w:val="0"/>
          <w:highlight w:val="none"/>
        </w:rPr>
        <w:t>西部区域及北部开发利用程度较高，已建成企业及已建成企业聚集区居多，其它区域开发利用比例较低，主要为未开发利用的村落、农用地、山体等。</w:t>
      </w:r>
    </w:p>
    <w:p w14:paraId="7B1096C3">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园区内已建成企业聚集区内主要企业情况如下表所示，已建成企业分布图见附图</w:t>
      </w:r>
      <w:r>
        <w:rPr>
          <w:rFonts w:hint="default" w:ascii="Times New Roman" w:hAnsi="Times New Roman" w:cs="Times New Roman"/>
          <w:color w:val="auto"/>
          <w:kern w:val="0"/>
          <w:highlight w:val="none"/>
          <w:lang w:val="en-US" w:eastAsia="zh-CN"/>
        </w:rPr>
        <w:t>6</w:t>
      </w:r>
      <w:r>
        <w:rPr>
          <w:rFonts w:hint="default" w:ascii="Times New Roman" w:hAnsi="Times New Roman" w:cs="Times New Roman"/>
          <w:color w:val="auto"/>
          <w:kern w:val="0"/>
          <w:highlight w:val="none"/>
        </w:rPr>
        <w:t>。</w:t>
      </w:r>
    </w:p>
    <w:p w14:paraId="1FEF171E">
      <w:pPr>
        <w:pStyle w:val="2"/>
        <w:rPr>
          <w:rFonts w:hint="default" w:ascii="Times New Roman" w:hAnsi="Times New Roman" w:cs="Times New Roman"/>
          <w:color w:val="auto"/>
          <w:kern w:val="0"/>
          <w:highlight w:val="none"/>
        </w:rPr>
      </w:pPr>
    </w:p>
    <w:p w14:paraId="70DDF19B">
      <w:pPr>
        <w:pStyle w:val="2"/>
        <w:rPr>
          <w:rFonts w:hint="default" w:ascii="Times New Roman" w:hAnsi="Times New Roman" w:cs="Times New Roman"/>
          <w:color w:val="auto"/>
          <w:kern w:val="0"/>
          <w:highlight w:val="none"/>
        </w:rPr>
      </w:pPr>
    </w:p>
    <w:p w14:paraId="30EBCD82">
      <w:pPr>
        <w:jc w:val="center"/>
        <w:rPr>
          <w:rFonts w:hint="default" w:ascii="Times New Roman" w:hAnsi="Times New Roman" w:eastAsia="黑体" w:cs="Times New Roman"/>
          <w:b/>
          <w:color w:val="auto"/>
          <w:highlight w:val="none"/>
        </w:rPr>
      </w:pPr>
      <w:r>
        <w:rPr>
          <w:rFonts w:hint="default" w:ascii="Times New Roman" w:hAnsi="Times New Roman" w:eastAsia="黑体" w:cs="Times New Roman"/>
          <w:b/>
          <w:color w:val="auto"/>
          <w:highlight w:val="none"/>
          <w:lang w:bidi="ar"/>
        </w:rPr>
        <w:t xml:space="preserve">表2-2-2 </w:t>
      </w:r>
      <w:r>
        <w:rPr>
          <w:rFonts w:hint="default" w:ascii="Times New Roman" w:hAnsi="Times New Roman" w:eastAsia="黑体" w:cs="Times New Roman"/>
          <w:b/>
          <w:color w:val="auto"/>
          <w:highlight w:val="none"/>
          <w:lang w:val="en-US" w:eastAsia="zh-CN" w:bidi="ar"/>
        </w:rPr>
        <w:t>园区内</w:t>
      </w:r>
      <w:r>
        <w:rPr>
          <w:rFonts w:hint="default" w:ascii="Times New Roman" w:hAnsi="Times New Roman" w:eastAsia="黑体" w:cs="Times New Roman"/>
          <w:b/>
          <w:color w:val="auto"/>
          <w:highlight w:val="none"/>
          <w:lang w:bidi="ar"/>
        </w:rPr>
        <w:t>主要</w:t>
      </w:r>
      <w:r>
        <w:rPr>
          <w:rFonts w:hint="default" w:ascii="Times New Roman" w:hAnsi="Times New Roman" w:eastAsia="黑体" w:cs="Times New Roman"/>
          <w:b/>
          <w:color w:val="auto"/>
          <w:highlight w:val="none"/>
          <w:lang w:val="en-US" w:eastAsia="zh-CN" w:bidi="ar"/>
        </w:rPr>
        <w:t>已建成</w:t>
      </w:r>
      <w:r>
        <w:rPr>
          <w:rFonts w:hint="default" w:ascii="Times New Roman" w:hAnsi="Times New Roman" w:eastAsia="黑体" w:cs="Times New Roman"/>
          <w:b/>
          <w:color w:val="auto"/>
          <w:highlight w:val="none"/>
          <w:lang w:bidi="ar"/>
        </w:rPr>
        <w:t>企业情况一览表</w:t>
      </w:r>
    </w:p>
    <w:tbl>
      <w:tblPr>
        <w:tblStyle w:val="22"/>
        <w:tblW w:w="4982" w:type="pct"/>
        <w:tblInd w:w="0" w:type="dxa"/>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2885"/>
        <w:gridCol w:w="2106"/>
        <w:gridCol w:w="4156"/>
      </w:tblGrid>
      <w:tr w14:paraId="00E70402">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rPr>
          <w:tblHeader/>
        </w:trPr>
        <w:tc>
          <w:tcPr>
            <w:tcW w:w="342" w:type="pct"/>
            <w:tcBorders>
              <w:top w:val="single" w:color="auto" w:sz="12" w:space="0"/>
              <w:left w:val="nil"/>
              <w:bottom w:val="single" w:color="auto" w:sz="12" w:space="0"/>
              <w:right w:val="single" w:color="auto" w:sz="4" w:space="0"/>
            </w:tcBorders>
            <w:shd w:val="clear" w:color="auto" w:fill="auto"/>
            <w:vAlign w:val="center"/>
          </w:tcPr>
          <w:p w14:paraId="017EE64F">
            <w:pPr>
              <w:pStyle w:val="19"/>
              <w:spacing w:before="0" w:beforeAutospacing="0" w:after="0" w:afterAutospacing="0" w:line="24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kern w:val="2"/>
                <w:sz w:val="21"/>
                <w:szCs w:val="21"/>
                <w:highlight w:val="none"/>
                <w:lang w:bidi="ar"/>
              </w:rPr>
              <w:t>编号</w:t>
            </w:r>
          </w:p>
        </w:tc>
        <w:tc>
          <w:tcPr>
            <w:tcW w:w="1469" w:type="pct"/>
            <w:tcBorders>
              <w:top w:val="single" w:color="auto" w:sz="12" w:space="0"/>
              <w:left w:val="single" w:color="auto" w:sz="4" w:space="0"/>
              <w:bottom w:val="single" w:color="auto" w:sz="12" w:space="0"/>
              <w:right w:val="single" w:color="auto" w:sz="4" w:space="0"/>
            </w:tcBorders>
            <w:shd w:val="clear" w:color="auto" w:fill="auto"/>
            <w:vAlign w:val="center"/>
          </w:tcPr>
          <w:p w14:paraId="0958C815">
            <w:pPr>
              <w:pStyle w:val="19"/>
              <w:spacing w:before="0" w:beforeAutospacing="0" w:after="0" w:afterAutospacing="0" w:line="24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kern w:val="2"/>
                <w:sz w:val="21"/>
                <w:szCs w:val="21"/>
                <w:highlight w:val="none"/>
                <w:lang w:bidi="ar"/>
              </w:rPr>
              <w:t>主要企业名称</w:t>
            </w:r>
          </w:p>
        </w:tc>
        <w:tc>
          <w:tcPr>
            <w:tcW w:w="1072" w:type="pct"/>
            <w:tcBorders>
              <w:top w:val="single" w:color="auto" w:sz="12" w:space="0"/>
              <w:left w:val="single" w:color="auto" w:sz="4" w:space="0"/>
              <w:bottom w:val="single" w:color="auto" w:sz="12" w:space="0"/>
              <w:right w:val="single" w:color="auto" w:sz="4" w:space="0"/>
            </w:tcBorders>
            <w:shd w:val="clear" w:color="auto" w:fill="auto"/>
            <w:vAlign w:val="center"/>
          </w:tcPr>
          <w:p w14:paraId="7378CA29">
            <w:pPr>
              <w:pStyle w:val="19"/>
              <w:spacing w:before="0" w:beforeAutospacing="0" w:after="0" w:afterAutospacing="0" w:line="240" w:lineRule="auto"/>
              <w:jc w:val="center"/>
              <w:rPr>
                <w:rFonts w:hint="default" w:ascii="Times New Roman" w:hAnsi="Times New Roman" w:eastAsia="宋体" w:cs="Times New Roman"/>
                <w:b/>
                <w:bCs/>
                <w:color w:val="auto"/>
                <w:szCs w:val="21"/>
                <w:highlight w:val="none"/>
                <w:lang w:eastAsia="zh-CN"/>
              </w:rPr>
            </w:pPr>
            <w:r>
              <w:rPr>
                <w:rFonts w:hint="default" w:ascii="Times New Roman" w:hAnsi="Times New Roman" w:cs="Times New Roman"/>
                <w:b/>
                <w:bCs/>
                <w:color w:val="auto"/>
                <w:kern w:val="2"/>
                <w:sz w:val="21"/>
                <w:szCs w:val="21"/>
                <w:highlight w:val="none"/>
                <w:lang w:bidi="ar"/>
              </w:rPr>
              <w:t>企业位置</w:t>
            </w:r>
            <w:r>
              <w:rPr>
                <w:rFonts w:hint="default" w:ascii="Times New Roman" w:hAnsi="Times New Roman" w:cs="Times New Roman"/>
                <w:b/>
                <w:bCs/>
                <w:color w:val="auto"/>
                <w:kern w:val="2"/>
                <w:sz w:val="21"/>
                <w:szCs w:val="21"/>
                <w:highlight w:val="none"/>
                <w:vertAlign w:val="superscript"/>
                <w:lang w:val="en-US" w:eastAsia="zh-CN" w:bidi="ar"/>
              </w:rPr>
              <w:t>①</w:t>
            </w:r>
          </w:p>
        </w:tc>
        <w:tc>
          <w:tcPr>
            <w:tcW w:w="2116" w:type="pct"/>
            <w:tcBorders>
              <w:top w:val="single" w:color="auto" w:sz="12" w:space="0"/>
              <w:left w:val="single" w:color="auto" w:sz="4" w:space="0"/>
              <w:bottom w:val="single" w:color="auto" w:sz="12" w:space="0"/>
              <w:right w:val="nil"/>
            </w:tcBorders>
            <w:shd w:val="clear" w:color="auto" w:fill="auto"/>
            <w:vAlign w:val="center"/>
          </w:tcPr>
          <w:p w14:paraId="172AC10F">
            <w:pPr>
              <w:pStyle w:val="19"/>
              <w:spacing w:before="0" w:beforeAutospacing="0" w:after="0" w:afterAutospacing="0" w:line="240" w:lineRule="auto"/>
              <w:jc w:val="center"/>
              <w:rPr>
                <w:rFonts w:hint="default" w:ascii="Times New Roman" w:hAnsi="Times New Roman" w:eastAsia="宋体" w:cs="Times New Roman"/>
                <w:b/>
                <w:bCs/>
                <w:color w:val="auto"/>
                <w:szCs w:val="21"/>
                <w:highlight w:val="none"/>
                <w:lang w:eastAsia="zh-CN"/>
              </w:rPr>
            </w:pPr>
            <w:r>
              <w:rPr>
                <w:rFonts w:hint="default" w:ascii="Times New Roman" w:hAnsi="Times New Roman" w:cs="Times New Roman"/>
                <w:b/>
                <w:bCs/>
                <w:color w:val="auto"/>
                <w:kern w:val="2"/>
                <w:sz w:val="21"/>
                <w:szCs w:val="21"/>
                <w:highlight w:val="none"/>
                <w:lang w:bidi="ar"/>
              </w:rPr>
              <w:t>主要经营范围</w:t>
            </w:r>
            <w:r>
              <w:rPr>
                <w:rFonts w:hint="default" w:ascii="Times New Roman" w:hAnsi="Times New Roman" w:cs="Times New Roman"/>
                <w:b/>
                <w:bCs/>
                <w:color w:val="auto"/>
                <w:kern w:val="2"/>
                <w:sz w:val="21"/>
                <w:szCs w:val="21"/>
                <w:highlight w:val="none"/>
                <w:vertAlign w:val="superscript"/>
                <w:lang w:val="en-US" w:eastAsia="zh-CN" w:bidi="ar"/>
              </w:rPr>
              <w:t>①</w:t>
            </w:r>
          </w:p>
        </w:tc>
      </w:tr>
      <w:tr w14:paraId="04E31C28">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12" w:space="0"/>
              <w:left w:val="nil"/>
              <w:bottom w:val="single" w:color="auto" w:sz="4" w:space="0"/>
              <w:right w:val="single" w:color="auto" w:sz="4" w:space="0"/>
            </w:tcBorders>
            <w:shd w:val="clear" w:color="auto" w:fill="E7E6E6" w:themeFill="background2"/>
            <w:vAlign w:val="center"/>
          </w:tcPr>
          <w:p w14:paraId="5654E087">
            <w:pPr>
              <w:pStyle w:val="19"/>
              <w:spacing w:before="0" w:beforeAutospacing="0" w:after="0" w:afterAutospacing="0" w:line="24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kern w:val="2"/>
                <w:sz w:val="21"/>
                <w:szCs w:val="21"/>
                <w:highlight w:val="none"/>
                <w:lang w:bidi="ar"/>
              </w:rPr>
              <w:t>1</w:t>
            </w:r>
          </w:p>
        </w:tc>
        <w:tc>
          <w:tcPr>
            <w:tcW w:w="1469" w:type="pct"/>
            <w:tcBorders>
              <w:top w:val="single" w:color="auto" w:sz="12" w:space="0"/>
              <w:left w:val="single" w:color="auto" w:sz="4" w:space="0"/>
              <w:bottom w:val="single" w:color="auto" w:sz="4" w:space="0"/>
              <w:right w:val="single" w:color="auto" w:sz="4" w:space="0"/>
            </w:tcBorders>
            <w:shd w:val="clear" w:color="auto" w:fill="E7E6E6" w:themeFill="background2"/>
            <w:vAlign w:val="center"/>
          </w:tcPr>
          <w:p w14:paraId="1BFAFC61">
            <w:pPr>
              <w:pStyle w:val="19"/>
              <w:spacing w:before="0" w:beforeAutospacing="0" w:after="0" w:afterAutospacing="0" w:line="24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kern w:val="2"/>
                <w:sz w:val="21"/>
                <w:szCs w:val="21"/>
                <w:highlight w:val="none"/>
                <w:lang w:bidi="ar"/>
              </w:rPr>
              <w:t>鄂州通世达沥青有限公司（壳牌（鄂州）有限公司、鄂州科氏沥青产品有限公司）</w:t>
            </w:r>
          </w:p>
        </w:tc>
        <w:tc>
          <w:tcPr>
            <w:tcW w:w="1072" w:type="pct"/>
            <w:tcBorders>
              <w:top w:val="single" w:color="auto" w:sz="12" w:space="0"/>
              <w:left w:val="single" w:color="auto" w:sz="4" w:space="0"/>
              <w:bottom w:val="single" w:color="auto" w:sz="4" w:space="0"/>
              <w:right w:val="single" w:color="auto" w:sz="4" w:space="0"/>
            </w:tcBorders>
            <w:shd w:val="clear" w:color="auto" w:fill="E7E6E6" w:themeFill="background2"/>
            <w:vAlign w:val="center"/>
          </w:tcPr>
          <w:p w14:paraId="5B509B68">
            <w:pPr>
              <w:pStyle w:val="19"/>
              <w:spacing w:before="0" w:beforeAutospacing="0" w:after="0" w:afterAutospacing="0" w:line="24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kern w:val="2"/>
                <w:sz w:val="21"/>
                <w:szCs w:val="21"/>
                <w:highlight w:val="none"/>
                <w:lang w:bidi="ar"/>
              </w:rPr>
              <w:t>新庙镇五丈港附近</w:t>
            </w:r>
          </w:p>
        </w:tc>
        <w:tc>
          <w:tcPr>
            <w:tcW w:w="2116" w:type="pct"/>
            <w:tcBorders>
              <w:top w:val="single" w:color="auto" w:sz="12" w:space="0"/>
              <w:left w:val="single" w:color="auto" w:sz="4" w:space="0"/>
              <w:bottom w:val="single" w:color="auto" w:sz="4" w:space="0"/>
              <w:right w:val="nil"/>
            </w:tcBorders>
            <w:shd w:val="clear" w:color="auto" w:fill="E7E6E6" w:themeFill="background2"/>
            <w:vAlign w:val="center"/>
          </w:tcPr>
          <w:p w14:paraId="0FDB067F">
            <w:pPr>
              <w:pStyle w:val="19"/>
              <w:spacing w:before="0" w:beforeAutospacing="0" w:after="0" w:afterAutospacing="0" w:line="24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kern w:val="2"/>
                <w:sz w:val="21"/>
                <w:szCs w:val="21"/>
                <w:highlight w:val="none"/>
                <w:lang w:bidi="ar"/>
              </w:rPr>
              <w:t xml:space="preserve">沥青材料的研发、生产、加工、储运和销售；彩色路面材料研发及销售（不含生产）；防水材料研发及销售 </w:t>
            </w:r>
          </w:p>
        </w:tc>
      </w:tr>
      <w:tr w14:paraId="558B65BA">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09974689">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2</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6CDB7B67">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鄂州市升达金属制品厂</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041DD2A7">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新庙茅草银龙管业综合楼24-25号</w:t>
            </w:r>
          </w:p>
        </w:tc>
        <w:tc>
          <w:tcPr>
            <w:tcW w:w="2116" w:type="pct"/>
            <w:tcBorders>
              <w:top w:val="single" w:color="auto" w:sz="4" w:space="0"/>
              <w:left w:val="single" w:color="auto" w:sz="4" w:space="0"/>
              <w:bottom w:val="single" w:color="auto" w:sz="4" w:space="0"/>
              <w:right w:val="nil"/>
            </w:tcBorders>
            <w:shd w:val="clear" w:color="auto" w:fill="auto"/>
            <w:vAlign w:val="center"/>
          </w:tcPr>
          <w:p w14:paraId="08B4D8F2">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加工及销售：不锈钢制品、五金冲压件、钣金件</w:t>
            </w:r>
          </w:p>
        </w:tc>
      </w:tr>
      <w:tr w14:paraId="12124E8D">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14893F87">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3</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4F635E9F">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湖北银天钻石科技有限公司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240DE58C">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新庙工贸园</w:t>
            </w:r>
          </w:p>
        </w:tc>
        <w:tc>
          <w:tcPr>
            <w:tcW w:w="2116" w:type="pct"/>
            <w:tcBorders>
              <w:top w:val="single" w:color="auto" w:sz="4" w:space="0"/>
              <w:left w:val="single" w:color="auto" w:sz="4" w:space="0"/>
              <w:bottom w:val="single" w:color="auto" w:sz="4" w:space="0"/>
              <w:right w:val="nil"/>
            </w:tcBorders>
            <w:shd w:val="clear" w:color="auto" w:fill="auto"/>
            <w:vAlign w:val="center"/>
          </w:tcPr>
          <w:p w14:paraId="789FBF4B">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加工、销售：人造金刚石及制品、金属粉末</w:t>
            </w:r>
          </w:p>
        </w:tc>
      </w:tr>
      <w:tr w14:paraId="41B643BA">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7E8EA6EF">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4</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038BDE6F">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鄂州市劲龙金刚石工具厂</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27E1B560">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新庙工贸园区</w:t>
            </w:r>
          </w:p>
        </w:tc>
        <w:tc>
          <w:tcPr>
            <w:tcW w:w="2116" w:type="pct"/>
            <w:tcBorders>
              <w:top w:val="single" w:color="auto" w:sz="4" w:space="0"/>
              <w:left w:val="single" w:color="auto" w:sz="4" w:space="0"/>
              <w:bottom w:val="single" w:color="auto" w:sz="4" w:space="0"/>
              <w:right w:val="nil"/>
            </w:tcBorders>
            <w:shd w:val="clear" w:color="auto" w:fill="auto"/>
            <w:vAlign w:val="center"/>
          </w:tcPr>
          <w:p w14:paraId="189129D7">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金刚石制品、石材加工；销售：金刚石、石材、金属粉末</w:t>
            </w:r>
          </w:p>
        </w:tc>
      </w:tr>
      <w:tr w14:paraId="059513AA">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5AC643F1">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5</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0E36AC8C">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湖北合强机械发展股份有限公司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67155B45">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新庙工业园区鄂东大道中段</w:t>
            </w:r>
          </w:p>
        </w:tc>
        <w:tc>
          <w:tcPr>
            <w:tcW w:w="2116" w:type="pct"/>
            <w:tcBorders>
              <w:top w:val="single" w:color="auto" w:sz="4" w:space="0"/>
              <w:left w:val="single" w:color="auto" w:sz="4" w:space="0"/>
              <w:bottom w:val="single" w:color="auto" w:sz="4" w:space="0"/>
              <w:right w:val="nil"/>
            </w:tcBorders>
            <w:shd w:val="clear" w:color="auto" w:fill="auto"/>
            <w:vAlign w:val="center"/>
          </w:tcPr>
          <w:p w14:paraId="28FFA83A">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生产、销售：轨道交通设备、机械设备及配件、汽车配件、铆焊件、环保机械、电控柜</w:t>
            </w:r>
          </w:p>
        </w:tc>
      </w:tr>
      <w:tr w14:paraId="6F9421D8">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E7E6E6" w:themeFill="background2"/>
            <w:vAlign w:val="center"/>
          </w:tcPr>
          <w:p w14:paraId="79940E99">
            <w:pPr>
              <w:pStyle w:val="19"/>
              <w:spacing w:before="0" w:beforeAutospacing="0" w:after="0" w:afterAutospacing="0" w:line="24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kern w:val="2"/>
                <w:sz w:val="21"/>
                <w:szCs w:val="21"/>
                <w:highlight w:val="none"/>
                <w:lang w:bidi="ar"/>
              </w:rPr>
              <w:t>6</w:t>
            </w:r>
          </w:p>
        </w:tc>
        <w:tc>
          <w:tcPr>
            <w:tcW w:w="1469" w:type="pct"/>
            <w:tcBorders>
              <w:top w:val="single" w:color="auto" w:sz="4" w:space="0"/>
              <w:left w:val="single" w:color="auto" w:sz="4" w:space="0"/>
              <w:bottom w:val="single" w:color="auto" w:sz="4" w:space="0"/>
              <w:right w:val="single" w:color="auto" w:sz="4" w:space="0"/>
            </w:tcBorders>
            <w:shd w:val="clear" w:color="auto" w:fill="E7E6E6" w:themeFill="background2"/>
            <w:vAlign w:val="center"/>
          </w:tcPr>
          <w:p w14:paraId="091C2DC6">
            <w:pPr>
              <w:pStyle w:val="19"/>
              <w:spacing w:before="0" w:beforeAutospacing="0" w:after="0" w:afterAutospacing="0" w:line="24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kern w:val="2"/>
                <w:sz w:val="21"/>
                <w:szCs w:val="21"/>
                <w:highlight w:val="none"/>
                <w:lang w:bidi="ar"/>
              </w:rPr>
              <w:t>武钢资源集团鄂州球团有限公司（武汉钢铁集团矿业有限责任公司）</w:t>
            </w:r>
          </w:p>
        </w:tc>
        <w:tc>
          <w:tcPr>
            <w:tcW w:w="1072" w:type="pct"/>
            <w:tcBorders>
              <w:top w:val="single" w:color="auto" w:sz="4" w:space="0"/>
              <w:left w:val="single" w:color="auto" w:sz="4" w:space="0"/>
              <w:bottom w:val="single" w:color="auto" w:sz="4" w:space="0"/>
              <w:right w:val="single" w:color="auto" w:sz="4" w:space="0"/>
            </w:tcBorders>
            <w:shd w:val="clear" w:color="auto" w:fill="E7E6E6" w:themeFill="background2"/>
            <w:vAlign w:val="center"/>
          </w:tcPr>
          <w:p w14:paraId="610ED86D">
            <w:pPr>
              <w:pStyle w:val="19"/>
              <w:spacing w:before="0" w:beforeAutospacing="0" w:after="0" w:afterAutospacing="0" w:line="24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kern w:val="2"/>
                <w:sz w:val="21"/>
                <w:szCs w:val="21"/>
                <w:highlight w:val="none"/>
                <w:lang w:bidi="ar"/>
              </w:rPr>
              <w:t>鄂东大道61号</w:t>
            </w:r>
          </w:p>
        </w:tc>
        <w:tc>
          <w:tcPr>
            <w:tcW w:w="2116" w:type="pct"/>
            <w:tcBorders>
              <w:top w:val="single" w:color="auto" w:sz="4" w:space="0"/>
              <w:left w:val="single" w:color="auto" w:sz="4" w:space="0"/>
              <w:bottom w:val="single" w:color="auto" w:sz="4" w:space="0"/>
              <w:right w:val="nil"/>
            </w:tcBorders>
            <w:shd w:val="clear" w:color="auto" w:fill="E7E6E6" w:themeFill="background2"/>
            <w:vAlign w:val="center"/>
          </w:tcPr>
          <w:p w14:paraId="4ED09232">
            <w:pPr>
              <w:pStyle w:val="19"/>
              <w:spacing w:before="0" w:beforeAutospacing="0" w:after="0" w:afterAutospacing="0" w:line="24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kern w:val="2"/>
                <w:sz w:val="21"/>
                <w:szCs w:val="21"/>
                <w:highlight w:val="none"/>
                <w:lang w:bidi="ar"/>
              </w:rPr>
              <w:t xml:space="preserve">矿产品加工、销售及进出口贸易 </w:t>
            </w:r>
          </w:p>
        </w:tc>
      </w:tr>
      <w:tr w14:paraId="1349D701">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E7E6E6" w:themeFill="background2"/>
            <w:vAlign w:val="center"/>
          </w:tcPr>
          <w:p w14:paraId="0782F06C">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7</w:t>
            </w:r>
          </w:p>
        </w:tc>
        <w:tc>
          <w:tcPr>
            <w:tcW w:w="1469" w:type="pct"/>
            <w:tcBorders>
              <w:top w:val="single" w:color="auto" w:sz="4" w:space="0"/>
              <w:left w:val="single" w:color="auto" w:sz="4" w:space="0"/>
              <w:bottom w:val="single" w:color="auto" w:sz="4" w:space="0"/>
              <w:right w:val="single" w:color="auto" w:sz="4" w:space="0"/>
            </w:tcBorders>
            <w:shd w:val="clear" w:color="auto" w:fill="E7E6E6" w:themeFill="background2"/>
            <w:vAlign w:val="center"/>
          </w:tcPr>
          <w:p w14:paraId="54F9A6F6">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城东污水处理厂（鄂州浦华鄂清水务有限公司</w:t>
            </w:r>
            <w:r>
              <w:rPr>
                <w:rFonts w:hint="default" w:ascii="Times New Roman" w:hAnsi="Times New Roman" w:cs="Times New Roman"/>
                <w:color w:val="auto"/>
                <w:kern w:val="2"/>
                <w:sz w:val="21"/>
                <w:highlight w:val="none"/>
                <w:lang w:bidi="ar"/>
              </w:rPr>
              <w:t>）</w:t>
            </w:r>
          </w:p>
        </w:tc>
        <w:tc>
          <w:tcPr>
            <w:tcW w:w="1072" w:type="pct"/>
            <w:tcBorders>
              <w:top w:val="single" w:color="auto" w:sz="4" w:space="0"/>
              <w:left w:val="single" w:color="auto" w:sz="4" w:space="0"/>
              <w:bottom w:val="single" w:color="auto" w:sz="4" w:space="0"/>
              <w:right w:val="single" w:color="auto" w:sz="4" w:space="0"/>
            </w:tcBorders>
            <w:shd w:val="clear" w:color="auto" w:fill="E7E6E6" w:themeFill="background2"/>
            <w:vAlign w:val="center"/>
          </w:tcPr>
          <w:p w14:paraId="56D9EB94">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bidi="ar"/>
              </w:rPr>
              <w:t>新庙镇茅草村鄂燕大道中段</w:t>
            </w:r>
          </w:p>
        </w:tc>
        <w:tc>
          <w:tcPr>
            <w:tcW w:w="2116" w:type="pct"/>
            <w:tcBorders>
              <w:top w:val="single" w:color="auto" w:sz="4" w:space="0"/>
              <w:left w:val="single" w:color="auto" w:sz="4" w:space="0"/>
              <w:bottom w:val="single" w:color="auto" w:sz="4" w:space="0"/>
              <w:right w:val="nil"/>
            </w:tcBorders>
            <w:shd w:val="clear" w:color="auto" w:fill="E7E6E6" w:themeFill="background2"/>
            <w:vAlign w:val="center"/>
          </w:tcPr>
          <w:p w14:paraId="5FCFA3E1">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城市污水处理及综合利用</w:t>
            </w:r>
          </w:p>
        </w:tc>
      </w:tr>
      <w:tr w14:paraId="2D2D59B5">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42" w:type="pct"/>
            <w:tcBorders>
              <w:top w:val="single" w:color="auto" w:sz="4" w:space="0"/>
              <w:left w:val="nil"/>
              <w:bottom w:val="single" w:color="auto" w:sz="4" w:space="0"/>
              <w:right w:val="single" w:color="auto" w:sz="4" w:space="0"/>
            </w:tcBorders>
            <w:shd w:val="clear" w:color="auto" w:fill="E7E6E6" w:themeFill="background2"/>
            <w:vAlign w:val="center"/>
          </w:tcPr>
          <w:p w14:paraId="125CFC2B">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8</w:t>
            </w:r>
          </w:p>
        </w:tc>
        <w:tc>
          <w:tcPr>
            <w:tcW w:w="1469" w:type="pct"/>
            <w:tcBorders>
              <w:top w:val="single" w:color="auto" w:sz="4" w:space="0"/>
              <w:left w:val="single" w:color="auto" w:sz="4" w:space="0"/>
              <w:bottom w:val="single" w:color="auto" w:sz="4" w:space="0"/>
              <w:right w:val="single" w:color="auto" w:sz="4" w:space="0"/>
            </w:tcBorders>
            <w:shd w:val="clear" w:color="auto" w:fill="E7E6E6" w:themeFill="background2"/>
            <w:vAlign w:val="center"/>
          </w:tcPr>
          <w:p w14:paraId="6CCFDE08">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鄂州市远大纸制品有限公司</w:t>
            </w:r>
          </w:p>
        </w:tc>
        <w:tc>
          <w:tcPr>
            <w:tcW w:w="1072" w:type="pct"/>
            <w:tcBorders>
              <w:top w:val="single" w:color="auto" w:sz="4" w:space="0"/>
              <w:left w:val="single" w:color="auto" w:sz="4" w:space="0"/>
              <w:bottom w:val="single" w:color="auto" w:sz="4" w:space="0"/>
              <w:right w:val="single" w:color="auto" w:sz="4" w:space="0"/>
            </w:tcBorders>
            <w:shd w:val="clear" w:color="auto" w:fill="E7E6E6" w:themeFill="background2"/>
            <w:vAlign w:val="center"/>
          </w:tcPr>
          <w:p w14:paraId="736A0EFD">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新庙镇桥文路10号</w:t>
            </w:r>
          </w:p>
        </w:tc>
        <w:tc>
          <w:tcPr>
            <w:tcW w:w="2116" w:type="pct"/>
            <w:tcBorders>
              <w:top w:val="single" w:color="auto" w:sz="4" w:space="0"/>
              <w:left w:val="single" w:color="auto" w:sz="4" w:space="0"/>
              <w:bottom w:val="single" w:color="auto" w:sz="4" w:space="0"/>
              <w:right w:val="nil"/>
            </w:tcBorders>
            <w:shd w:val="clear" w:color="auto" w:fill="E7E6E6" w:themeFill="background2"/>
            <w:vAlign w:val="center"/>
          </w:tcPr>
          <w:p w14:paraId="759E11B1">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生产、销售：纸及纸制品；废旧物资回收及销售</w:t>
            </w:r>
          </w:p>
        </w:tc>
      </w:tr>
      <w:tr w14:paraId="7F9DF54B">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2751CBC0">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9</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39DA1B2E">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鄂州市金峰锅炉安装有限公司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0CB12E8B">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鄂东大道168-1号（鄂州市金刚石产业园区）</w:t>
            </w:r>
          </w:p>
        </w:tc>
        <w:tc>
          <w:tcPr>
            <w:tcW w:w="2116" w:type="pct"/>
            <w:tcBorders>
              <w:top w:val="single" w:color="auto" w:sz="4" w:space="0"/>
              <w:left w:val="single" w:color="auto" w:sz="4" w:space="0"/>
              <w:bottom w:val="single" w:color="auto" w:sz="4" w:space="0"/>
              <w:right w:val="nil"/>
            </w:tcBorders>
            <w:shd w:val="clear" w:color="auto" w:fill="auto"/>
            <w:vAlign w:val="center"/>
          </w:tcPr>
          <w:p w14:paraId="1C77F800">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锅炉、压力容器、压力管道销售、安装、维修；锅炉生物质成型颗料燃料销售（不含危险化学品）</w:t>
            </w:r>
          </w:p>
        </w:tc>
      </w:tr>
      <w:tr w14:paraId="04E069E0">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45994058">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10</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769CFF8E">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湖北长江精工材料技术有限公司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4F3650E3">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鄂东大道182号</w:t>
            </w:r>
          </w:p>
        </w:tc>
        <w:tc>
          <w:tcPr>
            <w:tcW w:w="2116" w:type="pct"/>
            <w:tcBorders>
              <w:top w:val="single" w:color="auto" w:sz="4" w:space="0"/>
              <w:left w:val="single" w:color="auto" w:sz="4" w:space="0"/>
              <w:bottom w:val="single" w:color="auto" w:sz="4" w:space="0"/>
              <w:right w:val="nil"/>
            </w:tcBorders>
            <w:shd w:val="clear" w:color="auto" w:fill="auto"/>
            <w:vAlign w:val="center"/>
          </w:tcPr>
          <w:p w14:paraId="1F5D4605">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超硬新型材料、机电产品技术开发及服务；热压、高频机电设备制造及销售；金属粉末、金刚石单晶及工具加工、销售</w:t>
            </w:r>
          </w:p>
        </w:tc>
      </w:tr>
      <w:tr w14:paraId="47543760">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1F6BDCD4">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11</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1AA064EC">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鄂州市东塔食品工贸有限公司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3BBFA0F2">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燕矶镇池湖村</w:t>
            </w:r>
          </w:p>
        </w:tc>
        <w:tc>
          <w:tcPr>
            <w:tcW w:w="2116" w:type="pct"/>
            <w:tcBorders>
              <w:top w:val="single" w:color="auto" w:sz="4" w:space="0"/>
              <w:left w:val="single" w:color="auto" w:sz="4" w:space="0"/>
              <w:bottom w:val="single" w:color="auto" w:sz="4" w:space="0"/>
              <w:right w:val="nil"/>
            </w:tcBorders>
            <w:shd w:val="clear" w:color="auto" w:fill="auto"/>
            <w:vAlign w:val="center"/>
          </w:tcPr>
          <w:p w14:paraId="46155318">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生产、销售：畜禽水产罐头；销售：初级农产品、日用百货、纺织品、化工产品（不含化学危险品）、建材、电子产品</w:t>
            </w:r>
          </w:p>
        </w:tc>
      </w:tr>
      <w:tr w14:paraId="3F43D1A3">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43677A1F">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12</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0E7D3B7D">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湖北团结奇锐锯业有限公司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2ECE3C58">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鄂燕路中段（金刚石工业园区）</w:t>
            </w:r>
          </w:p>
        </w:tc>
        <w:tc>
          <w:tcPr>
            <w:tcW w:w="2116" w:type="pct"/>
            <w:tcBorders>
              <w:top w:val="single" w:color="auto" w:sz="4" w:space="0"/>
              <w:left w:val="single" w:color="auto" w:sz="4" w:space="0"/>
              <w:bottom w:val="single" w:color="auto" w:sz="4" w:space="0"/>
              <w:right w:val="nil"/>
            </w:tcBorders>
            <w:shd w:val="clear" w:color="auto" w:fill="auto"/>
            <w:vAlign w:val="center"/>
          </w:tcPr>
          <w:p w14:paraId="6BB5E62C">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加工、销售：锯片基体、金刚石刀具</w:t>
            </w:r>
          </w:p>
        </w:tc>
      </w:tr>
      <w:tr w14:paraId="550C941C">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6B6D7CC9">
            <w:pPr>
              <w:pStyle w:val="19"/>
              <w:spacing w:before="0" w:beforeAutospacing="0" w:after="0" w:afterAutospacing="0" w:line="24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kern w:val="2"/>
                <w:sz w:val="21"/>
                <w:szCs w:val="21"/>
                <w:highlight w:val="none"/>
                <w:lang w:bidi="ar"/>
              </w:rPr>
              <w:t>13</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377B0805">
            <w:pPr>
              <w:pStyle w:val="19"/>
              <w:spacing w:before="0" w:beforeAutospacing="0" w:after="0" w:afterAutospacing="0" w:line="24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kern w:val="2"/>
                <w:sz w:val="21"/>
                <w:szCs w:val="21"/>
                <w:highlight w:val="none"/>
                <w:lang w:bidi="ar"/>
              </w:rPr>
              <w:t>鄂州市鹏缘气体有限责任公司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0B227659">
            <w:pPr>
              <w:spacing w:line="24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 w:val="21"/>
                <w:szCs w:val="21"/>
                <w:highlight w:val="none"/>
                <w:lang w:bidi="ar"/>
              </w:rPr>
              <w:t>新庙镇将军村</w:t>
            </w:r>
          </w:p>
        </w:tc>
        <w:tc>
          <w:tcPr>
            <w:tcW w:w="2116" w:type="pct"/>
            <w:tcBorders>
              <w:top w:val="single" w:color="auto" w:sz="4" w:space="0"/>
              <w:left w:val="single" w:color="auto" w:sz="4" w:space="0"/>
              <w:bottom w:val="single" w:color="auto" w:sz="4" w:space="0"/>
              <w:right w:val="nil"/>
            </w:tcBorders>
            <w:shd w:val="clear" w:color="auto" w:fill="auto"/>
            <w:vAlign w:val="center"/>
          </w:tcPr>
          <w:p w14:paraId="1A0F4D27">
            <w:pPr>
              <w:pStyle w:val="19"/>
              <w:spacing w:before="0" w:beforeAutospacing="0" w:after="0" w:afterAutospacing="0" w:line="24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kern w:val="2"/>
                <w:sz w:val="21"/>
                <w:szCs w:val="21"/>
                <w:highlight w:val="none"/>
                <w:lang w:bidi="ar"/>
              </w:rPr>
              <w:t>气瓶充装：液氧、液氩、液化石油气、丙烷、二氧化碳、氧气、氩气</w:t>
            </w:r>
          </w:p>
        </w:tc>
      </w:tr>
      <w:tr w14:paraId="64690C4E">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1BC0210F">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14</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664729A6">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湖北惠真源药械有限公司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05AD95D1">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bidi="ar"/>
              </w:rPr>
              <w:t>鄂燕老路7号（周宝乐饮料厂院内）</w:t>
            </w:r>
          </w:p>
        </w:tc>
        <w:tc>
          <w:tcPr>
            <w:tcW w:w="2116" w:type="pct"/>
            <w:tcBorders>
              <w:top w:val="single" w:color="auto" w:sz="4" w:space="0"/>
              <w:left w:val="single" w:color="auto" w:sz="4" w:space="0"/>
              <w:bottom w:val="single" w:color="auto" w:sz="4" w:space="0"/>
              <w:right w:val="nil"/>
            </w:tcBorders>
            <w:shd w:val="clear" w:color="auto" w:fill="auto"/>
            <w:vAlign w:val="center"/>
          </w:tcPr>
          <w:p w14:paraId="7B02AE45">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医疗科技技术开发；生产、销售：医疗器械</w:t>
            </w:r>
          </w:p>
        </w:tc>
      </w:tr>
      <w:tr w14:paraId="42102420">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6D61B76A">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15</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60D42659">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湖北银龙管业有限公司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615C3116">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bidi="ar"/>
              </w:rPr>
              <w:t>鄂燕路银龙大厦</w:t>
            </w:r>
          </w:p>
        </w:tc>
        <w:tc>
          <w:tcPr>
            <w:tcW w:w="2116" w:type="pct"/>
            <w:tcBorders>
              <w:top w:val="single" w:color="auto" w:sz="4" w:space="0"/>
              <w:left w:val="single" w:color="auto" w:sz="4" w:space="0"/>
              <w:bottom w:val="single" w:color="auto" w:sz="4" w:space="0"/>
              <w:right w:val="nil"/>
            </w:tcBorders>
            <w:shd w:val="clear" w:color="auto" w:fill="auto"/>
            <w:vAlign w:val="center"/>
          </w:tcPr>
          <w:p w14:paraId="560EC20C">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生产销售：埋地聚乙烯螺旋波纹给水排水管、钢丝缠绕骨架聚乙烯复合管</w:t>
            </w:r>
          </w:p>
        </w:tc>
      </w:tr>
      <w:tr w14:paraId="1A6257FF">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0C942579">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16</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0F2B6B97">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鄂州东润混凝土销售有限公司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1534A96A">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bidi="ar"/>
              </w:rPr>
              <w:t>新庙镇英山村葛山大道34号</w:t>
            </w:r>
          </w:p>
        </w:tc>
        <w:tc>
          <w:tcPr>
            <w:tcW w:w="2116" w:type="pct"/>
            <w:tcBorders>
              <w:top w:val="single" w:color="auto" w:sz="4" w:space="0"/>
              <w:left w:val="single" w:color="auto" w:sz="4" w:space="0"/>
              <w:bottom w:val="single" w:color="auto" w:sz="4" w:space="0"/>
              <w:right w:val="nil"/>
            </w:tcBorders>
            <w:shd w:val="clear" w:color="auto" w:fill="auto"/>
            <w:vAlign w:val="center"/>
          </w:tcPr>
          <w:p w14:paraId="0D24E819">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生产、销售：商品混凝土；销售：建筑材料</w:t>
            </w:r>
          </w:p>
        </w:tc>
      </w:tr>
      <w:tr w14:paraId="3242F175">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0E3EF0BC">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17</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74A8AE1C">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湖北攀峰钻石科技有限公司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0A4626BC">
            <w:pPr>
              <w:spacing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bidi="ar"/>
              </w:rPr>
              <w:t>新庙工贸园区6号（市党校东侧）</w:t>
            </w:r>
          </w:p>
        </w:tc>
        <w:tc>
          <w:tcPr>
            <w:tcW w:w="2116" w:type="pct"/>
            <w:tcBorders>
              <w:top w:val="single" w:color="auto" w:sz="4" w:space="0"/>
              <w:left w:val="single" w:color="auto" w:sz="4" w:space="0"/>
              <w:bottom w:val="single" w:color="auto" w:sz="4" w:space="0"/>
              <w:right w:val="nil"/>
            </w:tcBorders>
            <w:shd w:val="clear" w:color="auto" w:fill="auto"/>
            <w:vAlign w:val="center"/>
          </w:tcPr>
          <w:p w14:paraId="5F8E9609">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金刚石制品研发、加工、销售；加工、销售：石材、机械配件；批发、零售：五金、交电、化工商品（不含化学危险品）、建筑材料；货物进出口</w:t>
            </w:r>
          </w:p>
        </w:tc>
      </w:tr>
      <w:tr w14:paraId="4858B04F">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77E4311A">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18</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0BF4CCD2">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湖北安星泰药业有限公司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35619F62">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葛山大道56号（一栋一楼、二楼）</w:t>
            </w:r>
          </w:p>
        </w:tc>
        <w:tc>
          <w:tcPr>
            <w:tcW w:w="2116" w:type="pct"/>
            <w:tcBorders>
              <w:top w:val="single" w:color="auto" w:sz="4" w:space="0"/>
              <w:left w:val="single" w:color="auto" w:sz="4" w:space="0"/>
              <w:bottom w:val="single" w:color="auto" w:sz="4" w:space="0"/>
              <w:right w:val="nil"/>
            </w:tcBorders>
            <w:shd w:val="clear" w:color="auto" w:fill="auto"/>
            <w:vAlign w:val="center"/>
          </w:tcPr>
          <w:p w14:paraId="2FA3B2E3">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 xml:space="preserve">销售：中药材、中成药、中药饮片、化学药制剂、抗生素制剂、生化药品、生物制品、精神药品（二类）、医疗用毒性药品（中药）、蛋白同化制剂、肽类激素（含冷藏冷冻药品）、医疗器械（一、二、三类）等 </w:t>
            </w:r>
          </w:p>
        </w:tc>
      </w:tr>
      <w:tr w14:paraId="7349090E">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4F9B4FF0">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19</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76E52E0E">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湖北鄂州广源米业有限责任公司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1A2A86D2">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新庙工贸园区</w:t>
            </w:r>
          </w:p>
        </w:tc>
        <w:tc>
          <w:tcPr>
            <w:tcW w:w="2116" w:type="pct"/>
            <w:tcBorders>
              <w:top w:val="single" w:color="auto" w:sz="4" w:space="0"/>
              <w:left w:val="single" w:color="auto" w:sz="4" w:space="0"/>
              <w:bottom w:val="single" w:color="auto" w:sz="4" w:space="0"/>
              <w:right w:val="nil"/>
            </w:tcBorders>
            <w:shd w:val="clear" w:color="auto" w:fill="auto"/>
            <w:vAlign w:val="center"/>
          </w:tcPr>
          <w:p w14:paraId="2461A3EC">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收购粮食；销售：大米；进出口贸易</w:t>
            </w:r>
          </w:p>
        </w:tc>
      </w:tr>
      <w:tr w14:paraId="0F9DE15E">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79E52C32">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20</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0923DB7E">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鄂州市佳和贸易有限公司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48A1C611">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葛山大道70号</w:t>
            </w:r>
          </w:p>
        </w:tc>
        <w:tc>
          <w:tcPr>
            <w:tcW w:w="2116" w:type="pct"/>
            <w:tcBorders>
              <w:top w:val="single" w:color="auto" w:sz="4" w:space="0"/>
              <w:left w:val="single" w:color="auto" w:sz="4" w:space="0"/>
              <w:bottom w:val="single" w:color="auto" w:sz="4" w:space="0"/>
              <w:right w:val="nil"/>
            </w:tcBorders>
            <w:shd w:val="clear" w:color="auto" w:fill="auto"/>
            <w:vAlign w:val="center"/>
          </w:tcPr>
          <w:p w14:paraId="14835015">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批发：钢材、五金制品、水暖器材、矿产品、机电产品；货物仓储、装卸（不含危险货物和危险化学品）</w:t>
            </w:r>
          </w:p>
        </w:tc>
      </w:tr>
      <w:tr w14:paraId="1B456CBF">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2A125707">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21</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2E4C80F5">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东风鸿泰鄂州汽车销售服务有限公司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2490EA87">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新庙镇月陂村十四组葛山大道中段66号</w:t>
            </w:r>
          </w:p>
        </w:tc>
        <w:tc>
          <w:tcPr>
            <w:tcW w:w="2116" w:type="pct"/>
            <w:tcBorders>
              <w:top w:val="single" w:color="auto" w:sz="4" w:space="0"/>
              <w:left w:val="single" w:color="auto" w:sz="4" w:space="0"/>
              <w:bottom w:val="single" w:color="auto" w:sz="4" w:space="0"/>
              <w:right w:val="nil"/>
            </w:tcBorders>
            <w:shd w:val="clear" w:color="auto" w:fill="auto"/>
            <w:vAlign w:val="center"/>
          </w:tcPr>
          <w:p w14:paraId="7DDD3424">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汽车销售；二手车买卖；汽车备件销售；二类（小型车辆维修）</w:t>
            </w:r>
          </w:p>
        </w:tc>
      </w:tr>
      <w:tr w14:paraId="350AEF10">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545EEE58">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22</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78CD7A64">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鄂州市恒新机动车检测有限公司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78797A3D">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葛山大道82号</w:t>
            </w:r>
          </w:p>
        </w:tc>
        <w:tc>
          <w:tcPr>
            <w:tcW w:w="2116" w:type="pct"/>
            <w:tcBorders>
              <w:top w:val="single" w:color="auto" w:sz="4" w:space="0"/>
              <w:left w:val="single" w:color="auto" w:sz="4" w:space="0"/>
              <w:bottom w:val="single" w:color="auto" w:sz="4" w:space="0"/>
              <w:right w:val="nil"/>
            </w:tcBorders>
            <w:shd w:val="clear" w:color="auto" w:fill="auto"/>
            <w:vAlign w:val="center"/>
          </w:tcPr>
          <w:p w14:paraId="690F7174">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机动车安全检测；机动车环保尾气检测；机动车综合性能检测。</w:t>
            </w:r>
          </w:p>
        </w:tc>
      </w:tr>
      <w:tr w14:paraId="7487516A">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3DF1C6F9">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23</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2039205D">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鄂信钻石新材料股份有限公司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74462EE2">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鄂东大道188号</w:t>
            </w:r>
          </w:p>
        </w:tc>
        <w:tc>
          <w:tcPr>
            <w:tcW w:w="2116" w:type="pct"/>
            <w:tcBorders>
              <w:top w:val="single" w:color="auto" w:sz="4" w:space="0"/>
              <w:left w:val="single" w:color="auto" w:sz="4" w:space="0"/>
              <w:bottom w:val="single" w:color="auto" w:sz="4" w:space="0"/>
              <w:right w:val="nil"/>
            </w:tcBorders>
            <w:shd w:val="clear" w:color="auto" w:fill="auto"/>
            <w:vAlign w:val="center"/>
          </w:tcPr>
          <w:p w14:paraId="1DD9CF65">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研发、生产、销售：复合钻石工具（包括金刚石刀具、金刚石磨具）、合成钻石材料（包括金刚石粉末、触媒柱、纯化粉）、合金材料（包括预合金粉、复合粉、合金触媒）等</w:t>
            </w:r>
          </w:p>
        </w:tc>
      </w:tr>
      <w:tr w14:paraId="77156BDE">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4D10D311">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24</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5C9E26F2">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燕矶中南石材厂</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1046F121">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燕矶镇杨岭村</w:t>
            </w:r>
          </w:p>
        </w:tc>
        <w:tc>
          <w:tcPr>
            <w:tcW w:w="2116" w:type="pct"/>
            <w:tcBorders>
              <w:top w:val="single" w:color="auto" w:sz="4" w:space="0"/>
              <w:left w:val="single" w:color="auto" w:sz="4" w:space="0"/>
              <w:bottom w:val="single" w:color="auto" w:sz="4" w:space="0"/>
              <w:right w:val="nil"/>
            </w:tcBorders>
            <w:shd w:val="clear" w:color="auto" w:fill="auto"/>
            <w:vAlign w:val="center"/>
          </w:tcPr>
          <w:p w14:paraId="6DC16968">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加工销售石材、石材工艺品、金刚石刀具</w:t>
            </w:r>
          </w:p>
        </w:tc>
      </w:tr>
      <w:tr w14:paraId="6D251E99">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5170515D">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25</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60CB90A0">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建华建材（鄂州）有限公司</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1BE28431">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燕矶镇金刚石工业园</w:t>
            </w:r>
          </w:p>
        </w:tc>
        <w:tc>
          <w:tcPr>
            <w:tcW w:w="2116" w:type="pct"/>
            <w:tcBorders>
              <w:top w:val="single" w:color="auto" w:sz="4" w:space="0"/>
              <w:left w:val="single" w:color="auto" w:sz="4" w:space="0"/>
              <w:bottom w:val="single" w:color="auto" w:sz="4" w:space="0"/>
              <w:right w:val="nil"/>
            </w:tcBorders>
            <w:shd w:val="clear" w:color="auto" w:fill="auto"/>
            <w:vAlign w:val="center"/>
          </w:tcPr>
          <w:p w14:paraId="03C28DA7">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预应力混凝土管桩、钢筋混凝土方桩、建筑用钢筋水泥构件、轻质墙体材料、新型墙体材料等混凝土制品及水泥制品的设计、生产、销售、技术咨询与服务</w:t>
            </w:r>
          </w:p>
        </w:tc>
      </w:tr>
      <w:tr w14:paraId="694394DC">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shd w:val="clear" w:color="auto" w:fill="auto"/>
            <w:vAlign w:val="center"/>
          </w:tcPr>
          <w:p w14:paraId="01020DEA">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26</w:t>
            </w:r>
          </w:p>
        </w:tc>
        <w:tc>
          <w:tcPr>
            <w:tcW w:w="1469" w:type="pct"/>
            <w:tcBorders>
              <w:top w:val="single" w:color="auto" w:sz="4" w:space="0"/>
              <w:left w:val="single" w:color="auto" w:sz="4" w:space="0"/>
              <w:bottom w:val="single" w:color="auto" w:sz="4" w:space="0"/>
              <w:right w:val="single" w:color="auto" w:sz="4" w:space="0"/>
            </w:tcBorders>
            <w:shd w:val="clear" w:color="auto" w:fill="auto"/>
            <w:vAlign w:val="center"/>
          </w:tcPr>
          <w:p w14:paraId="70409503">
            <w:pPr>
              <w:pStyle w:val="19"/>
              <w:spacing w:before="0" w:beforeAutospacing="0" w:after="0" w:afterAutospacing="0"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kern w:val="2"/>
                <w:sz w:val="21"/>
                <w:szCs w:val="21"/>
                <w:highlight w:val="none"/>
                <w:lang w:bidi="ar"/>
              </w:rPr>
              <w:t>湖北林之立建材有限公司 </w:t>
            </w:r>
          </w:p>
        </w:tc>
        <w:tc>
          <w:tcPr>
            <w:tcW w:w="1072" w:type="pct"/>
            <w:tcBorders>
              <w:top w:val="single" w:color="auto" w:sz="4" w:space="0"/>
              <w:left w:val="single" w:color="auto" w:sz="4" w:space="0"/>
              <w:bottom w:val="single" w:color="auto" w:sz="4" w:space="0"/>
              <w:right w:val="single" w:color="auto" w:sz="4" w:space="0"/>
            </w:tcBorders>
            <w:shd w:val="clear" w:color="auto" w:fill="auto"/>
            <w:vAlign w:val="center"/>
          </w:tcPr>
          <w:p w14:paraId="103C1C1A">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新庙工贸园区</w:t>
            </w:r>
          </w:p>
        </w:tc>
        <w:tc>
          <w:tcPr>
            <w:tcW w:w="2116" w:type="pct"/>
            <w:tcBorders>
              <w:top w:val="single" w:color="auto" w:sz="4" w:space="0"/>
              <w:left w:val="single" w:color="auto" w:sz="4" w:space="0"/>
              <w:bottom w:val="single" w:color="auto" w:sz="4" w:space="0"/>
              <w:right w:val="nil"/>
            </w:tcBorders>
            <w:shd w:val="clear" w:color="auto" w:fill="auto"/>
            <w:vAlign w:val="center"/>
          </w:tcPr>
          <w:p w14:paraId="74C89298">
            <w:pPr>
              <w:pStyle w:val="19"/>
              <w:spacing w:before="0" w:beforeAutospacing="0" w:after="0" w:afterAutospacing="0" w:line="24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2"/>
                <w:sz w:val="21"/>
                <w:szCs w:val="21"/>
                <w:highlight w:val="none"/>
                <w:lang w:bidi="ar"/>
              </w:rPr>
              <w:t>生产、销售：商品混凝土、混凝土外掺料、干粉砂浆、保温砂浆、水泥稳定碎石、砂石料等建筑材料；建筑垃圾回收及综合利用；销售：水泥</w:t>
            </w:r>
          </w:p>
        </w:tc>
      </w:tr>
      <w:tr w14:paraId="5FC80DB7">
        <w:tblPrEx>
          <w:tblBorders>
            <w:top w:val="single" w:color="auto" w:sz="12" w:space="0"/>
            <w:left w:val="single" w:color="000000" w:sz="4" w:space="0"/>
            <w:bottom w:val="single" w:color="auto" w:sz="12" w:space="0"/>
            <w:right w:val="single" w:color="000000" w:sz="4"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12" w:space="0"/>
              <w:right w:val="single" w:color="auto" w:sz="4" w:space="0"/>
            </w:tcBorders>
            <w:shd w:val="clear" w:color="auto" w:fill="auto"/>
            <w:vAlign w:val="center"/>
          </w:tcPr>
          <w:p w14:paraId="2AE1EED0">
            <w:pPr>
              <w:pStyle w:val="19"/>
              <w:spacing w:before="0" w:beforeAutospacing="0" w:after="0" w:afterAutospacing="0" w:line="240" w:lineRule="auto"/>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cs="Times New Roman"/>
                <w:color w:val="auto"/>
                <w:kern w:val="2"/>
                <w:sz w:val="21"/>
                <w:szCs w:val="21"/>
                <w:highlight w:val="none"/>
                <w:lang w:val="en-US" w:eastAsia="zh-CN" w:bidi="ar"/>
              </w:rPr>
              <w:t>27</w:t>
            </w:r>
          </w:p>
        </w:tc>
        <w:tc>
          <w:tcPr>
            <w:tcW w:w="1469" w:type="pct"/>
            <w:tcBorders>
              <w:top w:val="single" w:color="auto" w:sz="4" w:space="0"/>
              <w:left w:val="single" w:color="auto" w:sz="4" w:space="0"/>
              <w:bottom w:val="single" w:color="auto" w:sz="12" w:space="0"/>
              <w:right w:val="single" w:color="auto" w:sz="4" w:space="0"/>
            </w:tcBorders>
            <w:shd w:val="clear" w:color="auto" w:fill="auto"/>
            <w:vAlign w:val="center"/>
          </w:tcPr>
          <w:p w14:paraId="7B505582">
            <w:pPr>
              <w:pStyle w:val="19"/>
              <w:spacing w:before="0" w:beforeAutospacing="0" w:after="0" w:afterAutospacing="0" w:line="240" w:lineRule="auto"/>
              <w:jc w:val="center"/>
              <w:rPr>
                <w:rFonts w:hint="default" w:ascii="Times New Roman" w:hAnsi="Times New Roman" w:cs="Times New Roman"/>
                <w:color w:val="auto"/>
                <w:kern w:val="2"/>
                <w:sz w:val="21"/>
                <w:szCs w:val="21"/>
                <w:highlight w:val="none"/>
                <w:lang w:bidi="ar"/>
              </w:rPr>
            </w:pPr>
            <w:r>
              <w:rPr>
                <w:rFonts w:hint="default" w:ascii="Times New Roman" w:hAnsi="Times New Roman" w:cs="Times New Roman"/>
                <w:color w:val="auto"/>
                <w:kern w:val="2"/>
                <w:sz w:val="21"/>
                <w:szCs w:val="21"/>
                <w:highlight w:val="none"/>
                <w:lang w:bidi="ar"/>
              </w:rPr>
              <w:t>鄂州市大通精诚物流有限公司</w:t>
            </w:r>
          </w:p>
        </w:tc>
        <w:tc>
          <w:tcPr>
            <w:tcW w:w="1072" w:type="pct"/>
            <w:tcBorders>
              <w:top w:val="single" w:color="auto" w:sz="4" w:space="0"/>
              <w:left w:val="single" w:color="auto" w:sz="4" w:space="0"/>
              <w:bottom w:val="single" w:color="auto" w:sz="12" w:space="0"/>
              <w:right w:val="single" w:color="auto" w:sz="4" w:space="0"/>
            </w:tcBorders>
            <w:shd w:val="clear" w:color="auto" w:fill="auto"/>
            <w:vAlign w:val="center"/>
          </w:tcPr>
          <w:p w14:paraId="5EC102DD">
            <w:pPr>
              <w:pStyle w:val="19"/>
              <w:spacing w:before="0" w:beforeAutospacing="0" w:after="0" w:afterAutospacing="0" w:line="240" w:lineRule="auto"/>
              <w:jc w:val="center"/>
              <w:rPr>
                <w:rFonts w:hint="default" w:ascii="Times New Roman" w:hAnsi="Times New Roman" w:cs="Times New Roman"/>
                <w:color w:val="auto"/>
                <w:kern w:val="2"/>
                <w:sz w:val="21"/>
                <w:szCs w:val="21"/>
                <w:highlight w:val="none"/>
                <w:lang w:bidi="ar"/>
              </w:rPr>
            </w:pPr>
            <w:r>
              <w:rPr>
                <w:rFonts w:hint="default" w:ascii="Times New Roman" w:hAnsi="Times New Roman" w:cs="Times New Roman"/>
                <w:color w:val="auto"/>
                <w:kern w:val="2"/>
                <w:sz w:val="21"/>
                <w:szCs w:val="21"/>
                <w:highlight w:val="none"/>
                <w:lang w:bidi="ar"/>
              </w:rPr>
              <w:t>鄂燕路（五丈港入口处）</w:t>
            </w:r>
          </w:p>
        </w:tc>
        <w:tc>
          <w:tcPr>
            <w:tcW w:w="2116" w:type="pct"/>
            <w:tcBorders>
              <w:top w:val="single" w:color="auto" w:sz="4" w:space="0"/>
              <w:left w:val="single" w:color="auto" w:sz="4" w:space="0"/>
              <w:bottom w:val="single" w:color="auto" w:sz="12" w:space="0"/>
              <w:right w:val="nil"/>
            </w:tcBorders>
            <w:shd w:val="clear" w:color="auto" w:fill="auto"/>
            <w:vAlign w:val="center"/>
          </w:tcPr>
          <w:p w14:paraId="55DEDFEE">
            <w:pPr>
              <w:pStyle w:val="19"/>
              <w:spacing w:before="0" w:beforeAutospacing="0" w:after="0" w:afterAutospacing="0" w:line="240" w:lineRule="auto"/>
              <w:jc w:val="center"/>
              <w:rPr>
                <w:rFonts w:hint="default" w:ascii="Times New Roman" w:hAnsi="Times New Roman" w:cs="Times New Roman"/>
                <w:color w:val="auto"/>
                <w:kern w:val="2"/>
                <w:sz w:val="21"/>
                <w:szCs w:val="21"/>
                <w:highlight w:val="none"/>
                <w:lang w:bidi="ar"/>
              </w:rPr>
            </w:pPr>
            <w:r>
              <w:rPr>
                <w:rFonts w:hint="default" w:ascii="Times New Roman" w:hAnsi="Times New Roman" w:cs="Times New Roman"/>
                <w:color w:val="auto"/>
                <w:kern w:val="2"/>
                <w:sz w:val="21"/>
                <w:szCs w:val="21"/>
                <w:highlight w:val="none"/>
                <w:lang w:bidi="ar"/>
              </w:rPr>
              <w:t>普通货运、普通货物装卸、物流服务、货运代办、信息配载、仓储服务；公路货运信息咨询</w:t>
            </w:r>
          </w:p>
        </w:tc>
      </w:tr>
    </w:tbl>
    <w:p w14:paraId="0E316961">
      <w:pPr>
        <w:keepNext/>
        <w:keepLines/>
        <w:tabs>
          <w:tab w:val="left" w:pos="425"/>
        </w:tabs>
        <w:spacing w:line="240" w:lineRule="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注：</w:t>
      </w:r>
      <w:r>
        <w:rPr>
          <w:rFonts w:hint="default" w:ascii="Times New Roman" w:hAnsi="Times New Roman" w:cs="Times New Roman"/>
          <w:b/>
          <w:bCs/>
          <w:color w:val="auto"/>
          <w:sz w:val="18"/>
          <w:szCs w:val="18"/>
          <w:highlight w:val="none"/>
          <w:lang w:val="en-US" w:eastAsia="zh-CN"/>
        </w:rPr>
        <w:t>①</w:t>
      </w:r>
      <w:r>
        <w:rPr>
          <w:rFonts w:hint="default" w:ascii="Times New Roman" w:hAnsi="Times New Roman" w:cs="Times New Roman"/>
          <w:b/>
          <w:bCs/>
          <w:color w:val="auto"/>
          <w:sz w:val="18"/>
          <w:szCs w:val="18"/>
          <w:highlight w:val="none"/>
        </w:rPr>
        <w:t>企业位置和主要经营范围</w:t>
      </w:r>
      <w:r>
        <w:rPr>
          <w:rFonts w:hint="default" w:ascii="Times New Roman" w:hAnsi="Times New Roman" w:cs="Times New Roman"/>
          <w:b/>
          <w:bCs/>
          <w:color w:val="auto"/>
          <w:sz w:val="18"/>
          <w:szCs w:val="18"/>
          <w:highlight w:val="none"/>
          <w:lang w:val="en-US" w:eastAsia="zh-CN"/>
        </w:rPr>
        <w:t>结合现场踏勘情况及</w:t>
      </w:r>
      <w:r>
        <w:rPr>
          <w:rFonts w:hint="default" w:ascii="Times New Roman" w:hAnsi="Times New Roman" w:cs="Times New Roman"/>
          <w:b/>
          <w:bCs/>
          <w:color w:val="auto"/>
          <w:sz w:val="18"/>
          <w:szCs w:val="18"/>
          <w:highlight w:val="none"/>
        </w:rPr>
        <w:t>国家企业信用信息系统</w:t>
      </w:r>
      <w:r>
        <w:rPr>
          <w:rFonts w:hint="default" w:ascii="Times New Roman" w:hAnsi="Times New Roman" w:cs="Times New Roman"/>
          <w:b/>
          <w:bCs/>
          <w:color w:val="auto"/>
          <w:sz w:val="18"/>
          <w:szCs w:val="18"/>
          <w:highlight w:val="none"/>
          <w:lang w:eastAsia="zh-CN"/>
        </w:rPr>
        <w:t>（</w:t>
      </w:r>
      <w:r>
        <w:rPr>
          <w:rFonts w:hint="default" w:ascii="Times New Roman" w:hAnsi="Times New Roman" w:cs="Times New Roman"/>
          <w:b/>
          <w:bCs/>
          <w:color w:val="auto"/>
          <w:sz w:val="18"/>
          <w:szCs w:val="18"/>
          <w:highlight w:val="none"/>
        </w:rPr>
        <w:t>http://www.gsxt.gov.cn/index.html</w:t>
      </w:r>
      <w:r>
        <w:rPr>
          <w:rFonts w:hint="default" w:ascii="Times New Roman" w:hAnsi="Times New Roman" w:cs="Times New Roman"/>
          <w:b/>
          <w:bCs/>
          <w:color w:val="auto"/>
          <w:sz w:val="18"/>
          <w:szCs w:val="18"/>
          <w:highlight w:val="none"/>
          <w:lang w:eastAsia="zh-CN"/>
        </w:rPr>
        <w:t>）</w:t>
      </w:r>
      <w:r>
        <w:rPr>
          <w:rFonts w:hint="default" w:ascii="Times New Roman" w:hAnsi="Times New Roman" w:cs="Times New Roman"/>
          <w:b/>
          <w:bCs/>
          <w:color w:val="auto"/>
          <w:sz w:val="18"/>
          <w:szCs w:val="18"/>
          <w:highlight w:val="none"/>
        </w:rPr>
        <w:t>查询得到；</w:t>
      </w:r>
    </w:p>
    <w:p w14:paraId="2B362EA3">
      <w:pPr>
        <w:keepNext/>
        <w:keepLines/>
        <w:tabs>
          <w:tab w:val="left" w:pos="425"/>
        </w:tabs>
        <w:spacing w:line="240" w:lineRule="auto"/>
        <w:ind w:firstLine="361" w:firstLineChars="20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lang w:val="en-US" w:eastAsia="zh-CN"/>
        </w:rPr>
        <w:t>②</w:t>
      </w:r>
      <w:r>
        <w:rPr>
          <w:rFonts w:hint="default" w:ascii="Times New Roman" w:hAnsi="Times New Roman" w:cs="Times New Roman"/>
          <w:b/>
          <w:bCs/>
          <w:color w:val="auto"/>
          <w:sz w:val="18"/>
          <w:szCs w:val="18"/>
          <w:highlight w:val="none"/>
        </w:rPr>
        <w:t>加粗企业为土壤污染重点行业类别及土壤污染重点企业</w:t>
      </w:r>
      <w:r>
        <w:rPr>
          <w:rFonts w:hint="default" w:ascii="Times New Roman" w:hAnsi="Times New Roman" w:cs="Times New Roman"/>
          <w:b/>
          <w:bCs/>
          <w:color w:val="auto"/>
          <w:sz w:val="18"/>
          <w:szCs w:val="18"/>
          <w:highlight w:val="none"/>
          <w:lang w:eastAsia="zh-CN"/>
        </w:rPr>
        <w:t>（</w:t>
      </w:r>
      <w:r>
        <w:rPr>
          <w:rFonts w:hint="default" w:ascii="Times New Roman" w:hAnsi="Times New Roman" w:cs="Times New Roman"/>
          <w:b/>
          <w:bCs/>
          <w:color w:val="auto"/>
          <w:sz w:val="18"/>
          <w:szCs w:val="18"/>
          <w:highlight w:val="none"/>
          <w:lang w:val="en-US" w:eastAsia="zh-CN"/>
        </w:rPr>
        <w:t>简称“重点行业企业”</w:t>
      </w:r>
      <w:r>
        <w:rPr>
          <w:rFonts w:hint="default" w:ascii="Times New Roman" w:hAnsi="Times New Roman" w:cs="Times New Roman"/>
          <w:b/>
          <w:bCs/>
          <w:color w:val="auto"/>
          <w:sz w:val="18"/>
          <w:szCs w:val="18"/>
          <w:highlight w:val="none"/>
          <w:lang w:eastAsia="zh-CN"/>
        </w:rPr>
        <w:t>）</w:t>
      </w:r>
      <w:r>
        <w:rPr>
          <w:rFonts w:hint="default" w:ascii="Times New Roman" w:hAnsi="Times New Roman" w:cs="Times New Roman"/>
          <w:b/>
          <w:bCs/>
          <w:color w:val="auto"/>
          <w:sz w:val="18"/>
          <w:szCs w:val="18"/>
          <w:highlight w:val="none"/>
        </w:rPr>
        <w:t>，基本信息来源于重点行业企业用地调查信息管理系统；</w:t>
      </w:r>
    </w:p>
    <w:p w14:paraId="2445F135">
      <w:pPr>
        <w:keepNext/>
        <w:keepLines/>
        <w:tabs>
          <w:tab w:val="left" w:pos="425"/>
        </w:tabs>
        <w:spacing w:line="240" w:lineRule="auto"/>
        <w:ind w:firstLine="361" w:firstLineChars="20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lang w:val="en-US" w:eastAsia="zh-CN"/>
        </w:rPr>
        <w:t>③</w:t>
      </w:r>
      <w:r>
        <w:rPr>
          <w:rFonts w:hint="default" w:ascii="Times New Roman" w:hAnsi="Times New Roman" w:cs="Times New Roman"/>
          <w:b/>
          <w:bCs/>
          <w:color w:val="auto"/>
          <w:sz w:val="18"/>
          <w:szCs w:val="18"/>
          <w:highlight w:val="none"/>
        </w:rPr>
        <w:t>阴影企业为已取得排污许可证企业（</w:t>
      </w:r>
      <w:r>
        <w:rPr>
          <w:rFonts w:hint="eastAsia" w:cs="Times New Roman"/>
          <w:b/>
          <w:bCs/>
          <w:color w:val="auto"/>
          <w:sz w:val="18"/>
          <w:szCs w:val="18"/>
          <w:highlight w:val="none"/>
          <w:lang w:eastAsia="zh-CN"/>
        </w:rPr>
        <w:t>截至</w:t>
      </w:r>
      <w:r>
        <w:rPr>
          <w:rFonts w:hint="default" w:ascii="Times New Roman" w:hAnsi="Times New Roman" w:cs="Times New Roman"/>
          <w:b/>
          <w:bCs/>
          <w:color w:val="auto"/>
          <w:sz w:val="18"/>
          <w:szCs w:val="18"/>
          <w:highlight w:val="none"/>
        </w:rPr>
        <w:t>2020年12月），基本信息来源于全国排污许可证管理信息平台 公开端（http://permit.mee.gov.cn/）。</w:t>
      </w:r>
    </w:p>
    <w:p w14:paraId="69C76D73">
      <w:pPr>
        <w:ind w:firstLine="480" w:firstLineChars="20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color w:val="auto"/>
          <w:kern w:val="0"/>
          <w:highlight w:val="none"/>
          <w:lang w:val="en-US" w:eastAsia="zh-CN"/>
        </w:rPr>
        <w:t>由表2-2-2，</w:t>
      </w:r>
      <w:r>
        <w:rPr>
          <w:rFonts w:hint="default" w:ascii="Times New Roman" w:hAnsi="Times New Roman" w:cs="Times New Roman"/>
          <w:color w:val="auto"/>
          <w:kern w:val="0"/>
          <w:highlight w:val="none"/>
        </w:rPr>
        <w:t>园区内主要</w:t>
      </w:r>
      <w:r>
        <w:rPr>
          <w:rFonts w:hint="default" w:ascii="Times New Roman" w:hAnsi="Times New Roman" w:cs="Times New Roman"/>
          <w:color w:val="auto"/>
          <w:kern w:val="0"/>
          <w:highlight w:val="none"/>
          <w:lang w:val="en-US" w:eastAsia="zh-CN"/>
        </w:rPr>
        <w:t>已建成</w:t>
      </w:r>
      <w:r>
        <w:rPr>
          <w:rFonts w:hint="default" w:ascii="Times New Roman" w:hAnsi="Times New Roman" w:cs="Times New Roman"/>
          <w:color w:val="auto"/>
          <w:kern w:val="0"/>
          <w:highlight w:val="none"/>
        </w:rPr>
        <w:t>企业经营范围与园区产业定位基本一致</w:t>
      </w:r>
      <w:r>
        <w:rPr>
          <w:rFonts w:hint="default" w:ascii="Times New Roman" w:hAnsi="Times New Roman" w:cs="Times New Roman"/>
          <w:color w:val="auto"/>
          <w:kern w:val="0"/>
          <w:highlight w:val="none"/>
          <w:lang w:eastAsia="zh-CN"/>
        </w:rPr>
        <w:t>。</w:t>
      </w:r>
      <w:r>
        <w:rPr>
          <w:rFonts w:hint="default" w:ascii="Times New Roman" w:hAnsi="Times New Roman" w:cs="Times New Roman"/>
          <w:color w:val="auto"/>
          <w:kern w:val="0"/>
          <w:highlight w:val="none"/>
        </w:rPr>
        <w:t>其中重点行业企业3家，分别为鄂州通世达沥青有限公司（壳牌（鄂州）有限公司、鄂州科氏沥青产品有限公司）、武钢资源集团鄂州球团有限公司（武汉钢铁集团矿业有限责任公司）、鄂州市鹏缘气体有限责任公司；已取得排污许可证企业4家，分别为鄂州通世达沥青有限公司（壳牌（鄂州）有限公司、鄂州科氏沥青产品有限公司）、武钢资源集团鄂州球团有限公司（武汉钢铁集团矿业有限责任公司）、城东污水处理厂（鄂州浦华鄂清水务有限公司）、鄂州市远大纸制品有限公司。</w:t>
      </w:r>
    </w:p>
    <w:p w14:paraId="6F56580B">
      <w:pPr>
        <w:pStyle w:val="4"/>
        <w:tabs>
          <w:tab w:val="clear" w:pos="567"/>
        </w:tabs>
        <w:rPr>
          <w:rFonts w:hint="default" w:ascii="Times New Roman" w:hAnsi="Times New Roman" w:cs="Times New Roman"/>
          <w:color w:val="auto"/>
          <w:highlight w:val="none"/>
        </w:rPr>
      </w:pPr>
      <w:bookmarkStart w:id="13" w:name="_Toc21544"/>
      <w:r>
        <w:rPr>
          <w:rFonts w:hint="default" w:ascii="Times New Roman" w:hAnsi="Times New Roman" w:cs="Times New Roman"/>
          <w:color w:val="auto"/>
          <w:highlight w:val="none"/>
        </w:rPr>
        <w:t>园区污染源分析</w:t>
      </w:r>
      <w:bookmarkEnd w:id="13"/>
    </w:p>
    <w:p w14:paraId="3B8BB9CB">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考虑到园区现状情况及未来规划，</w:t>
      </w:r>
      <w:r>
        <w:rPr>
          <w:rFonts w:hint="default" w:ascii="Times New Roman" w:hAnsi="Times New Roman" w:cs="Times New Roman"/>
          <w:color w:val="auto"/>
          <w:kern w:val="0"/>
          <w:highlight w:val="none"/>
        </w:rPr>
        <w:t>园区特征污染</w:t>
      </w:r>
      <w:r>
        <w:rPr>
          <w:rFonts w:hint="eastAsia" w:cs="Times New Roman"/>
          <w:color w:val="auto"/>
          <w:kern w:val="0"/>
          <w:highlight w:val="none"/>
          <w:lang w:eastAsia="zh-CN"/>
        </w:rPr>
        <w:t>物的</w:t>
      </w:r>
      <w:r>
        <w:rPr>
          <w:rFonts w:hint="default" w:ascii="Times New Roman" w:hAnsi="Times New Roman" w:cs="Times New Roman"/>
          <w:color w:val="auto"/>
          <w:kern w:val="0"/>
          <w:highlight w:val="none"/>
        </w:rPr>
        <w:t>识别主要依据园区规划产业定位确定，并根据重点行业企业用地调查信息管理系统、全国排污许可证管理信息平台公开端补充典型企业污染因子。</w:t>
      </w:r>
    </w:p>
    <w:p w14:paraId="249E18B1">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eastAsia="zh-CN"/>
        </w:rPr>
        <w:t>城东产业园（鄂城新区）</w:t>
      </w:r>
      <w:r>
        <w:rPr>
          <w:rFonts w:hint="default" w:ascii="Times New Roman" w:hAnsi="Times New Roman" w:cs="Times New Roman"/>
          <w:color w:val="auto"/>
          <w:kern w:val="0"/>
          <w:highlight w:val="none"/>
        </w:rPr>
        <w:t>涵盖鄂州城东港口经济区及新庙工贸区，主要功能定位为</w:t>
      </w:r>
      <w:r>
        <w:rPr>
          <w:rFonts w:hint="default" w:ascii="Times New Roman" w:hAnsi="Times New Roman" w:cs="Times New Roman"/>
          <w:color w:val="auto"/>
          <w:highlight w:val="none"/>
        </w:rPr>
        <w:t>港口经济园、区域物流园、金刚石刀具园和商务配套园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主要包括港口仓储组团、工业园区、居住生活区等</w:t>
      </w:r>
      <w:r>
        <w:rPr>
          <w:rFonts w:hint="default" w:ascii="Times New Roman" w:hAnsi="Times New Roman" w:cs="Times New Roman"/>
          <w:color w:val="auto"/>
          <w:highlight w:val="none"/>
          <w:lang w:eastAsia="zh-CN"/>
        </w:rPr>
        <w:t>，</w:t>
      </w:r>
      <w:r>
        <w:rPr>
          <w:rFonts w:hint="default" w:ascii="Times New Roman" w:hAnsi="Times New Roman" w:cs="Times New Roman"/>
          <w:color w:val="auto"/>
          <w:szCs w:val="21"/>
          <w:highlight w:val="none"/>
        </w:rPr>
        <w:t>重点发展冶金、金刚石、纺织服装、家具、食品</w:t>
      </w:r>
      <w:r>
        <w:rPr>
          <w:rFonts w:hint="default" w:ascii="Times New Roman" w:hAnsi="Times New Roman" w:cs="Times New Roman"/>
          <w:color w:val="auto"/>
          <w:highlight w:val="none"/>
        </w:rPr>
        <w:t>。</w:t>
      </w:r>
    </w:p>
    <w:p w14:paraId="11FC3BA4">
      <w:pPr>
        <w:ind w:firstLine="482" w:firstLineChars="200"/>
        <w:rPr>
          <w:rFonts w:hint="default" w:ascii="Times New Roman" w:hAnsi="Times New Roman" w:cs="Times New Roman"/>
          <w:color w:val="auto"/>
          <w:szCs w:val="21"/>
          <w:highlight w:val="none"/>
          <w:lang w:val="en-US" w:eastAsia="zh-CN"/>
        </w:rPr>
      </w:pPr>
      <w:r>
        <w:rPr>
          <w:rFonts w:hint="default" w:ascii="Times New Roman" w:hAnsi="Times New Roman" w:cs="Times New Roman"/>
          <w:b/>
          <w:bCs/>
          <w:color w:val="auto"/>
          <w:szCs w:val="21"/>
          <w:highlight w:val="none"/>
          <w:lang w:val="en-US" w:eastAsia="zh-CN"/>
        </w:rPr>
        <w:t>冶金：</w:t>
      </w:r>
      <w:r>
        <w:rPr>
          <w:rFonts w:hint="default" w:ascii="Times New Roman" w:hAnsi="Times New Roman" w:cs="Times New Roman"/>
          <w:color w:val="auto"/>
          <w:szCs w:val="21"/>
          <w:highlight w:val="none"/>
          <w:lang w:val="en-US" w:eastAsia="zh-CN"/>
        </w:rPr>
        <w:t>主要污染环节包括冶炼、环境集烟、再生冶炼等废气污染物；冶炼生产废水；冶炼渣、白烟尘、铅滤饼、砷滤饼、水处理污泥、废酸、浸出渣、渣选尾矿等固废。</w:t>
      </w:r>
    </w:p>
    <w:p w14:paraId="3A3511A5">
      <w:pPr>
        <w:ind w:firstLine="482" w:firstLineChars="200"/>
        <w:rPr>
          <w:rFonts w:hint="default" w:ascii="Times New Roman" w:hAnsi="Times New Roman" w:cs="Times New Roman"/>
          <w:color w:val="auto"/>
          <w:kern w:val="0"/>
          <w:highlight w:val="none"/>
          <w:lang w:eastAsia="zh-CN"/>
        </w:rPr>
      </w:pPr>
      <w:r>
        <w:rPr>
          <w:rFonts w:hint="default" w:ascii="Times New Roman" w:hAnsi="Times New Roman" w:cs="Times New Roman"/>
          <w:b/>
          <w:bCs/>
          <w:color w:val="auto"/>
          <w:kern w:val="0"/>
          <w:highlight w:val="none"/>
          <w:lang w:val="en-US" w:eastAsia="zh-CN"/>
        </w:rPr>
        <w:t>金刚石：</w:t>
      </w:r>
      <w:r>
        <w:rPr>
          <w:rFonts w:hint="default" w:ascii="Times New Roman" w:hAnsi="Times New Roman" w:cs="Times New Roman"/>
          <w:color w:val="auto"/>
          <w:kern w:val="0"/>
          <w:highlight w:val="none"/>
        </w:rPr>
        <w:t>主要从事金刚石刀具的生产、销售，主要污染源</w:t>
      </w:r>
      <w:r>
        <w:rPr>
          <w:rFonts w:hint="eastAsia" w:cs="Times New Roman"/>
          <w:color w:val="auto"/>
          <w:kern w:val="0"/>
          <w:highlight w:val="none"/>
          <w:lang w:eastAsia="zh-CN"/>
        </w:rPr>
        <w:t>包括</w:t>
      </w:r>
      <w:r>
        <w:rPr>
          <w:rFonts w:hint="default" w:ascii="Times New Roman" w:hAnsi="Times New Roman" w:cs="Times New Roman"/>
          <w:color w:val="auto"/>
          <w:kern w:val="0"/>
          <w:highlight w:val="none"/>
        </w:rPr>
        <w:t>混料、装模、冷压、去毛刺、喷砂等过程中产生的少量粉尘，热压过程石蜡油受热挥发产生的少量有机废气；脱模过程产生的废模具、包装工序产生的废包装材料、活性炭吸附装置产生的废活性炭等固体废物</w:t>
      </w:r>
      <w:r>
        <w:rPr>
          <w:rFonts w:hint="default" w:ascii="Times New Roman" w:hAnsi="Times New Roman" w:cs="Times New Roman"/>
          <w:color w:val="auto"/>
          <w:kern w:val="0"/>
          <w:highlight w:val="none"/>
          <w:lang w:eastAsia="zh-CN"/>
        </w:rPr>
        <w:t>。</w:t>
      </w:r>
    </w:p>
    <w:p w14:paraId="120EA525">
      <w:pPr>
        <w:ind w:firstLine="482" w:firstLineChars="200"/>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纺织服装：</w:t>
      </w:r>
      <w:r>
        <w:rPr>
          <w:rFonts w:hint="default" w:ascii="Times New Roman" w:hAnsi="Times New Roman" w:cs="Times New Roman"/>
          <w:color w:val="auto"/>
          <w:highlight w:val="none"/>
          <w:lang w:val="en-US" w:eastAsia="zh-CN"/>
        </w:rPr>
        <w:t>主要为剪裁、缝制、检验包装产生的废面料、废线头、边角面料、废包装材料以及熨烫工序配套设施产生的天然气燃烧废气等。</w:t>
      </w:r>
    </w:p>
    <w:p w14:paraId="72E99642">
      <w:pPr>
        <w:ind w:firstLine="482" w:firstLineChars="20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家具：</w:t>
      </w:r>
      <w:r>
        <w:rPr>
          <w:rFonts w:hint="default" w:ascii="Times New Roman" w:hAnsi="Times New Roman" w:cs="Times New Roman"/>
          <w:b w:val="0"/>
          <w:bCs w:val="0"/>
          <w:color w:val="auto"/>
          <w:highlight w:val="none"/>
          <w:lang w:val="en-US" w:eastAsia="zh-CN"/>
        </w:rPr>
        <w:t>主要为开料、铣型工序中产生的木粉尘、废木料；打磨工序产生的打磨粉尘、喷漆、干燥工序产生的VOCs（苯、甲苯、二甲苯等）废气，组装打包工序产生的废打包材料等。</w:t>
      </w:r>
    </w:p>
    <w:p w14:paraId="3593A53E">
      <w:pPr>
        <w:ind w:firstLine="482" w:firstLineChars="200"/>
        <w:rPr>
          <w:rFonts w:hint="default" w:ascii="Times New Roman" w:hAnsi="Times New Roman" w:cs="Times New Roman"/>
          <w:color w:val="auto"/>
          <w:highlight w:val="none"/>
          <w:lang w:eastAsia="zh-CN"/>
        </w:rPr>
      </w:pPr>
      <w:r>
        <w:rPr>
          <w:rFonts w:hint="default" w:ascii="Times New Roman" w:hAnsi="Times New Roman" w:cs="Times New Roman"/>
          <w:b/>
          <w:bCs/>
          <w:color w:val="auto"/>
          <w:highlight w:val="none"/>
          <w:lang w:val="en-US" w:eastAsia="zh-CN"/>
        </w:rPr>
        <w:t>食品：</w:t>
      </w:r>
      <w:r>
        <w:rPr>
          <w:rFonts w:hint="default" w:ascii="Times New Roman" w:hAnsi="Times New Roman" w:cs="Times New Roman"/>
          <w:color w:val="auto"/>
          <w:highlight w:val="none"/>
          <w:lang w:val="en-US" w:eastAsia="zh-CN"/>
        </w:rPr>
        <w:t>主要为原料清洗、设备清洗、厂房清洗废水，厨房、锅炉房等产生的油烟废气及锅炉废气，精选、包装等食品加工工序产生的废食物残渣及锅炉炉渣等。</w:t>
      </w:r>
    </w:p>
    <w:p w14:paraId="6DDA12F9">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其中，园区内典型企业包括重点行业企业和已取得排污许可证企业等，涉及的主要污染因子如下表：</w:t>
      </w:r>
    </w:p>
    <w:p w14:paraId="389827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kern w:val="0"/>
          <w:highlight w:val="none"/>
        </w:rPr>
      </w:pPr>
      <w:r>
        <w:rPr>
          <w:rFonts w:hint="default" w:ascii="Times New Roman" w:hAnsi="Times New Roman" w:eastAsia="黑体" w:cs="Times New Roman"/>
          <w:b/>
          <w:color w:val="auto"/>
          <w:highlight w:val="none"/>
        </w:rPr>
        <w:t>表2-2-3 园区内典型企业污染因子及影响途径</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55"/>
        <w:gridCol w:w="1107"/>
        <w:gridCol w:w="1413"/>
        <w:gridCol w:w="2584"/>
        <w:gridCol w:w="2673"/>
        <w:gridCol w:w="1436"/>
      </w:tblGrid>
      <w:tr w14:paraId="2383BA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jc w:val="center"/>
        </w:trPr>
        <w:tc>
          <w:tcPr>
            <w:tcW w:w="235" w:type="pct"/>
            <w:tcBorders>
              <w:bottom w:val="single" w:color="auto" w:sz="12" w:space="0"/>
            </w:tcBorders>
            <w:shd w:val="clear" w:color="auto" w:fill="auto"/>
            <w:noWrap/>
            <w:tcMar>
              <w:top w:w="15" w:type="dxa"/>
              <w:left w:w="15" w:type="dxa"/>
              <w:right w:w="15" w:type="dxa"/>
            </w:tcMar>
            <w:vAlign w:val="center"/>
          </w:tcPr>
          <w:p w14:paraId="2A23B4D4">
            <w:pPr>
              <w:pStyle w:val="2"/>
              <w:spacing w:after="0"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编号</w:t>
            </w:r>
          </w:p>
        </w:tc>
        <w:tc>
          <w:tcPr>
            <w:tcW w:w="572" w:type="pct"/>
            <w:tcBorders>
              <w:bottom w:val="single" w:color="auto" w:sz="12" w:space="0"/>
            </w:tcBorders>
            <w:shd w:val="clear" w:color="auto" w:fill="auto"/>
            <w:noWrap/>
            <w:tcMar>
              <w:top w:w="15" w:type="dxa"/>
              <w:left w:w="15" w:type="dxa"/>
              <w:right w:w="15" w:type="dxa"/>
            </w:tcMar>
            <w:vAlign w:val="center"/>
          </w:tcPr>
          <w:p w14:paraId="64B81D25">
            <w:pPr>
              <w:pStyle w:val="2"/>
              <w:spacing w:after="0"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典型企业</w:t>
            </w:r>
          </w:p>
        </w:tc>
        <w:tc>
          <w:tcPr>
            <w:tcW w:w="730" w:type="pct"/>
            <w:tcBorders>
              <w:bottom w:val="single" w:color="auto" w:sz="12" w:space="0"/>
            </w:tcBorders>
            <w:shd w:val="clear" w:color="auto" w:fill="auto"/>
            <w:noWrap/>
            <w:tcMar>
              <w:top w:w="15" w:type="dxa"/>
              <w:left w:w="15" w:type="dxa"/>
              <w:right w:w="15" w:type="dxa"/>
            </w:tcMar>
            <w:vAlign w:val="center"/>
          </w:tcPr>
          <w:p w14:paraId="697E2944">
            <w:pPr>
              <w:pStyle w:val="2"/>
              <w:spacing w:after="0"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主要行业类别</w:t>
            </w:r>
          </w:p>
        </w:tc>
        <w:tc>
          <w:tcPr>
            <w:tcW w:w="1336" w:type="pct"/>
            <w:tcBorders>
              <w:bottom w:val="single" w:color="auto" w:sz="12" w:space="0"/>
            </w:tcBorders>
            <w:shd w:val="clear" w:color="auto" w:fill="auto"/>
            <w:noWrap/>
            <w:tcMar>
              <w:top w:w="15" w:type="dxa"/>
              <w:left w:w="15" w:type="dxa"/>
              <w:right w:w="15" w:type="dxa"/>
            </w:tcMar>
            <w:vAlign w:val="center"/>
          </w:tcPr>
          <w:p w14:paraId="4ACF117C">
            <w:pPr>
              <w:pStyle w:val="2"/>
              <w:spacing w:after="0"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主要污染因子</w:t>
            </w:r>
          </w:p>
        </w:tc>
        <w:tc>
          <w:tcPr>
            <w:tcW w:w="1382" w:type="pct"/>
            <w:tcBorders>
              <w:bottom w:val="single" w:color="auto" w:sz="12" w:space="0"/>
            </w:tcBorders>
            <w:shd w:val="clear" w:color="auto" w:fill="auto"/>
            <w:noWrap/>
            <w:tcMar>
              <w:top w:w="15" w:type="dxa"/>
              <w:left w:w="15" w:type="dxa"/>
              <w:right w:w="15" w:type="dxa"/>
            </w:tcMar>
            <w:vAlign w:val="center"/>
          </w:tcPr>
          <w:p w14:paraId="4841FC05">
            <w:pPr>
              <w:pStyle w:val="2"/>
              <w:spacing w:after="0"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影响环节</w:t>
            </w:r>
          </w:p>
        </w:tc>
        <w:tc>
          <w:tcPr>
            <w:tcW w:w="742" w:type="pct"/>
            <w:tcBorders>
              <w:bottom w:val="single" w:color="auto" w:sz="12" w:space="0"/>
            </w:tcBorders>
            <w:shd w:val="clear" w:color="auto" w:fill="auto"/>
            <w:noWrap/>
            <w:tcMar>
              <w:top w:w="15" w:type="dxa"/>
              <w:left w:w="15" w:type="dxa"/>
              <w:right w:w="15" w:type="dxa"/>
            </w:tcMar>
            <w:vAlign w:val="center"/>
          </w:tcPr>
          <w:p w14:paraId="55D45E0D">
            <w:pPr>
              <w:pStyle w:val="2"/>
              <w:spacing w:after="0"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备注</w:t>
            </w:r>
          </w:p>
        </w:tc>
      </w:tr>
      <w:tr w14:paraId="0A1297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35" w:type="pct"/>
            <w:tcBorders>
              <w:top w:val="single" w:color="auto" w:sz="12" w:space="0"/>
              <w:tl2br w:val="nil"/>
              <w:tr2bl w:val="nil"/>
            </w:tcBorders>
            <w:shd w:val="clear" w:color="auto" w:fill="auto"/>
            <w:noWrap/>
            <w:tcMar>
              <w:top w:w="15" w:type="dxa"/>
              <w:left w:w="15" w:type="dxa"/>
              <w:right w:w="15" w:type="dxa"/>
            </w:tcMar>
            <w:vAlign w:val="center"/>
          </w:tcPr>
          <w:p w14:paraId="06A8FD84">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w:t>
            </w:r>
          </w:p>
        </w:tc>
        <w:tc>
          <w:tcPr>
            <w:tcW w:w="572" w:type="pct"/>
            <w:tcBorders>
              <w:top w:val="single" w:color="auto" w:sz="12" w:space="0"/>
              <w:tl2br w:val="nil"/>
              <w:tr2bl w:val="nil"/>
            </w:tcBorders>
            <w:shd w:val="clear" w:color="auto" w:fill="auto"/>
            <w:noWrap/>
            <w:tcMar>
              <w:top w:w="15" w:type="dxa"/>
              <w:left w:w="15" w:type="dxa"/>
              <w:right w:w="15" w:type="dxa"/>
            </w:tcMar>
            <w:vAlign w:val="center"/>
          </w:tcPr>
          <w:p w14:paraId="7955BD7F">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鄂州通世达沥青有限公司</w:t>
            </w:r>
          </w:p>
        </w:tc>
        <w:tc>
          <w:tcPr>
            <w:tcW w:w="730" w:type="pct"/>
            <w:tcBorders>
              <w:top w:val="single" w:color="auto" w:sz="12" w:space="0"/>
              <w:tl2br w:val="nil"/>
              <w:tr2bl w:val="nil"/>
            </w:tcBorders>
            <w:shd w:val="clear" w:color="auto" w:fill="auto"/>
            <w:noWrap/>
            <w:tcMar>
              <w:top w:w="15" w:type="dxa"/>
              <w:left w:w="15" w:type="dxa"/>
              <w:right w:w="15" w:type="dxa"/>
            </w:tcMar>
            <w:vAlign w:val="center"/>
          </w:tcPr>
          <w:p w14:paraId="426BE99E">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2511原油加工及石油制品制造</w:t>
            </w:r>
          </w:p>
        </w:tc>
        <w:tc>
          <w:tcPr>
            <w:tcW w:w="1336" w:type="pct"/>
            <w:tcBorders>
              <w:top w:val="single" w:color="auto" w:sz="12" w:space="0"/>
              <w:tl2br w:val="nil"/>
              <w:tr2bl w:val="nil"/>
            </w:tcBorders>
            <w:shd w:val="clear" w:color="auto" w:fill="auto"/>
            <w:noWrap/>
            <w:tcMar>
              <w:top w:w="15" w:type="dxa"/>
              <w:left w:w="15" w:type="dxa"/>
              <w:right w:w="15" w:type="dxa"/>
            </w:tcMar>
            <w:vAlign w:val="center"/>
          </w:tcPr>
          <w:p w14:paraId="3CB01110">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苯并[a]蒽、苯并[a]芘、苯并[b]荧蒽、苯并[</w:t>
            </w:r>
            <w:r>
              <w:rPr>
                <w:rFonts w:hint="default" w:ascii="Times New Roman" w:hAnsi="Times New Roman" w:cs="Times New Roman"/>
                <w:color w:val="auto"/>
                <w:sz w:val="21"/>
                <w:szCs w:val="21"/>
                <w:highlight w:val="none"/>
                <w:lang w:val="en-US" w:eastAsia="zh-CN"/>
              </w:rPr>
              <w:t>k</w:t>
            </w:r>
            <w:r>
              <w:rPr>
                <w:rFonts w:hint="default" w:ascii="Times New Roman" w:hAnsi="Times New Roman" w:cs="Times New Roman"/>
                <w:color w:val="auto"/>
                <w:sz w:val="21"/>
                <w:szCs w:val="21"/>
                <w:highlight w:val="none"/>
              </w:rPr>
              <w:t>]荧蒽、二苯并[a,h]蒽、萘、甲苯、二甲苯、苯酚、</w:t>
            </w:r>
            <w:r>
              <w:rPr>
                <w:rFonts w:hint="default" w:ascii="Times New Roman" w:hAnsi="Times New Roman" w:cs="Times New Roman"/>
                <w:color w:val="auto"/>
                <w:sz w:val="21"/>
                <w:szCs w:val="21"/>
                <w:highlight w:val="none"/>
                <w:lang w:eastAsia="zh-CN"/>
              </w:rPr>
              <w:t>2-甲基苯酚</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eastAsia="zh-CN"/>
              </w:rPr>
              <w:t>4-甲基苯酚</w:t>
            </w:r>
            <w:r>
              <w:rPr>
                <w:rFonts w:hint="default" w:ascii="Times New Roman" w:hAnsi="Times New Roman" w:cs="Times New Roman"/>
                <w:color w:val="auto"/>
                <w:sz w:val="21"/>
                <w:szCs w:val="21"/>
                <w:highlight w:val="none"/>
              </w:rPr>
              <w:t>、二硫化碳、1,2,4-三甲基苯、1,3,5-三甲基苯、</w:t>
            </w:r>
            <w:r>
              <w:rPr>
                <w:sz w:val="21"/>
                <w:szCs w:val="21"/>
                <w:highlight w:val="none"/>
              </w:rPr>
              <w:t>石油烃</w:t>
            </w:r>
            <w:r>
              <w:rPr>
                <w:rFonts w:hint="default" w:ascii="Times New Roman" w:hAnsi="Times New Roman" w:cs="Times New Roman"/>
                <w:color w:val="auto"/>
                <w:sz w:val="21"/>
                <w:szCs w:val="21"/>
                <w:highlight w:val="none"/>
              </w:rPr>
              <w:t>、二噁英</w:t>
            </w:r>
          </w:p>
        </w:tc>
        <w:tc>
          <w:tcPr>
            <w:tcW w:w="1382" w:type="pct"/>
            <w:tcBorders>
              <w:top w:val="single" w:color="auto" w:sz="12" w:space="0"/>
              <w:tl2br w:val="nil"/>
              <w:tr2bl w:val="nil"/>
            </w:tcBorders>
            <w:shd w:val="clear" w:color="auto" w:fill="auto"/>
            <w:noWrap/>
            <w:tcMar>
              <w:top w:w="15" w:type="dxa"/>
              <w:left w:w="15" w:type="dxa"/>
              <w:right w:w="15" w:type="dxa"/>
            </w:tcMar>
            <w:vAlign w:val="center"/>
          </w:tcPr>
          <w:p w14:paraId="779AAC7C">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废水：隔油池及油水分离装置</w:t>
            </w:r>
          </w:p>
          <w:p w14:paraId="5ED77BDA">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废气：油炉、沥青储罐、反应罐、柴油罐等</w:t>
            </w:r>
          </w:p>
        </w:tc>
        <w:tc>
          <w:tcPr>
            <w:tcW w:w="742" w:type="pct"/>
            <w:tcBorders>
              <w:top w:val="single" w:color="auto" w:sz="12" w:space="0"/>
              <w:tl2br w:val="nil"/>
              <w:tr2bl w:val="nil"/>
            </w:tcBorders>
            <w:shd w:val="clear" w:color="auto" w:fill="auto"/>
            <w:noWrap/>
            <w:tcMar>
              <w:top w:w="15" w:type="dxa"/>
              <w:left w:w="15" w:type="dxa"/>
              <w:right w:w="15" w:type="dxa"/>
            </w:tcMar>
            <w:vAlign w:val="center"/>
          </w:tcPr>
          <w:p w14:paraId="59F7891B">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重点行业企业</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rPr>
              <w:t>已取得排污许可证企业</w:t>
            </w:r>
          </w:p>
        </w:tc>
      </w:tr>
      <w:tr w14:paraId="185CE5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35" w:type="pct"/>
            <w:tcBorders>
              <w:tl2br w:val="nil"/>
              <w:tr2bl w:val="nil"/>
            </w:tcBorders>
            <w:shd w:val="clear" w:color="auto" w:fill="auto"/>
            <w:noWrap/>
            <w:tcMar>
              <w:top w:w="15" w:type="dxa"/>
              <w:left w:w="15" w:type="dxa"/>
              <w:right w:w="15" w:type="dxa"/>
            </w:tcMar>
            <w:vAlign w:val="center"/>
          </w:tcPr>
          <w:p w14:paraId="4B31CF37">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w:t>
            </w:r>
          </w:p>
        </w:tc>
        <w:tc>
          <w:tcPr>
            <w:tcW w:w="572" w:type="pct"/>
            <w:tcBorders>
              <w:tl2br w:val="nil"/>
              <w:tr2bl w:val="nil"/>
            </w:tcBorders>
            <w:shd w:val="clear" w:color="auto" w:fill="auto"/>
            <w:noWrap/>
            <w:tcMar>
              <w:top w:w="15" w:type="dxa"/>
              <w:left w:w="15" w:type="dxa"/>
              <w:right w:w="15" w:type="dxa"/>
            </w:tcMar>
            <w:vAlign w:val="center"/>
          </w:tcPr>
          <w:p w14:paraId="605A58FC">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武钢资源集团鄂州球团有限公司</w:t>
            </w:r>
          </w:p>
        </w:tc>
        <w:tc>
          <w:tcPr>
            <w:tcW w:w="730" w:type="pct"/>
            <w:tcBorders>
              <w:tl2br w:val="nil"/>
              <w:tr2bl w:val="nil"/>
            </w:tcBorders>
            <w:shd w:val="clear" w:color="auto" w:fill="auto"/>
            <w:noWrap/>
            <w:tcMar>
              <w:top w:w="15" w:type="dxa"/>
              <w:left w:w="15" w:type="dxa"/>
              <w:right w:w="15" w:type="dxa"/>
            </w:tcMar>
            <w:vAlign w:val="center"/>
          </w:tcPr>
          <w:p w14:paraId="64E119D4">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3110炼铁</w:t>
            </w:r>
          </w:p>
        </w:tc>
        <w:tc>
          <w:tcPr>
            <w:tcW w:w="1336" w:type="pct"/>
            <w:tcBorders>
              <w:tl2br w:val="nil"/>
              <w:tr2bl w:val="nil"/>
            </w:tcBorders>
            <w:shd w:val="clear" w:color="auto" w:fill="auto"/>
            <w:noWrap/>
            <w:tcMar>
              <w:top w:w="15" w:type="dxa"/>
              <w:left w:w="15" w:type="dxa"/>
              <w:right w:w="15" w:type="dxa"/>
            </w:tcMar>
            <w:vAlign w:val="center"/>
          </w:tcPr>
          <w:p w14:paraId="3408EC22">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铬、镉、镍、锌、铅、铜</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氟化物、砷、铅、</w:t>
            </w:r>
            <w:r>
              <w:rPr>
                <w:sz w:val="21"/>
                <w:szCs w:val="21"/>
                <w:highlight w:val="none"/>
              </w:rPr>
              <w:t>石油烃</w:t>
            </w:r>
          </w:p>
        </w:tc>
        <w:tc>
          <w:tcPr>
            <w:tcW w:w="1382" w:type="pct"/>
            <w:tcBorders>
              <w:tl2br w:val="nil"/>
              <w:tr2bl w:val="nil"/>
            </w:tcBorders>
            <w:shd w:val="clear" w:color="auto" w:fill="auto"/>
            <w:noWrap/>
            <w:tcMar>
              <w:top w:w="15" w:type="dxa"/>
              <w:left w:w="15" w:type="dxa"/>
              <w:right w:w="15" w:type="dxa"/>
            </w:tcMar>
            <w:vAlign w:val="center"/>
          </w:tcPr>
          <w:p w14:paraId="4E8AC264">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废气：球团烧结、燃煤</w:t>
            </w:r>
          </w:p>
          <w:p w14:paraId="59C4581A">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废水：炼铁循环废水</w:t>
            </w:r>
          </w:p>
          <w:p w14:paraId="7B3D8530">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p>
        </w:tc>
        <w:tc>
          <w:tcPr>
            <w:tcW w:w="742" w:type="pct"/>
            <w:tcBorders>
              <w:tl2br w:val="nil"/>
              <w:tr2bl w:val="nil"/>
            </w:tcBorders>
            <w:shd w:val="clear" w:color="auto" w:fill="auto"/>
            <w:noWrap/>
            <w:tcMar>
              <w:top w:w="15" w:type="dxa"/>
              <w:left w:w="15" w:type="dxa"/>
              <w:right w:w="15" w:type="dxa"/>
            </w:tcMar>
            <w:vAlign w:val="center"/>
          </w:tcPr>
          <w:p w14:paraId="0870624A">
            <w:pPr>
              <w:pStyle w:val="2"/>
              <w:spacing w:after="0"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重点行业企业</w:t>
            </w:r>
            <w:r>
              <w:rPr>
                <w:rFonts w:hint="default" w:ascii="Times New Roman" w:hAnsi="Times New Roman" w:cs="Times New Roman"/>
                <w:color w:val="auto"/>
                <w:sz w:val="21"/>
                <w:szCs w:val="21"/>
                <w:highlight w:val="none"/>
                <w:lang w:eastAsia="zh-CN"/>
              </w:rPr>
              <w:t>、</w:t>
            </w:r>
          </w:p>
          <w:p w14:paraId="770AAEBE">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已取得排污许可证企业</w:t>
            </w:r>
          </w:p>
        </w:tc>
      </w:tr>
      <w:tr w14:paraId="6A976D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35" w:type="pct"/>
            <w:tcBorders>
              <w:tl2br w:val="nil"/>
              <w:tr2bl w:val="nil"/>
            </w:tcBorders>
            <w:shd w:val="clear" w:color="auto" w:fill="auto"/>
            <w:noWrap/>
            <w:tcMar>
              <w:top w:w="15" w:type="dxa"/>
              <w:left w:w="15" w:type="dxa"/>
              <w:right w:w="15" w:type="dxa"/>
            </w:tcMar>
            <w:vAlign w:val="center"/>
          </w:tcPr>
          <w:p w14:paraId="568DEC64">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w:t>
            </w:r>
          </w:p>
        </w:tc>
        <w:tc>
          <w:tcPr>
            <w:tcW w:w="572" w:type="pct"/>
            <w:tcBorders>
              <w:tl2br w:val="nil"/>
              <w:tr2bl w:val="nil"/>
            </w:tcBorders>
            <w:shd w:val="clear" w:color="auto" w:fill="auto"/>
            <w:noWrap/>
            <w:tcMar>
              <w:top w:w="15" w:type="dxa"/>
              <w:left w:w="15" w:type="dxa"/>
              <w:right w:w="15" w:type="dxa"/>
            </w:tcMar>
            <w:vAlign w:val="center"/>
          </w:tcPr>
          <w:p w14:paraId="48A1F6C1">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鄂州市鹏缘气体有限责任公司</w:t>
            </w:r>
          </w:p>
        </w:tc>
        <w:tc>
          <w:tcPr>
            <w:tcW w:w="730" w:type="pct"/>
            <w:tcBorders>
              <w:tl2br w:val="nil"/>
              <w:tr2bl w:val="nil"/>
            </w:tcBorders>
            <w:shd w:val="clear" w:color="auto" w:fill="auto"/>
            <w:noWrap/>
            <w:tcMar>
              <w:top w:w="15" w:type="dxa"/>
              <w:left w:w="15" w:type="dxa"/>
              <w:right w:w="15" w:type="dxa"/>
            </w:tcMar>
            <w:vAlign w:val="center"/>
          </w:tcPr>
          <w:p w14:paraId="3878A6B5">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2614有机化学原料制造</w:t>
            </w:r>
          </w:p>
        </w:tc>
        <w:tc>
          <w:tcPr>
            <w:tcW w:w="1336" w:type="pct"/>
            <w:tcBorders>
              <w:tl2br w:val="nil"/>
              <w:tr2bl w:val="nil"/>
            </w:tcBorders>
            <w:shd w:val="clear" w:color="auto" w:fill="auto"/>
            <w:noWrap/>
            <w:tcMar>
              <w:top w:w="15" w:type="dxa"/>
              <w:left w:w="15" w:type="dxa"/>
              <w:right w:w="15" w:type="dxa"/>
            </w:tcMar>
            <w:vAlign w:val="center"/>
          </w:tcPr>
          <w:p w14:paraId="5F1A833F">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二甲苯</w:t>
            </w:r>
          </w:p>
        </w:tc>
        <w:tc>
          <w:tcPr>
            <w:tcW w:w="1382" w:type="pct"/>
            <w:tcBorders>
              <w:tl2br w:val="nil"/>
              <w:tr2bl w:val="nil"/>
            </w:tcBorders>
            <w:shd w:val="clear" w:color="auto" w:fill="auto"/>
            <w:noWrap/>
            <w:tcMar>
              <w:top w:w="15" w:type="dxa"/>
              <w:left w:w="15" w:type="dxa"/>
              <w:right w:w="15" w:type="dxa"/>
            </w:tcMar>
            <w:vAlign w:val="center"/>
          </w:tcPr>
          <w:p w14:paraId="6159CD54">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废气：粗乙炔发生、乙炔净化</w:t>
            </w:r>
          </w:p>
          <w:p w14:paraId="1EA3083F">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废水：粗乙炔发生、乙炔净化</w:t>
            </w:r>
          </w:p>
        </w:tc>
        <w:tc>
          <w:tcPr>
            <w:tcW w:w="742" w:type="pct"/>
            <w:tcBorders>
              <w:tl2br w:val="nil"/>
              <w:tr2bl w:val="nil"/>
            </w:tcBorders>
            <w:shd w:val="clear" w:color="auto" w:fill="auto"/>
            <w:noWrap/>
            <w:tcMar>
              <w:top w:w="15" w:type="dxa"/>
              <w:left w:w="15" w:type="dxa"/>
              <w:right w:w="15" w:type="dxa"/>
            </w:tcMar>
            <w:vAlign w:val="center"/>
          </w:tcPr>
          <w:p w14:paraId="78829CAF">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重点行业企业</w:t>
            </w:r>
          </w:p>
        </w:tc>
      </w:tr>
      <w:tr w14:paraId="3DAAEE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35" w:type="pct"/>
            <w:vAlign w:val="center"/>
          </w:tcPr>
          <w:p w14:paraId="494BDE85">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4</w:t>
            </w:r>
          </w:p>
        </w:tc>
        <w:tc>
          <w:tcPr>
            <w:tcW w:w="572" w:type="pct"/>
            <w:vAlign w:val="center"/>
          </w:tcPr>
          <w:p w14:paraId="7CF5EED9">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城东污水处理厂</w:t>
            </w:r>
          </w:p>
        </w:tc>
        <w:tc>
          <w:tcPr>
            <w:tcW w:w="730" w:type="pct"/>
            <w:vAlign w:val="center"/>
          </w:tcPr>
          <w:p w14:paraId="39867CAB">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7820</w:t>
            </w:r>
            <w:r>
              <w:rPr>
                <w:rFonts w:hint="default" w:ascii="Times New Roman" w:hAnsi="Times New Roman" w:cs="Times New Roman"/>
                <w:color w:val="auto"/>
                <w:sz w:val="21"/>
                <w:szCs w:val="21"/>
                <w:highlight w:val="none"/>
              </w:rPr>
              <w:t>环境卫生管理</w:t>
            </w:r>
          </w:p>
        </w:tc>
        <w:tc>
          <w:tcPr>
            <w:tcW w:w="1336" w:type="pct"/>
            <w:vAlign w:val="center"/>
          </w:tcPr>
          <w:p w14:paraId="636D9D6A">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铬、镉、镍、铅、铜</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汞、砷</w:t>
            </w:r>
          </w:p>
        </w:tc>
        <w:tc>
          <w:tcPr>
            <w:tcW w:w="1382" w:type="pct"/>
            <w:vAlign w:val="center"/>
          </w:tcPr>
          <w:p w14:paraId="79307470">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废气：各污水处理构筑物及污泥脱水构筑物</w:t>
            </w:r>
          </w:p>
          <w:p w14:paraId="06D6F813">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废水：各污水处理构筑物</w:t>
            </w:r>
          </w:p>
        </w:tc>
        <w:tc>
          <w:tcPr>
            <w:tcW w:w="742" w:type="pct"/>
            <w:vAlign w:val="center"/>
          </w:tcPr>
          <w:p w14:paraId="24A3CD73">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已取得排污许可证企业</w:t>
            </w:r>
          </w:p>
        </w:tc>
      </w:tr>
      <w:tr w14:paraId="075824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235" w:type="pct"/>
            <w:vAlign w:val="center"/>
          </w:tcPr>
          <w:p w14:paraId="62B5CD5F">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5</w:t>
            </w:r>
          </w:p>
        </w:tc>
        <w:tc>
          <w:tcPr>
            <w:tcW w:w="572" w:type="pct"/>
            <w:vAlign w:val="center"/>
          </w:tcPr>
          <w:p w14:paraId="3A883FEA">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鄂州市远大纸制品有限公司</w:t>
            </w:r>
          </w:p>
        </w:tc>
        <w:tc>
          <w:tcPr>
            <w:tcW w:w="730" w:type="pct"/>
            <w:vAlign w:val="center"/>
          </w:tcPr>
          <w:p w14:paraId="192D4A18">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2239</w:t>
            </w:r>
            <w:r>
              <w:rPr>
                <w:rFonts w:hint="default" w:ascii="Times New Roman" w:hAnsi="Times New Roman" w:cs="Times New Roman"/>
                <w:color w:val="auto"/>
                <w:sz w:val="21"/>
                <w:szCs w:val="21"/>
                <w:highlight w:val="none"/>
              </w:rPr>
              <w:t>其他纸制品制造</w:t>
            </w:r>
          </w:p>
        </w:tc>
        <w:tc>
          <w:tcPr>
            <w:tcW w:w="1336" w:type="pct"/>
            <w:vAlign w:val="center"/>
          </w:tcPr>
          <w:p w14:paraId="30D289D5">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砷、汞、</w:t>
            </w:r>
            <w:r>
              <w:rPr>
                <w:rFonts w:hint="default" w:ascii="Times New Roman" w:hAnsi="Times New Roman" w:cs="Times New Roman"/>
                <w:color w:val="auto"/>
                <w:sz w:val="21"/>
                <w:szCs w:val="21"/>
                <w:highlight w:val="none"/>
              </w:rPr>
              <w:t>苯并[a]芘</w:t>
            </w:r>
          </w:p>
        </w:tc>
        <w:tc>
          <w:tcPr>
            <w:tcW w:w="1382" w:type="pct"/>
            <w:vAlign w:val="center"/>
          </w:tcPr>
          <w:p w14:paraId="6208456A">
            <w:pPr>
              <w:pStyle w:val="2"/>
              <w:spacing w:after="0"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废气：锅炉、污水处理设施</w:t>
            </w:r>
          </w:p>
          <w:p w14:paraId="5A510872">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废水：制浆工序等</w:t>
            </w:r>
          </w:p>
        </w:tc>
        <w:tc>
          <w:tcPr>
            <w:tcW w:w="742" w:type="pct"/>
            <w:vAlign w:val="center"/>
          </w:tcPr>
          <w:p w14:paraId="73EA8998">
            <w:pPr>
              <w:pStyle w:val="2"/>
              <w:spacing w:after="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已取得排污许可证企</w:t>
            </w:r>
          </w:p>
        </w:tc>
      </w:tr>
    </w:tbl>
    <w:p w14:paraId="3BB98D21">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综上，参考</w:t>
      </w:r>
      <w:r>
        <w:rPr>
          <w:rFonts w:hint="default" w:ascii="Times New Roman" w:hAnsi="Times New Roman" w:cs="Times New Roman"/>
          <w:color w:val="auto"/>
          <w:highlight w:val="none"/>
          <w:lang w:bidi="ar"/>
        </w:rPr>
        <w:t>《省级土壤污染状况详查实施方案编制指南》（环办土壤函[2017]1023号）附件</w:t>
      </w:r>
      <w:r>
        <w:rPr>
          <w:rFonts w:hint="default" w:ascii="Times New Roman" w:hAnsi="Times New Roman" w:cs="Times New Roman"/>
          <w:color w:val="auto"/>
          <w:kern w:val="0"/>
          <w:highlight w:val="none"/>
        </w:rPr>
        <w:t>《</w:t>
      </w:r>
      <w:r>
        <w:rPr>
          <w:rFonts w:hint="default" w:ascii="Times New Roman" w:hAnsi="Times New Roman" w:cs="Times New Roman"/>
          <w:color w:val="auto"/>
          <w:highlight w:val="none"/>
        </w:rPr>
        <w:t>全国土壤污染状况详查分析测试项目</w:t>
      </w:r>
      <w:r>
        <w:rPr>
          <w:rFonts w:hint="default" w:ascii="Times New Roman" w:hAnsi="Times New Roman" w:cs="Times New Roman"/>
          <w:color w:val="auto"/>
          <w:kern w:val="0"/>
          <w:highlight w:val="none"/>
        </w:rPr>
        <w:t>》，根据园区产业定位，主要涉及重金属（铅、砷、镉、铬、汞、镍、钴、钼、锑）、</w:t>
      </w:r>
      <w:r>
        <w:rPr>
          <w:rFonts w:hint="eastAsia" w:cs="Times New Roman"/>
          <w:color w:val="auto"/>
          <w:kern w:val="0"/>
          <w:highlight w:val="none"/>
          <w:lang w:eastAsia="zh-CN"/>
        </w:rPr>
        <w:t>石油烃</w:t>
      </w:r>
      <w:r>
        <w:rPr>
          <w:rFonts w:hint="default" w:ascii="Times New Roman" w:hAnsi="Times New Roman" w:cs="Times New Roman"/>
          <w:color w:val="auto"/>
          <w:kern w:val="0"/>
          <w:highlight w:val="none"/>
        </w:rPr>
        <w:t>、氟化物</w:t>
      </w:r>
      <w:r>
        <w:rPr>
          <w:rFonts w:hint="default" w:ascii="Times New Roman" w:hAnsi="Times New Roman" w:cs="Times New Roman"/>
          <w:color w:val="auto"/>
          <w:kern w:val="0"/>
          <w:highlight w:val="none"/>
          <w:lang w:eastAsia="zh-CN"/>
        </w:rPr>
        <w:t>、</w:t>
      </w:r>
      <w:r>
        <w:rPr>
          <w:rFonts w:hint="default" w:ascii="Times New Roman" w:hAnsi="Times New Roman" w:cs="Times New Roman"/>
          <w:b w:val="0"/>
          <w:bCs w:val="0"/>
          <w:color w:val="auto"/>
          <w:highlight w:val="none"/>
          <w:lang w:val="en-US" w:eastAsia="zh-CN"/>
        </w:rPr>
        <w:t>VOCs（苯、甲苯、二甲苯等）</w:t>
      </w:r>
      <w:r>
        <w:rPr>
          <w:rFonts w:hint="default" w:ascii="Times New Roman" w:hAnsi="Times New Roman" w:cs="Times New Roman"/>
          <w:color w:val="auto"/>
          <w:kern w:val="0"/>
          <w:highlight w:val="none"/>
        </w:rPr>
        <w:t>等</w:t>
      </w:r>
      <w:r>
        <w:rPr>
          <w:rFonts w:hint="default" w:ascii="Times New Roman" w:hAnsi="Times New Roman" w:cs="Times New Roman"/>
          <w:color w:val="auto"/>
          <w:kern w:val="0"/>
          <w:highlight w:val="none"/>
          <w:lang w:val="en-US" w:eastAsia="zh-CN"/>
        </w:rPr>
        <w:t>污染物</w:t>
      </w:r>
      <w:r>
        <w:rPr>
          <w:rFonts w:hint="default" w:ascii="Times New Roman" w:hAnsi="Times New Roman" w:cs="Times New Roman"/>
          <w:color w:val="auto"/>
          <w:kern w:val="0"/>
          <w:highlight w:val="none"/>
        </w:rPr>
        <w:t>。部分典型企业涉及的污染因子</w:t>
      </w:r>
      <w:r>
        <w:rPr>
          <w:rFonts w:hint="eastAsia" w:cs="Times New Roman"/>
          <w:color w:val="auto"/>
          <w:kern w:val="0"/>
          <w:highlight w:val="none"/>
          <w:lang w:eastAsia="zh-CN"/>
        </w:rPr>
        <w:t>除基本项目外</w:t>
      </w:r>
      <w:r>
        <w:rPr>
          <w:rFonts w:hint="default" w:ascii="Times New Roman" w:hAnsi="Times New Roman" w:cs="Times New Roman"/>
          <w:color w:val="auto"/>
          <w:kern w:val="0"/>
          <w:highlight w:val="none"/>
        </w:rPr>
        <w:t>还包括：</w:t>
      </w:r>
      <w:r>
        <w:rPr>
          <w:rFonts w:hint="eastAsia" w:cs="Times New Roman"/>
          <w:color w:val="auto"/>
          <w:kern w:val="0"/>
          <w:highlight w:val="none"/>
          <w:lang w:eastAsia="zh-CN"/>
        </w:rPr>
        <w:t>多环芳烃、</w:t>
      </w:r>
      <w:r>
        <w:rPr>
          <w:rFonts w:hint="default" w:ascii="Times New Roman" w:hAnsi="Times New Roman" w:cs="Times New Roman"/>
          <w:color w:val="auto"/>
          <w:kern w:val="0"/>
          <w:highlight w:val="none"/>
        </w:rPr>
        <w:t>苯酚、</w:t>
      </w:r>
      <w:r>
        <w:rPr>
          <w:rFonts w:hint="default" w:ascii="Times New Roman" w:hAnsi="Times New Roman" w:cs="Times New Roman"/>
          <w:color w:val="auto"/>
          <w:kern w:val="0"/>
          <w:highlight w:val="none"/>
          <w:lang w:eastAsia="zh-CN"/>
        </w:rPr>
        <w:t>2-甲基苯酚</w:t>
      </w:r>
      <w:r>
        <w:rPr>
          <w:rFonts w:hint="default" w:ascii="Times New Roman" w:hAnsi="Times New Roman" w:cs="Times New Roman"/>
          <w:color w:val="auto"/>
          <w:kern w:val="0"/>
          <w:highlight w:val="none"/>
        </w:rPr>
        <w:t>、</w:t>
      </w:r>
      <w:r>
        <w:rPr>
          <w:rFonts w:hint="default" w:ascii="Times New Roman" w:hAnsi="Times New Roman" w:cs="Times New Roman"/>
          <w:color w:val="auto"/>
          <w:kern w:val="0"/>
          <w:highlight w:val="none"/>
          <w:lang w:eastAsia="zh-CN"/>
        </w:rPr>
        <w:t>4-甲基苯酚</w:t>
      </w:r>
      <w:r>
        <w:rPr>
          <w:rFonts w:hint="default" w:ascii="Times New Roman" w:hAnsi="Times New Roman" w:cs="Times New Roman"/>
          <w:color w:val="auto"/>
          <w:kern w:val="0"/>
          <w:highlight w:val="none"/>
        </w:rPr>
        <w:t>、二硫化碳、1,2,4-三甲基苯、1,3,5-三甲基苯、二噁英。</w:t>
      </w:r>
    </w:p>
    <w:p w14:paraId="3CF7B0E1">
      <w:pPr>
        <w:ind w:firstLine="480" w:firstLineChars="200"/>
        <w:rPr>
          <w:rFonts w:hint="default" w:ascii="Times New Roman" w:hAnsi="Times New Roman" w:cs="Times New Roman"/>
          <w:color w:val="auto"/>
          <w:kern w:val="0"/>
          <w:highlight w:val="none"/>
        </w:rPr>
      </w:pPr>
    </w:p>
    <w:p w14:paraId="5CD64F02">
      <w:pPr>
        <w:rPr>
          <w:rFonts w:hint="default" w:ascii="Times New Roman" w:hAnsi="Times New Roman" w:cs="Times New Roman"/>
          <w:color w:val="auto"/>
          <w:highlight w:val="none"/>
        </w:rPr>
        <w:sectPr>
          <w:headerReference r:id="rId11" w:type="default"/>
          <w:pgSz w:w="11906" w:h="16838"/>
          <w:pgMar w:top="1134" w:right="1134" w:bottom="1134"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1DE42983">
      <w:pPr>
        <w:pStyle w:val="3"/>
        <w:numPr>
          <w:ilvl w:val="0"/>
          <w:numId w:val="1"/>
        </w:numPr>
        <w:tabs>
          <w:tab w:val="clear" w:pos="425"/>
        </w:tabs>
        <w:rPr>
          <w:rFonts w:hint="default" w:ascii="Times New Roman" w:hAnsi="Times New Roman" w:cs="Times New Roman"/>
          <w:color w:val="auto"/>
          <w:highlight w:val="none"/>
        </w:rPr>
      </w:pPr>
      <w:bookmarkStart w:id="14" w:name="_Toc8279"/>
      <w:r>
        <w:rPr>
          <w:rFonts w:hint="default" w:ascii="Times New Roman" w:hAnsi="Times New Roman" w:cs="Times New Roman"/>
          <w:color w:val="auto"/>
          <w:highlight w:val="none"/>
        </w:rPr>
        <w:t>调查工作方案</w:t>
      </w:r>
      <w:bookmarkEnd w:id="14"/>
    </w:p>
    <w:p w14:paraId="345F429E">
      <w:pPr>
        <w:pStyle w:val="4"/>
        <w:tabs>
          <w:tab w:val="clear" w:pos="425"/>
        </w:tabs>
        <w:rPr>
          <w:rFonts w:hint="default" w:ascii="Times New Roman" w:hAnsi="Times New Roman" w:cs="Times New Roman"/>
          <w:color w:val="auto"/>
          <w:highlight w:val="none"/>
        </w:rPr>
      </w:pPr>
      <w:bookmarkStart w:id="15" w:name="_Toc21380"/>
      <w:bookmarkStart w:id="16" w:name="_Toc55399870"/>
      <w:r>
        <w:rPr>
          <w:rFonts w:hint="default" w:ascii="Times New Roman" w:hAnsi="Times New Roman" w:cs="Times New Roman"/>
          <w:color w:val="auto"/>
          <w:highlight w:val="none"/>
        </w:rPr>
        <w:t>土壤布点方案</w:t>
      </w:r>
      <w:bookmarkEnd w:id="15"/>
      <w:bookmarkEnd w:id="16"/>
    </w:p>
    <w:p w14:paraId="150995A3">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布点原则</w:t>
      </w:r>
    </w:p>
    <w:p w14:paraId="3E55C0A8">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园区布点工作参考《关于开展重点区域土壤环境质量监测风险点位布设工作的通知》附件一《重点区域土壤环境质量监测风险点位布设方法》（环办监测函（2016）1号）和《四川省土壤污染重点监管单位和工业园区周边土壤环境监督性监测工作方案》</w:t>
      </w:r>
      <w:r>
        <w:rPr>
          <w:rFonts w:hint="default" w:ascii="Times New Roman" w:hAnsi="Times New Roman" w:cs="Times New Roman"/>
          <w:color w:val="auto"/>
          <w:highlight w:val="none"/>
          <w:shd w:val="clear" w:color="auto" w:fill="FFFFFF"/>
        </w:rPr>
        <w:t>（川环办函〔2018〕547号）</w:t>
      </w:r>
      <w:r>
        <w:rPr>
          <w:rFonts w:hint="default" w:ascii="Times New Roman" w:hAnsi="Times New Roman" w:cs="Times New Roman"/>
          <w:color w:val="auto"/>
          <w:kern w:val="0"/>
          <w:highlight w:val="none"/>
        </w:rPr>
        <w:t>，根据《建设用地土壤污染状况调查技术导则》（HJ 25.1-2019）、《建设用地土壤环境调查评估技术指南》（环保部公告2017年第72号）、《建设用地土壤污染风险管控和修复监测技术导则》（HJ 25.2-2019）等相关技术规范，具体布点原则如下：</w:t>
      </w:r>
    </w:p>
    <w:p w14:paraId="4FD6C408">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（1）园区周边点位布设：</w:t>
      </w:r>
      <w:r>
        <w:rPr>
          <w:rFonts w:hint="default" w:ascii="Times New Roman" w:hAnsi="Times New Roman" w:cs="Times New Roman"/>
          <w:color w:val="auto"/>
          <w:highlight w:val="none"/>
          <w:lang w:val="en-US" w:eastAsia="zh-CN"/>
        </w:rPr>
        <w:t>在园区主导风向的下风向（园区南侧、西侧）距园区边界区75m、200m、400m三处裸露土壤布设监测点，并于园区主导风向上风向（园区北侧、东侧）至少设置一个点位</w:t>
      </w:r>
      <w:r>
        <w:rPr>
          <w:rFonts w:hint="eastAsia"/>
          <w:color w:val="auto"/>
          <w:highlight w:val="none"/>
          <w:lang w:val="en-US" w:eastAsia="zh-CN"/>
        </w:rPr>
        <w:t>；</w:t>
      </w:r>
      <w:r>
        <w:rPr>
          <w:rFonts w:hint="default" w:ascii="Times New Roman" w:hAnsi="Times New Roman" w:cs="Times New Roman"/>
          <w:color w:val="000000" w:themeColor="text1"/>
          <w:kern w:val="0"/>
          <w:highlight w:val="none"/>
          <w14:textFill>
            <w14:solidFill>
              <w14:schemeClr w14:val="tx1"/>
            </w14:solidFill>
          </w14:textFill>
        </w:rPr>
        <w:t>对于上风向临江的园区，临江点位设置于江边。</w:t>
      </w:r>
    </w:p>
    <w:p w14:paraId="79D554CA">
      <w:pPr>
        <w:ind w:firstLine="480" w:firstLineChars="200"/>
        <w:rPr>
          <w:rFonts w:hint="eastAsia"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2）园区内已建成企业聚集区点位布设：在已建成企业聚集区域边界外的裸露土壤处布设监测点，于聚集区外每隔3公里布设一个点位；对于临近园区边界的已建成企业聚集区，既有园区周边点位附近不另设已建成企业聚集区点位；若已建成企业聚集区边界附近涉及典型企业，需调整监测点位于典型企业周边</w:t>
      </w:r>
      <w:r>
        <w:rPr>
          <w:rFonts w:hint="eastAsia" w:cs="Times New Roman"/>
          <w:color w:val="auto"/>
          <w:kern w:val="0"/>
          <w:highlight w:val="none"/>
          <w:lang w:eastAsia="zh-CN"/>
        </w:rPr>
        <w:t>。</w:t>
      </w:r>
    </w:p>
    <w:p w14:paraId="05B33C6D">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（3）每个点位均采集表层（0-0.5m）样品。</w:t>
      </w:r>
    </w:p>
    <w:p w14:paraId="0377736C">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监测项目</w:t>
      </w:r>
    </w:p>
    <w:p w14:paraId="66555317">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测试项目主要包括基本项目和特征项目。监测项目的确定原则如下：</w:t>
      </w:r>
    </w:p>
    <w:p w14:paraId="47E1337A">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（1）基本项目包括：《土壤环境质量建设用地土壤污染风险管控标准（试行）》（GB36600-2018）（以下简称“GB36600-2018”）表1基本项目45项、《土壤环境质量 农用地土壤污染风险管控标准（试行）》（GB15618-2018）（以下简称“GB15618-2018”）表1基本项目8项和pH；</w:t>
      </w:r>
    </w:p>
    <w:p w14:paraId="293ABCE9">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（2）根据园区产业定位，园区增测特征项目</w:t>
      </w:r>
      <w:r>
        <w:rPr>
          <w:rFonts w:hint="default" w:ascii="Times New Roman" w:hAnsi="Times New Roman" w:cs="Times New Roman"/>
          <w:color w:val="auto"/>
          <w:kern w:val="0"/>
          <w:highlight w:val="none"/>
          <w:lang w:val="en-US" w:eastAsia="zh-CN"/>
        </w:rPr>
        <w:t>确定为</w:t>
      </w:r>
      <w:r>
        <w:rPr>
          <w:rFonts w:hint="default" w:ascii="Times New Roman" w:hAnsi="Times New Roman" w:cs="Times New Roman"/>
          <w:color w:val="auto"/>
          <w:kern w:val="0"/>
          <w:highlight w:val="none"/>
        </w:rPr>
        <w:t>：石油烃（C</w:t>
      </w:r>
      <w:r>
        <w:rPr>
          <w:rFonts w:hint="default" w:ascii="Times New Roman" w:hAnsi="Times New Roman" w:cs="Times New Roman"/>
          <w:color w:val="auto"/>
          <w:kern w:val="0"/>
          <w:highlight w:val="none"/>
          <w:vertAlign w:val="subscript"/>
        </w:rPr>
        <w:t>10</w:t>
      </w:r>
      <w:r>
        <w:rPr>
          <w:rFonts w:hint="default" w:ascii="Times New Roman" w:hAnsi="Times New Roman" w:cs="Times New Roman"/>
          <w:color w:val="auto"/>
          <w:kern w:val="0"/>
          <w:highlight w:val="none"/>
        </w:rPr>
        <w:t>-C</w:t>
      </w:r>
      <w:r>
        <w:rPr>
          <w:rFonts w:hint="default" w:ascii="Times New Roman" w:hAnsi="Times New Roman" w:cs="Times New Roman"/>
          <w:color w:val="auto"/>
          <w:kern w:val="0"/>
          <w:highlight w:val="none"/>
          <w:vertAlign w:val="subscript"/>
        </w:rPr>
        <w:t>40</w:t>
      </w:r>
      <w:r>
        <w:rPr>
          <w:rFonts w:hint="default" w:ascii="Times New Roman" w:hAnsi="Times New Roman" w:cs="Times New Roman"/>
          <w:color w:val="auto"/>
          <w:kern w:val="0"/>
          <w:highlight w:val="none"/>
        </w:rPr>
        <w:t>）、总氟化物、钴、钼、锑；</w:t>
      </w:r>
    </w:p>
    <w:p w14:paraId="579CDBEF">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（3）考虑到鄂州通世达沥青有限公司为沥青生产企业，结合该企业</w:t>
      </w:r>
      <w:r>
        <w:rPr>
          <w:rFonts w:hint="default" w:ascii="Times New Roman" w:hAnsi="Times New Roman" w:cs="Times New Roman"/>
          <w:color w:val="auto"/>
          <w:kern w:val="0"/>
          <w:highlight w:val="none"/>
          <w:lang w:val="en-US" w:eastAsia="zh-CN"/>
        </w:rPr>
        <w:t>及同类型企业</w:t>
      </w:r>
      <w:r>
        <w:rPr>
          <w:rFonts w:hint="default" w:ascii="Times New Roman" w:hAnsi="Times New Roman" w:cs="Times New Roman"/>
          <w:color w:val="auto"/>
          <w:kern w:val="0"/>
          <w:highlight w:val="none"/>
        </w:rPr>
        <w:t>特征因子情况，该企业周边</w:t>
      </w:r>
      <w:r>
        <w:rPr>
          <w:rFonts w:hint="default" w:ascii="Times New Roman" w:hAnsi="Times New Roman" w:cs="Times New Roman"/>
          <w:color w:val="auto"/>
          <w:kern w:val="0"/>
          <w:highlight w:val="none"/>
          <w:lang w:val="en-US" w:eastAsia="zh-CN"/>
        </w:rPr>
        <w:t>邻近</w:t>
      </w:r>
      <w:r>
        <w:rPr>
          <w:rFonts w:hint="default" w:ascii="Times New Roman" w:hAnsi="Times New Roman" w:cs="Times New Roman"/>
          <w:color w:val="auto"/>
          <w:kern w:val="0"/>
          <w:highlight w:val="none"/>
        </w:rPr>
        <w:t>点位增测特征污染</w:t>
      </w:r>
      <w:r>
        <w:rPr>
          <w:rFonts w:hint="default" w:ascii="Times New Roman" w:hAnsi="Times New Roman" w:cs="Times New Roman"/>
          <w:color w:val="auto"/>
          <w:kern w:val="0"/>
          <w:highlight w:val="none"/>
          <w:lang w:val="en-US" w:eastAsia="zh-CN"/>
        </w:rPr>
        <w:t>因子</w:t>
      </w:r>
      <w:r>
        <w:rPr>
          <w:rFonts w:hint="default" w:ascii="Times New Roman" w:hAnsi="Times New Roman" w:cs="Times New Roman"/>
          <w:color w:val="auto"/>
          <w:kern w:val="0"/>
          <w:highlight w:val="none"/>
        </w:rPr>
        <w:t>苯酚、2-</w:t>
      </w:r>
      <w:r>
        <w:rPr>
          <w:rFonts w:hint="default" w:ascii="Times New Roman" w:hAnsi="Times New Roman" w:cs="Times New Roman"/>
          <w:color w:val="auto"/>
          <w:kern w:val="0"/>
          <w:highlight w:val="none"/>
          <w:lang w:eastAsia="zh-CN"/>
        </w:rPr>
        <w:t>甲基苯酚</w:t>
      </w:r>
      <w:r>
        <w:rPr>
          <w:rFonts w:hint="default" w:ascii="Times New Roman" w:hAnsi="Times New Roman" w:cs="Times New Roman"/>
          <w:color w:val="auto"/>
          <w:kern w:val="0"/>
          <w:highlight w:val="none"/>
        </w:rPr>
        <w:t>、4-</w:t>
      </w:r>
      <w:r>
        <w:rPr>
          <w:rFonts w:hint="default" w:ascii="Times New Roman" w:hAnsi="Times New Roman" w:cs="Times New Roman"/>
          <w:color w:val="auto"/>
          <w:kern w:val="0"/>
          <w:highlight w:val="none"/>
          <w:lang w:eastAsia="zh-CN"/>
        </w:rPr>
        <w:t>甲基苯酚</w:t>
      </w:r>
      <w:r>
        <w:rPr>
          <w:rFonts w:hint="default" w:ascii="Times New Roman" w:hAnsi="Times New Roman" w:cs="Times New Roman"/>
          <w:color w:val="auto"/>
          <w:kern w:val="0"/>
          <w:highlight w:val="none"/>
        </w:rPr>
        <w:t>、二硫化碳、1,2,4-三甲基苯、1,3,5-三甲基苯、二噁英。</w:t>
      </w:r>
    </w:p>
    <w:p w14:paraId="0469F546">
      <w:pPr>
        <w:ind w:firstLine="482" w:firstLineChars="200"/>
        <w:rPr>
          <w:rFonts w:hint="default" w:ascii="Times New Roman" w:hAnsi="Times New Roman" w:cs="Times New Roman"/>
          <w:color w:val="auto"/>
          <w:kern w:val="0"/>
          <w:highlight w:val="none"/>
        </w:rPr>
      </w:pPr>
      <w:r>
        <w:rPr>
          <w:rFonts w:hint="default" w:ascii="Times New Roman" w:hAnsi="Times New Roman" w:cs="Times New Roman"/>
          <w:b/>
          <w:bCs/>
          <w:color w:val="auto"/>
          <w:kern w:val="0"/>
          <w:highlight w:val="none"/>
        </w:rPr>
        <w:t>综上，污染物测试项目共60项，包括：基本项目48项、特征项目项1</w:t>
      </w:r>
      <w:r>
        <w:rPr>
          <w:rFonts w:hint="default" w:ascii="Times New Roman" w:hAnsi="Times New Roman" w:cs="Times New Roman"/>
          <w:b/>
          <w:bCs/>
          <w:color w:val="auto"/>
          <w:kern w:val="0"/>
          <w:highlight w:val="none"/>
          <w:lang w:val="en-US" w:eastAsia="zh-CN"/>
        </w:rPr>
        <w:t>2</w:t>
      </w:r>
      <w:r>
        <w:rPr>
          <w:rFonts w:hint="default" w:ascii="Times New Roman" w:hAnsi="Times New Roman" w:cs="Times New Roman"/>
          <w:b/>
          <w:bCs/>
          <w:color w:val="auto"/>
          <w:kern w:val="0"/>
          <w:highlight w:val="none"/>
        </w:rPr>
        <w:t>项。具体污染物项目如下：</w:t>
      </w:r>
    </w:p>
    <w:p w14:paraId="49EBC5FD">
      <w:pPr>
        <w:ind w:firstLine="482" w:firstLineChars="200"/>
        <w:rPr>
          <w:rFonts w:hint="default" w:ascii="Times New Roman" w:hAnsi="Times New Roman" w:cs="Times New Roman"/>
          <w:b/>
          <w:bCs/>
          <w:color w:val="auto"/>
          <w:kern w:val="0"/>
          <w:highlight w:val="none"/>
        </w:rPr>
      </w:pPr>
      <w:r>
        <w:rPr>
          <w:rFonts w:hint="default" w:ascii="Times New Roman" w:hAnsi="Times New Roman" w:cs="Times New Roman"/>
          <w:b/>
          <w:bCs/>
          <w:color w:val="auto"/>
          <w:kern w:val="0"/>
          <w:highlight w:val="none"/>
        </w:rPr>
        <w:t>（1）基本项目（48项）：</w:t>
      </w:r>
    </w:p>
    <w:p w14:paraId="6CD1630E">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①pH；</w:t>
      </w:r>
    </w:p>
    <w:p w14:paraId="001907C2">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②重金属（9项）：砷、镉、铬、铬（六价）、铜、锌、铅、汞、镍；</w:t>
      </w:r>
    </w:p>
    <w:p w14:paraId="5DC47E86">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③挥发性有机物（27项）：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w:t>
      </w:r>
    </w:p>
    <w:p w14:paraId="6879F0D9">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④半挥发性有机物（11项）：硝基苯、苯胺、2-氯酚、苯并[a]蒽、苯并[a]芘、苯并[b]荧蒽、苯并[k]荧蒽、䓛、二苯并[a,h]蒽、茚并[1,2,3-cd]芘、萘。</w:t>
      </w:r>
    </w:p>
    <w:p w14:paraId="0AD45367">
      <w:pPr>
        <w:ind w:firstLine="482" w:firstLineChars="200"/>
        <w:rPr>
          <w:rFonts w:hint="default" w:ascii="Times New Roman" w:hAnsi="Times New Roman" w:cs="Times New Roman"/>
          <w:b/>
          <w:bCs/>
          <w:color w:val="auto"/>
          <w:kern w:val="0"/>
          <w:highlight w:val="none"/>
        </w:rPr>
      </w:pPr>
      <w:r>
        <w:rPr>
          <w:rFonts w:hint="default" w:ascii="Times New Roman" w:hAnsi="Times New Roman" w:cs="Times New Roman"/>
          <w:b/>
          <w:bCs/>
          <w:color w:val="auto"/>
          <w:kern w:val="0"/>
          <w:highlight w:val="none"/>
        </w:rPr>
        <w:t>（2）特征项目（12项）：</w:t>
      </w:r>
    </w:p>
    <w:p w14:paraId="0D384857">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①园区增测项目（5项）：石油烃（C</w:t>
      </w:r>
      <w:r>
        <w:rPr>
          <w:rFonts w:hint="default" w:ascii="Times New Roman" w:hAnsi="Times New Roman" w:cs="Times New Roman"/>
          <w:color w:val="auto"/>
          <w:kern w:val="0"/>
          <w:highlight w:val="none"/>
          <w:vertAlign w:val="subscript"/>
        </w:rPr>
        <w:t>10</w:t>
      </w:r>
      <w:r>
        <w:rPr>
          <w:rFonts w:hint="default" w:ascii="Times New Roman" w:hAnsi="Times New Roman" w:cs="Times New Roman"/>
          <w:color w:val="auto"/>
          <w:kern w:val="0"/>
          <w:highlight w:val="none"/>
        </w:rPr>
        <w:t>-C</w:t>
      </w:r>
      <w:r>
        <w:rPr>
          <w:rFonts w:hint="default" w:ascii="Times New Roman" w:hAnsi="Times New Roman" w:cs="Times New Roman"/>
          <w:color w:val="auto"/>
          <w:kern w:val="0"/>
          <w:highlight w:val="none"/>
          <w:vertAlign w:val="subscript"/>
        </w:rPr>
        <w:t>40</w:t>
      </w:r>
      <w:r>
        <w:rPr>
          <w:rFonts w:hint="default" w:ascii="Times New Roman" w:hAnsi="Times New Roman" w:cs="Times New Roman"/>
          <w:color w:val="auto"/>
          <w:kern w:val="0"/>
          <w:highlight w:val="none"/>
        </w:rPr>
        <w:t>）、总氟化物、钴、钼、锑；</w:t>
      </w:r>
    </w:p>
    <w:p w14:paraId="0BC93EE1">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②</w:t>
      </w:r>
      <w:r>
        <w:rPr>
          <w:rFonts w:hint="default" w:ascii="Times New Roman" w:hAnsi="Times New Roman" w:cs="Times New Roman"/>
          <w:color w:val="auto"/>
          <w:kern w:val="0"/>
          <w:highlight w:val="none"/>
          <w:lang w:eastAsia="zh-CN"/>
        </w:rPr>
        <w:t>其它增测项目</w:t>
      </w:r>
      <w:r>
        <w:rPr>
          <w:rFonts w:hint="default" w:ascii="Times New Roman" w:hAnsi="Times New Roman" w:cs="Times New Roman"/>
          <w:color w:val="auto"/>
          <w:kern w:val="0"/>
          <w:highlight w:val="none"/>
        </w:rPr>
        <w:t>（7项）：苯酚、</w:t>
      </w:r>
      <w:r>
        <w:rPr>
          <w:rFonts w:hint="default" w:ascii="Times New Roman" w:hAnsi="Times New Roman" w:cs="Times New Roman"/>
          <w:color w:val="auto"/>
          <w:kern w:val="0"/>
          <w:highlight w:val="none"/>
          <w:lang w:eastAsia="zh-CN"/>
        </w:rPr>
        <w:t>2-甲基苯酚</w:t>
      </w:r>
      <w:r>
        <w:rPr>
          <w:rFonts w:hint="default" w:ascii="Times New Roman" w:hAnsi="Times New Roman" w:cs="Times New Roman"/>
          <w:color w:val="auto"/>
          <w:kern w:val="0"/>
          <w:highlight w:val="none"/>
        </w:rPr>
        <w:t>、</w:t>
      </w:r>
      <w:r>
        <w:rPr>
          <w:rFonts w:hint="default" w:ascii="Times New Roman" w:hAnsi="Times New Roman" w:cs="Times New Roman"/>
          <w:color w:val="auto"/>
          <w:kern w:val="0"/>
          <w:highlight w:val="none"/>
          <w:lang w:eastAsia="zh-CN"/>
        </w:rPr>
        <w:t>4-甲基苯酚</w:t>
      </w:r>
      <w:r>
        <w:rPr>
          <w:rFonts w:hint="default" w:ascii="Times New Roman" w:hAnsi="Times New Roman" w:cs="Times New Roman"/>
          <w:color w:val="auto"/>
          <w:kern w:val="0"/>
          <w:highlight w:val="none"/>
        </w:rPr>
        <w:t>、二硫化碳、1,2,4-三甲基苯、1,3,5-三甲基苯、二噁英。</w:t>
      </w:r>
    </w:p>
    <w:p w14:paraId="039F2542">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布点方案</w:t>
      </w:r>
    </w:p>
    <w:p w14:paraId="7CCFBCD4">
      <w:pPr>
        <w:ind w:firstLine="480" w:firstLineChars="200"/>
        <w:rPr>
          <w:rFonts w:hint="default" w:ascii="Times New Roman" w:hAnsi="Times New Roman" w:cs="Times New Roman"/>
          <w:color w:val="auto"/>
          <w:kern w:val="0"/>
          <w:highlight w:val="none"/>
        </w:rPr>
        <w:sectPr>
          <w:headerReference r:id="rId12" w:type="default"/>
          <w:footerReference r:id="rId13" w:type="default"/>
          <w:pgSz w:w="11850" w:h="16783"/>
          <w:pgMar w:top="1134" w:right="1134" w:bottom="1134"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default" w:ascii="Times New Roman" w:hAnsi="Times New Roman" w:cs="Times New Roman"/>
          <w:color w:val="auto"/>
          <w:kern w:val="0"/>
          <w:highlight w:val="none"/>
        </w:rPr>
        <w:t>园区内拟布设14个点位，采集14个土壤表层（0-0.5m）样品（不含</w:t>
      </w:r>
      <w:r>
        <w:rPr>
          <w:rFonts w:hint="default" w:ascii="Times New Roman" w:hAnsi="Times New Roman" w:cs="Times New Roman"/>
          <w:color w:val="auto"/>
          <w:kern w:val="0"/>
          <w:highlight w:val="none"/>
          <w:lang w:val="en-US" w:eastAsia="zh-CN"/>
        </w:rPr>
        <w:t>质控样品</w:t>
      </w:r>
      <w:r>
        <w:rPr>
          <w:rFonts w:hint="default" w:ascii="Times New Roman" w:hAnsi="Times New Roman" w:cs="Times New Roman"/>
          <w:color w:val="auto"/>
          <w:kern w:val="0"/>
          <w:highlight w:val="none"/>
        </w:rPr>
        <w:t>），监测因子共计60项，土壤监测具体布点方案见表3-1-1及附图</w:t>
      </w:r>
      <w:r>
        <w:rPr>
          <w:rFonts w:hint="default" w:ascii="Times New Roman" w:hAnsi="Times New Roman" w:cs="Times New Roman"/>
          <w:color w:val="auto"/>
          <w:kern w:val="0"/>
          <w:highlight w:val="none"/>
          <w:lang w:val="en-US" w:eastAsia="zh-CN"/>
        </w:rPr>
        <w:t>7</w:t>
      </w:r>
      <w:r>
        <w:rPr>
          <w:rFonts w:hint="default" w:ascii="Times New Roman" w:hAnsi="Times New Roman" w:cs="Times New Roman"/>
          <w:color w:val="auto"/>
          <w:kern w:val="0"/>
          <w:highlight w:val="none"/>
        </w:rPr>
        <w:t>。</w:t>
      </w:r>
    </w:p>
    <w:p w14:paraId="72C654DA">
      <w:pPr>
        <w:spacing w:before="165" w:beforeLines="50" w:line="240" w:lineRule="auto"/>
        <w:jc w:val="center"/>
        <w:rPr>
          <w:rFonts w:hint="default" w:ascii="Times New Roman" w:hAnsi="Times New Roman" w:cs="Times New Roman"/>
          <w:color w:val="auto"/>
          <w:highlight w:val="none"/>
        </w:rPr>
      </w:pPr>
      <w:r>
        <w:rPr>
          <w:rFonts w:hint="default" w:ascii="Times New Roman" w:hAnsi="Times New Roman" w:eastAsia="黑体" w:cs="Times New Roman"/>
          <w:b/>
          <w:color w:val="auto"/>
          <w:highlight w:val="none"/>
        </w:rPr>
        <w:t>表3-1-1  土壤布点方案一览表</w:t>
      </w:r>
    </w:p>
    <w:tbl>
      <w:tblPr>
        <w:tblStyle w:val="21"/>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52"/>
        <w:gridCol w:w="1500"/>
        <w:gridCol w:w="1372"/>
        <w:gridCol w:w="3025"/>
        <w:gridCol w:w="1337"/>
        <w:gridCol w:w="1343"/>
        <w:gridCol w:w="2010"/>
        <w:gridCol w:w="3501"/>
      </w:tblGrid>
      <w:tr w14:paraId="3327C6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8" w:hRule="atLeast"/>
          <w:tblHeader/>
          <w:jc w:val="center"/>
        </w:trPr>
        <w:tc>
          <w:tcPr>
            <w:tcW w:w="168" w:type="pct"/>
            <w:vMerge w:val="restart"/>
            <w:tcBorders>
              <w:bottom w:val="single" w:color="auto" w:sz="4" w:space="0"/>
            </w:tcBorders>
            <w:shd w:val="clear" w:color="auto" w:fill="auto"/>
            <w:noWrap/>
            <w:tcMar>
              <w:top w:w="15" w:type="dxa"/>
              <w:left w:w="15" w:type="dxa"/>
              <w:right w:w="15" w:type="dxa"/>
            </w:tcMar>
            <w:vAlign w:val="center"/>
          </w:tcPr>
          <w:p w14:paraId="0C34D766">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序号</w:t>
            </w:r>
          </w:p>
        </w:tc>
        <w:tc>
          <w:tcPr>
            <w:tcW w:w="420" w:type="pct"/>
            <w:vMerge w:val="restart"/>
            <w:tcBorders>
              <w:bottom w:val="single" w:color="auto" w:sz="4" w:space="0"/>
            </w:tcBorders>
            <w:shd w:val="clear" w:color="auto" w:fill="auto"/>
            <w:noWrap/>
            <w:tcMar>
              <w:top w:w="15" w:type="dxa"/>
              <w:left w:w="15" w:type="dxa"/>
              <w:right w:w="15" w:type="dxa"/>
            </w:tcMar>
            <w:vAlign w:val="center"/>
          </w:tcPr>
          <w:p w14:paraId="617108E1">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点位类型</w:t>
            </w:r>
          </w:p>
        </w:tc>
        <w:tc>
          <w:tcPr>
            <w:tcW w:w="486" w:type="pct"/>
            <w:vMerge w:val="restart"/>
            <w:tcBorders>
              <w:bottom w:val="single" w:color="auto" w:sz="4" w:space="0"/>
            </w:tcBorders>
            <w:shd w:val="clear" w:color="auto" w:fill="auto"/>
            <w:noWrap/>
            <w:tcMar>
              <w:top w:w="15" w:type="dxa"/>
              <w:left w:w="15" w:type="dxa"/>
              <w:right w:w="15" w:type="dxa"/>
            </w:tcMar>
            <w:vAlign w:val="center"/>
          </w:tcPr>
          <w:p w14:paraId="51D152D5">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检测点位</w:t>
            </w:r>
          </w:p>
        </w:tc>
        <w:tc>
          <w:tcPr>
            <w:tcW w:w="1053" w:type="pct"/>
            <w:vMerge w:val="restart"/>
            <w:tcBorders>
              <w:bottom w:val="single" w:color="auto" w:sz="4" w:space="0"/>
            </w:tcBorders>
            <w:shd w:val="clear" w:color="auto" w:fill="auto"/>
            <w:noWrap/>
            <w:tcMar>
              <w:top w:w="15" w:type="dxa"/>
              <w:left w:w="15" w:type="dxa"/>
              <w:right w:w="15" w:type="dxa"/>
            </w:tcMar>
            <w:vAlign w:val="center"/>
          </w:tcPr>
          <w:p w14:paraId="65FF45CA">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点位位置</w:t>
            </w:r>
          </w:p>
        </w:tc>
        <w:tc>
          <w:tcPr>
            <w:tcW w:w="948" w:type="pct"/>
            <w:gridSpan w:val="2"/>
            <w:tcBorders>
              <w:bottom w:val="single" w:color="auto" w:sz="4" w:space="0"/>
            </w:tcBorders>
            <w:shd w:val="clear" w:color="auto" w:fill="auto"/>
            <w:noWrap/>
            <w:tcMar>
              <w:top w:w="15" w:type="dxa"/>
              <w:left w:w="15" w:type="dxa"/>
              <w:right w:w="15" w:type="dxa"/>
            </w:tcMar>
            <w:vAlign w:val="center"/>
          </w:tcPr>
          <w:p w14:paraId="7165F4D4">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坐标</w:t>
            </w:r>
            <w:r>
              <w:rPr>
                <w:rFonts w:hint="default" w:ascii="Times New Roman" w:hAnsi="Times New Roman" w:cs="Times New Roman"/>
                <w:b/>
                <w:bCs/>
                <w:color w:val="auto"/>
                <w:sz w:val="21"/>
                <w:szCs w:val="21"/>
                <w:highlight w:val="none"/>
                <w:vertAlign w:val="superscript"/>
              </w:rPr>
              <w:t>①</w:t>
            </w:r>
          </w:p>
        </w:tc>
        <w:tc>
          <w:tcPr>
            <w:tcW w:w="704" w:type="pct"/>
            <w:vMerge w:val="restart"/>
            <w:tcBorders>
              <w:bottom w:val="single" w:color="auto" w:sz="4" w:space="0"/>
            </w:tcBorders>
            <w:shd w:val="clear" w:color="auto" w:fill="auto"/>
            <w:noWrap/>
            <w:tcMar>
              <w:top w:w="15" w:type="dxa"/>
              <w:left w:w="15" w:type="dxa"/>
              <w:right w:w="15" w:type="dxa"/>
            </w:tcMar>
            <w:vAlign w:val="center"/>
          </w:tcPr>
          <w:p w14:paraId="2A722162">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采样深度（m）</w:t>
            </w:r>
          </w:p>
        </w:tc>
        <w:tc>
          <w:tcPr>
            <w:tcW w:w="1216" w:type="pct"/>
            <w:vMerge w:val="restart"/>
            <w:tcBorders>
              <w:bottom w:val="single" w:color="auto" w:sz="4" w:space="0"/>
            </w:tcBorders>
            <w:shd w:val="clear" w:color="auto" w:fill="auto"/>
            <w:noWrap/>
            <w:tcMar>
              <w:top w:w="15" w:type="dxa"/>
              <w:left w:w="15" w:type="dxa"/>
              <w:right w:w="15" w:type="dxa"/>
            </w:tcMar>
            <w:vAlign w:val="center"/>
          </w:tcPr>
          <w:p w14:paraId="3AB8E2DF">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测试项目</w:t>
            </w:r>
          </w:p>
        </w:tc>
      </w:tr>
      <w:tr w14:paraId="23DDE4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17" w:hRule="atLeast"/>
          <w:tblHeader/>
          <w:jc w:val="center"/>
        </w:trPr>
        <w:tc>
          <w:tcPr>
            <w:tcW w:w="168" w:type="pct"/>
            <w:vMerge w:val="continue"/>
            <w:tcBorders>
              <w:top w:val="single" w:color="auto" w:sz="4" w:space="0"/>
              <w:bottom w:val="single" w:color="auto" w:sz="12" w:space="0"/>
            </w:tcBorders>
            <w:shd w:val="clear" w:color="auto" w:fill="auto"/>
            <w:noWrap/>
            <w:tcMar>
              <w:top w:w="15" w:type="dxa"/>
              <w:left w:w="15" w:type="dxa"/>
              <w:right w:w="15" w:type="dxa"/>
            </w:tcMar>
            <w:vAlign w:val="center"/>
          </w:tcPr>
          <w:p w14:paraId="43D9A2B3">
            <w:pPr>
              <w:spacing w:line="240" w:lineRule="auto"/>
              <w:jc w:val="center"/>
              <w:rPr>
                <w:rFonts w:hint="default" w:ascii="Times New Roman" w:hAnsi="Times New Roman" w:cs="Times New Roman"/>
                <w:b/>
                <w:bCs/>
                <w:color w:val="auto"/>
                <w:sz w:val="21"/>
                <w:szCs w:val="21"/>
                <w:highlight w:val="none"/>
              </w:rPr>
            </w:pPr>
          </w:p>
        </w:tc>
        <w:tc>
          <w:tcPr>
            <w:tcW w:w="420" w:type="pct"/>
            <w:vMerge w:val="continue"/>
            <w:tcBorders>
              <w:top w:val="single" w:color="auto" w:sz="4" w:space="0"/>
              <w:bottom w:val="single" w:color="auto" w:sz="12" w:space="0"/>
            </w:tcBorders>
            <w:shd w:val="clear" w:color="auto" w:fill="auto"/>
            <w:noWrap/>
            <w:tcMar>
              <w:top w:w="15" w:type="dxa"/>
              <w:left w:w="15" w:type="dxa"/>
              <w:right w:w="15" w:type="dxa"/>
            </w:tcMar>
            <w:vAlign w:val="center"/>
          </w:tcPr>
          <w:p w14:paraId="413CAAC8">
            <w:pPr>
              <w:spacing w:line="240" w:lineRule="auto"/>
              <w:jc w:val="center"/>
              <w:rPr>
                <w:rFonts w:hint="default" w:ascii="Times New Roman" w:hAnsi="Times New Roman" w:cs="Times New Roman"/>
                <w:b/>
                <w:bCs/>
                <w:color w:val="auto"/>
                <w:sz w:val="21"/>
                <w:szCs w:val="21"/>
                <w:highlight w:val="none"/>
              </w:rPr>
            </w:pPr>
          </w:p>
        </w:tc>
        <w:tc>
          <w:tcPr>
            <w:tcW w:w="486" w:type="pct"/>
            <w:vMerge w:val="continue"/>
            <w:tcBorders>
              <w:top w:val="single" w:color="auto" w:sz="4" w:space="0"/>
              <w:bottom w:val="single" w:color="auto" w:sz="12" w:space="0"/>
            </w:tcBorders>
            <w:shd w:val="clear" w:color="auto" w:fill="auto"/>
            <w:noWrap/>
            <w:tcMar>
              <w:top w:w="15" w:type="dxa"/>
              <w:left w:w="15" w:type="dxa"/>
              <w:right w:w="15" w:type="dxa"/>
            </w:tcMar>
            <w:vAlign w:val="center"/>
          </w:tcPr>
          <w:p w14:paraId="45C032E2">
            <w:pPr>
              <w:spacing w:line="240" w:lineRule="auto"/>
              <w:jc w:val="center"/>
              <w:rPr>
                <w:rFonts w:hint="default" w:ascii="Times New Roman" w:hAnsi="Times New Roman" w:cs="Times New Roman"/>
                <w:b/>
                <w:bCs/>
                <w:color w:val="auto"/>
                <w:sz w:val="21"/>
                <w:szCs w:val="21"/>
                <w:highlight w:val="none"/>
              </w:rPr>
            </w:pPr>
          </w:p>
        </w:tc>
        <w:tc>
          <w:tcPr>
            <w:tcW w:w="1053" w:type="pct"/>
            <w:vMerge w:val="continue"/>
            <w:tcBorders>
              <w:top w:val="single" w:color="auto" w:sz="4" w:space="0"/>
              <w:bottom w:val="single" w:color="auto" w:sz="12" w:space="0"/>
            </w:tcBorders>
            <w:shd w:val="clear" w:color="auto" w:fill="auto"/>
            <w:noWrap/>
            <w:tcMar>
              <w:top w:w="15" w:type="dxa"/>
              <w:left w:w="15" w:type="dxa"/>
              <w:right w:w="15" w:type="dxa"/>
            </w:tcMar>
            <w:vAlign w:val="center"/>
          </w:tcPr>
          <w:p w14:paraId="3C91831E">
            <w:pPr>
              <w:spacing w:line="240" w:lineRule="auto"/>
              <w:jc w:val="center"/>
              <w:rPr>
                <w:rFonts w:hint="default" w:ascii="Times New Roman" w:hAnsi="Times New Roman" w:cs="Times New Roman"/>
                <w:b/>
                <w:bCs/>
                <w:color w:val="auto"/>
                <w:sz w:val="21"/>
                <w:szCs w:val="21"/>
                <w:highlight w:val="none"/>
              </w:rPr>
            </w:pPr>
          </w:p>
        </w:tc>
        <w:tc>
          <w:tcPr>
            <w:tcW w:w="473" w:type="pct"/>
            <w:tcBorders>
              <w:top w:val="single" w:color="auto" w:sz="4" w:space="0"/>
              <w:bottom w:val="single" w:color="auto" w:sz="12" w:space="0"/>
            </w:tcBorders>
            <w:shd w:val="clear" w:color="auto" w:fill="auto"/>
            <w:noWrap/>
            <w:tcMar>
              <w:top w:w="15" w:type="dxa"/>
              <w:left w:w="15" w:type="dxa"/>
              <w:right w:w="15" w:type="dxa"/>
            </w:tcMar>
            <w:vAlign w:val="center"/>
          </w:tcPr>
          <w:p w14:paraId="618D0279">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经度（°）</w:t>
            </w:r>
          </w:p>
        </w:tc>
        <w:tc>
          <w:tcPr>
            <w:tcW w:w="475" w:type="pct"/>
            <w:tcBorders>
              <w:top w:val="single" w:color="auto" w:sz="4" w:space="0"/>
              <w:bottom w:val="single" w:color="auto" w:sz="12" w:space="0"/>
            </w:tcBorders>
            <w:shd w:val="clear" w:color="auto" w:fill="auto"/>
            <w:noWrap/>
            <w:tcMar>
              <w:top w:w="15" w:type="dxa"/>
              <w:left w:w="15" w:type="dxa"/>
              <w:right w:w="15" w:type="dxa"/>
            </w:tcMar>
            <w:vAlign w:val="center"/>
          </w:tcPr>
          <w:p w14:paraId="14EEA4B0">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纬度（°）</w:t>
            </w:r>
          </w:p>
        </w:tc>
        <w:tc>
          <w:tcPr>
            <w:tcW w:w="704" w:type="pct"/>
            <w:vMerge w:val="continue"/>
            <w:tcBorders>
              <w:top w:val="single" w:color="auto" w:sz="4" w:space="0"/>
              <w:bottom w:val="single" w:color="auto" w:sz="12" w:space="0"/>
            </w:tcBorders>
            <w:shd w:val="clear" w:color="auto" w:fill="auto"/>
            <w:noWrap/>
            <w:tcMar>
              <w:top w:w="15" w:type="dxa"/>
              <w:left w:w="15" w:type="dxa"/>
              <w:right w:w="15" w:type="dxa"/>
            </w:tcMar>
            <w:vAlign w:val="center"/>
          </w:tcPr>
          <w:p w14:paraId="5F294ED5">
            <w:pPr>
              <w:spacing w:line="240" w:lineRule="auto"/>
              <w:jc w:val="center"/>
              <w:rPr>
                <w:rFonts w:hint="default" w:ascii="Times New Roman" w:hAnsi="Times New Roman" w:cs="Times New Roman"/>
                <w:b/>
                <w:bCs/>
                <w:color w:val="auto"/>
                <w:sz w:val="21"/>
                <w:szCs w:val="21"/>
                <w:highlight w:val="none"/>
              </w:rPr>
            </w:pPr>
          </w:p>
        </w:tc>
        <w:tc>
          <w:tcPr>
            <w:tcW w:w="1216" w:type="pct"/>
            <w:vMerge w:val="continue"/>
            <w:tcBorders>
              <w:top w:val="single" w:color="auto" w:sz="4" w:space="0"/>
              <w:bottom w:val="single" w:color="auto" w:sz="12" w:space="0"/>
            </w:tcBorders>
            <w:shd w:val="clear" w:color="auto" w:fill="auto"/>
            <w:noWrap/>
            <w:tcMar>
              <w:top w:w="15" w:type="dxa"/>
              <w:left w:w="15" w:type="dxa"/>
              <w:right w:w="15" w:type="dxa"/>
            </w:tcMar>
            <w:vAlign w:val="center"/>
          </w:tcPr>
          <w:p w14:paraId="29C8D1B3">
            <w:pPr>
              <w:spacing w:line="240" w:lineRule="auto"/>
              <w:jc w:val="center"/>
              <w:rPr>
                <w:rFonts w:hint="default" w:ascii="Times New Roman" w:hAnsi="Times New Roman" w:cs="Times New Roman"/>
                <w:b/>
                <w:bCs/>
                <w:color w:val="auto"/>
                <w:sz w:val="21"/>
                <w:szCs w:val="21"/>
                <w:highlight w:val="none"/>
              </w:rPr>
            </w:pPr>
          </w:p>
        </w:tc>
      </w:tr>
      <w:tr w14:paraId="183EB3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168" w:type="pct"/>
            <w:tcBorders>
              <w:top w:val="single" w:color="auto" w:sz="12" w:space="0"/>
              <w:tl2br w:val="nil"/>
              <w:tr2bl w:val="nil"/>
            </w:tcBorders>
            <w:shd w:val="clear" w:color="auto" w:fill="auto"/>
            <w:noWrap/>
            <w:tcMar>
              <w:top w:w="15" w:type="dxa"/>
              <w:left w:w="15" w:type="dxa"/>
              <w:right w:w="15" w:type="dxa"/>
            </w:tcMar>
            <w:vAlign w:val="center"/>
          </w:tcPr>
          <w:p w14:paraId="217D135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w:t>
            </w:r>
          </w:p>
        </w:tc>
        <w:tc>
          <w:tcPr>
            <w:tcW w:w="420" w:type="pct"/>
            <w:vMerge w:val="restart"/>
            <w:tcBorders>
              <w:top w:val="single" w:color="auto" w:sz="12" w:space="0"/>
              <w:tl2br w:val="nil"/>
              <w:tr2bl w:val="nil"/>
            </w:tcBorders>
            <w:shd w:val="clear" w:color="auto" w:fill="auto"/>
            <w:noWrap/>
            <w:tcMar>
              <w:top w:w="15" w:type="dxa"/>
              <w:left w:w="15" w:type="dxa"/>
              <w:right w:w="15" w:type="dxa"/>
            </w:tcMar>
            <w:vAlign w:val="center"/>
          </w:tcPr>
          <w:p w14:paraId="0D8309DF">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工业园周边点位</w:t>
            </w:r>
          </w:p>
        </w:tc>
        <w:tc>
          <w:tcPr>
            <w:tcW w:w="486" w:type="pct"/>
            <w:tcBorders>
              <w:top w:val="single" w:color="auto" w:sz="12" w:space="0"/>
              <w:tl2br w:val="nil"/>
              <w:tr2bl w:val="nil"/>
            </w:tcBorders>
            <w:shd w:val="clear" w:color="auto" w:fill="auto"/>
            <w:noWrap/>
            <w:tcMar>
              <w:top w:w="15" w:type="dxa"/>
              <w:left w:w="15" w:type="dxa"/>
              <w:right w:w="15" w:type="dxa"/>
            </w:tcMar>
            <w:vAlign w:val="center"/>
          </w:tcPr>
          <w:p w14:paraId="727CDC4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XM-1-75</w:t>
            </w:r>
          </w:p>
        </w:tc>
        <w:tc>
          <w:tcPr>
            <w:tcW w:w="1053" w:type="pct"/>
            <w:tcBorders>
              <w:top w:val="single" w:color="auto" w:sz="12" w:space="0"/>
              <w:tl2br w:val="nil"/>
              <w:tr2bl w:val="nil"/>
            </w:tcBorders>
            <w:shd w:val="clear" w:color="auto" w:fill="auto"/>
            <w:noWrap/>
            <w:tcMar>
              <w:top w:w="15" w:type="dxa"/>
              <w:left w:w="15" w:type="dxa"/>
              <w:right w:w="15" w:type="dxa"/>
            </w:tcMar>
            <w:vAlign w:val="center"/>
          </w:tcPr>
          <w:p w14:paraId="7A209A5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园区边界西侧下风向75m</w:t>
            </w:r>
          </w:p>
        </w:tc>
        <w:tc>
          <w:tcPr>
            <w:tcW w:w="473" w:type="pct"/>
            <w:tcBorders>
              <w:top w:val="single" w:color="auto" w:sz="12" w:space="0"/>
              <w:tl2br w:val="nil"/>
              <w:tr2bl w:val="nil"/>
            </w:tcBorders>
            <w:shd w:val="clear" w:color="auto" w:fill="auto"/>
            <w:noWrap/>
            <w:tcMar>
              <w:top w:w="15" w:type="dxa"/>
              <w:left w:w="15" w:type="dxa"/>
              <w:right w:w="15" w:type="dxa"/>
            </w:tcMar>
            <w:vAlign w:val="center"/>
          </w:tcPr>
          <w:p w14:paraId="4F81504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114.929019 </w:t>
            </w:r>
          </w:p>
        </w:tc>
        <w:tc>
          <w:tcPr>
            <w:tcW w:w="475" w:type="pct"/>
            <w:tcBorders>
              <w:top w:val="single" w:color="auto" w:sz="12" w:space="0"/>
              <w:tl2br w:val="nil"/>
              <w:tr2bl w:val="nil"/>
            </w:tcBorders>
            <w:shd w:val="clear" w:color="auto" w:fill="auto"/>
            <w:noWrap/>
            <w:tcMar>
              <w:top w:w="15" w:type="dxa"/>
              <w:left w:w="15" w:type="dxa"/>
              <w:right w:w="15" w:type="dxa"/>
            </w:tcMar>
            <w:vAlign w:val="center"/>
          </w:tcPr>
          <w:p w14:paraId="0A355BE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30.397679 </w:t>
            </w:r>
          </w:p>
        </w:tc>
        <w:tc>
          <w:tcPr>
            <w:tcW w:w="704" w:type="pct"/>
            <w:vMerge w:val="restart"/>
            <w:tcBorders>
              <w:top w:val="single" w:color="auto" w:sz="12" w:space="0"/>
              <w:tl2br w:val="nil"/>
              <w:tr2bl w:val="nil"/>
            </w:tcBorders>
            <w:shd w:val="clear" w:color="auto" w:fill="auto"/>
            <w:noWrap/>
            <w:tcMar>
              <w:top w:w="15" w:type="dxa"/>
              <w:left w:w="15" w:type="dxa"/>
              <w:right w:w="15" w:type="dxa"/>
            </w:tcMar>
            <w:vAlign w:val="center"/>
          </w:tcPr>
          <w:p w14:paraId="5E4A0D5E">
            <w:pPr>
              <w:widowControl/>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c>
          <w:tcPr>
            <w:tcW w:w="1216" w:type="pct"/>
            <w:vMerge w:val="restart"/>
            <w:tcBorders>
              <w:top w:val="single" w:color="auto" w:sz="12" w:space="0"/>
              <w:tl2br w:val="nil"/>
              <w:tr2bl w:val="nil"/>
            </w:tcBorders>
            <w:shd w:val="clear" w:color="auto" w:fill="auto"/>
            <w:noWrap/>
            <w:tcMar>
              <w:top w:w="15" w:type="dxa"/>
              <w:left w:w="15" w:type="dxa"/>
              <w:right w:w="15" w:type="dxa"/>
            </w:tcMar>
            <w:vAlign w:val="center"/>
          </w:tcPr>
          <w:p w14:paraId="202F7586">
            <w:pPr>
              <w:spacing w:line="240" w:lineRule="auto"/>
              <w:jc w:val="center"/>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基本项目（48项）、</w:t>
            </w:r>
          </w:p>
          <w:p w14:paraId="79219E0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color w:val="auto"/>
                <w:kern w:val="0"/>
                <w:sz w:val="21"/>
                <w:szCs w:val="21"/>
                <w:highlight w:val="none"/>
              </w:rPr>
              <w:t>园区增测项目（5项）</w:t>
            </w:r>
          </w:p>
        </w:tc>
      </w:tr>
      <w:tr w14:paraId="6F68D2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168" w:type="pct"/>
            <w:tcBorders>
              <w:tl2br w:val="nil"/>
              <w:tr2bl w:val="nil"/>
            </w:tcBorders>
            <w:shd w:val="clear" w:color="auto" w:fill="auto"/>
            <w:noWrap/>
            <w:tcMar>
              <w:top w:w="15" w:type="dxa"/>
              <w:left w:w="15" w:type="dxa"/>
              <w:right w:w="15" w:type="dxa"/>
            </w:tcMar>
            <w:vAlign w:val="center"/>
          </w:tcPr>
          <w:p w14:paraId="6BA6DB9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w:t>
            </w:r>
          </w:p>
        </w:tc>
        <w:tc>
          <w:tcPr>
            <w:tcW w:w="420" w:type="pct"/>
            <w:vMerge w:val="continue"/>
            <w:tcBorders>
              <w:tl2br w:val="nil"/>
              <w:tr2bl w:val="nil"/>
            </w:tcBorders>
            <w:shd w:val="clear" w:color="auto" w:fill="auto"/>
            <w:noWrap/>
            <w:tcMar>
              <w:top w:w="15" w:type="dxa"/>
              <w:left w:w="15" w:type="dxa"/>
              <w:right w:w="15" w:type="dxa"/>
            </w:tcMar>
            <w:vAlign w:val="center"/>
          </w:tcPr>
          <w:p w14:paraId="667BAAA0">
            <w:pPr>
              <w:spacing w:line="240" w:lineRule="auto"/>
              <w:jc w:val="center"/>
              <w:rPr>
                <w:rFonts w:hint="default" w:ascii="Times New Roman" w:hAnsi="Times New Roman" w:cs="Times New Roman"/>
                <w:color w:val="auto"/>
                <w:sz w:val="21"/>
                <w:szCs w:val="21"/>
                <w:highlight w:val="none"/>
              </w:rPr>
            </w:pPr>
          </w:p>
        </w:tc>
        <w:tc>
          <w:tcPr>
            <w:tcW w:w="486" w:type="pct"/>
            <w:tcBorders>
              <w:tl2br w:val="nil"/>
              <w:tr2bl w:val="nil"/>
            </w:tcBorders>
            <w:shd w:val="clear" w:color="auto" w:fill="auto"/>
            <w:noWrap/>
            <w:tcMar>
              <w:top w:w="15" w:type="dxa"/>
              <w:left w:w="15" w:type="dxa"/>
              <w:right w:w="15" w:type="dxa"/>
            </w:tcMar>
            <w:vAlign w:val="center"/>
          </w:tcPr>
          <w:p w14:paraId="312A9B5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XM-1-200</w:t>
            </w:r>
          </w:p>
        </w:tc>
        <w:tc>
          <w:tcPr>
            <w:tcW w:w="1053" w:type="pct"/>
            <w:tcBorders>
              <w:tl2br w:val="nil"/>
              <w:tr2bl w:val="nil"/>
            </w:tcBorders>
            <w:shd w:val="clear" w:color="auto" w:fill="auto"/>
            <w:noWrap/>
            <w:tcMar>
              <w:top w:w="15" w:type="dxa"/>
              <w:left w:w="15" w:type="dxa"/>
              <w:right w:w="15" w:type="dxa"/>
            </w:tcMar>
            <w:vAlign w:val="center"/>
          </w:tcPr>
          <w:p w14:paraId="0995C69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园区边界西侧下风向200m</w:t>
            </w:r>
          </w:p>
        </w:tc>
        <w:tc>
          <w:tcPr>
            <w:tcW w:w="473" w:type="pct"/>
            <w:tcBorders>
              <w:tl2br w:val="nil"/>
              <w:tr2bl w:val="nil"/>
            </w:tcBorders>
            <w:shd w:val="clear" w:color="auto" w:fill="auto"/>
            <w:noWrap/>
            <w:tcMar>
              <w:top w:w="15" w:type="dxa"/>
              <w:left w:w="15" w:type="dxa"/>
              <w:right w:w="15" w:type="dxa"/>
            </w:tcMar>
            <w:vAlign w:val="center"/>
          </w:tcPr>
          <w:p w14:paraId="136F309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114.927667 </w:t>
            </w:r>
          </w:p>
        </w:tc>
        <w:tc>
          <w:tcPr>
            <w:tcW w:w="475" w:type="pct"/>
            <w:tcBorders>
              <w:tl2br w:val="nil"/>
              <w:tr2bl w:val="nil"/>
            </w:tcBorders>
            <w:shd w:val="clear" w:color="auto" w:fill="auto"/>
            <w:noWrap/>
            <w:tcMar>
              <w:top w:w="15" w:type="dxa"/>
              <w:left w:w="15" w:type="dxa"/>
              <w:right w:w="15" w:type="dxa"/>
            </w:tcMar>
            <w:vAlign w:val="center"/>
          </w:tcPr>
          <w:p w14:paraId="0C99FDFF">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30.397596 </w:t>
            </w:r>
          </w:p>
        </w:tc>
        <w:tc>
          <w:tcPr>
            <w:tcW w:w="704" w:type="pct"/>
            <w:vMerge w:val="continue"/>
            <w:tcBorders>
              <w:tl2br w:val="nil"/>
              <w:tr2bl w:val="nil"/>
            </w:tcBorders>
            <w:shd w:val="clear" w:color="auto" w:fill="auto"/>
            <w:noWrap/>
            <w:tcMar>
              <w:top w:w="15" w:type="dxa"/>
              <w:left w:w="15" w:type="dxa"/>
              <w:right w:w="15" w:type="dxa"/>
            </w:tcMar>
            <w:vAlign w:val="center"/>
          </w:tcPr>
          <w:p w14:paraId="156027C9">
            <w:pPr>
              <w:spacing w:line="240" w:lineRule="auto"/>
              <w:jc w:val="center"/>
              <w:rPr>
                <w:rFonts w:hint="default" w:ascii="Times New Roman" w:hAnsi="Times New Roman" w:cs="Times New Roman"/>
                <w:color w:val="auto"/>
                <w:sz w:val="21"/>
                <w:szCs w:val="21"/>
                <w:highlight w:val="none"/>
              </w:rPr>
            </w:pPr>
          </w:p>
        </w:tc>
        <w:tc>
          <w:tcPr>
            <w:tcW w:w="1216" w:type="pct"/>
            <w:vMerge w:val="continue"/>
            <w:tcBorders>
              <w:tl2br w:val="nil"/>
              <w:tr2bl w:val="nil"/>
            </w:tcBorders>
            <w:shd w:val="clear" w:color="auto" w:fill="auto"/>
            <w:noWrap/>
            <w:tcMar>
              <w:top w:w="15" w:type="dxa"/>
              <w:left w:w="15" w:type="dxa"/>
              <w:right w:w="15" w:type="dxa"/>
            </w:tcMar>
            <w:vAlign w:val="center"/>
          </w:tcPr>
          <w:p w14:paraId="76A93B65">
            <w:pPr>
              <w:spacing w:line="240" w:lineRule="auto"/>
              <w:jc w:val="center"/>
              <w:rPr>
                <w:rFonts w:hint="default" w:ascii="Times New Roman" w:hAnsi="Times New Roman" w:cs="Times New Roman"/>
                <w:color w:val="auto"/>
                <w:sz w:val="21"/>
                <w:szCs w:val="21"/>
                <w:highlight w:val="none"/>
              </w:rPr>
            </w:pPr>
          </w:p>
        </w:tc>
      </w:tr>
      <w:tr w14:paraId="5D221D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168" w:type="pct"/>
            <w:tcBorders>
              <w:tl2br w:val="nil"/>
              <w:tr2bl w:val="nil"/>
            </w:tcBorders>
            <w:shd w:val="clear" w:color="auto" w:fill="auto"/>
            <w:noWrap/>
            <w:tcMar>
              <w:top w:w="15" w:type="dxa"/>
              <w:left w:w="15" w:type="dxa"/>
              <w:right w:w="15" w:type="dxa"/>
            </w:tcMar>
            <w:vAlign w:val="center"/>
          </w:tcPr>
          <w:p w14:paraId="36BD5C0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w:t>
            </w:r>
          </w:p>
        </w:tc>
        <w:tc>
          <w:tcPr>
            <w:tcW w:w="420" w:type="pct"/>
            <w:vMerge w:val="continue"/>
            <w:tcBorders>
              <w:tl2br w:val="nil"/>
              <w:tr2bl w:val="nil"/>
            </w:tcBorders>
            <w:shd w:val="clear" w:color="auto" w:fill="auto"/>
            <w:noWrap/>
            <w:tcMar>
              <w:top w:w="15" w:type="dxa"/>
              <w:left w:w="15" w:type="dxa"/>
              <w:right w:w="15" w:type="dxa"/>
            </w:tcMar>
            <w:vAlign w:val="center"/>
          </w:tcPr>
          <w:p w14:paraId="1324D903">
            <w:pPr>
              <w:spacing w:line="240" w:lineRule="auto"/>
              <w:jc w:val="center"/>
              <w:rPr>
                <w:rFonts w:hint="default" w:ascii="Times New Roman" w:hAnsi="Times New Roman" w:cs="Times New Roman"/>
                <w:color w:val="auto"/>
                <w:sz w:val="21"/>
                <w:szCs w:val="21"/>
                <w:highlight w:val="none"/>
              </w:rPr>
            </w:pPr>
          </w:p>
        </w:tc>
        <w:tc>
          <w:tcPr>
            <w:tcW w:w="486" w:type="pct"/>
            <w:tcBorders>
              <w:tl2br w:val="nil"/>
              <w:tr2bl w:val="nil"/>
            </w:tcBorders>
            <w:shd w:val="clear" w:color="auto" w:fill="auto"/>
            <w:noWrap/>
            <w:tcMar>
              <w:top w:w="15" w:type="dxa"/>
              <w:left w:w="15" w:type="dxa"/>
              <w:right w:w="15" w:type="dxa"/>
            </w:tcMar>
            <w:vAlign w:val="center"/>
          </w:tcPr>
          <w:p w14:paraId="5CB3D62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XM-1-400</w:t>
            </w:r>
          </w:p>
        </w:tc>
        <w:tc>
          <w:tcPr>
            <w:tcW w:w="1053" w:type="pct"/>
            <w:tcBorders>
              <w:tl2br w:val="nil"/>
              <w:tr2bl w:val="nil"/>
            </w:tcBorders>
            <w:shd w:val="clear" w:color="auto" w:fill="auto"/>
            <w:noWrap/>
            <w:tcMar>
              <w:top w:w="15" w:type="dxa"/>
              <w:left w:w="15" w:type="dxa"/>
              <w:right w:w="15" w:type="dxa"/>
            </w:tcMar>
            <w:vAlign w:val="center"/>
          </w:tcPr>
          <w:p w14:paraId="0BA5C25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园区边界西侧下风向400m</w:t>
            </w:r>
          </w:p>
        </w:tc>
        <w:tc>
          <w:tcPr>
            <w:tcW w:w="473" w:type="pct"/>
            <w:tcBorders>
              <w:tl2br w:val="nil"/>
              <w:tr2bl w:val="nil"/>
            </w:tcBorders>
            <w:shd w:val="clear" w:color="auto" w:fill="auto"/>
            <w:noWrap/>
            <w:tcMar>
              <w:top w:w="15" w:type="dxa"/>
              <w:left w:w="15" w:type="dxa"/>
              <w:right w:w="15" w:type="dxa"/>
            </w:tcMar>
            <w:vAlign w:val="center"/>
          </w:tcPr>
          <w:p w14:paraId="24AD717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114.925575 </w:t>
            </w:r>
          </w:p>
        </w:tc>
        <w:tc>
          <w:tcPr>
            <w:tcW w:w="475" w:type="pct"/>
            <w:tcBorders>
              <w:tl2br w:val="nil"/>
              <w:tr2bl w:val="nil"/>
            </w:tcBorders>
            <w:shd w:val="clear" w:color="auto" w:fill="auto"/>
            <w:noWrap/>
            <w:tcMar>
              <w:top w:w="15" w:type="dxa"/>
              <w:left w:w="15" w:type="dxa"/>
              <w:right w:w="15" w:type="dxa"/>
            </w:tcMar>
            <w:vAlign w:val="center"/>
          </w:tcPr>
          <w:p w14:paraId="4CDB9DE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30.397503 </w:t>
            </w:r>
          </w:p>
        </w:tc>
        <w:tc>
          <w:tcPr>
            <w:tcW w:w="704" w:type="pct"/>
            <w:vMerge w:val="continue"/>
            <w:tcBorders>
              <w:tl2br w:val="nil"/>
              <w:tr2bl w:val="nil"/>
            </w:tcBorders>
            <w:shd w:val="clear" w:color="auto" w:fill="auto"/>
            <w:noWrap/>
            <w:tcMar>
              <w:top w:w="15" w:type="dxa"/>
              <w:left w:w="15" w:type="dxa"/>
              <w:right w:w="15" w:type="dxa"/>
            </w:tcMar>
            <w:vAlign w:val="center"/>
          </w:tcPr>
          <w:p w14:paraId="37E49995">
            <w:pPr>
              <w:spacing w:line="240" w:lineRule="auto"/>
              <w:jc w:val="center"/>
              <w:rPr>
                <w:rFonts w:hint="default" w:ascii="Times New Roman" w:hAnsi="Times New Roman" w:cs="Times New Roman"/>
                <w:color w:val="auto"/>
                <w:sz w:val="21"/>
                <w:szCs w:val="21"/>
                <w:highlight w:val="none"/>
              </w:rPr>
            </w:pPr>
          </w:p>
        </w:tc>
        <w:tc>
          <w:tcPr>
            <w:tcW w:w="1216" w:type="pct"/>
            <w:vMerge w:val="continue"/>
            <w:tcBorders>
              <w:tl2br w:val="nil"/>
              <w:tr2bl w:val="nil"/>
            </w:tcBorders>
            <w:shd w:val="clear" w:color="auto" w:fill="auto"/>
            <w:noWrap/>
            <w:tcMar>
              <w:top w:w="15" w:type="dxa"/>
              <w:left w:w="15" w:type="dxa"/>
              <w:right w:w="15" w:type="dxa"/>
            </w:tcMar>
            <w:vAlign w:val="center"/>
          </w:tcPr>
          <w:p w14:paraId="5AE56F67">
            <w:pPr>
              <w:spacing w:line="240" w:lineRule="auto"/>
              <w:jc w:val="center"/>
              <w:rPr>
                <w:rFonts w:hint="default" w:ascii="Times New Roman" w:hAnsi="Times New Roman" w:cs="Times New Roman"/>
                <w:color w:val="auto"/>
                <w:sz w:val="21"/>
                <w:szCs w:val="21"/>
                <w:highlight w:val="none"/>
              </w:rPr>
            </w:pPr>
          </w:p>
        </w:tc>
      </w:tr>
      <w:tr w14:paraId="6CABEB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168" w:type="pct"/>
            <w:tcBorders>
              <w:tl2br w:val="nil"/>
              <w:tr2bl w:val="nil"/>
            </w:tcBorders>
            <w:shd w:val="clear" w:color="auto" w:fill="auto"/>
            <w:noWrap/>
            <w:tcMar>
              <w:top w:w="15" w:type="dxa"/>
              <w:left w:w="15" w:type="dxa"/>
              <w:right w:w="15" w:type="dxa"/>
            </w:tcMar>
            <w:vAlign w:val="center"/>
          </w:tcPr>
          <w:p w14:paraId="5E52BF4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w:t>
            </w:r>
          </w:p>
        </w:tc>
        <w:tc>
          <w:tcPr>
            <w:tcW w:w="420" w:type="pct"/>
            <w:vMerge w:val="continue"/>
            <w:tcBorders>
              <w:tl2br w:val="nil"/>
              <w:tr2bl w:val="nil"/>
            </w:tcBorders>
            <w:shd w:val="clear" w:color="auto" w:fill="auto"/>
            <w:noWrap/>
            <w:tcMar>
              <w:top w:w="15" w:type="dxa"/>
              <w:left w:w="15" w:type="dxa"/>
              <w:right w:w="15" w:type="dxa"/>
            </w:tcMar>
            <w:vAlign w:val="center"/>
          </w:tcPr>
          <w:p w14:paraId="32D58430">
            <w:pPr>
              <w:spacing w:line="240" w:lineRule="auto"/>
              <w:jc w:val="center"/>
              <w:rPr>
                <w:rFonts w:hint="default" w:ascii="Times New Roman" w:hAnsi="Times New Roman" w:cs="Times New Roman"/>
                <w:color w:val="auto"/>
                <w:sz w:val="21"/>
                <w:szCs w:val="21"/>
                <w:highlight w:val="none"/>
              </w:rPr>
            </w:pPr>
          </w:p>
        </w:tc>
        <w:tc>
          <w:tcPr>
            <w:tcW w:w="486" w:type="pct"/>
            <w:tcBorders>
              <w:tl2br w:val="nil"/>
              <w:tr2bl w:val="nil"/>
            </w:tcBorders>
            <w:shd w:val="clear" w:color="auto" w:fill="auto"/>
            <w:noWrap/>
            <w:tcMar>
              <w:top w:w="15" w:type="dxa"/>
              <w:left w:w="15" w:type="dxa"/>
              <w:right w:w="15" w:type="dxa"/>
            </w:tcMar>
            <w:vAlign w:val="center"/>
          </w:tcPr>
          <w:p w14:paraId="4686095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XM-2-75</w:t>
            </w:r>
          </w:p>
        </w:tc>
        <w:tc>
          <w:tcPr>
            <w:tcW w:w="1053" w:type="pct"/>
            <w:tcBorders>
              <w:tl2br w:val="nil"/>
              <w:tr2bl w:val="nil"/>
            </w:tcBorders>
            <w:shd w:val="clear" w:color="auto" w:fill="auto"/>
            <w:noWrap/>
            <w:tcMar>
              <w:top w:w="15" w:type="dxa"/>
              <w:left w:w="15" w:type="dxa"/>
              <w:right w:w="15" w:type="dxa"/>
            </w:tcMar>
            <w:vAlign w:val="center"/>
          </w:tcPr>
          <w:p w14:paraId="232A8A4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园区边界</w:t>
            </w:r>
            <w:r>
              <w:rPr>
                <w:rFonts w:hint="eastAsia" w:cs="Times New Roman"/>
                <w:color w:val="auto"/>
                <w:sz w:val="21"/>
                <w:szCs w:val="21"/>
                <w:highlight w:val="none"/>
                <w:lang w:eastAsia="zh-CN"/>
              </w:rPr>
              <w:t>东</w:t>
            </w:r>
            <w:r>
              <w:rPr>
                <w:rFonts w:hint="default" w:ascii="Times New Roman" w:hAnsi="Times New Roman" w:cs="Times New Roman"/>
                <w:color w:val="auto"/>
                <w:sz w:val="21"/>
                <w:szCs w:val="21"/>
                <w:highlight w:val="none"/>
              </w:rPr>
              <w:t>侧下风向75m</w:t>
            </w:r>
          </w:p>
        </w:tc>
        <w:tc>
          <w:tcPr>
            <w:tcW w:w="473" w:type="pct"/>
            <w:tcBorders>
              <w:tl2br w:val="nil"/>
              <w:tr2bl w:val="nil"/>
            </w:tcBorders>
            <w:shd w:val="clear" w:color="auto" w:fill="auto"/>
            <w:noWrap/>
            <w:tcMar>
              <w:top w:w="15" w:type="dxa"/>
              <w:left w:w="15" w:type="dxa"/>
              <w:right w:w="15" w:type="dxa"/>
            </w:tcMar>
            <w:vAlign w:val="center"/>
          </w:tcPr>
          <w:p w14:paraId="016A0069">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114.973061 </w:t>
            </w:r>
          </w:p>
        </w:tc>
        <w:tc>
          <w:tcPr>
            <w:tcW w:w="475" w:type="pct"/>
            <w:tcBorders>
              <w:tl2br w:val="nil"/>
              <w:tr2bl w:val="nil"/>
            </w:tcBorders>
            <w:shd w:val="clear" w:color="auto" w:fill="auto"/>
            <w:noWrap/>
            <w:tcMar>
              <w:top w:w="15" w:type="dxa"/>
              <w:left w:w="15" w:type="dxa"/>
              <w:right w:w="15" w:type="dxa"/>
            </w:tcMar>
            <w:vAlign w:val="center"/>
          </w:tcPr>
          <w:p w14:paraId="3EA01CF5">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30.386426 </w:t>
            </w:r>
          </w:p>
        </w:tc>
        <w:tc>
          <w:tcPr>
            <w:tcW w:w="704" w:type="pct"/>
            <w:vMerge w:val="continue"/>
            <w:tcBorders>
              <w:tl2br w:val="nil"/>
              <w:tr2bl w:val="nil"/>
            </w:tcBorders>
            <w:shd w:val="clear" w:color="auto" w:fill="auto"/>
            <w:noWrap/>
            <w:tcMar>
              <w:top w:w="15" w:type="dxa"/>
              <w:left w:w="15" w:type="dxa"/>
              <w:right w:w="15" w:type="dxa"/>
            </w:tcMar>
            <w:vAlign w:val="center"/>
          </w:tcPr>
          <w:p w14:paraId="70FA97C6">
            <w:pPr>
              <w:spacing w:line="240" w:lineRule="auto"/>
              <w:jc w:val="center"/>
              <w:rPr>
                <w:rFonts w:hint="default" w:ascii="Times New Roman" w:hAnsi="Times New Roman" w:cs="Times New Roman"/>
                <w:color w:val="auto"/>
                <w:sz w:val="21"/>
                <w:szCs w:val="21"/>
                <w:highlight w:val="none"/>
              </w:rPr>
            </w:pPr>
          </w:p>
        </w:tc>
        <w:tc>
          <w:tcPr>
            <w:tcW w:w="1216" w:type="pct"/>
            <w:vMerge w:val="continue"/>
            <w:tcBorders>
              <w:tl2br w:val="nil"/>
              <w:tr2bl w:val="nil"/>
            </w:tcBorders>
            <w:shd w:val="clear" w:color="auto" w:fill="auto"/>
            <w:noWrap/>
            <w:tcMar>
              <w:top w:w="15" w:type="dxa"/>
              <w:left w:w="15" w:type="dxa"/>
              <w:right w:w="15" w:type="dxa"/>
            </w:tcMar>
            <w:vAlign w:val="center"/>
          </w:tcPr>
          <w:p w14:paraId="0219CE83">
            <w:pPr>
              <w:spacing w:line="240" w:lineRule="auto"/>
              <w:jc w:val="center"/>
              <w:rPr>
                <w:rFonts w:hint="default" w:ascii="Times New Roman" w:hAnsi="Times New Roman" w:cs="Times New Roman"/>
                <w:color w:val="auto"/>
                <w:sz w:val="21"/>
                <w:szCs w:val="21"/>
                <w:highlight w:val="none"/>
              </w:rPr>
            </w:pPr>
          </w:p>
        </w:tc>
      </w:tr>
      <w:tr w14:paraId="0BC190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168" w:type="pct"/>
            <w:tcBorders>
              <w:tl2br w:val="nil"/>
              <w:tr2bl w:val="nil"/>
            </w:tcBorders>
            <w:shd w:val="clear" w:color="auto" w:fill="auto"/>
            <w:noWrap/>
            <w:tcMar>
              <w:top w:w="15" w:type="dxa"/>
              <w:left w:w="15" w:type="dxa"/>
              <w:right w:w="15" w:type="dxa"/>
            </w:tcMar>
            <w:vAlign w:val="center"/>
          </w:tcPr>
          <w:p w14:paraId="27A7818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w:t>
            </w:r>
          </w:p>
        </w:tc>
        <w:tc>
          <w:tcPr>
            <w:tcW w:w="420" w:type="pct"/>
            <w:vMerge w:val="continue"/>
            <w:tcBorders>
              <w:tl2br w:val="nil"/>
              <w:tr2bl w:val="nil"/>
            </w:tcBorders>
            <w:shd w:val="clear" w:color="auto" w:fill="auto"/>
            <w:noWrap/>
            <w:tcMar>
              <w:top w:w="15" w:type="dxa"/>
              <w:left w:w="15" w:type="dxa"/>
              <w:right w:w="15" w:type="dxa"/>
            </w:tcMar>
            <w:vAlign w:val="center"/>
          </w:tcPr>
          <w:p w14:paraId="7ADA5B26">
            <w:pPr>
              <w:spacing w:line="240" w:lineRule="auto"/>
              <w:jc w:val="center"/>
              <w:rPr>
                <w:rFonts w:hint="default" w:ascii="Times New Roman" w:hAnsi="Times New Roman" w:cs="Times New Roman"/>
                <w:color w:val="auto"/>
                <w:sz w:val="21"/>
                <w:szCs w:val="21"/>
                <w:highlight w:val="none"/>
              </w:rPr>
            </w:pPr>
          </w:p>
        </w:tc>
        <w:tc>
          <w:tcPr>
            <w:tcW w:w="486" w:type="pct"/>
            <w:tcBorders>
              <w:tl2br w:val="nil"/>
              <w:tr2bl w:val="nil"/>
            </w:tcBorders>
            <w:shd w:val="clear" w:color="auto" w:fill="auto"/>
            <w:noWrap/>
            <w:tcMar>
              <w:top w:w="15" w:type="dxa"/>
              <w:left w:w="15" w:type="dxa"/>
              <w:right w:w="15" w:type="dxa"/>
            </w:tcMar>
            <w:vAlign w:val="center"/>
          </w:tcPr>
          <w:p w14:paraId="2563FEE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XM-2-200</w:t>
            </w:r>
          </w:p>
        </w:tc>
        <w:tc>
          <w:tcPr>
            <w:tcW w:w="1053" w:type="pct"/>
            <w:tcBorders>
              <w:tl2br w:val="nil"/>
              <w:tr2bl w:val="nil"/>
            </w:tcBorders>
            <w:shd w:val="clear" w:color="auto" w:fill="auto"/>
            <w:noWrap/>
            <w:tcMar>
              <w:top w:w="15" w:type="dxa"/>
              <w:left w:w="15" w:type="dxa"/>
              <w:right w:w="15" w:type="dxa"/>
            </w:tcMar>
            <w:vAlign w:val="center"/>
          </w:tcPr>
          <w:p w14:paraId="348EE6C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园区边界</w:t>
            </w:r>
            <w:r>
              <w:rPr>
                <w:rFonts w:hint="eastAsia" w:cs="Times New Roman"/>
                <w:color w:val="auto"/>
                <w:sz w:val="21"/>
                <w:szCs w:val="21"/>
                <w:highlight w:val="none"/>
                <w:lang w:eastAsia="zh-CN"/>
              </w:rPr>
              <w:t>东</w:t>
            </w:r>
            <w:r>
              <w:rPr>
                <w:rFonts w:hint="default" w:ascii="Times New Roman" w:hAnsi="Times New Roman" w:cs="Times New Roman"/>
                <w:color w:val="auto"/>
                <w:sz w:val="21"/>
                <w:szCs w:val="21"/>
                <w:highlight w:val="none"/>
              </w:rPr>
              <w:t>侧下风向200m</w:t>
            </w:r>
          </w:p>
        </w:tc>
        <w:tc>
          <w:tcPr>
            <w:tcW w:w="473" w:type="pct"/>
            <w:tcBorders>
              <w:tl2br w:val="nil"/>
              <w:tr2bl w:val="nil"/>
            </w:tcBorders>
            <w:shd w:val="clear" w:color="auto" w:fill="auto"/>
            <w:noWrap/>
            <w:tcMar>
              <w:top w:w="15" w:type="dxa"/>
              <w:left w:w="15" w:type="dxa"/>
              <w:right w:w="15" w:type="dxa"/>
            </w:tcMar>
            <w:vAlign w:val="center"/>
          </w:tcPr>
          <w:p w14:paraId="48DA8DE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114.973018 </w:t>
            </w:r>
          </w:p>
        </w:tc>
        <w:tc>
          <w:tcPr>
            <w:tcW w:w="475" w:type="pct"/>
            <w:tcBorders>
              <w:tl2br w:val="nil"/>
              <w:tr2bl w:val="nil"/>
            </w:tcBorders>
            <w:shd w:val="clear" w:color="auto" w:fill="auto"/>
            <w:noWrap/>
            <w:tcMar>
              <w:top w:w="15" w:type="dxa"/>
              <w:left w:w="15" w:type="dxa"/>
              <w:right w:w="15" w:type="dxa"/>
            </w:tcMar>
            <w:vAlign w:val="center"/>
          </w:tcPr>
          <w:p w14:paraId="310100D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30.385259 </w:t>
            </w:r>
          </w:p>
        </w:tc>
        <w:tc>
          <w:tcPr>
            <w:tcW w:w="704" w:type="pct"/>
            <w:vMerge w:val="continue"/>
            <w:tcBorders>
              <w:tl2br w:val="nil"/>
              <w:tr2bl w:val="nil"/>
            </w:tcBorders>
            <w:shd w:val="clear" w:color="auto" w:fill="auto"/>
            <w:noWrap/>
            <w:tcMar>
              <w:top w:w="15" w:type="dxa"/>
              <w:left w:w="15" w:type="dxa"/>
              <w:right w:w="15" w:type="dxa"/>
            </w:tcMar>
            <w:vAlign w:val="center"/>
          </w:tcPr>
          <w:p w14:paraId="111978C4">
            <w:pPr>
              <w:spacing w:line="240" w:lineRule="auto"/>
              <w:jc w:val="center"/>
              <w:rPr>
                <w:rFonts w:hint="default" w:ascii="Times New Roman" w:hAnsi="Times New Roman" w:cs="Times New Roman"/>
                <w:color w:val="auto"/>
                <w:sz w:val="21"/>
                <w:szCs w:val="21"/>
                <w:highlight w:val="none"/>
              </w:rPr>
            </w:pPr>
          </w:p>
        </w:tc>
        <w:tc>
          <w:tcPr>
            <w:tcW w:w="1216" w:type="pct"/>
            <w:vMerge w:val="continue"/>
            <w:tcBorders>
              <w:tl2br w:val="nil"/>
              <w:tr2bl w:val="nil"/>
            </w:tcBorders>
            <w:shd w:val="clear" w:color="auto" w:fill="auto"/>
            <w:noWrap/>
            <w:tcMar>
              <w:top w:w="15" w:type="dxa"/>
              <w:left w:w="15" w:type="dxa"/>
              <w:right w:w="15" w:type="dxa"/>
            </w:tcMar>
            <w:vAlign w:val="center"/>
          </w:tcPr>
          <w:p w14:paraId="51C891CD">
            <w:pPr>
              <w:spacing w:line="240" w:lineRule="auto"/>
              <w:jc w:val="center"/>
              <w:rPr>
                <w:rFonts w:hint="default" w:ascii="Times New Roman" w:hAnsi="Times New Roman" w:cs="Times New Roman"/>
                <w:color w:val="auto"/>
                <w:sz w:val="21"/>
                <w:szCs w:val="21"/>
                <w:highlight w:val="none"/>
              </w:rPr>
            </w:pPr>
          </w:p>
        </w:tc>
      </w:tr>
      <w:tr w14:paraId="318336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168" w:type="pct"/>
            <w:tcBorders>
              <w:tl2br w:val="nil"/>
              <w:tr2bl w:val="nil"/>
            </w:tcBorders>
            <w:shd w:val="clear" w:color="auto" w:fill="auto"/>
            <w:noWrap/>
            <w:tcMar>
              <w:top w:w="15" w:type="dxa"/>
              <w:left w:w="15" w:type="dxa"/>
              <w:right w:w="15" w:type="dxa"/>
            </w:tcMar>
            <w:vAlign w:val="center"/>
          </w:tcPr>
          <w:p w14:paraId="7BE5F70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w:t>
            </w:r>
          </w:p>
        </w:tc>
        <w:tc>
          <w:tcPr>
            <w:tcW w:w="420" w:type="pct"/>
            <w:vMerge w:val="continue"/>
            <w:tcBorders>
              <w:tl2br w:val="nil"/>
              <w:tr2bl w:val="nil"/>
            </w:tcBorders>
            <w:shd w:val="clear" w:color="auto" w:fill="auto"/>
            <w:noWrap/>
            <w:tcMar>
              <w:top w:w="15" w:type="dxa"/>
              <w:left w:w="15" w:type="dxa"/>
              <w:right w:w="15" w:type="dxa"/>
            </w:tcMar>
            <w:vAlign w:val="center"/>
          </w:tcPr>
          <w:p w14:paraId="22419A8F">
            <w:pPr>
              <w:spacing w:line="240" w:lineRule="auto"/>
              <w:jc w:val="center"/>
              <w:rPr>
                <w:rFonts w:hint="default" w:ascii="Times New Roman" w:hAnsi="Times New Roman" w:cs="Times New Roman"/>
                <w:color w:val="auto"/>
                <w:sz w:val="21"/>
                <w:szCs w:val="21"/>
                <w:highlight w:val="none"/>
              </w:rPr>
            </w:pPr>
          </w:p>
        </w:tc>
        <w:tc>
          <w:tcPr>
            <w:tcW w:w="486" w:type="pct"/>
            <w:tcBorders>
              <w:tl2br w:val="nil"/>
              <w:tr2bl w:val="nil"/>
            </w:tcBorders>
            <w:shd w:val="clear" w:color="auto" w:fill="auto"/>
            <w:noWrap/>
            <w:tcMar>
              <w:top w:w="15" w:type="dxa"/>
              <w:left w:w="15" w:type="dxa"/>
              <w:right w:w="15" w:type="dxa"/>
            </w:tcMar>
            <w:vAlign w:val="center"/>
          </w:tcPr>
          <w:p w14:paraId="1B1EFF6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XM-2-400</w:t>
            </w:r>
          </w:p>
        </w:tc>
        <w:tc>
          <w:tcPr>
            <w:tcW w:w="1053" w:type="pct"/>
            <w:tcBorders>
              <w:tl2br w:val="nil"/>
              <w:tr2bl w:val="nil"/>
            </w:tcBorders>
            <w:shd w:val="clear" w:color="auto" w:fill="auto"/>
            <w:noWrap/>
            <w:tcMar>
              <w:top w:w="15" w:type="dxa"/>
              <w:left w:w="15" w:type="dxa"/>
              <w:right w:w="15" w:type="dxa"/>
            </w:tcMar>
            <w:vAlign w:val="center"/>
          </w:tcPr>
          <w:p w14:paraId="5D18D066">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园区边界</w:t>
            </w:r>
            <w:r>
              <w:rPr>
                <w:rFonts w:hint="eastAsia" w:cs="Times New Roman"/>
                <w:color w:val="auto"/>
                <w:sz w:val="21"/>
                <w:szCs w:val="21"/>
                <w:highlight w:val="none"/>
                <w:lang w:eastAsia="zh-CN"/>
              </w:rPr>
              <w:t>东</w:t>
            </w:r>
            <w:r>
              <w:rPr>
                <w:rFonts w:hint="default" w:ascii="Times New Roman" w:hAnsi="Times New Roman" w:cs="Times New Roman"/>
                <w:color w:val="auto"/>
                <w:sz w:val="21"/>
                <w:szCs w:val="21"/>
                <w:highlight w:val="none"/>
              </w:rPr>
              <w:t>侧下风向400m</w:t>
            </w:r>
          </w:p>
        </w:tc>
        <w:tc>
          <w:tcPr>
            <w:tcW w:w="473" w:type="pct"/>
            <w:tcBorders>
              <w:tl2br w:val="nil"/>
              <w:tr2bl w:val="nil"/>
            </w:tcBorders>
            <w:shd w:val="clear" w:color="auto" w:fill="auto"/>
            <w:noWrap/>
            <w:tcMar>
              <w:top w:w="15" w:type="dxa"/>
              <w:left w:w="15" w:type="dxa"/>
              <w:right w:w="15" w:type="dxa"/>
            </w:tcMar>
            <w:vAlign w:val="center"/>
          </w:tcPr>
          <w:p w14:paraId="11505AB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114.973040 </w:t>
            </w:r>
          </w:p>
        </w:tc>
        <w:tc>
          <w:tcPr>
            <w:tcW w:w="475" w:type="pct"/>
            <w:tcBorders>
              <w:tl2br w:val="nil"/>
              <w:tr2bl w:val="nil"/>
            </w:tcBorders>
            <w:shd w:val="clear" w:color="auto" w:fill="auto"/>
            <w:noWrap/>
            <w:tcMar>
              <w:top w:w="15" w:type="dxa"/>
              <w:left w:w="15" w:type="dxa"/>
              <w:right w:w="15" w:type="dxa"/>
            </w:tcMar>
            <w:vAlign w:val="center"/>
          </w:tcPr>
          <w:p w14:paraId="1C73DBC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30.383519 </w:t>
            </w:r>
          </w:p>
        </w:tc>
        <w:tc>
          <w:tcPr>
            <w:tcW w:w="704" w:type="pct"/>
            <w:vMerge w:val="continue"/>
            <w:tcBorders>
              <w:tl2br w:val="nil"/>
              <w:tr2bl w:val="nil"/>
            </w:tcBorders>
            <w:shd w:val="clear" w:color="auto" w:fill="auto"/>
            <w:noWrap/>
            <w:tcMar>
              <w:top w:w="15" w:type="dxa"/>
              <w:left w:w="15" w:type="dxa"/>
              <w:right w:w="15" w:type="dxa"/>
            </w:tcMar>
            <w:vAlign w:val="center"/>
          </w:tcPr>
          <w:p w14:paraId="46344035">
            <w:pPr>
              <w:spacing w:line="240" w:lineRule="auto"/>
              <w:jc w:val="center"/>
              <w:rPr>
                <w:rFonts w:hint="default" w:ascii="Times New Roman" w:hAnsi="Times New Roman" w:cs="Times New Roman"/>
                <w:color w:val="auto"/>
                <w:sz w:val="21"/>
                <w:szCs w:val="21"/>
                <w:highlight w:val="none"/>
              </w:rPr>
            </w:pPr>
          </w:p>
        </w:tc>
        <w:tc>
          <w:tcPr>
            <w:tcW w:w="1216" w:type="pct"/>
            <w:vMerge w:val="continue"/>
            <w:tcBorders>
              <w:tl2br w:val="nil"/>
              <w:tr2bl w:val="nil"/>
            </w:tcBorders>
            <w:shd w:val="clear" w:color="auto" w:fill="auto"/>
            <w:noWrap/>
            <w:tcMar>
              <w:top w:w="15" w:type="dxa"/>
              <w:left w:w="15" w:type="dxa"/>
              <w:right w:w="15" w:type="dxa"/>
            </w:tcMar>
            <w:vAlign w:val="center"/>
          </w:tcPr>
          <w:p w14:paraId="792EA0D7">
            <w:pPr>
              <w:spacing w:line="240" w:lineRule="auto"/>
              <w:jc w:val="center"/>
              <w:rPr>
                <w:rFonts w:hint="default" w:ascii="Times New Roman" w:hAnsi="Times New Roman" w:cs="Times New Roman"/>
                <w:color w:val="auto"/>
                <w:sz w:val="21"/>
                <w:szCs w:val="21"/>
                <w:highlight w:val="none"/>
              </w:rPr>
            </w:pPr>
          </w:p>
        </w:tc>
      </w:tr>
      <w:tr w14:paraId="67D691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168" w:type="pct"/>
            <w:tcBorders>
              <w:tl2br w:val="nil"/>
              <w:tr2bl w:val="nil"/>
            </w:tcBorders>
            <w:shd w:val="clear" w:color="auto" w:fill="auto"/>
            <w:noWrap/>
            <w:tcMar>
              <w:top w:w="15" w:type="dxa"/>
              <w:left w:w="15" w:type="dxa"/>
              <w:right w:w="15" w:type="dxa"/>
            </w:tcMar>
            <w:vAlign w:val="center"/>
          </w:tcPr>
          <w:p w14:paraId="6489CBC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w:t>
            </w:r>
          </w:p>
        </w:tc>
        <w:tc>
          <w:tcPr>
            <w:tcW w:w="420" w:type="pct"/>
            <w:vMerge w:val="continue"/>
            <w:tcBorders>
              <w:tl2br w:val="nil"/>
              <w:tr2bl w:val="nil"/>
            </w:tcBorders>
            <w:shd w:val="clear" w:color="auto" w:fill="auto"/>
            <w:noWrap/>
            <w:tcMar>
              <w:top w:w="15" w:type="dxa"/>
              <w:left w:w="15" w:type="dxa"/>
              <w:right w:w="15" w:type="dxa"/>
            </w:tcMar>
            <w:vAlign w:val="center"/>
          </w:tcPr>
          <w:p w14:paraId="7E8D7CF1">
            <w:pPr>
              <w:spacing w:line="240" w:lineRule="auto"/>
              <w:jc w:val="center"/>
              <w:rPr>
                <w:rFonts w:hint="default" w:ascii="Times New Roman" w:hAnsi="Times New Roman" w:cs="Times New Roman"/>
                <w:color w:val="auto"/>
                <w:sz w:val="21"/>
                <w:szCs w:val="21"/>
                <w:highlight w:val="none"/>
              </w:rPr>
            </w:pPr>
          </w:p>
        </w:tc>
        <w:tc>
          <w:tcPr>
            <w:tcW w:w="486" w:type="pct"/>
            <w:tcBorders>
              <w:tl2br w:val="nil"/>
              <w:tr2bl w:val="nil"/>
            </w:tcBorders>
            <w:shd w:val="clear" w:color="auto" w:fill="auto"/>
            <w:noWrap/>
            <w:tcMar>
              <w:top w:w="15" w:type="dxa"/>
              <w:left w:w="15" w:type="dxa"/>
              <w:right w:w="15" w:type="dxa"/>
            </w:tcMar>
            <w:vAlign w:val="center"/>
          </w:tcPr>
          <w:p w14:paraId="5D0C3169">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XM-3-75</w:t>
            </w:r>
          </w:p>
        </w:tc>
        <w:tc>
          <w:tcPr>
            <w:tcW w:w="1053" w:type="pct"/>
            <w:tcBorders>
              <w:tl2br w:val="nil"/>
              <w:tr2bl w:val="nil"/>
            </w:tcBorders>
            <w:shd w:val="clear" w:color="auto" w:fill="auto"/>
            <w:noWrap/>
            <w:tcMar>
              <w:top w:w="15" w:type="dxa"/>
              <w:left w:w="15" w:type="dxa"/>
              <w:right w:w="15" w:type="dxa"/>
            </w:tcMar>
            <w:vAlign w:val="center"/>
          </w:tcPr>
          <w:p w14:paraId="139C8AD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园区边界南侧下风向75m</w:t>
            </w:r>
          </w:p>
        </w:tc>
        <w:tc>
          <w:tcPr>
            <w:tcW w:w="473" w:type="pct"/>
            <w:tcBorders>
              <w:tl2br w:val="nil"/>
              <w:tr2bl w:val="nil"/>
            </w:tcBorders>
            <w:shd w:val="clear" w:color="auto" w:fill="auto"/>
            <w:noWrap/>
            <w:tcMar>
              <w:top w:w="15" w:type="dxa"/>
              <w:left w:w="15" w:type="dxa"/>
              <w:right w:w="15" w:type="dxa"/>
            </w:tcMar>
            <w:vAlign w:val="center"/>
          </w:tcPr>
          <w:p w14:paraId="3D3F6BA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114.901666 </w:t>
            </w:r>
          </w:p>
        </w:tc>
        <w:tc>
          <w:tcPr>
            <w:tcW w:w="475" w:type="pct"/>
            <w:tcBorders>
              <w:tl2br w:val="nil"/>
              <w:tr2bl w:val="nil"/>
            </w:tcBorders>
            <w:shd w:val="clear" w:color="auto" w:fill="auto"/>
            <w:noWrap/>
            <w:tcMar>
              <w:top w:w="15" w:type="dxa"/>
              <w:left w:w="15" w:type="dxa"/>
              <w:right w:w="15" w:type="dxa"/>
            </w:tcMar>
            <w:vAlign w:val="center"/>
          </w:tcPr>
          <w:p w14:paraId="5399D81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30.340468 </w:t>
            </w:r>
          </w:p>
        </w:tc>
        <w:tc>
          <w:tcPr>
            <w:tcW w:w="704" w:type="pct"/>
            <w:vMerge w:val="continue"/>
            <w:tcBorders>
              <w:tl2br w:val="nil"/>
              <w:tr2bl w:val="nil"/>
            </w:tcBorders>
            <w:shd w:val="clear" w:color="auto" w:fill="auto"/>
            <w:noWrap/>
            <w:tcMar>
              <w:top w:w="15" w:type="dxa"/>
              <w:left w:w="15" w:type="dxa"/>
              <w:right w:w="15" w:type="dxa"/>
            </w:tcMar>
            <w:vAlign w:val="center"/>
          </w:tcPr>
          <w:p w14:paraId="2FC5B3C4">
            <w:pPr>
              <w:spacing w:line="240" w:lineRule="auto"/>
              <w:jc w:val="center"/>
              <w:rPr>
                <w:rFonts w:hint="default" w:ascii="Times New Roman" w:hAnsi="Times New Roman" w:cs="Times New Roman"/>
                <w:color w:val="auto"/>
                <w:sz w:val="21"/>
                <w:szCs w:val="21"/>
                <w:highlight w:val="none"/>
              </w:rPr>
            </w:pPr>
          </w:p>
        </w:tc>
        <w:tc>
          <w:tcPr>
            <w:tcW w:w="1216" w:type="pct"/>
            <w:vMerge w:val="continue"/>
            <w:tcBorders>
              <w:tl2br w:val="nil"/>
              <w:tr2bl w:val="nil"/>
            </w:tcBorders>
            <w:shd w:val="clear" w:color="auto" w:fill="auto"/>
            <w:noWrap/>
            <w:tcMar>
              <w:top w:w="15" w:type="dxa"/>
              <w:left w:w="15" w:type="dxa"/>
              <w:right w:w="15" w:type="dxa"/>
            </w:tcMar>
            <w:vAlign w:val="center"/>
          </w:tcPr>
          <w:p w14:paraId="62F42972">
            <w:pPr>
              <w:spacing w:line="240" w:lineRule="auto"/>
              <w:jc w:val="center"/>
              <w:rPr>
                <w:rFonts w:hint="default" w:ascii="Times New Roman" w:hAnsi="Times New Roman" w:cs="Times New Roman"/>
                <w:color w:val="auto"/>
                <w:sz w:val="21"/>
                <w:szCs w:val="21"/>
                <w:highlight w:val="none"/>
              </w:rPr>
            </w:pPr>
          </w:p>
        </w:tc>
      </w:tr>
      <w:tr w14:paraId="613F48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168" w:type="pct"/>
            <w:tcBorders>
              <w:tl2br w:val="nil"/>
              <w:tr2bl w:val="nil"/>
            </w:tcBorders>
            <w:shd w:val="clear" w:color="auto" w:fill="auto"/>
            <w:noWrap/>
            <w:tcMar>
              <w:top w:w="15" w:type="dxa"/>
              <w:left w:w="15" w:type="dxa"/>
              <w:right w:w="15" w:type="dxa"/>
            </w:tcMar>
            <w:vAlign w:val="center"/>
          </w:tcPr>
          <w:p w14:paraId="4473ED6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8</w:t>
            </w:r>
          </w:p>
        </w:tc>
        <w:tc>
          <w:tcPr>
            <w:tcW w:w="420" w:type="pct"/>
            <w:vMerge w:val="continue"/>
            <w:tcBorders>
              <w:tl2br w:val="nil"/>
              <w:tr2bl w:val="nil"/>
            </w:tcBorders>
            <w:shd w:val="clear" w:color="auto" w:fill="auto"/>
            <w:noWrap/>
            <w:tcMar>
              <w:top w:w="15" w:type="dxa"/>
              <w:left w:w="15" w:type="dxa"/>
              <w:right w:w="15" w:type="dxa"/>
            </w:tcMar>
            <w:vAlign w:val="center"/>
          </w:tcPr>
          <w:p w14:paraId="7D462A03">
            <w:pPr>
              <w:spacing w:line="240" w:lineRule="auto"/>
              <w:jc w:val="center"/>
              <w:rPr>
                <w:rFonts w:hint="default" w:ascii="Times New Roman" w:hAnsi="Times New Roman" w:cs="Times New Roman"/>
                <w:color w:val="auto"/>
                <w:sz w:val="21"/>
                <w:szCs w:val="21"/>
                <w:highlight w:val="none"/>
              </w:rPr>
            </w:pPr>
          </w:p>
        </w:tc>
        <w:tc>
          <w:tcPr>
            <w:tcW w:w="486" w:type="pct"/>
            <w:tcBorders>
              <w:tl2br w:val="nil"/>
              <w:tr2bl w:val="nil"/>
            </w:tcBorders>
            <w:shd w:val="clear" w:color="auto" w:fill="auto"/>
            <w:noWrap/>
            <w:tcMar>
              <w:top w:w="15" w:type="dxa"/>
              <w:left w:w="15" w:type="dxa"/>
              <w:right w:w="15" w:type="dxa"/>
            </w:tcMar>
            <w:vAlign w:val="center"/>
          </w:tcPr>
          <w:p w14:paraId="779802A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XM-3-200</w:t>
            </w:r>
          </w:p>
        </w:tc>
        <w:tc>
          <w:tcPr>
            <w:tcW w:w="1053" w:type="pct"/>
            <w:tcBorders>
              <w:tl2br w:val="nil"/>
              <w:tr2bl w:val="nil"/>
            </w:tcBorders>
            <w:shd w:val="clear" w:color="auto" w:fill="auto"/>
            <w:noWrap/>
            <w:tcMar>
              <w:top w:w="15" w:type="dxa"/>
              <w:left w:w="15" w:type="dxa"/>
              <w:right w:w="15" w:type="dxa"/>
            </w:tcMar>
            <w:vAlign w:val="center"/>
          </w:tcPr>
          <w:p w14:paraId="00F83A4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园区边界南侧下风向200m</w:t>
            </w:r>
          </w:p>
        </w:tc>
        <w:tc>
          <w:tcPr>
            <w:tcW w:w="473" w:type="pct"/>
            <w:tcBorders>
              <w:tl2br w:val="nil"/>
              <w:tr2bl w:val="nil"/>
            </w:tcBorders>
            <w:shd w:val="clear" w:color="auto" w:fill="auto"/>
            <w:noWrap/>
            <w:tcMar>
              <w:top w:w="15" w:type="dxa"/>
              <w:left w:w="15" w:type="dxa"/>
              <w:right w:w="15" w:type="dxa"/>
            </w:tcMar>
            <w:vAlign w:val="center"/>
          </w:tcPr>
          <w:p w14:paraId="232FFEC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114.901682 </w:t>
            </w:r>
          </w:p>
        </w:tc>
        <w:tc>
          <w:tcPr>
            <w:tcW w:w="475" w:type="pct"/>
            <w:tcBorders>
              <w:tl2br w:val="nil"/>
              <w:tr2bl w:val="nil"/>
            </w:tcBorders>
            <w:shd w:val="clear" w:color="auto" w:fill="auto"/>
            <w:noWrap/>
            <w:tcMar>
              <w:top w:w="15" w:type="dxa"/>
              <w:left w:w="15" w:type="dxa"/>
              <w:right w:w="15" w:type="dxa"/>
            </w:tcMar>
            <w:vAlign w:val="center"/>
          </w:tcPr>
          <w:p w14:paraId="18B8363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30.339250 </w:t>
            </w:r>
          </w:p>
        </w:tc>
        <w:tc>
          <w:tcPr>
            <w:tcW w:w="704" w:type="pct"/>
            <w:vMerge w:val="continue"/>
            <w:tcBorders>
              <w:tl2br w:val="nil"/>
              <w:tr2bl w:val="nil"/>
            </w:tcBorders>
            <w:shd w:val="clear" w:color="auto" w:fill="auto"/>
            <w:noWrap/>
            <w:tcMar>
              <w:top w:w="15" w:type="dxa"/>
              <w:left w:w="15" w:type="dxa"/>
              <w:right w:w="15" w:type="dxa"/>
            </w:tcMar>
            <w:vAlign w:val="center"/>
          </w:tcPr>
          <w:p w14:paraId="302D9FC5">
            <w:pPr>
              <w:spacing w:line="240" w:lineRule="auto"/>
              <w:jc w:val="center"/>
              <w:rPr>
                <w:rFonts w:hint="default" w:ascii="Times New Roman" w:hAnsi="Times New Roman" w:cs="Times New Roman"/>
                <w:color w:val="auto"/>
                <w:sz w:val="21"/>
                <w:szCs w:val="21"/>
                <w:highlight w:val="none"/>
              </w:rPr>
            </w:pPr>
          </w:p>
        </w:tc>
        <w:tc>
          <w:tcPr>
            <w:tcW w:w="1216" w:type="pct"/>
            <w:vMerge w:val="continue"/>
            <w:tcBorders>
              <w:tl2br w:val="nil"/>
              <w:tr2bl w:val="nil"/>
            </w:tcBorders>
            <w:shd w:val="clear" w:color="auto" w:fill="auto"/>
            <w:noWrap/>
            <w:tcMar>
              <w:top w:w="15" w:type="dxa"/>
              <w:left w:w="15" w:type="dxa"/>
              <w:right w:w="15" w:type="dxa"/>
            </w:tcMar>
            <w:vAlign w:val="center"/>
          </w:tcPr>
          <w:p w14:paraId="65C2EDB6">
            <w:pPr>
              <w:spacing w:line="240" w:lineRule="auto"/>
              <w:jc w:val="center"/>
              <w:rPr>
                <w:rFonts w:hint="default" w:ascii="Times New Roman" w:hAnsi="Times New Roman" w:cs="Times New Roman"/>
                <w:color w:val="auto"/>
                <w:sz w:val="21"/>
                <w:szCs w:val="21"/>
                <w:highlight w:val="none"/>
              </w:rPr>
            </w:pPr>
          </w:p>
        </w:tc>
      </w:tr>
      <w:tr w14:paraId="5660BC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168" w:type="pct"/>
            <w:tcBorders>
              <w:tl2br w:val="nil"/>
              <w:tr2bl w:val="nil"/>
            </w:tcBorders>
            <w:shd w:val="clear" w:color="auto" w:fill="auto"/>
            <w:noWrap/>
            <w:tcMar>
              <w:top w:w="15" w:type="dxa"/>
              <w:left w:w="15" w:type="dxa"/>
              <w:right w:w="15" w:type="dxa"/>
            </w:tcMar>
            <w:vAlign w:val="center"/>
          </w:tcPr>
          <w:p w14:paraId="66F597A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w:t>
            </w:r>
          </w:p>
        </w:tc>
        <w:tc>
          <w:tcPr>
            <w:tcW w:w="420" w:type="pct"/>
            <w:vMerge w:val="continue"/>
            <w:tcBorders>
              <w:tl2br w:val="nil"/>
              <w:tr2bl w:val="nil"/>
            </w:tcBorders>
            <w:shd w:val="clear" w:color="auto" w:fill="auto"/>
            <w:noWrap/>
            <w:tcMar>
              <w:top w:w="15" w:type="dxa"/>
              <w:left w:w="15" w:type="dxa"/>
              <w:right w:w="15" w:type="dxa"/>
            </w:tcMar>
            <w:vAlign w:val="center"/>
          </w:tcPr>
          <w:p w14:paraId="7BD2B56D">
            <w:pPr>
              <w:spacing w:line="240" w:lineRule="auto"/>
              <w:jc w:val="center"/>
              <w:rPr>
                <w:rFonts w:hint="default" w:ascii="Times New Roman" w:hAnsi="Times New Roman" w:cs="Times New Roman"/>
                <w:color w:val="auto"/>
                <w:sz w:val="21"/>
                <w:szCs w:val="21"/>
                <w:highlight w:val="none"/>
              </w:rPr>
            </w:pPr>
          </w:p>
        </w:tc>
        <w:tc>
          <w:tcPr>
            <w:tcW w:w="486" w:type="pct"/>
            <w:tcBorders>
              <w:tl2br w:val="nil"/>
              <w:tr2bl w:val="nil"/>
            </w:tcBorders>
            <w:shd w:val="clear" w:color="auto" w:fill="auto"/>
            <w:noWrap/>
            <w:tcMar>
              <w:top w:w="15" w:type="dxa"/>
              <w:left w:w="15" w:type="dxa"/>
              <w:right w:w="15" w:type="dxa"/>
            </w:tcMar>
            <w:vAlign w:val="center"/>
          </w:tcPr>
          <w:p w14:paraId="25AC6616">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XM-3-400</w:t>
            </w:r>
          </w:p>
        </w:tc>
        <w:tc>
          <w:tcPr>
            <w:tcW w:w="1053" w:type="pct"/>
            <w:tcBorders>
              <w:tl2br w:val="nil"/>
              <w:tr2bl w:val="nil"/>
            </w:tcBorders>
            <w:shd w:val="clear" w:color="auto" w:fill="auto"/>
            <w:noWrap/>
            <w:tcMar>
              <w:top w:w="15" w:type="dxa"/>
              <w:left w:w="15" w:type="dxa"/>
              <w:right w:w="15" w:type="dxa"/>
            </w:tcMar>
            <w:vAlign w:val="center"/>
          </w:tcPr>
          <w:p w14:paraId="0256C48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园区边界南侧下风向400m</w:t>
            </w:r>
          </w:p>
        </w:tc>
        <w:tc>
          <w:tcPr>
            <w:tcW w:w="473" w:type="pct"/>
            <w:tcBorders>
              <w:tl2br w:val="nil"/>
              <w:tr2bl w:val="nil"/>
            </w:tcBorders>
            <w:shd w:val="clear" w:color="auto" w:fill="auto"/>
            <w:noWrap/>
            <w:tcMar>
              <w:top w:w="15" w:type="dxa"/>
              <w:left w:w="15" w:type="dxa"/>
              <w:right w:w="15" w:type="dxa"/>
            </w:tcMar>
            <w:vAlign w:val="center"/>
          </w:tcPr>
          <w:p w14:paraId="4101452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114.900958 </w:t>
            </w:r>
          </w:p>
        </w:tc>
        <w:tc>
          <w:tcPr>
            <w:tcW w:w="475" w:type="pct"/>
            <w:tcBorders>
              <w:tl2br w:val="nil"/>
              <w:tr2bl w:val="nil"/>
            </w:tcBorders>
            <w:shd w:val="clear" w:color="auto" w:fill="auto"/>
            <w:noWrap/>
            <w:tcMar>
              <w:top w:w="15" w:type="dxa"/>
              <w:left w:w="15" w:type="dxa"/>
              <w:right w:w="15" w:type="dxa"/>
            </w:tcMar>
            <w:vAlign w:val="center"/>
          </w:tcPr>
          <w:p w14:paraId="7ABDD33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30.337519 </w:t>
            </w:r>
          </w:p>
        </w:tc>
        <w:tc>
          <w:tcPr>
            <w:tcW w:w="704" w:type="pct"/>
            <w:vMerge w:val="continue"/>
            <w:tcBorders>
              <w:tl2br w:val="nil"/>
              <w:tr2bl w:val="nil"/>
            </w:tcBorders>
            <w:shd w:val="clear" w:color="auto" w:fill="auto"/>
            <w:noWrap/>
            <w:tcMar>
              <w:top w:w="15" w:type="dxa"/>
              <w:left w:w="15" w:type="dxa"/>
              <w:right w:w="15" w:type="dxa"/>
            </w:tcMar>
            <w:vAlign w:val="center"/>
          </w:tcPr>
          <w:p w14:paraId="7B11FC6F">
            <w:pPr>
              <w:spacing w:line="240" w:lineRule="auto"/>
              <w:jc w:val="center"/>
              <w:rPr>
                <w:rFonts w:hint="default" w:ascii="Times New Roman" w:hAnsi="Times New Roman" w:cs="Times New Roman"/>
                <w:color w:val="auto"/>
                <w:sz w:val="21"/>
                <w:szCs w:val="21"/>
                <w:highlight w:val="none"/>
              </w:rPr>
            </w:pPr>
          </w:p>
        </w:tc>
        <w:tc>
          <w:tcPr>
            <w:tcW w:w="1216" w:type="pct"/>
            <w:vMerge w:val="continue"/>
            <w:tcBorders>
              <w:tl2br w:val="nil"/>
              <w:tr2bl w:val="nil"/>
            </w:tcBorders>
            <w:shd w:val="clear" w:color="auto" w:fill="auto"/>
            <w:noWrap/>
            <w:tcMar>
              <w:top w:w="15" w:type="dxa"/>
              <w:left w:w="15" w:type="dxa"/>
              <w:right w:w="15" w:type="dxa"/>
            </w:tcMar>
            <w:vAlign w:val="center"/>
          </w:tcPr>
          <w:p w14:paraId="4B103FDB">
            <w:pPr>
              <w:spacing w:line="240" w:lineRule="auto"/>
              <w:jc w:val="center"/>
              <w:rPr>
                <w:rFonts w:hint="default" w:ascii="Times New Roman" w:hAnsi="Times New Roman" w:cs="Times New Roman"/>
                <w:color w:val="auto"/>
                <w:sz w:val="21"/>
                <w:szCs w:val="21"/>
                <w:highlight w:val="none"/>
              </w:rPr>
            </w:pPr>
          </w:p>
        </w:tc>
      </w:tr>
      <w:tr w14:paraId="399000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168" w:type="pct"/>
            <w:tcBorders>
              <w:tl2br w:val="nil"/>
              <w:tr2bl w:val="nil"/>
            </w:tcBorders>
            <w:shd w:val="clear" w:color="auto" w:fill="auto"/>
            <w:noWrap/>
            <w:tcMar>
              <w:top w:w="15" w:type="dxa"/>
              <w:left w:w="15" w:type="dxa"/>
              <w:right w:w="15" w:type="dxa"/>
            </w:tcMar>
            <w:vAlign w:val="center"/>
          </w:tcPr>
          <w:p w14:paraId="3F5D391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420" w:type="pct"/>
            <w:vMerge w:val="continue"/>
            <w:tcBorders>
              <w:tl2br w:val="nil"/>
              <w:tr2bl w:val="nil"/>
            </w:tcBorders>
            <w:shd w:val="clear" w:color="auto" w:fill="auto"/>
            <w:noWrap/>
            <w:tcMar>
              <w:top w:w="15" w:type="dxa"/>
              <w:left w:w="15" w:type="dxa"/>
              <w:right w:w="15" w:type="dxa"/>
            </w:tcMar>
            <w:vAlign w:val="center"/>
          </w:tcPr>
          <w:p w14:paraId="7F2D74FA">
            <w:pPr>
              <w:spacing w:line="240" w:lineRule="auto"/>
              <w:jc w:val="center"/>
              <w:rPr>
                <w:rFonts w:hint="default" w:ascii="Times New Roman" w:hAnsi="Times New Roman" w:cs="Times New Roman"/>
                <w:color w:val="auto"/>
                <w:sz w:val="21"/>
                <w:szCs w:val="21"/>
                <w:highlight w:val="none"/>
              </w:rPr>
            </w:pPr>
          </w:p>
        </w:tc>
        <w:tc>
          <w:tcPr>
            <w:tcW w:w="486" w:type="pct"/>
            <w:tcBorders>
              <w:tl2br w:val="nil"/>
              <w:tr2bl w:val="nil"/>
            </w:tcBorders>
            <w:shd w:val="clear" w:color="auto" w:fill="auto"/>
            <w:noWrap/>
            <w:tcMar>
              <w:top w:w="15" w:type="dxa"/>
              <w:left w:w="15" w:type="dxa"/>
              <w:right w:w="15" w:type="dxa"/>
            </w:tcMar>
            <w:vAlign w:val="center"/>
          </w:tcPr>
          <w:p w14:paraId="20F736D3">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XM-4</w:t>
            </w:r>
            <w:r>
              <w:rPr>
                <w:rFonts w:hint="default" w:ascii="Times New Roman" w:hAnsi="Times New Roman" w:cs="Times New Roman"/>
                <w:color w:val="auto"/>
                <w:sz w:val="21"/>
                <w:szCs w:val="21"/>
                <w:highlight w:val="none"/>
                <w:vertAlign w:val="superscript"/>
                <w:lang w:val="en-US" w:eastAsia="zh-CN"/>
              </w:rPr>
              <w:t>②</w:t>
            </w:r>
          </w:p>
        </w:tc>
        <w:tc>
          <w:tcPr>
            <w:tcW w:w="1053" w:type="pct"/>
            <w:tcBorders>
              <w:tl2br w:val="nil"/>
              <w:tr2bl w:val="nil"/>
            </w:tcBorders>
            <w:shd w:val="clear" w:color="auto" w:fill="auto"/>
            <w:noWrap/>
            <w:tcMar>
              <w:top w:w="15" w:type="dxa"/>
              <w:left w:w="15" w:type="dxa"/>
              <w:right w:w="15" w:type="dxa"/>
            </w:tcMar>
            <w:vAlign w:val="center"/>
          </w:tcPr>
          <w:p w14:paraId="367FAC53">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园区边界北侧上风向20m</w:t>
            </w:r>
            <w:r>
              <w:rPr>
                <w:rFonts w:hint="default" w:ascii="Times New Roman" w:hAnsi="Times New Roman" w:cs="Times New Roman"/>
                <w:color w:val="auto"/>
                <w:sz w:val="21"/>
                <w:szCs w:val="21"/>
                <w:highlight w:val="none"/>
                <w:lang w:val="en-US" w:eastAsia="zh-CN"/>
              </w:rPr>
              <w:t>以外</w:t>
            </w:r>
          </w:p>
        </w:tc>
        <w:tc>
          <w:tcPr>
            <w:tcW w:w="473" w:type="pct"/>
            <w:tcBorders>
              <w:tl2br w:val="nil"/>
              <w:tr2bl w:val="nil"/>
            </w:tcBorders>
            <w:shd w:val="clear" w:color="auto" w:fill="auto"/>
            <w:noWrap/>
            <w:tcMar>
              <w:top w:w="15" w:type="dxa"/>
              <w:left w:w="15" w:type="dxa"/>
              <w:right w:w="15" w:type="dxa"/>
            </w:tcMar>
            <w:vAlign w:val="center"/>
          </w:tcPr>
          <w:p w14:paraId="79213C2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114.953084 </w:t>
            </w:r>
          </w:p>
        </w:tc>
        <w:tc>
          <w:tcPr>
            <w:tcW w:w="475" w:type="pct"/>
            <w:tcBorders>
              <w:tl2br w:val="nil"/>
              <w:tr2bl w:val="nil"/>
            </w:tcBorders>
            <w:shd w:val="clear" w:color="auto" w:fill="auto"/>
            <w:noWrap/>
            <w:tcMar>
              <w:top w:w="15" w:type="dxa"/>
              <w:left w:w="15" w:type="dxa"/>
              <w:right w:w="15" w:type="dxa"/>
            </w:tcMar>
            <w:vAlign w:val="center"/>
          </w:tcPr>
          <w:p w14:paraId="719F198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30.396971 </w:t>
            </w:r>
          </w:p>
        </w:tc>
        <w:tc>
          <w:tcPr>
            <w:tcW w:w="704" w:type="pct"/>
            <w:vMerge w:val="continue"/>
            <w:tcBorders>
              <w:tl2br w:val="nil"/>
              <w:tr2bl w:val="nil"/>
            </w:tcBorders>
            <w:shd w:val="clear" w:color="auto" w:fill="auto"/>
            <w:noWrap/>
            <w:tcMar>
              <w:top w:w="15" w:type="dxa"/>
              <w:left w:w="15" w:type="dxa"/>
              <w:right w:w="15" w:type="dxa"/>
            </w:tcMar>
            <w:vAlign w:val="center"/>
          </w:tcPr>
          <w:p w14:paraId="3A4CD9C4">
            <w:pPr>
              <w:spacing w:line="240" w:lineRule="auto"/>
              <w:jc w:val="center"/>
              <w:rPr>
                <w:rFonts w:hint="default" w:ascii="Times New Roman" w:hAnsi="Times New Roman" w:cs="Times New Roman"/>
                <w:color w:val="auto"/>
                <w:sz w:val="21"/>
                <w:szCs w:val="21"/>
                <w:highlight w:val="none"/>
              </w:rPr>
            </w:pPr>
          </w:p>
        </w:tc>
        <w:tc>
          <w:tcPr>
            <w:tcW w:w="1216" w:type="pct"/>
            <w:vMerge w:val="continue"/>
            <w:tcBorders>
              <w:tl2br w:val="nil"/>
              <w:tr2bl w:val="nil"/>
            </w:tcBorders>
            <w:shd w:val="clear" w:color="auto" w:fill="auto"/>
            <w:noWrap/>
            <w:tcMar>
              <w:top w:w="15" w:type="dxa"/>
              <w:left w:w="15" w:type="dxa"/>
              <w:right w:w="15" w:type="dxa"/>
            </w:tcMar>
            <w:vAlign w:val="center"/>
          </w:tcPr>
          <w:p w14:paraId="3919A13A">
            <w:pPr>
              <w:spacing w:line="240" w:lineRule="auto"/>
              <w:jc w:val="center"/>
              <w:rPr>
                <w:rFonts w:hint="default" w:ascii="Times New Roman" w:hAnsi="Times New Roman" w:cs="Times New Roman"/>
                <w:color w:val="auto"/>
                <w:sz w:val="21"/>
                <w:szCs w:val="21"/>
                <w:highlight w:val="none"/>
              </w:rPr>
            </w:pPr>
          </w:p>
        </w:tc>
      </w:tr>
      <w:tr w14:paraId="09ADF9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168" w:type="pct"/>
            <w:tcBorders>
              <w:tl2br w:val="nil"/>
              <w:tr2bl w:val="nil"/>
            </w:tcBorders>
            <w:shd w:val="clear" w:color="auto" w:fill="auto"/>
            <w:noWrap/>
            <w:tcMar>
              <w:top w:w="15" w:type="dxa"/>
              <w:left w:w="15" w:type="dxa"/>
              <w:right w:w="15" w:type="dxa"/>
            </w:tcMar>
            <w:vAlign w:val="center"/>
          </w:tcPr>
          <w:p w14:paraId="694555F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w:t>
            </w:r>
          </w:p>
        </w:tc>
        <w:tc>
          <w:tcPr>
            <w:tcW w:w="420" w:type="pct"/>
            <w:vMerge w:val="restart"/>
            <w:tcBorders>
              <w:tl2br w:val="nil"/>
              <w:tr2bl w:val="nil"/>
            </w:tcBorders>
            <w:shd w:val="clear" w:color="auto" w:fill="auto"/>
            <w:noWrap/>
            <w:tcMar>
              <w:top w:w="15" w:type="dxa"/>
              <w:left w:w="15" w:type="dxa"/>
              <w:right w:w="15" w:type="dxa"/>
            </w:tcMar>
            <w:vAlign w:val="center"/>
          </w:tcPr>
          <w:p w14:paraId="7A765E09">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企业聚集区周边</w:t>
            </w:r>
          </w:p>
        </w:tc>
        <w:tc>
          <w:tcPr>
            <w:tcW w:w="486" w:type="pct"/>
            <w:tcBorders>
              <w:tl2br w:val="nil"/>
              <w:tr2bl w:val="nil"/>
            </w:tcBorders>
            <w:shd w:val="clear" w:color="auto" w:fill="auto"/>
            <w:noWrap/>
            <w:tcMar>
              <w:top w:w="15" w:type="dxa"/>
              <w:left w:w="15" w:type="dxa"/>
              <w:right w:w="15" w:type="dxa"/>
            </w:tcMar>
            <w:vAlign w:val="center"/>
          </w:tcPr>
          <w:p w14:paraId="1A61DA99">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XM-JJ-1</w:t>
            </w:r>
          </w:p>
        </w:tc>
        <w:tc>
          <w:tcPr>
            <w:tcW w:w="1053" w:type="pct"/>
            <w:tcBorders>
              <w:tl2br w:val="nil"/>
              <w:tr2bl w:val="nil"/>
            </w:tcBorders>
            <w:shd w:val="clear" w:color="auto" w:fill="auto"/>
            <w:noWrap/>
            <w:tcMar>
              <w:top w:w="15" w:type="dxa"/>
              <w:left w:w="15" w:type="dxa"/>
              <w:right w:w="15" w:type="dxa"/>
            </w:tcMar>
            <w:vAlign w:val="center"/>
          </w:tcPr>
          <w:p w14:paraId="5AE1D9F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企业聚集区西侧</w:t>
            </w:r>
          </w:p>
        </w:tc>
        <w:tc>
          <w:tcPr>
            <w:tcW w:w="473" w:type="pct"/>
            <w:tcBorders>
              <w:tl2br w:val="nil"/>
              <w:tr2bl w:val="nil"/>
            </w:tcBorders>
            <w:shd w:val="clear" w:color="auto" w:fill="auto"/>
            <w:noWrap/>
            <w:tcMar>
              <w:top w:w="15" w:type="dxa"/>
              <w:left w:w="15" w:type="dxa"/>
              <w:right w:w="15" w:type="dxa"/>
            </w:tcMar>
            <w:vAlign w:val="center"/>
          </w:tcPr>
          <w:p w14:paraId="25B59BB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114.919503 </w:t>
            </w:r>
          </w:p>
        </w:tc>
        <w:tc>
          <w:tcPr>
            <w:tcW w:w="475" w:type="pct"/>
            <w:tcBorders>
              <w:tl2br w:val="nil"/>
              <w:tr2bl w:val="nil"/>
            </w:tcBorders>
            <w:shd w:val="clear" w:color="auto" w:fill="auto"/>
            <w:noWrap/>
            <w:tcMar>
              <w:top w:w="15" w:type="dxa"/>
              <w:left w:w="15" w:type="dxa"/>
              <w:right w:w="15" w:type="dxa"/>
            </w:tcMar>
            <w:vAlign w:val="center"/>
          </w:tcPr>
          <w:p w14:paraId="57AAEFBF">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30.386324 </w:t>
            </w:r>
          </w:p>
        </w:tc>
        <w:tc>
          <w:tcPr>
            <w:tcW w:w="704" w:type="pct"/>
            <w:vMerge w:val="continue"/>
            <w:tcBorders>
              <w:tl2br w:val="nil"/>
              <w:tr2bl w:val="nil"/>
            </w:tcBorders>
            <w:shd w:val="clear" w:color="auto" w:fill="auto"/>
            <w:noWrap/>
            <w:tcMar>
              <w:top w:w="15" w:type="dxa"/>
              <w:left w:w="15" w:type="dxa"/>
              <w:right w:w="15" w:type="dxa"/>
            </w:tcMar>
            <w:vAlign w:val="center"/>
          </w:tcPr>
          <w:p w14:paraId="7E48D541">
            <w:pPr>
              <w:spacing w:line="240" w:lineRule="auto"/>
              <w:jc w:val="center"/>
              <w:rPr>
                <w:rFonts w:hint="default" w:ascii="Times New Roman" w:hAnsi="Times New Roman" w:cs="Times New Roman"/>
                <w:color w:val="auto"/>
                <w:sz w:val="21"/>
                <w:szCs w:val="21"/>
                <w:highlight w:val="none"/>
              </w:rPr>
            </w:pPr>
          </w:p>
        </w:tc>
        <w:tc>
          <w:tcPr>
            <w:tcW w:w="1216" w:type="pct"/>
            <w:vMerge w:val="restart"/>
            <w:tcBorders>
              <w:tl2br w:val="nil"/>
              <w:tr2bl w:val="nil"/>
            </w:tcBorders>
            <w:shd w:val="clear" w:color="auto" w:fill="auto"/>
            <w:noWrap/>
            <w:tcMar>
              <w:top w:w="15" w:type="dxa"/>
              <w:left w:w="15" w:type="dxa"/>
              <w:right w:w="15" w:type="dxa"/>
            </w:tcMar>
            <w:vAlign w:val="center"/>
          </w:tcPr>
          <w:p w14:paraId="6E79E7AC">
            <w:pPr>
              <w:spacing w:line="240" w:lineRule="auto"/>
              <w:jc w:val="center"/>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基本项目（48项）、</w:t>
            </w:r>
          </w:p>
          <w:p w14:paraId="5390809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color w:val="auto"/>
                <w:kern w:val="0"/>
                <w:sz w:val="21"/>
                <w:szCs w:val="21"/>
                <w:highlight w:val="none"/>
              </w:rPr>
              <w:t>园区增测项目（5项）</w:t>
            </w:r>
          </w:p>
        </w:tc>
      </w:tr>
      <w:tr w14:paraId="3D1E8F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168" w:type="pct"/>
            <w:tcBorders>
              <w:tl2br w:val="nil"/>
              <w:tr2bl w:val="nil"/>
            </w:tcBorders>
            <w:shd w:val="clear" w:color="auto" w:fill="auto"/>
            <w:noWrap/>
            <w:tcMar>
              <w:top w:w="15" w:type="dxa"/>
              <w:left w:w="15" w:type="dxa"/>
              <w:right w:w="15" w:type="dxa"/>
            </w:tcMar>
            <w:vAlign w:val="center"/>
          </w:tcPr>
          <w:p w14:paraId="3CBBF2B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w:t>
            </w:r>
          </w:p>
        </w:tc>
        <w:tc>
          <w:tcPr>
            <w:tcW w:w="420" w:type="pct"/>
            <w:vMerge w:val="continue"/>
            <w:tcBorders>
              <w:tl2br w:val="nil"/>
              <w:tr2bl w:val="nil"/>
            </w:tcBorders>
            <w:shd w:val="clear" w:color="auto" w:fill="auto"/>
            <w:noWrap/>
            <w:tcMar>
              <w:top w:w="15" w:type="dxa"/>
              <w:left w:w="15" w:type="dxa"/>
              <w:right w:w="15" w:type="dxa"/>
            </w:tcMar>
            <w:vAlign w:val="center"/>
          </w:tcPr>
          <w:p w14:paraId="2FB2A9E2">
            <w:pPr>
              <w:spacing w:line="240" w:lineRule="auto"/>
              <w:jc w:val="center"/>
              <w:rPr>
                <w:rFonts w:hint="default" w:ascii="Times New Roman" w:hAnsi="Times New Roman" w:cs="Times New Roman"/>
                <w:color w:val="auto"/>
                <w:sz w:val="21"/>
                <w:szCs w:val="21"/>
                <w:highlight w:val="none"/>
              </w:rPr>
            </w:pPr>
          </w:p>
        </w:tc>
        <w:tc>
          <w:tcPr>
            <w:tcW w:w="486" w:type="pct"/>
            <w:tcBorders>
              <w:tl2br w:val="nil"/>
              <w:tr2bl w:val="nil"/>
            </w:tcBorders>
            <w:shd w:val="clear" w:color="auto" w:fill="auto"/>
            <w:noWrap/>
            <w:tcMar>
              <w:top w:w="15" w:type="dxa"/>
              <w:left w:w="15" w:type="dxa"/>
              <w:right w:w="15" w:type="dxa"/>
            </w:tcMar>
            <w:vAlign w:val="center"/>
          </w:tcPr>
          <w:p w14:paraId="3F8156CF">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XM-JJ-2</w:t>
            </w:r>
          </w:p>
        </w:tc>
        <w:tc>
          <w:tcPr>
            <w:tcW w:w="1053" w:type="pct"/>
            <w:tcBorders>
              <w:tl2br w:val="nil"/>
              <w:tr2bl w:val="nil"/>
            </w:tcBorders>
            <w:shd w:val="clear" w:color="auto" w:fill="auto"/>
            <w:noWrap/>
            <w:tcMar>
              <w:top w:w="15" w:type="dxa"/>
              <w:left w:w="15" w:type="dxa"/>
              <w:right w:w="15" w:type="dxa"/>
            </w:tcMar>
            <w:vAlign w:val="center"/>
          </w:tcPr>
          <w:p w14:paraId="59E9007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企业聚集区南侧</w:t>
            </w:r>
          </w:p>
        </w:tc>
        <w:tc>
          <w:tcPr>
            <w:tcW w:w="473" w:type="pct"/>
            <w:tcBorders>
              <w:tl2br w:val="nil"/>
              <w:tr2bl w:val="nil"/>
            </w:tcBorders>
            <w:shd w:val="clear" w:color="auto" w:fill="auto"/>
            <w:noWrap/>
            <w:tcMar>
              <w:top w:w="15" w:type="dxa"/>
              <w:left w:w="15" w:type="dxa"/>
              <w:right w:w="15" w:type="dxa"/>
            </w:tcMar>
            <w:vAlign w:val="center"/>
          </w:tcPr>
          <w:p w14:paraId="43E4F045">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114.944026 </w:t>
            </w:r>
          </w:p>
        </w:tc>
        <w:tc>
          <w:tcPr>
            <w:tcW w:w="475" w:type="pct"/>
            <w:tcBorders>
              <w:tl2br w:val="nil"/>
              <w:tr2bl w:val="nil"/>
            </w:tcBorders>
            <w:shd w:val="clear" w:color="auto" w:fill="auto"/>
            <w:noWrap/>
            <w:tcMar>
              <w:top w:w="15" w:type="dxa"/>
              <w:left w:w="15" w:type="dxa"/>
              <w:right w:w="15" w:type="dxa"/>
            </w:tcMar>
            <w:vAlign w:val="center"/>
          </w:tcPr>
          <w:p w14:paraId="0FE10E0F">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30.387825 </w:t>
            </w:r>
          </w:p>
        </w:tc>
        <w:tc>
          <w:tcPr>
            <w:tcW w:w="704" w:type="pct"/>
            <w:vMerge w:val="continue"/>
            <w:tcBorders>
              <w:tl2br w:val="nil"/>
              <w:tr2bl w:val="nil"/>
            </w:tcBorders>
            <w:shd w:val="clear" w:color="auto" w:fill="auto"/>
            <w:noWrap/>
            <w:tcMar>
              <w:top w:w="15" w:type="dxa"/>
              <w:left w:w="15" w:type="dxa"/>
              <w:right w:w="15" w:type="dxa"/>
            </w:tcMar>
            <w:vAlign w:val="center"/>
          </w:tcPr>
          <w:p w14:paraId="6AA03032">
            <w:pPr>
              <w:spacing w:line="240" w:lineRule="auto"/>
              <w:jc w:val="center"/>
              <w:rPr>
                <w:rFonts w:hint="default" w:ascii="Times New Roman" w:hAnsi="Times New Roman" w:cs="Times New Roman"/>
                <w:color w:val="auto"/>
                <w:sz w:val="21"/>
                <w:szCs w:val="21"/>
                <w:highlight w:val="none"/>
              </w:rPr>
            </w:pPr>
          </w:p>
        </w:tc>
        <w:tc>
          <w:tcPr>
            <w:tcW w:w="1216" w:type="pct"/>
            <w:vMerge w:val="continue"/>
            <w:tcBorders>
              <w:tl2br w:val="nil"/>
              <w:tr2bl w:val="nil"/>
            </w:tcBorders>
            <w:shd w:val="clear" w:color="auto" w:fill="auto"/>
            <w:noWrap/>
            <w:tcMar>
              <w:top w:w="15" w:type="dxa"/>
              <w:left w:w="15" w:type="dxa"/>
              <w:right w:w="15" w:type="dxa"/>
            </w:tcMar>
            <w:vAlign w:val="center"/>
          </w:tcPr>
          <w:p w14:paraId="15E875E8">
            <w:pPr>
              <w:spacing w:line="240" w:lineRule="auto"/>
              <w:jc w:val="center"/>
              <w:rPr>
                <w:rFonts w:hint="default" w:ascii="Times New Roman" w:hAnsi="Times New Roman" w:cs="Times New Roman"/>
                <w:color w:val="auto"/>
                <w:sz w:val="21"/>
                <w:szCs w:val="21"/>
                <w:highlight w:val="none"/>
              </w:rPr>
            </w:pPr>
          </w:p>
        </w:tc>
      </w:tr>
      <w:tr w14:paraId="6A9349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168" w:type="pct"/>
            <w:tcBorders>
              <w:tl2br w:val="nil"/>
              <w:tr2bl w:val="nil"/>
            </w:tcBorders>
            <w:shd w:val="clear" w:color="auto" w:fill="auto"/>
            <w:noWrap/>
            <w:tcMar>
              <w:top w:w="15" w:type="dxa"/>
              <w:left w:w="15" w:type="dxa"/>
              <w:right w:w="15" w:type="dxa"/>
            </w:tcMar>
            <w:vAlign w:val="center"/>
          </w:tcPr>
          <w:p w14:paraId="0B60CAF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13</w:t>
            </w:r>
          </w:p>
        </w:tc>
        <w:tc>
          <w:tcPr>
            <w:tcW w:w="420" w:type="pct"/>
            <w:vMerge w:val="continue"/>
            <w:tcBorders>
              <w:tl2br w:val="nil"/>
              <w:tr2bl w:val="nil"/>
            </w:tcBorders>
            <w:shd w:val="clear" w:color="auto" w:fill="auto"/>
            <w:noWrap/>
            <w:tcMar>
              <w:top w:w="15" w:type="dxa"/>
              <w:left w:w="15" w:type="dxa"/>
              <w:right w:w="15" w:type="dxa"/>
            </w:tcMar>
            <w:vAlign w:val="center"/>
          </w:tcPr>
          <w:p w14:paraId="169EC218">
            <w:pPr>
              <w:spacing w:line="240" w:lineRule="auto"/>
              <w:jc w:val="center"/>
              <w:rPr>
                <w:rFonts w:hint="default" w:ascii="Times New Roman" w:hAnsi="Times New Roman" w:cs="Times New Roman"/>
                <w:color w:val="auto"/>
                <w:sz w:val="21"/>
                <w:szCs w:val="21"/>
                <w:highlight w:val="none"/>
              </w:rPr>
            </w:pPr>
          </w:p>
        </w:tc>
        <w:tc>
          <w:tcPr>
            <w:tcW w:w="486" w:type="pct"/>
            <w:tcBorders>
              <w:tl2br w:val="nil"/>
              <w:tr2bl w:val="nil"/>
            </w:tcBorders>
            <w:shd w:val="clear" w:color="auto" w:fill="auto"/>
            <w:noWrap/>
            <w:tcMar>
              <w:top w:w="15" w:type="dxa"/>
              <w:left w:w="15" w:type="dxa"/>
              <w:right w:w="15" w:type="dxa"/>
            </w:tcMar>
            <w:vAlign w:val="center"/>
          </w:tcPr>
          <w:p w14:paraId="64C0BF8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XM-JJ-3</w:t>
            </w:r>
          </w:p>
        </w:tc>
        <w:tc>
          <w:tcPr>
            <w:tcW w:w="1053" w:type="pct"/>
            <w:tcBorders>
              <w:tl2br w:val="nil"/>
              <w:tr2bl w:val="nil"/>
            </w:tcBorders>
            <w:shd w:val="clear" w:color="auto" w:fill="auto"/>
            <w:noWrap/>
            <w:tcMar>
              <w:top w:w="15" w:type="dxa"/>
              <w:left w:w="15" w:type="dxa"/>
              <w:right w:w="15" w:type="dxa"/>
            </w:tcMar>
            <w:vAlign w:val="center"/>
          </w:tcPr>
          <w:p w14:paraId="5D8F7A6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企业聚集区西侧</w:t>
            </w:r>
          </w:p>
        </w:tc>
        <w:tc>
          <w:tcPr>
            <w:tcW w:w="473" w:type="pct"/>
            <w:tcBorders>
              <w:tl2br w:val="nil"/>
              <w:tr2bl w:val="nil"/>
            </w:tcBorders>
            <w:shd w:val="clear" w:color="auto" w:fill="auto"/>
            <w:noWrap/>
            <w:tcMar>
              <w:top w:w="15" w:type="dxa"/>
              <w:left w:w="15" w:type="dxa"/>
              <w:right w:w="15" w:type="dxa"/>
            </w:tcMar>
            <w:vAlign w:val="center"/>
          </w:tcPr>
          <w:p w14:paraId="2C2861B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114.917979 </w:t>
            </w:r>
          </w:p>
        </w:tc>
        <w:tc>
          <w:tcPr>
            <w:tcW w:w="475" w:type="pct"/>
            <w:tcBorders>
              <w:tl2br w:val="nil"/>
              <w:tr2bl w:val="nil"/>
            </w:tcBorders>
            <w:shd w:val="clear" w:color="auto" w:fill="auto"/>
            <w:noWrap/>
            <w:tcMar>
              <w:top w:w="15" w:type="dxa"/>
              <w:left w:w="15" w:type="dxa"/>
              <w:right w:w="15" w:type="dxa"/>
            </w:tcMar>
            <w:vAlign w:val="center"/>
          </w:tcPr>
          <w:p w14:paraId="367445E6">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30.362410 </w:t>
            </w:r>
          </w:p>
        </w:tc>
        <w:tc>
          <w:tcPr>
            <w:tcW w:w="704" w:type="pct"/>
            <w:vMerge w:val="continue"/>
            <w:tcBorders>
              <w:tl2br w:val="nil"/>
              <w:tr2bl w:val="nil"/>
            </w:tcBorders>
            <w:shd w:val="clear" w:color="auto" w:fill="auto"/>
            <w:noWrap/>
            <w:tcMar>
              <w:top w:w="15" w:type="dxa"/>
              <w:left w:w="15" w:type="dxa"/>
              <w:right w:w="15" w:type="dxa"/>
            </w:tcMar>
            <w:vAlign w:val="center"/>
          </w:tcPr>
          <w:p w14:paraId="7FB7C144">
            <w:pPr>
              <w:spacing w:line="240" w:lineRule="auto"/>
              <w:jc w:val="center"/>
              <w:rPr>
                <w:rFonts w:hint="default" w:ascii="Times New Roman" w:hAnsi="Times New Roman" w:cs="Times New Roman"/>
                <w:color w:val="auto"/>
                <w:sz w:val="21"/>
                <w:szCs w:val="21"/>
                <w:highlight w:val="none"/>
              </w:rPr>
            </w:pPr>
          </w:p>
        </w:tc>
        <w:tc>
          <w:tcPr>
            <w:tcW w:w="1216" w:type="pct"/>
            <w:vMerge w:val="continue"/>
            <w:tcBorders>
              <w:tl2br w:val="nil"/>
              <w:tr2bl w:val="nil"/>
            </w:tcBorders>
            <w:shd w:val="clear" w:color="auto" w:fill="auto"/>
            <w:noWrap/>
            <w:tcMar>
              <w:top w:w="15" w:type="dxa"/>
              <w:left w:w="15" w:type="dxa"/>
              <w:right w:w="15" w:type="dxa"/>
            </w:tcMar>
            <w:vAlign w:val="center"/>
          </w:tcPr>
          <w:p w14:paraId="36F64CCC">
            <w:pPr>
              <w:spacing w:line="240" w:lineRule="auto"/>
              <w:jc w:val="center"/>
              <w:rPr>
                <w:rFonts w:hint="default" w:ascii="Times New Roman" w:hAnsi="Times New Roman" w:cs="Times New Roman"/>
                <w:color w:val="auto"/>
                <w:sz w:val="21"/>
                <w:szCs w:val="21"/>
                <w:highlight w:val="none"/>
              </w:rPr>
            </w:pPr>
          </w:p>
        </w:tc>
      </w:tr>
      <w:tr w14:paraId="3EF6D1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168" w:type="pct"/>
            <w:tcBorders>
              <w:tl2br w:val="nil"/>
              <w:tr2bl w:val="nil"/>
            </w:tcBorders>
            <w:shd w:val="clear" w:color="auto" w:fill="auto"/>
            <w:noWrap/>
            <w:tcMar>
              <w:top w:w="15" w:type="dxa"/>
              <w:left w:w="15" w:type="dxa"/>
              <w:right w:w="15" w:type="dxa"/>
            </w:tcMar>
            <w:vAlign w:val="center"/>
          </w:tcPr>
          <w:p w14:paraId="4782AB2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14</w:t>
            </w:r>
          </w:p>
        </w:tc>
        <w:tc>
          <w:tcPr>
            <w:tcW w:w="420" w:type="pct"/>
            <w:vMerge w:val="continue"/>
            <w:tcBorders>
              <w:tl2br w:val="nil"/>
              <w:tr2bl w:val="nil"/>
            </w:tcBorders>
            <w:shd w:val="clear" w:color="auto" w:fill="auto"/>
            <w:noWrap/>
            <w:tcMar>
              <w:top w:w="15" w:type="dxa"/>
              <w:left w:w="15" w:type="dxa"/>
              <w:right w:w="15" w:type="dxa"/>
            </w:tcMar>
            <w:vAlign w:val="center"/>
          </w:tcPr>
          <w:p w14:paraId="6D037F03">
            <w:pPr>
              <w:spacing w:line="240" w:lineRule="auto"/>
              <w:jc w:val="center"/>
              <w:rPr>
                <w:rFonts w:hint="default" w:ascii="Times New Roman" w:hAnsi="Times New Roman" w:cs="Times New Roman"/>
                <w:color w:val="auto"/>
                <w:sz w:val="21"/>
                <w:szCs w:val="21"/>
                <w:highlight w:val="none"/>
              </w:rPr>
            </w:pPr>
          </w:p>
        </w:tc>
        <w:tc>
          <w:tcPr>
            <w:tcW w:w="486" w:type="pct"/>
            <w:tcBorders>
              <w:tl2br w:val="nil"/>
              <w:tr2bl w:val="nil"/>
            </w:tcBorders>
            <w:shd w:val="clear" w:color="auto" w:fill="auto"/>
            <w:noWrap/>
            <w:tcMar>
              <w:top w:w="15" w:type="dxa"/>
              <w:left w:w="15" w:type="dxa"/>
              <w:right w:w="15" w:type="dxa"/>
            </w:tcMar>
            <w:vAlign w:val="center"/>
          </w:tcPr>
          <w:p w14:paraId="67076AC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XM-JJ-4</w:t>
            </w:r>
          </w:p>
        </w:tc>
        <w:tc>
          <w:tcPr>
            <w:tcW w:w="1053" w:type="pct"/>
            <w:tcBorders>
              <w:tl2br w:val="nil"/>
              <w:tr2bl w:val="nil"/>
            </w:tcBorders>
            <w:shd w:val="clear" w:color="auto" w:fill="auto"/>
            <w:noWrap/>
            <w:tcMar>
              <w:top w:w="15" w:type="dxa"/>
              <w:left w:w="15" w:type="dxa"/>
              <w:right w:w="15" w:type="dxa"/>
            </w:tcMar>
            <w:vAlign w:val="center"/>
          </w:tcPr>
          <w:p w14:paraId="2B80F53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企业聚集区南侧</w:t>
            </w:r>
          </w:p>
        </w:tc>
        <w:tc>
          <w:tcPr>
            <w:tcW w:w="473" w:type="pct"/>
            <w:tcBorders>
              <w:tl2br w:val="nil"/>
              <w:tr2bl w:val="nil"/>
            </w:tcBorders>
            <w:shd w:val="clear" w:color="auto" w:fill="auto"/>
            <w:noWrap/>
            <w:tcMar>
              <w:top w:w="15" w:type="dxa"/>
              <w:left w:w="15" w:type="dxa"/>
              <w:right w:w="15" w:type="dxa"/>
            </w:tcMar>
            <w:vAlign w:val="center"/>
          </w:tcPr>
          <w:p w14:paraId="2A76103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114.934917 </w:t>
            </w:r>
          </w:p>
        </w:tc>
        <w:tc>
          <w:tcPr>
            <w:tcW w:w="475" w:type="pct"/>
            <w:tcBorders>
              <w:tl2br w:val="nil"/>
              <w:tr2bl w:val="nil"/>
            </w:tcBorders>
            <w:shd w:val="clear" w:color="auto" w:fill="auto"/>
            <w:noWrap/>
            <w:tcMar>
              <w:top w:w="15" w:type="dxa"/>
              <w:left w:w="15" w:type="dxa"/>
              <w:right w:w="15" w:type="dxa"/>
            </w:tcMar>
            <w:vAlign w:val="center"/>
          </w:tcPr>
          <w:p w14:paraId="10F0ECCF">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30.398806 </w:t>
            </w:r>
          </w:p>
        </w:tc>
        <w:tc>
          <w:tcPr>
            <w:tcW w:w="704" w:type="pct"/>
            <w:vMerge w:val="continue"/>
            <w:tcBorders>
              <w:tl2br w:val="nil"/>
              <w:tr2bl w:val="nil"/>
            </w:tcBorders>
            <w:shd w:val="clear" w:color="auto" w:fill="auto"/>
            <w:noWrap/>
            <w:tcMar>
              <w:top w:w="15" w:type="dxa"/>
              <w:left w:w="15" w:type="dxa"/>
              <w:right w:w="15" w:type="dxa"/>
            </w:tcMar>
            <w:vAlign w:val="center"/>
          </w:tcPr>
          <w:p w14:paraId="006430B7">
            <w:pPr>
              <w:spacing w:line="240" w:lineRule="auto"/>
              <w:jc w:val="center"/>
              <w:rPr>
                <w:rFonts w:hint="default" w:ascii="Times New Roman" w:hAnsi="Times New Roman" w:cs="Times New Roman" w:eastAsiaTheme="minorEastAsia"/>
                <w:color w:val="auto"/>
                <w:kern w:val="0"/>
                <w:sz w:val="21"/>
                <w:szCs w:val="21"/>
                <w:highlight w:val="none"/>
              </w:rPr>
            </w:pPr>
          </w:p>
        </w:tc>
        <w:tc>
          <w:tcPr>
            <w:tcW w:w="1216" w:type="pct"/>
            <w:tcBorders>
              <w:tl2br w:val="nil"/>
              <w:tr2bl w:val="nil"/>
            </w:tcBorders>
            <w:shd w:val="clear" w:color="auto" w:fill="auto"/>
            <w:noWrap/>
            <w:tcMar>
              <w:top w:w="15" w:type="dxa"/>
              <w:left w:w="15" w:type="dxa"/>
              <w:right w:w="15" w:type="dxa"/>
            </w:tcMar>
            <w:vAlign w:val="center"/>
          </w:tcPr>
          <w:p w14:paraId="68F8E02F">
            <w:pPr>
              <w:spacing w:line="240" w:lineRule="auto"/>
              <w:jc w:val="center"/>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基本项目（48项）、</w:t>
            </w:r>
          </w:p>
          <w:p w14:paraId="284DB915">
            <w:pPr>
              <w:spacing w:line="240" w:lineRule="auto"/>
              <w:jc w:val="center"/>
              <w:rPr>
                <w:rFonts w:hint="default" w:ascii="Times New Roman" w:hAnsi="Times New Roman" w:cs="Times New Roman" w:eastAsiaTheme="minorEastAsia"/>
                <w:color w:val="auto"/>
                <w:kern w:val="0"/>
                <w:sz w:val="21"/>
                <w:szCs w:val="21"/>
                <w:highlight w:val="none"/>
              </w:rPr>
            </w:pPr>
            <w:r>
              <w:rPr>
                <w:rFonts w:hint="default" w:ascii="Times New Roman" w:hAnsi="Times New Roman" w:cs="Times New Roman" w:eastAsiaTheme="minorEastAsia"/>
                <w:color w:val="auto"/>
                <w:kern w:val="0"/>
                <w:sz w:val="21"/>
                <w:szCs w:val="21"/>
                <w:highlight w:val="none"/>
              </w:rPr>
              <w:t>园区增测项目（5项）、</w:t>
            </w:r>
          </w:p>
          <w:p w14:paraId="2CAFDE6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color w:val="auto"/>
                <w:kern w:val="0"/>
                <w:sz w:val="21"/>
                <w:szCs w:val="21"/>
                <w:highlight w:val="none"/>
                <w:lang w:eastAsia="zh-CN"/>
              </w:rPr>
              <w:t>其它增测项目</w:t>
            </w:r>
            <w:r>
              <w:rPr>
                <w:rFonts w:hint="default" w:ascii="Times New Roman" w:hAnsi="Times New Roman" w:cs="Times New Roman" w:eastAsiaTheme="minorEastAsia"/>
                <w:color w:val="auto"/>
                <w:kern w:val="0"/>
                <w:sz w:val="21"/>
                <w:szCs w:val="21"/>
                <w:highlight w:val="none"/>
              </w:rPr>
              <w:t>（7项）</w:t>
            </w:r>
          </w:p>
        </w:tc>
      </w:tr>
    </w:tbl>
    <w:p w14:paraId="4B914BEB">
      <w:pPr>
        <w:spacing w:line="240" w:lineRule="auto"/>
        <w:rPr>
          <w:rFonts w:hint="default" w:ascii="Times New Roman" w:hAnsi="Times New Roman" w:eastAsia="宋体" w:cs="Times New Roman"/>
          <w:b/>
          <w:bCs/>
          <w:color w:val="auto"/>
          <w:sz w:val="18"/>
          <w:szCs w:val="18"/>
          <w:highlight w:val="none"/>
          <w:lang w:eastAsia="zh-CN"/>
        </w:rPr>
      </w:pPr>
      <w:r>
        <w:rPr>
          <w:rFonts w:hint="default" w:ascii="Times New Roman" w:hAnsi="Times New Roman" w:cs="Times New Roman"/>
          <w:b/>
          <w:bCs/>
          <w:color w:val="auto"/>
          <w:sz w:val="18"/>
          <w:szCs w:val="18"/>
          <w:highlight w:val="none"/>
        </w:rPr>
        <w:t>注：①经纬度均使用国测局坐标系 (GCJ-02)</w:t>
      </w:r>
      <w:r>
        <w:rPr>
          <w:rFonts w:hint="default" w:ascii="Times New Roman" w:hAnsi="Times New Roman" w:cs="Times New Roman"/>
          <w:b/>
          <w:bCs/>
          <w:color w:val="auto"/>
          <w:sz w:val="18"/>
          <w:szCs w:val="18"/>
          <w:highlight w:val="none"/>
          <w:lang w:eastAsia="zh-CN"/>
        </w:rPr>
        <w:t>；</w:t>
      </w:r>
    </w:p>
    <w:p w14:paraId="1F8553A4">
      <w:pPr>
        <w:spacing w:line="240" w:lineRule="auto"/>
        <w:ind w:firstLine="361" w:firstLineChars="200"/>
        <w:rPr>
          <w:rFonts w:hint="eastAsia" w:ascii="Times New Roman" w:hAnsi="Times New Roman" w:cs="Times New Roman"/>
          <w:b/>
          <w:bCs/>
          <w:color w:val="auto"/>
          <w:sz w:val="18"/>
          <w:szCs w:val="18"/>
          <w:highlight w:val="none"/>
          <w:lang w:val="en-US" w:eastAsia="zh-CN"/>
        </w:rPr>
      </w:pPr>
      <w:r>
        <w:rPr>
          <w:rFonts w:hint="default" w:ascii="Times New Roman" w:hAnsi="Times New Roman" w:cs="Times New Roman"/>
          <w:b/>
          <w:bCs/>
          <w:color w:val="auto"/>
          <w:sz w:val="18"/>
          <w:szCs w:val="18"/>
          <w:highlight w:val="none"/>
          <w:lang w:val="en-US" w:eastAsia="zh-CN"/>
        </w:rPr>
        <w:t>②由于园区北侧边界临江，上风向点位XM-4点位选取在园区内最北部具备采样条件的位置</w:t>
      </w:r>
      <w:r>
        <w:rPr>
          <w:rFonts w:hint="eastAsia" w:ascii="Times New Roman" w:hAnsi="Times New Roman" w:cs="Times New Roman"/>
          <w:b/>
          <w:bCs/>
          <w:color w:val="auto"/>
          <w:sz w:val="18"/>
          <w:szCs w:val="18"/>
          <w:highlight w:val="none"/>
          <w:lang w:val="en-US" w:eastAsia="zh-CN"/>
        </w:rPr>
        <w:t>；</w:t>
      </w:r>
    </w:p>
    <w:p w14:paraId="001820FC">
      <w:pPr>
        <w:spacing w:line="240" w:lineRule="auto"/>
        <w:ind w:firstLine="361" w:firstLineChars="200"/>
        <w:rPr>
          <w:rFonts w:hint="default" w:ascii="Times New Roman" w:hAnsi="Times New Roman" w:cs="Times New Roman"/>
          <w:b/>
          <w:bCs/>
          <w:color w:val="auto"/>
          <w:sz w:val="18"/>
          <w:szCs w:val="18"/>
          <w:highlight w:val="none"/>
          <w:lang w:val="en-US" w:eastAsia="zh-CN"/>
        </w:rPr>
      </w:pPr>
      <w:r>
        <w:rPr>
          <w:rFonts w:hint="eastAsia" w:ascii="Times New Roman" w:hAnsi="Times New Roman" w:cs="Times New Roman"/>
          <w:b/>
          <w:bCs/>
          <w:color w:val="auto"/>
          <w:sz w:val="18"/>
          <w:szCs w:val="18"/>
          <w:highlight w:val="none"/>
          <w:lang w:val="en-US" w:eastAsia="zh-CN"/>
        </w:rPr>
        <w:t>③</w:t>
      </w:r>
      <w:r>
        <w:rPr>
          <w:rFonts w:hint="default" w:ascii="Times New Roman" w:hAnsi="Times New Roman" w:cs="Times New Roman"/>
          <w:b/>
          <w:bCs/>
          <w:color w:val="auto"/>
          <w:sz w:val="18"/>
          <w:szCs w:val="18"/>
          <w:highlight w:val="none"/>
          <w:lang w:val="en-US" w:eastAsia="zh-CN"/>
        </w:rPr>
        <w:t>武钢资源集团鄂州球团有限公司</w:t>
      </w:r>
      <w:r>
        <w:rPr>
          <w:rFonts w:hint="eastAsia" w:ascii="Times New Roman" w:hAnsi="Times New Roman" w:cs="Times New Roman"/>
          <w:b/>
          <w:bCs/>
          <w:color w:val="auto"/>
          <w:sz w:val="18"/>
          <w:szCs w:val="18"/>
          <w:highlight w:val="none"/>
          <w:lang w:val="en-US" w:eastAsia="zh-CN"/>
        </w:rPr>
        <w:t>、鄂州通世达沥青有限公司位于已建成企业聚集区边界附近，周边布设点位分别为XM-JJ-2、XM-JJ-4</w:t>
      </w:r>
      <w:r>
        <w:rPr>
          <w:rFonts w:hint="eastAsia" w:cs="Times New Roman"/>
          <w:b/>
          <w:bCs/>
          <w:color w:val="auto"/>
          <w:sz w:val="18"/>
          <w:szCs w:val="18"/>
          <w:highlight w:val="none"/>
          <w:lang w:val="en-US" w:eastAsia="zh-CN"/>
        </w:rPr>
        <w:t>，各点位监测因子分别包括了对应的典型企业特征污染因子</w:t>
      </w:r>
      <w:r>
        <w:rPr>
          <w:rFonts w:hint="default" w:ascii="Times New Roman" w:hAnsi="Times New Roman" w:cs="Times New Roman"/>
          <w:b/>
          <w:bCs/>
          <w:color w:val="auto"/>
          <w:sz w:val="18"/>
          <w:szCs w:val="18"/>
          <w:highlight w:val="none"/>
          <w:lang w:val="en-US" w:eastAsia="zh-CN"/>
        </w:rPr>
        <w:t>。</w:t>
      </w:r>
    </w:p>
    <w:p w14:paraId="71FDF4BC">
      <w:pPr>
        <w:spacing w:line="240" w:lineRule="auto"/>
        <w:rPr>
          <w:rFonts w:hint="default" w:ascii="Times New Roman" w:hAnsi="Times New Roman" w:cs="Times New Roman"/>
          <w:b/>
          <w:bCs/>
          <w:color w:val="auto"/>
          <w:sz w:val="18"/>
          <w:szCs w:val="18"/>
          <w:highlight w:val="none"/>
        </w:rPr>
      </w:pPr>
    </w:p>
    <w:p w14:paraId="365AEE91">
      <w:pPr>
        <w:rPr>
          <w:rFonts w:hint="default" w:ascii="Times New Roman" w:hAnsi="Times New Roman" w:cs="Times New Roman"/>
          <w:color w:val="auto"/>
          <w:highlight w:val="none"/>
        </w:rPr>
        <w:sectPr>
          <w:headerReference r:id="rId14" w:type="default"/>
          <w:pgSz w:w="16781" w:h="11849" w:orient="landscape"/>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p>
    <w:p w14:paraId="7088B2E0">
      <w:pPr>
        <w:pStyle w:val="4"/>
        <w:tabs>
          <w:tab w:val="clear" w:pos="425"/>
        </w:tabs>
        <w:rPr>
          <w:rFonts w:hint="default" w:ascii="Times New Roman" w:hAnsi="Times New Roman" w:cs="Times New Roman"/>
          <w:color w:val="auto"/>
          <w:highlight w:val="none"/>
        </w:rPr>
      </w:pPr>
      <w:bookmarkStart w:id="17" w:name="_Toc27962"/>
      <w:r>
        <w:rPr>
          <w:rFonts w:hint="default" w:ascii="Times New Roman" w:hAnsi="Times New Roman" w:cs="Times New Roman"/>
          <w:color w:val="auto"/>
          <w:highlight w:val="none"/>
        </w:rPr>
        <w:t>地下水布点方案</w:t>
      </w:r>
      <w:bookmarkEnd w:id="17"/>
    </w:p>
    <w:p w14:paraId="2296DF84">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为了解</w:t>
      </w:r>
      <w:r>
        <w:rPr>
          <w:rFonts w:hint="default" w:ascii="Times New Roman" w:hAnsi="Times New Roman" w:cs="Times New Roman"/>
          <w:color w:val="auto"/>
          <w:kern w:val="0"/>
          <w:highlight w:val="none"/>
          <w:lang w:eastAsia="zh-CN"/>
        </w:rPr>
        <w:t>城东产业园（鄂城新区）</w:t>
      </w:r>
      <w:r>
        <w:rPr>
          <w:rFonts w:hint="default" w:ascii="Times New Roman" w:hAnsi="Times New Roman" w:cs="Times New Roman"/>
          <w:color w:val="auto"/>
          <w:kern w:val="0"/>
          <w:highlight w:val="none"/>
        </w:rPr>
        <w:t>工业园周边地下水环境质量现状，拟于工业园周边设置2个地下水监测点位，分别位于园区的</w:t>
      </w:r>
      <w:r>
        <w:rPr>
          <w:rFonts w:hint="eastAsia" w:cs="Times New Roman"/>
          <w:color w:val="auto"/>
          <w:kern w:val="0"/>
          <w:highlight w:val="none"/>
          <w:lang w:eastAsia="zh-CN"/>
        </w:rPr>
        <w:t>西部</w:t>
      </w:r>
      <w:r>
        <w:rPr>
          <w:rFonts w:hint="default" w:ascii="Times New Roman" w:hAnsi="Times New Roman" w:cs="Times New Roman"/>
          <w:color w:val="auto"/>
          <w:kern w:val="0"/>
          <w:highlight w:val="none"/>
        </w:rPr>
        <w:t>和</w:t>
      </w:r>
      <w:r>
        <w:rPr>
          <w:rFonts w:hint="eastAsia" w:cs="Times New Roman"/>
          <w:color w:val="auto"/>
          <w:kern w:val="0"/>
          <w:highlight w:val="none"/>
          <w:lang w:eastAsia="zh-CN"/>
        </w:rPr>
        <w:t>东部</w:t>
      </w:r>
      <w:r>
        <w:rPr>
          <w:rFonts w:hint="default" w:ascii="Times New Roman" w:hAnsi="Times New Roman" w:cs="Times New Roman"/>
          <w:color w:val="auto"/>
          <w:kern w:val="0"/>
          <w:highlight w:val="none"/>
        </w:rPr>
        <w:t>。调查范围内地下水布点方案见表3-2-1和附图</w:t>
      </w:r>
      <w:r>
        <w:rPr>
          <w:rFonts w:hint="default" w:ascii="Times New Roman" w:hAnsi="Times New Roman" w:cs="Times New Roman"/>
          <w:color w:val="auto"/>
          <w:kern w:val="0"/>
          <w:highlight w:val="none"/>
          <w:lang w:val="en-US" w:eastAsia="zh-CN"/>
        </w:rPr>
        <w:t>7</w:t>
      </w:r>
      <w:r>
        <w:rPr>
          <w:rFonts w:hint="default" w:ascii="Times New Roman" w:hAnsi="Times New Roman" w:cs="Times New Roman"/>
          <w:color w:val="auto"/>
          <w:kern w:val="0"/>
          <w:highlight w:val="none"/>
        </w:rPr>
        <w:t>。</w:t>
      </w:r>
    </w:p>
    <w:p w14:paraId="102BE1BD">
      <w:pPr>
        <w:spacing w:line="240" w:lineRule="auto"/>
        <w:jc w:val="center"/>
        <w:rPr>
          <w:rFonts w:hint="default" w:ascii="Times New Roman" w:hAnsi="Times New Roman" w:eastAsia="黑体" w:cs="Times New Roman"/>
          <w:b/>
          <w:color w:val="auto"/>
          <w:highlight w:val="none"/>
        </w:rPr>
      </w:pPr>
      <w:r>
        <w:rPr>
          <w:rFonts w:hint="default" w:ascii="Times New Roman" w:hAnsi="Times New Roman" w:eastAsia="黑体" w:cs="Times New Roman"/>
          <w:b/>
          <w:color w:val="auto"/>
          <w:highlight w:val="none"/>
        </w:rPr>
        <w:t>表3-2-1  地下水布点方案一览表</w:t>
      </w:r>
    </w:p>
    <w:tbl>
      <w:tblPr>
        <w:tblStyle w:val="21"/>
        <w:tblpPr w:leftFromText="180" w:rightFromText="180" w:vertAnchor="text" w:horzAnchor="page" w:tblpX="1060" w:tblpY="96"/>
        <w:tblOverlap w:val="never"/>
        <w:tblW w:w="9612"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800"/>
        <w:gridCol w:w="2515"/>
        <w:gridCol w:w="2677"/>
        <w:gridCol w:w="2620"/>
      </w:tblGrid>
      <w:tr w14:paraId="32B9F2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53" w:hRule="atLeast"/>
          <w:tblHeader/>
        </w:trPr>
        <w:tc>
          <w:tcPr>
            <w:tcW w:w="1800" w:type="dxa"/>
            <w:vMerge w:val="restart"/>
            <w:shd w:val="clear" w:color="auto" w:fill="auto"/>
            <w:noWrap/>
            <w:tcMar>
              <w:top w:w="15" w:type="dxa"/>
              <w:left w:w="15" w:type="dxa"/>
              <w:right w:w="15" w:type="dxa"/>
            </w:tcMar>
            <w:vAlign w:val="center"/>
          </w:tcPr>
          <w:p w14:paraId="1A10F4E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监测点位</w:t>
            </w:r>
          </w:p>
        </w:tc>
        <w:tc>
          <w:tcPr>
            <w:tcW w:w="2515" w:type="dxa"/>
            <w:vMerge w:val="restart"/>
            <w:shd w:val="clear" w:color="auto" w:fill="auto"/>
            <w:noWrap/>
            <w:tcMar>
              <w:top w:w="15" w:type="dxa"/>
              <w:left w:w="15" w:type="dxa"/>
              <w:right w:w="15" w:type="dxa"/>
            </w:tcMar>
            <w:vAlign w:val="center"/>
          </w:tcPr>
          <w:p w14:paraId="3CCAA73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对应土壤点位</w:t>
            </w:r>
          </w:p>
        </w:tc>
        <w:tc>
          <w:tcPr>
            <w:tcW w:w="5297" w:type="dxa"/>
            <w:gridSpan w:val="2"/>
            <w:tcBorders>
              <w:bottom w:val="single" w:color="auto" w:sz="4" w:space="0"/>
            </w:tcBorders>
            <w:shd w:val="clear" w:color="auto" w:fill="auto"/>
            <w:noWrap/>
            <w:tcMar>
              <w:top w:w="15" w:type="dxa"/>
              <w:left w:w="15" w:type="dxa"/>
              <w:right w:w="15" w:type="dxa"/>
            </w:tcMar>
            <w:vAlign w:val="center"/>
          </w:tcPr>
          <w:p w14:paraId="79CC0159">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坐标</w:t>
            </w:r>
            <w:r>
              <w:rPr>
                <w:rFonts w:hint="default" w:ascii="Times New Roman" w:hAnsi="Times New Roman" w:cs="Times New Roman"/>
                <w:b/>
                <w:bCs/>
                <w:color w:val="auto"/>
                <w:sz w:val="21"/>
                <w:szCs w:val="21"/>
                <w:highlight w:val="none"/>
                <w:vertAlign w:val="superscript"/>
              </w:rPr>
              <w:t>①</w:t>
            </w:r>
          </w:p>
        </w:tc>
      </w:tr>
      <w:tr w14:paraId="6995A1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2" w:hRule="atLeast"/>
          <w:tblHeader/>
        </w:trPr>
        <w:tc>
          <w:tcPr>
            <w:tcW w:w="1800" w:type="dxa"/>
            <w:vMerge w:val="continue"/>
            <w:tcBorders>
              <w:bottom w:val="single" w:color="auto" w:sz="12" w:space="0"/>
            </w:tcBorders>
            <w:shd w:val="clear" w:color="auto" w:fill="auto"/>
            <w:noWrap/>
            <w:tcMar>
              <w:top w:w="15" w:type="dxa"/>
              <w:left w:w="15" w:type="dxa"/>
              <w:right w:w="15" w:type="dxa"/>
            </w:tcMar>
            <w:vAlign w:val="center"/>
          </w:tcPr>
          <w:p w14:paraId="16EE656F">
            <w:pPr>
              <w:spacing w:line="240" w:lineRule="auto"/>
              <w:jc w:val="center"/>
              <w:rPr>
                <w:rFonts w:hint="default" w:ascii="Times New Roman" w:hAnsi="Times New Roman" w:cs="Times New Roman"/>
                <w:color w:val="auto"/>
                <w:sz w:val="21"/>
                <w:szCs w:val="21"/>
                <w:highlight w:val="none"/>
              </w:rPr>
            </w:pPr>
          </w:p>
        </w:tc>
        <w:tc>
          <w:tcPr>
            <w:tcW w:w="2515" w:type="dxa"/>
            <w:vMerge w:val="continue"/>
            <w:tcBorders>
              <w:bottom w:val="single" w:color="auto" w:sz="12" w:space="0"/>
            </w:tcBorders>
            <w:shd w:val="clear" w:color="auto" w:fill="auto"/>
            <w:noWrap/>
            <w:tcMar>
              <w:top w:w="15" w:type="dxa"/>
              <w:left w:w="15" w:type="dxa"/>
              <w:right w:w="15" w:type="dxa"/>
            </w:tcMar>
            <w:vAlign w:val="center"/>
          </w:tcPr>
          <w:p w14:paraId="677B208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2677" w:type="dxa"/>
            <w:tcBorders>
              <w:bottom w:val="single" w:color="auto" w:sz="12" w:space="0"/>
            </w:tcBorders>
            <w:shd w:val="clear" w:color="auto" w:fill="auto"/>
            <w:noWrap/>
            <w:tcMar>
              <w:top w:w="15" w:type="dxa"/>
              <w:left w:w="15" w:type="dxa"/>
              <w:right w:w="15" w:type="dxa"/>
            </w:tcMar>
            <w:vAlign w:val="center"/>
          </w:tcPr>
          <w:p w14:paraId="48ECCCE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经度（°）</w:t>
            </w:r>
          </w:p>
        </w:tc>
        <w:tc>
          <w:tcPr>
            <w:tcW w:w="2620" w:type="dxa"/>
            <w:tcBorders>
              <w:bottom w:val="single" w:color="auto" w:sz="12" w:space="0"/>
            </w:tcBorders>
            <w:shd w:val="clear" w:color="auto" w:fill="auto"/>
            <w:noWrap/>
            <w:tcMar>
              <w:top w:w="15" w:type="dxa"/>
              <w:left w:w="15" w:type="dxa"/>
              <w:right w:w="15" w:type="dxa"/>
            </w:tcMar>
            <w:vAlign w:val="center"/>
          </w:tcPr>
          <w:p w14:paraId="364F6DB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纬度（°）</w:t>
            </w:r>
          </w:p>
        </w:tc>
      </w:tr>
      <w:tr w14:paraId="6D34E9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blHeader/>
        </w:trPr>
        <w:tc>
          <w:tcPr>
            <w:tcW w:w="1800" w:type="dxa"/>
            <w:tcBorders>
              <w:top w:val="single" w:color="auto" w:sz="12" w:space="0"/>
              <w:tl2br w:val="nil"/>
              <w:tr2bl w:val="nil"/>
            </w:tcBorders>
            <w:shd w:val="clear" w:color="auto" w:fill="auto"/>
            <w:noWrap/>
            <w:tcMar>
              <w:top w:w="15" w:type="dxa"/>
              <w:left w:w="15" w:type="dxa"/>
              <w:right w:w="15" w:type="dxa"/>
            </w:tcMar>
            <w:vAlign w:val="center"/>
          </w:tcPr>
          <w:p w14:paraId="7E44ED3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XM-W1</w:t>
            </w:r>
          </w:p>
        </w:tc>
        <w:tc>
          <w:tcPr>
            <w:tcW w:w="2515" w:type="dxa"/>
            <w:tcBorders>
              <w:top w:val="single" w:color="auto" w:sz="12" w:space="0"/>
              <w:tl2br w:val="nil"/>
              <w:tr2bl w:val="nil"/>
            </w:tcBorders>
            <w:shd w:val="clear" w:color="auto" w:fill="auto"/>
            <w:noWrap/>
            <w:tcMar>
              <w:top w:w="15" w:type="dxa"/>
              <w:left w:w="15" w:type="dxa"/>
              <w:right w:w="15" w:type="dxa"/>
            </w:tcMar>
            <w:vAlign w:val="center"/>
          </w:tcPr>
          <w:p w14:paraId="55C09C9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w:t>
            </w:r>
            <w:r>
              <w:rPr>
                <w:rFonts w:hint="default" w:ascii="Times New Roman" w:hAnsi="Times New Roman" w:cs="Times New Roman"/>
                <w:color w:val="auto"/>
                <w:kern w:val="0"/>
                <w:sz w:val="21"/>
                <w:szCs w:val="21"/>
                <w:highlight w:val="none"/>
                <w:lang w:bidi="ar"/>
              </w:rPr>
              <w:t xml:space="preserve"> -1-75</w:t>
            </w:r>
          </w:p>
        </w:tc>
        <w:tc>
          <w:tcPr>
            <w:tcW w:w="2677" w:type="dxa"/>
            <w:tcBorders>
              <w:top w:val="single" w:color="auto" w:sz="12" w:space="0"/>
              <w:tl2br w:val="nil"/>
              <w:tr2bl w:val="nil"/>
            </w:tcBorders>
            <w:shd w:val="clear" w:color="auto" w:fill="auto"/>
            <w:noWrap/>
            <w:tcMar>
              <w:top w:w="15" w:type="dxa"/>
              <w:left w:w="15" w:type="dxa"/>
              <w:right w:w="15" w:type="dxa"/>
            </w:tcMar>
            <w:vAlign w:val="center"/>
          </w:tcPr>
          <w:p w14:paraId="2F1A85F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114.929019 </w:t>
            </w:r>
          </w:p>
        </w:tc>
        <w:tc>
          <w:tcPr>
            <w:tcW w:w="2620" w:type="dxa"/>
            <w:tcBorders>
              <w:top w:val="single" w:color="auto" w:sz="12" w:space="0"/>
              <w:tl2br w:val="nil"/>
              <w:tr2bl w:val="nil"/>
            </w:tcBorders>
            <w:shd w:val="clear" w:color="auto" w:fill="auto"/>
            <w:noWrap/>
            <w:tcMar>
              <w:top w:w="15" w:type="dxa"/>
              <w:left w:w="15" w:type="dxa"/>
              <w:right w:w="15" w:type="dxa"/>
            </w:tcMar>
            <w:vAlign w:val="center"/>
          </w:tcPr>
          <w:p w14:paraId="03E599E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30.397679 </w:t>
            </w:r>
          </w:p>
        </w:tc>
      </w:tr>
      <w:tr w14:paraId="67418B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blHeader/>
        </w:trPr>
        <w:tc>
          <w:tcPr>
            <w:tcW w:w="1800" w:type="dxa"/>
            <w:shd w:val="clear" w:color="auto" w:fill="auto"/>
            <w:vAlign w:val="center"/>
          </w:tcPr>
          <w:p w14:paraId="491357E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 -W2</w:t>
            </w:r>
          </w:p>
        </w:tc>
        <w:tc>
          <w:tcPr>
            <w:tcW w:w="2515" w:type="dxa"/>
            <w:shd w:val="clear" w:color="auto" w:fill="auto"/>
            <w:vAlign w:val="center"/>
          </w:tcPr>
          <w:p w14:paraId="584C26B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现状村民水井</w:t>
            </w:r>
            <w:r>
              <w:rPr>
                <w:rFonts w:hint="default" w:ascii="Times New Roman" w:hAnsi="Times New Roman" w:cs="Times New Roman"/>
                <w:color w:val="auto"/>
                <w:sz w:val="18"/>
                <w:szCs w:val="18"/>
                <w:highlight w:val="none"/>
                <w:vertAlign w:val="superscript"/>
              </w:rPr>
              <w:t>②</w:t>
            </w:r>
          </w:p>
        </w:tc>
        <w:tc>
          <w:tcPr>
            <w:tcW w:w="2677" w:type="dxa"/>
            <w:shd w:val="clear" w:color="auto" w:fill="auto"/>
            <w:vAlign w:val="center"/>
          </w:tcPr>
          <w:p w14:paraId="2917B5D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114.966181</w:t>
            </w:r>
          </w:p>
        </w:tc>
        <w:tc>
          <w:tcPr>
            <w:tcW w:w="2620" w:type="dxa"/>
            <w:shd w:val="clear" w:color="auto" w:fill="auto"/>
            <w:vAlign w:val="center"/>
          </w:tcPr>
          <w:p w14:paraId="55A33B4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30.383730</w:t>
            </w:r>
          </w:p>
        </w:tc>
      </w:tr>
    </w:tbl>
    <w:p w14:paraId="25D16D58">
      <w:pPr>
        <w:spacing w:line="240" w:lineRule="auto"/>
        <w:rPr>
          <w:rFonts w:hint="default" w:ascii="Times New Roman" w:hAnsi="Times New Roman" w:eastAsia="宋体" w:cs="Times New Roman"/>
          <w:b/>
          <w:bCs/>
          <w:color w:val="auto"/>
          <w:sz w:val="18"/>
          <w:szCs w:val="18"/>
          <w:highlight w:val="none"/>
          <w:lang w:eastAsia="zh-CN"/>
        </w:rPr>
      </w:pPr>
      <w:r>
        <w:rPr>
          <w:rFonts w:hint="default" w:ascii="Times New Roman" w:hAnsi="Times New Roman" w:cs="Times New Roman"/>
          <w:b/>
          <w:bCs/>
          <w:color w:val="auto"/>
          <w:sz w:val="18"/>
          <w:szCs w:val="18"/>
          <w:highlight w:val="none"/>
        </w:rPr>
        <w:t>注：①经纬度均使用国测局坐标系 (GCJ-02)</w:t>
      </w:r>
      <w:r>
        <w:rPr>
          <w:rFonts w:hint="default" w:ascii="Times New Roman" w:hAnsi="Times New Roman" w:cs="Times New Roman"/>
          <w:b/>
          <w:bCs/>
          <w:color w:val="auto"/>
          <w:sz w:val="18"/>
          <w:szCs w:val="18"/>
          <w:highlight w:val="none"/>
          <w:lang w:eastAsia="zh-CN"/>
        </w:rPr>
        <w:t>；</w:t>
      </w:r>
    </w:p>
    <w:p w14:paraId="3CE68721">
      <w:pPr>
        <w:spacing w:line="240" w:lineRule="auto"/>
        <w:ind w:firstLine="361" w:firstLineChars="200"/>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cs="Times New Roman"/>
          <w:b/>
          <w:bCs/>
          <w:color w:val="auto"/>
          <w:sz w:val="18"/>
          <w:szCs w:val="18"/>
          <w:highlight w:val="none"/>
        </w:rPr>
        <w:t>②</w:t>
      </w:r>
      <w:r>
        <w:rPr>
          <w:rFonts w:hint="default" w:ascii="Times New Roman" w:hAnsi="Times New Roman" w:cs="Times New Roman"/>
          <w:b/>
          <w:bCs/>
          <w:color w:val="auto"/>
          <w:sz w:val="18"/>
          <w:szCs w:val="18"/>
          <w:highlight w:val="none"/>
          <w:lang w:val="en-US" w:eastAsia="zh-CN"/>
        </w:rPr>
        <w:t>现状</w:t>
      </w:r>
      <w:r>
        <w:rPr>
          <w:rFonts w:hint="default" w:ascii="Times New Roman" w:hAnsi="Times New Roman" w:cs="Times New Roman"/>
          <w:b/>
          <w:bCs/>
          <w:color w:val="auto"/>
          <w:sz w:val="18"/>
          <w:szCs w:val="18"/>
          <w:highlight w:val="none"/>
        </w:rPr>
        <w:t>水井位于</w:t>
      </w:r>
      <w:r>
        <w:rPr>
          <w:rFonts w:hint="default" w:ascii="Times New Roman" w:hAnsi="Times New Roman" w:cs="Times New Roman"/>
          <w:b/>
          <w:bCs/>
          <w:color w:val="auto"/>
          <w:sz w:val="18"/>
          <w:szCs w:val="18"/>
          <w:highlight w:val="none"/>
          <w:lang w:val="en-US" w:eastAsia="zh-CN"/>
        </w:rPr>
        <w:t>刘家咀</w:t>
      </w:r>
      <w:r>
        <w:rPr>
          <w:rFonts w:hint="default" w:ascii="Times New Roman" w:hAnsi="Times New Roman" w:cs="Times New Roman"/>
          <w:b/>
          <w:bCs/>
          <w:color w:val="auto"/>
          <w:sz w:val="18"/>
          <w:szCs w:val="18"/>
          <w:highlight w:val="none"/>
        </w:rPr>
        <w:t>村</w:t>
      </w:r>
      <w:r>
        <w:rPr>
          <w:rFonts w:hint="default" w:ascii="Times New Roman" w:hAnsi="Times New Roman" w:cs="Times New Roman"/>
          <w:b/>
          <w:bCs/>
          <w:color w:val="auto"/>
          <w:sz w:val="18"/>
          <w:szCs w:val="18"/>
          <w:highlight w:val="none"/>
          <w:lang w:eastAsia="zh-CN"/>
        </w:rPr>
        <w:t>。</w:t>
      </w:r>
    </w:p>
    <w:p w14:paraId="4B2213A8">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参考</w:t>
      </w:r>
      <w:r>
        <w:rPr>
          <w:rFonts w:hint="default" w:ascii="Times New Roman" w:hAnsi="Times New Roman" w:cs="Times New Roman"/>
          <w:color w:val="auto"/>
          <w:highlight w:val="none"/>
        </w:rPr>
        <w:t>《地下水质量标准》（GB/T 14848-2017），地下水监测指标包括无机项目（14项）、金属类（13项）、有机物类（5项）等共32项：</w:t>
      </w:r>
    </w:p>
    <w:p w14:paraId="64FB9DB6">
      <w:pPr>
        <w:ind w:firstLine="482" w:firstLineChars="200"/>
        <w:rPr>
          <w:rFonts w:hint="default" w:ascii="Times New Roman" w:hAnsi="Times New Roman" w:cs="Times New Roman"/>
          <w:color w:val="auto"/>
          <w:highlight w:val="none"/>
        </w:rPr>
      </w:pPr>
      <w:r>
        <w:rPr>
          <w:rFonts w:hint="default" w:ascii="Times New Roman" w:hAnsi="Times New Roman" w:cs="Times New Roman"/>
          <w:b/>
          <w:bCs/>
          <w:color w:val="auto"/>
          <w:highlight w:val="none"/>
        </w:rPr>
        <w:t>（1）无机项目（14项）</w:t>
      </w:r>
      <w:r>
        <w:rPr>
          <w:rFonts w:hint="default" w:ascii="Times New Roman" w:hAnsi="Times New Roman" w:cs="Times New Roman"/>
          <w:color w:val="auto"/>
          <w:highlight w:val="none"/>
        </w:rPr>
        <w:t>：pH、总硬度、溶解性总固体、耗氧量、硫酸盐、硝酸盐、氯化物、总氟化物、挥发酚、阴离子表面活性剂、氨氮、硫化物、亚硝酸盐、氰化物；</w:t>
      </w:r>
    </w:p>
    <w:p w14:paraId="3B4203F9">
      <w:pPr>
        <w:ind w:firstLine="482" w:firstLineChars="200"/>
        <w:rPr>
          <w:rFonts w:hint="default" w:ascii="Times New Roman" w:hAnsi="Times New Roman" w:cs="Times New Roman"/>
          <w:color w:val="auto"/>
          <w:highlight w:val="none"/>
        </w:rPr>
      </w:pPr>
      <w:r>
        <w:rPr>
          <w:rFonts w:hint="default" w:ascii="Times New Roman" w:hAnsi="Times New Roman" w:cs="Times New Roman"/>
          <w:b/>
          <w:bCs/>
          <w:color w:val="auto"/>
          <w:highlight w:val="none"/>
        </w:rPr>
        <w:t>（2）金属类（13项）</w:t>
      </w:r>
      <w:r>
        <w:rPr>
          <w:rFonts w:hint="default" w:ascii="Times New Roman" w:hAnsi="Times New Roman" w:cs="Times New Roman"/>
          <w:color w:val="auto"/>
          <w:highlight w:val="none"/>
        </w:rPr>
        <w:t>：铁、锰、铜、铝、钠、锌、铬、汞、砷、硒、镉、铬（六价）、铅；</w:t>
      </w:r>
    </w:p>
    <w:p w14:paraId="1A1BC075">
      <w:pPr>
        <w:ind w:firstLine="482" w:firstLineChars="200"/>
        <w:rPr>
          <w:rFonts w:hint="default" w:ascii="Times New Roman" w:hAnsi="Times New Roman" w:cs="Times New Roman"/>
          <w:color w:val="auto"/>
          <w:highlight w:val="none"/>
        </w:rPr>
      </w:pPr>
      <w:r>
        <w:rPr>
          <w:rFonts w:hint="default" w:ascii="Times New Roman" w:hAnsi="Times New Roman" w:cs="Times New Roman"/>
          <w:b/>
          <w:bCs/>
          <w:color w:val="auto"/>
          <w:highlight w:val="none"/>
        </w:rPr>
        <w:t>（3）有机物类（5项）</w:t>
      </w:r>
      <w:r>
        <w:rPr>
          <w:rFonts w:hint="default" w:ascii="Times New Roman" w:hAnsi="Times New Roman" w:cs="Times New Roman"/>
          <w:color w:val="auto"/>
          <w:highlight w:val="none"/>
        </w:rPr>
        <w:t>：氯仿、四氯化碳、苯、甲苯、石油类。</w:t>
      </w:r>
    </w:p>
    <w:p w14:paraId="74D9603A">
      <w:pPr>
        <w:pStyle w:val="4"/>
        <w:tabs>
          <w:tab w:val="clear" w:pos="425"/>
        </w:tabs>
        <w:rPr>
          <w:rFonts w:hint="default" w:ascii="Times New Roman" w:hAnsi="Times New Roman" w:cs="Times New Roman"/>
          <w:color w:val="auto"/>
          <w:highlight w:val="none"/>
        </w:rPr>
      </w:pPr>
      <w:bookmarkStart w:id="18" w:name="_Toc22292"/>
      <w:r>
        <w:rPr>
          <w:rFonts w:hint="default" w:ascii="Times New Roman" w:hAnsi="Times New Roman" w:cs="Times New Roman"/>
          <w:color w:val="auto"/>
          <w:highlight w:val="none"/>
        </w:rPr>
        <w:t>采样方案</w:t>
      </w:r>
      <w:bookmarkEnd w:id="18"/>
    </w:p>
    <w:p w14:paraId="296BA245">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采样设备及材料</w:t>
      </w:r>
    </w:p>
    <w:p w14:paraId="77C3D9ED">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园区样品采集过程及样品保存需使用的设备及材料见表3-</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-1。根据现场考察和信息资料调研结果，本园区调查采样种类包括土壤及地下水样品。</w:t>
      </w:r>
    </w:p>
    <w:p w14:paraId="5A7F1A03">
      <w:pPr>
        <w:pStyle w:val="30"/>
        <w:spacing w:before="66" w:beforeLines="20" w:after="0" w:line="240" w:lineRule="auto"/>
        <w:ind w:firstLine="0" w:firstLineChars="0"/>
        <w:jc w:val="center"/>
        <w:rPr>
          <w:rFonts w:hint="default" w:ascii="Times New Roman" w:hAnsi="Times New Roman" w:eastAsia="黑体" w:cs="Times New Roman"/>
          <w:b/>
          <w:color w:val="auto"/>
          <w:szCs w:val="24"/>
          <w:highlight w:val="none"/>
        </w:rPr>
      </w:pPr>
      <w:r>
        <w:rPr>
          <w:rFonts w:hint="default" w:ascii="Times New Roman" w:hAnsi="Times New Roman" w:eastAsia="黑体" w:cs="Times New Roman"/>
          <w:b/>
          <w:color w:val="auto"/>
          <w:szCs w:val="24"/>
          <w:highlight w:val="none"/>
        </w:rPr>
        <w:t>表3-3-1  园区调查采样及样品保存所需设备及材料</w:t>
      </w:r>
    </w:p>
    <w:tbl>
      <w:tblPr>
        <w:tblStyle w:val="21"/>
        <w:tblW w:w="97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11"/>
        <w:gridCol w:w="7687"/>
      </w:tblGrid>
      <w:tr w14:paraId="7CB554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2111" w:type="dxa"/>
            <w:tcBorders>
              <w:bottom w:val="single" w:color="auto" w:sz="12" w:space="0"/>
            </w:tcBorders>
            <w:vAlign w:val="center"/>
          </w:tcPr>
          <w:p w14:paraId="1095D0C5">
            <w:pPr>
              <w:adjustRightInd w:val="0"/>
              <w:snapToGrid w:val="0"/>
              <w:spacing w:line="240" w:lineRule="auto"/>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类型</w:t>
            </w:r>
          </w:p>
        </w:tc>
        <w:tc>
          <w:tcPr>
            <w:tcW w:w="7687" w:type="dxa"/>
            <w:tcBorders>
              <w:bottom w:val="single" w:color="auto" w:sz="12" w:space="0"/>
            </w:tcBorders>
            <w:vAlign w:val="center"/>
          </w:tcPr>
          <w:p w14:paraId="38C7F40D">
            <w:pPr>
              <w:adjustRightInd w:val="0"/>
              <w:snapToGrid w:val="0"/>
              <w:spacing w:line="240" w:lineRule="auto"/>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设备及材料</w:t>
            </w:r>
          </w:p>
        </w:tc>
      </w:tr>
      <w:tr w14:paraId="2ADF1B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2111" w:type="dxa"/>
            <w:tcBorders>
              <w:top w:val="single" w:color="auto" w:sz="12" w:space="0"/>
              <w:tl2br w:val="nil"/>
              <w:tr2bl w:val="nil"/>
            </w:tcBorders>
            <w:vAlign w:val="center"/>
          </w:tcPr>
          <w:p w14:paraId="76A81D2A">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土壤样品采集</w:t>
            </w:r>
          </w:p>
        </w:tc>
        <w:tc>
          <w:tcPr>
            <w:tcW w:w="7687" w:type="dxa"/>
            <w:tcBorders>
              <w:top w:val="single" w:color="auto" w:sz="12" w:space="0"/>
              <w:tl2br w:val="nil"/>
              <w:tr2bl w:val="nil"/>
            </w:tcBorders>
            <w:vAlign w:val="center"/>
          </w:tcPr>
          <w:p w14:paraId="2319C452">
            <w:pPr>
              <w:adjustRightInd w:val="0"/>
              <w:snapToGrid w:val="0"/>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手工</w:t>
            </w:r>
            <w:r>
              <w:rPr>
                <w:rFonts w:hint="default" w:ascii="Times New Roman" w:hAnsi="Times New Roman" w:cs="Times New Roman"/>
                <w:color w:val="auto"/>
                <w:sz w:val="21"/>
                <w:szCs w:val="21"/>
                <w:highlight w:val="none"/>
              </w:rPr>
              <w:t>铲，</w:t>
            </w:r>
            <w:r>
              <w:rPr>
                <w:rFonts w:hint="default" w:ascii="Times New Roman" w:hAnsi="Times New Roman" w:cs="Times New Roman"/>
                <w:bCs/>
                <w:color w:val="auto"/>
                <w:sz w:val="21"/>
                <w:szCs w:val="21"/>
                <w:highlight w:val="none"/>
              </w:rPr>
              <w:t>封口袋，一次性无菌手套，土样瓶，无扰动采样器等</w:t>
            </w:r>
          </w:p>
        </w:tc>
      </w:tr>
      <w:tr w14:paraId="63C358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2111" w:type="dxa"/>
            <w:tcBorders>
              <w:tl2br w:val="nil"/>
              <w:tr2bl w:val="nil"/>
            </w:tcBorders>
            <w:vAlign w:val="center"/>
          </w:tcPr>
          <w:p w14:paraId="553469DC">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地下水样品采集</w:t>
            </w:r>
          </w:p>
        </w:tc>
        <w:tc>
          <w:tcPr>
            <w:tcW w:w="7687" w:type="dxa"/>
            <w:tcBorders>
              <w:tl2br w:val="nil"/>
              <w:tr2bl w:val="nil"/>
            </w:tcBorders>
            <w:vAlign w:val="center"/>
          </w:tcPr>
          <w:p w14:paraId="6B039B57">
            <w:pPr>
              <w:adjustRightInd w:val="0"/>
              <w:snapToGrid w:val="0"/>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履带式钻机，</w:t>
            </w:r>
            <w:r>
              <w:rPr>
                <w:rFonts w:hint="default" w:ascii="Times New Roman" w:hAnsi="Times New Roman" w:cs="Times New Roman"/>
                <w:bCs/>
                <w:color w:val="auto"/>
                <w:sz w:val="21"/>
                <w:szCs w:val="21"/>
                <w:highlight w:val="none"/>
                <w:lang w:val="en-US" w:eastAsia="zh-CN"/>
              </w:rPr>
              <w:t>地下水</w:t>
            </w:r>
            <w:r>
              <w:rPr>
                <w:rFonts w:hint="default" w:ascii="Times New Roman" w:hAnsi="Times New Roman" w:cs="Times New Roman"/>
                <w:bCs/>
                <w:color w:val="auto"/>
                <w:sz w:val="21"/>
                <w:szCs w:val="21"/>
                <w:highlight w:val="none"/>
              </w:rPr>
              <w:t>监测井井管，建井材料（膨润土、石英砂、水泥等），水位尺，贝勒管，水样瓶等</w:t>
            </w:r>
          </w:p>
        </w:tc>
      </w:tr>
      <w:tr w14:paraId="211B41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2111" w:type="dxa"/>
            <w:tcBorders>
              <w:tl2br w:val="nil"/>
              <w:tr2bl w:val="nil"/>
            </w:tcBorders>
            <w:vAlign w:val="center"/>
          </w:tcPr>
          <w:p w14:paraId="089FEAA8">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辅助工具</w:t>
            </w:r>
          </w:p>
        </w:tc>
        <w:tc>
          <w:tcPr>
            <w:tcW w:w="7687" w:type="dxa"/>
            <w:tcBorders>
              <w:tl2br w:val="nil"/>
              <w:tr2bl w:val="nil"/>
            </w:tcBorders>
            <w:vAlign w:val="center"/>
          </w:tcPr>
          <w:p w14:paraId="15185539">
            <w:pPr>
              <w:adjustRightInd w:val="0"/>
              <w:snapToGrid w:val="0"/>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GPS，测距仪，数码相机，采样记录表，白板，记号笔，防护用具，清洗用具</w:t>
            </w:r>
          </w:p>
        </w:tc>
      </w:tr>
      <w:tr w14:paraId="620BBA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2111" w:type="dxa"/>
            <w:tcBorders>
              <w:tl2br w:val="nil"/>
              <w:tr2bl w:val="nil"/>
            </w:tcBorders>
            <w:vAlign w:val="center"/>
          </w:tcPr>
          <w:p w14:paraId="1975285A">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样品保存</w:t>
            </w:r>
          </w:p>
        </w:tc>
        <w:tc>
          <w:tcPr>
            <w:tcW w:w="7687" w:type="dxa"/>
            <w:tcBorders>
              <w:tl2br w:val="nil"/>
              <w:tr2bl w:val="nil"/>
            </w:tcBorders>
            <w:vAlign w:val="center"/>
          </w:tcPr>
          <w:p w14:paraId="58F9A34B">
            <w:pPr>
              <w:adjustRightInd w:val="0"/>
              <w:snapToGrid w:val="0"/>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保温样品箱</w:t>
            </w:r>
          </w:p>
        </w:tc>
      </w:tr>
    </w:tbl>
    <w:p w14:paraId="363223F2">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土壤样品采集</w:t>
      </w:r>
    </w:p>
    <w:p w14:paraId="4985655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土壤样品收集：采用手工铲采集表层（0~</w:t>
      </w:r>
      <w:r>
        <w:rPr>
          <w:rFonts w:hint="eastAsia" w:ascii="Times New Roman" w:hAnsi="Times New Roman" w:cs="Times New Roman"/>
          <w:color w:val="auto"/>
          <w:highlight w:val="none"/>
          <w:lang w:val="en-US" w:eastAsia="zh-CN"/>
        </w:rPr>
        <w:t>0.5</w:t>
      </w:r>
      <w:r>
        <w:rPr>
          <w:rFonts w:hint="default" w:ascii="Times New Roman" w:hAnsi="Times New Roman" w:cs="Times New Roman"/>
          <w:color w:val="auto"/>
          <w:highlight w:val="none"/>
        </w:rPr>
        <w:t>m）土壤样品，记录土壤的颜色和气味等信息，根据现场土样的观察结果，筛选出分析检测的土壤样品，送检土样装于一次性封口袋或螺口玻璃采样瓶中。</w:t>
      </w:r>
    </w:p>
    <w:p w14:paraId="7BDA8C6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采样根据《土壤环境监测技术规范》（HJ/T 166-2004）严格执行。采样时记录土壤地层特性、颜色、气味、夹杂物等信息，观察土壤受污染状况。土壤样品采集后，由技术人员装袋封存，贴好标签，将样品放入保温箱中。及时填写采样记录，注明采样地点、孔号、采样深度、土样名称、采样日期等信息。在采样过程中，为避免交叉污染，均使用一次性手套，并对采样设备进行清洗去污处理。</w:t>
      </w:r>
    </w:p>
    <w:p w14:paraId="2347F4A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土壤采样过程中应做好人员安全和健康防护，佩戴安全帽和一次性的口罩、手套，严禁用手直接采集土样，使用后废弃的个人防护用品应统一收集处置，采样前后应对采样器进行除污和清洗，不同土壤样品采集应更换手套，避免交叉污染；所有样品存放于保温箱中，随后随样品流转单送往实验室进行分析。现场采样信息记录在标准的土壤采样记录单上。</w:t>
      </w:r>
    </w:p>
    <w:p w14:paraId="03AC12B4">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地下水样品采集</w:t>
      </w:r>
    </w:p>
    <w:p w14:paraId="5D72E10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在监测井洗井稳定24</w:t>
      </w:r>
      <w:r>
        <w:rPr>
          <w:rFonts w:hint="default" w:ascii="Times New Roman" w:hAnsi="Times New Roman" w:cs="Times New Roman"/>
          <w:color w:val="auto"/>
          <w:highlight w:val="none"/>
          <w:lang w:val="en-US" w:eastAsia="zh-CN"/>
        </w:rPr>
        <w:t>h</w:t>
      </w:r>
      <w:r>
        <w:rPr>
          <w:rFonts w:hint="default" w:ascii="Times New Roman" w:hAnsi="Times New Roman" w:cs="Times New Roman"/>
          <w:color w:val="auto"/>
          <w:highlight w:val="none"/>
        </w:rPr>
        <w:t>后，</w:t>
      </w:r>
      <w:r>
        <w:rPr>
          <w:rFonts w:hint="default" w:ascii="Times New Roman" w:hAnsi="Times New Roman" w:cs="Times New Roman"/>
          <w:color w:val="auto"/>
          <w:highlight w:val="none"/>
          <w:lang w:val="en-US" w:eastAsia="zh-CN"/>
        </w:rPr>
        <w:t>采用</w:t>
      </w:r>
      <w:r>
        <w:rPr>
          <w:rFonts w:hint="default" w:ascii="Times New Roman" w:hAnsi="Times New Roman" w:cs="Times New Roman"/>
          <w:color w:val="auto"/>
          <w:highlight w:val="none"/>
        </w:rPr>
        <w:t>贝勒管进行</w:t>
      </w:r>
      <w:r>
        <w:rPr>
          <w:rFonts w:hint="default" w:ascii="Times New Roman" w:hAnsi="Times New Roman" w:cs="Times New Roman"/>
          <w:color w:val="auto"/>
          <w:highlight w:val="none"/>
          <w:lang w:val="en-US" w:eastAsia="zh-CN"/>
        </w:rPr>
        <w:t>地下水样品</w:t>
      </w:r>
      <w:r>
        <w:rPr>
          <w:rFonts w:hint="default" w:ascii="Times New Roman" w:hAnsi="Times New Roman" w:cs="Times New Roman"/>
          <w:color w:val="auto"/>
          <w:highlight w:val="none"/>
        </w:rPr>
        <w:t>的采集。为避免监测井中发生混浊，贝勒管放入和提出时应缓慢进行。</w:t>
      </w:r>
    </w:p>
    <w:p w14:paraId="7C841A26">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采样时，所有</w:t>
      </w:r>
      <w:r>
        <w:rPr>
          <w:rFonts w:hint="default" w:ascii="Times New Roman" w:hAnsi="Times New Roman" w:cs="Times New Roman"/>
          <w:color w:val="auto"/>
          <w:highlight w:val="none"/>
          <w:lang w:val="en-US" w:eastAsia="zh-CN"/>
        </w:rPr>
        <w:t>地下水</w:t>
      </w:r>
      <w:r>
        <w:rPr>
          <w:rFonts w:hint="default" w:ascii="Times New Roman" w:hAnsi="Times New Roman" w:cs="Times New Roman"/>
          <w:color w:val="auto"/>
          <w:highlight w:val="none"/>
        </w:rPr>
        <w:t>样品均迅速转入由实验室提供的带有标签以及保护剂的专用样品瓶中并保存在装有冰袋的冷藏箱中，及时送往实验室分析。</w:t>
      </w:r>
    </w:p>
    <w:p w14:paraId="7ADF530E">
      <w:pPr>
        <w:pStyle w:val="6"/>
        <w:numPr>
          <w:ilvl w:val="0"/>
          <w:numId w:val="0"/>
        </w:numPr>
        <w:spacing w:after="0"/>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3.3.3.1 监测井设立与洗井</w:t>
      </w:r>
    </w:p>
    <w:tbl>
      <w:tblPr>
        <w:tblStyle w:val="21"/>
        <w:tblpPr w:leftFromText="180" w:rightFromText="180" w:vertAnchor="text" w:horzAnchor="margin" w:tblpXSpec="right" w:tblpY="21"/>
        <w:tblOverlap w:val="never"/>
        <w:tblW w:w="3951" w:type="dxa"/>
        <w:tblInd w:w="0" w:type="dxa"/>
        <w:tblLayout w:type="fixed"/>
        <w:tblCellMar>
          <w:top w:w="0" w:type="dxa"/>
          <w:left w:w="108" w:type="dxa"/>
          <w:bottom w:w="0" w:type="dxa"/>
          <w:right w:w="108" w:type="dxa"/>
        </w:tblCellMar>
      </w:tblPr>
      <w:tblGrid>
        <w:gridCol w:w="3951"/>
      </w:tblGrid>
      <w:tr w14:paraId="54B56F63">
        <w:tblPrEx>
          <w:tblCellMar>
            <w:top w:w="0" w:type="dxa"/>
            <w:left w:w="108" w:type="dxa"/>
            <w:bottom w:w="0" w:type="dxa"/>
            <w:right w:w="108" w:type="dxa"/>
          </w:tblCellMar>
        </w:tblPrEx>
        <w:tc>
          <w:tcPr>
            <w:tcW w:w="3951" w:type="dxa"/>
          </w:tcPr>
          <w:p w14:paraId="7834173F">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2079625" cy="3452495"/>
                  <wp:effectExtent l="19050" t="19050" r="19685" b="33655"/>
                  <wp:docPr id="1" name="图片 1" descr="说明: 浅层地下水监测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浅层地下水监测井"/>
                          <pic:cNvPicPr>
                            <a:picLocks noChangeAspect="1"/>
                          </pic:cNvPicPr>
                        </pic:nvPicPr>
                        <pic:blipFill>
                          <a:blip r:embed="rId27"/>
                          <a:stretch>
                            <a:fillRect/>
                          </a:stretch>
                        </pic:blipFill>
                        <pic:spPr>
                          <a:xfrm>
                            <a:off x="0" y="0"/>
                            <a:ext cx="2079625" cy="3452495"/>
                          </a:xfrm>
                          <a:prstGeom prst="rect">
                            <a:avLst/>
                          </a:prstGeom>
                          <a:noFill/>
                          <a:ln w="19050" cmpd="sng">
                            <a:solidFill>
                              <a:schemeClr val="tx1"/>
                            </a:solidFill>
                            <a:prstDash val="solid"/>
                          </a:ln>
                        </pic:spPr>
                      </pic:pic>
                    </a:graphicData>
                  </a:graphic>
                </wp:inline>
              </w:drawing>
            </w:r>
          </w:p>
          <w:p w14:paraId="2650F326">
            <w:pPr>
              <w:jc w:val="center"/>
              <w:rPr>
                <w:rFonts w:hint="default" w:ascii="Times New Roman" w:hAnsi="Times New Roman" w:cs="Times New Roman"/>
                <w:color w:val="auto"/>
                <w:highlight w:val="none"/>
              </w:rPr>
            </w:pPr>
            <w:r>
              <w:rPr>
                <w:rFonts w:hint="default" w:ascii="Times New Roman" w:hAnsi="Times New Roman" w:cs="Times New Roman"/>
                <w:b/>
                <w:color w:val="auto"/>
                <w:highlight w:val="none"/>
              </w:rPr>
              <w:t xml:space="preserve">图3-3-1 </w:t>
            </w:r>
            <w:r>
              <w:rPr>
                <w:rFonts w:hint="default" w:ascii="Times New Roman" w:hAnsi="Times New Roman" w:cs="Times New Roman"/>
                <w:b/>
                <w:color w:val="auto"/>
                <w:highlight w:val="none"/>
                <w:lang w:val="en-US" w:eastAsia="zh-CN"/>
              </w:rPr>
              <w:t>地下水</w:t>
            </w:r>
            <w:r>
              <w:rPr>
                <w:rFonts w:hint="default" w:ascii="Times New Roman" w:hAnsi="Times New Roman" w:cs="Times New Roman"/>
                <w:b/>
                <w:color w:val="auto"/>
                <w:highlight w:val="none"/>
              </w:rPr>
              <w:t>监测井示意图</w:t>
            </w:r>
          </w:p>
        </w:tc>
      </w:tr>
    </w:tbl>
    <w:p w14:paraId="45F18D6D">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由于本次土壤采样只采集表层土壤样品，地下水监测井设立与土壤采样分开进行。</w:t>
      </w:r>
    </w:p>
    <w:p w14:paraId="44C38E49">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监测井钻探完成后，安装一根封底的内径不小于50mm的硬质PVC井管，硬质PVC井管由底部密闭、管壁可滤水的筛管、上部延伸到地表的实管组成。筛管部分表面含水平细缝，细缝宽为0.25mm。监测井的深度和筛管的安装位置由专业人员根据现场地下水位的相对位置及各监测井的不同监测要求综合考虑后设定。</w:t>
      </w:r>
    </w:p>
    <w:p w14:paraId="66255139">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监测井筛管外侧周围用粒径≥0.25mm的清洁石英砂回填作为滤水层，石英砂回填至地下水水位线处，其上部再回填不透水的膨润土至自然地坪处，安装井盖。地下水监测井剖面示意图见图3-3-1。</w:t>
      </w:r>
    </w:p>
    <w:p w14:paraId="2719B425">
      <w:pPr>
        <w:pStyle w:val="6"/>
        <w:numPr>
          <w:ilvl w:val="0"/>
          <w:numId w:val="0"/>
        </w:numPr>
        <w:spacing w:after="0"/>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3.3.3.2 地下水样品采集</w:t>
      </w:r>
    </w:p>
    <w:p w14:paraId="5174744E">
      <w:pPr>
        <w:ind w:left="1" w:firstLine="480" w:firstLineChars="200"/>
        <w:rPr>
          <w:rFonts w:hint="default" w:ascii="Times New Roman" w:hAnsi="Times New Roman" w:cs="Times New Roman"/>
          <w:color w:val="auto"/>
          <w:highlight w:val="none"/>
        </w:rPr>
      </w:pPr>
      <w:r>
        <w:rPr>
          <w:rFonts w:hint="eastAsia"/>
          <w:color w:val="000000"/>
          <w:highlight w:val="none"/>
          <w:lang w:val="en-US" w:eastAsia="zh-CN"/>
        </w:rPr>
        <w:t>采样前进行监测井清洗工作，</w:t>
      </w:r>
      <w:r>
        <w:rPr>
          <w:color w:val="000000"/>
          <w:highlight w:val="none"/>
        </w:rPr>
        <w:t>清洗采用贝勒管洗去3</w:t>
      </w:r>
      <w:r>
        <w:rPr>
          <w:rFonts w:hint="eastAsia"/>
          <w:color w:val="000000"/>
          <w:highlight w:val="none"/>
          <w:lang w:val="en-US" w:eastAsia="zh-CN"/>
        </w:rPr>
        <w:t>-5</w:t>
      </w:r>
      <w:r>
        <w:rPr>
          <w:color w:val="000000"/>
          <w:highlight w:val="none"/>
        </w:rPr>
        <w:t>倍监测井</w:t>
      </w:r>
      <w:r>
        <w:rPr>
          <w:rFonts w:hint="eastAsia"/>
          <w:color w:val="000000"/>
          <w:highlight w:val="none"/>
          <w:lang w:val="en-US" w:eastAsia="zh-CN"/>
        </w:rPr>
        <w:t>总量</w:t>
      </w:r>
      <w:r>
        <w:rPr>
          <w:color w:val="000000"/>
          <w:highlight w:val="none"/>
        </w:rPr>
        <w:t>的水</w:t>
      </w:r>
      <w:r>
        <w:rPr>
          <w:rFonts w:hint="default" w:ascii="Times New Roman" w:hAnsi="Times New Roman" w:cs="Times New Roman"/>
          <w:color w:val="auto"/>
          <w:highlight w:val="none"/>
        </w:rPr>
        <w:t>。洗井完成后24h，待监测井内地下水稳定后，方可进行地下水采集。</w:t>
      </w:r>
    </w:p>
    <w:p w14:paraId="309F2767">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取样时使用贝勒管采样器采集地下水样品，从每口监测井中采取1组地下水样进行化学分析。每口地下水监测井均配备一套一次性使用的贝勒管采样器防止发生交叉污染。</w:t>
      </w:r>
    </w:p>
    <w:p w14:paraId="2582CA6F">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采样时，所有地下水样品均迅速转入由实验室提供的带有标签以及保护剂的专用样品瓶中并保存在装有冰袋的冷藏箱中。</w:t>
      </w:r>
    </w:p>
    <w:p w14:paraId="503BEC13">
      <w:pPr>
        <w:pStyle w:val="5"/>
        <w:tabs>
          <w:tab w:val="clear" w:pos="851"/>
        </w:tabs>
        <w:spacing w:after="0"/>
        <w:jc w:val="left"/>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现场快速检测</w:t>
      </w:r>
    </w:p>
    <w:p w14:paraId="513D2E75">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为了现场判断采样区可疑情况，本次调查采用光离子化检测（PID）进行现场快速检测，用于测量挥发性有机物的综合浓度水平。</w:t>
      </w:r>
    </w:p>
    <w:p w14:paraId="7E918BC6">
      <w:pPr>
        <w:pStyle w:val="4"/>
        <w:tabs>
          <w:tab w:val="left" w:leader="dot" w:pos="0"/>
          <w:tab w:val="clear" w:pos="425"/>
        </w:tabs>
        <w:rPr>
          <w:rFonts w:hint="default" w:ascii="Times New Roman" w:hAnsi="Times New Roman" w:cs="Times New Roman"/>
          <w:color w:val="auto"/>
          <w:highlight w:val="none"/>
        </w:rPr>
      </w:pPr>
      <w:bookmarkStart w:id="19" w:name="_Toc6498459"/>
      <w:bookmarkStart w:id="20" w:name="_Toc17030"/>
      <w:bookmarkStart w:id="21" w:name="_Toc26697"/>
      <w:bookmarkStart w:id="22" w:name="_Toc7081054"/>
      <w:bookmarkStart w:id="23" w:name="_Toc27444"/>
      <w:bookmarkStart w:id="24" w:name="_Toc15371866"/>
      <w:bookmarkStart w:id="25" w:name="_Toc55399872"/>
      <w:r>
        <w:rPr>
          <w:rFonts w:hint="default" w:ascii="Times New Roman" w:hAnsi="Times New Roman" w:cs="Times New Roman"/>
          <w:color w:val="auto"/>
          <w:highlight w:val="none"/>
        </w:rPr>
        <w:t>质量保证与质量控制</w:t>
      </w:r>
      <w:bookmarkEnd w:id="19"/>
      <w:bookmarkEnd w:id="20"/>
      <w:bookmarkEnd w:id="21"/>
      <w:bookmarkEnd w:id="22"/>
      <w:bookmarkEnd w:id="23"/>
      <w:bookmarkEnd w:id="24"/>
      <w:bookmarkEnd w:id="25"/>
    </w:p>
    <w:p w14:paraId="0DF055F6">
      <w:p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本次调查现场采样和实验室分析均委托第三方有资质单位承担，各检测指标检测方法选用国家或地方推荐的检测分析方法。</w:t>
      </w:r>
    </w:p>
    <w:p w14:paraId="0EFD3433">
      <w:pPr>
        <w:pStyle w:val="5"/>
        <w:tabs>
          <w:tab w:val="clear" w:pos="851"/>
        </w:tabs>
        <w:rPr>
          <w:rFonts w:hint="default" w:ascii="Times New Roman" w:hAnsi="Times New Roman" w:cs="Times New Roman"/>
          <w:color w:val="auto"/>
          <w:highlight w:val="none"/>
        </w:rPr>
      </w:pPr>
      <w:r>
        <w:rPr>
          <w:rFonts w:hint="default" w:ascii="Times New Roman" w:hAnsi="Times New Roman" w:cs="Times New Roman"/>
          <w:color w:val="auto"/>
          <w:highlight w:val="none"/>
        </w:rPr>
        <w:t>现场作业质量控制</w:t>
      </w:r>
    </w:p>
    <w:p w14:paraId="43FF42A8">
      <w:p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项目组人员负责调查作业的现场技术支持和质量控制工作。每个作业班组均有一名项目组人员工作跟进，负责对现场调查和取样工作进行作业技术支持和质量控制，包括：现场识别，钻探记录，样品取样装瓶，并据现场实际情况提出作业内容改进调整和建议等工作内容。</w:t>
      </w:r>
    </w:p>
    <w:p w14:paraId="0FE66128">
      <w:pPr>
        <w:pStyle w:val="5"/>
        <w:tabs>
          <w:tab w:val="clear" w:pos="851"/>
        </w:tabs>
        <w:spacing w:after="0"/>
        <w:jc w:val="left"/>
        <w:rPr>
          <w:rFonts w:hint="default" w:ascii="Times New Roman" w:hAnsi="Times New Roman" w:cs="Times New Roman"/>
          <w:color w:val="auto"/>
          <w:szCs w:val="24"/>
          <w:highlight w:val="none"/>
        </w:rPr>
      </w:pPr>
      <w:bookmarkStart w:id="26" w:name="_Toc464822938"/>
      <w:r>
        <w:rPr>
          <w:rFonts w:hint="default" w:ascii="Times New Roman" w:hAnsi="Times New Roman" w:cs="Times New Roman"/>
          <w:color w:val="auto"/>
          <w:szCs w:val="24"/>
          <w:highlight w:val="none"/>
        </w:rPr>
        <w:t>采样过程质量控制</w:t>
      </w:r>
      <w:bookmarkEnd w:id="26"/>
    </w:p>
    <w:p w14:paraId="275138FB">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为保证在允许误差范围内获得具有代表性的样品，在采样的全过程进行质量控制。实验室分析质量保证和质量控制要求见HJ/T 164和HJ/T 166。采样前制定详细的采样计划（采样方案），采样过程中认真按采样计划进行操作。对采样人员进行专门的培训，采样人员应掌握采样技术、懂得安全操作的有关知识和处理方法。采样时，由2人以上在场进行操作。采样工具、设备保持干燥、清洁。采样过程中要防止待采样品受到污染和发生变质。样品盛入容器后，在容器壁上应随即贴上标签并做好记录。样品运输过程中，应防止样品间的交叉污染。盛样容器不可倒置、倒放，防止破损、浸湿和污染。填写好、保存好采集记录、流转清单等文件。采样全过程由专人负责。</w:t>
      </w:r>
    </w:p>
    <w:p w14:paraId="615CE0DE">
      <w:pPr>
        <w:pStyle w:val="5"/>
        <w:tabs>
          <w:tab w:val="clear" w:pos="851"/>
        </w:tabs>
        <w:rPr>
          <w:rFonts w:hint="default" w:ascii="Times New Roman" w:hAnsi="Times New Roman" w:cs="Times New Roman"/>
          <w:color w:val="auto"/>
          <w:highlight w:val="none"/>
        </w:rPr>
      </w:pPr>
      <w:r>
        <w:rPr>
          <w:rFonts w:hint="default" w:ascii="Times New Roman" w:hAnsi="Times New Roman" w:cs="Times New Roman"/>
          <w:color w:val="auto"/>
          <w:highlight w:val="none"/>
        </w:rPr>
        <w:t>设备校正和清洗</w:t>
      </w:r>
    </w:p>
    <w:p w14:paraId="4C41EC32">
      <w:p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所有测量仪器在使用前均预先进行了校正，以确保测量结果的准确性。所有取样瓶由实验室提供，统一进行了消毒处理。在采集土样时，始终佩戴干净的一次性手套。</w:t>
      </w:r>
    </w:p>
    <w:p w14:paraId="344CE8C9">
      <w:p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取样过程中采用标准操作程序以确保采集到能代表园区条件的样品。采用的取样方法包括：清洗程序、样品准备和保存、通过样品跟踪单进行样品追踪。现场的质量控制（QC）要填写详细现场观察的记录单，如采样深度、土壤质地、气味、颜色等，以便于后期定性分析。</w:t>
      </w:r>
    </w:p>
    <w:p w14:paraId="36D6A581">
      <w:pPr>
        <w:pStyle w:val="5"/>
        <w:tabs>
          <w:tab w:val="clear" w:pos="851"/>
        </w:tabs>
        <w:rPr>
          <w:rFonts w:hint="default" w:ascii="Times New Roman" w:hAnsi="Times New Roman" w:cs="Times New Roman"/>
          <w:color w:val="auto"/>
          <w:highlight w:val="none"/>
        </w:rPr>
      </w:pPr>
      <w:r>
        <w:rPr>
          <w:rFonts w:hint="default" w:ascii="Times New Roman" w:hAnsi="Times New Roman" w:cs="Times New Roman"/>
          <w:color w:val="auto"/>
          <w:highlight w:val="none"/>
        </w:rPr>
        <w:t>样品交接与运输</w:t>
      </w:r>
    </w:p>
    <w:p w14:paraId="6F1B0943">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样品采集后尽快装运核对后送往分析实验室。对于有时限要求的监测指标进行严格的时间把控，例如铬（六价）样品，从采集到实验室预处理时间</w:t>
      </w:r>
      <w:r>
        <w:rPr>
          <w:rFonts w:hint="default" w:ascii="Times New Roman" w:hAnsi="Times New Roman" w:cs="Times New Roman"/>
          <w:color w:val="auto"/>
          <w:highlight w:val="none"/>
          <w:lang w:val="en-US" w:eastAsia="zh-CN"/>
        </w:rPr>
        <w:t>不应</w:t>
      </w:r>
      <w:r>
        <w:rPr>
          <w:rFonts w:hint="default" w:ascii="Times New Roman" w:hAnsi="Times New Roman" w:cs="Times New Roman"/>
          <w:color w:val="auto"/>
          <w:highlight w:val="none"/>
        </w:rPr>
        <w:t>超过24小时。</w:t>
      </w:r>
    </w:p>
    <w:p w14:paraId="1CEA7FD6">
      <w:pPr>
        <w:ind w:left="1" w:firstLine="482" w:firstLineChars="200"/>
        <w:rPr>
          <w:rFonts w:hint="default" w:ascii="Times New Roman" w:hAnsi="Times New Roman" w:cs="Times New Roman"/>
          <w:color w:val="auto"/>
          <w:highlight w:val="none"/>
        </w:rPr>
      </w:pPr>
      <w:r>
        <w:rPr>
          <w:rFonts w:hint="default" w:ascii="Times New Roman" w:hAnsi="Times New Roman" w:cs="Times New Roman"/>
          <w:b/>
          <w:color w:val="auto"/>
          <w:highlight w:val="none"/>
        </w:rPr>
        <w:t>装运前核对：</w:t>
      </w:r>
      <w:r>
        <w:rPr>
          <w:rFonts w:hint="default" w:ascii="Times New Roman" w:hAnsi="Times New Roman" w:cs="Times New Roman"/>
          <w:color w:val="auto"/>
          <w:highlight w:val="none"/>
        </w:rPr>
        <w:t>采样结束后现场逐项检查，如采样记录表、样品标签等，如有缺项、漏项和错误处，应及时补齐和修正后方可装运。</w:t>
      </w:r>
    </w:p>
    <w:p w14:paraId="03A95019">
      <w:pPr>
        <w:ind w:left="1" w:firstLine="482" w:firstLineChars="200"/>
        <w:rPr>
          <w:rFonts w:hint="default" w:ascii="Times New Roman" w:hAnsi="Times New Roman" w:cs="Times New Roman"/>
          <w:color w:val="auto"/>
          <w:highlight w:val="none"/>
        </w:rPr>
      </w:pPr>
      <w:r>
        <w:rPr>
          <w:rFonts w:hint="default" w:ascii="Times New Roman" w:hAnsi="Times New Roman" w:cs="Times New Roman"/>
          <w:b/>
          <w:color w:val="auto"/>
          <w:highlight w:val="none"/>
        </w:rPr>
        <w:t>样品运输：</w:t>
      </w:r>
      <w:r>
        <w:rPr>
          <w:rFonts w:hint="default" w:ascii="Times New Roman" w:hAnsi="Times New Roman" w:cs="Times New Roman"/>
          <w:color w:val="auto"/>
          <w:highlight w:val="none"/>
        </w:rPr>
        <w:t>样品运输过程中严防损失、混淆，并尽快送至实验室分析测试。</w:t>
      </w:r>
    </w:p>
    <w:p w14:paraId="1CE1D7BE">
      <w:pPr>
        <w:ind w:left="1" w:firstLine="482" w:firstLineChars="200"/>
        <w:rPr>
          <w:rFonts w:hint="default" w:ascii="Times New Roman" w:hAnsi="Times New Roman" w:cs="Times New Roman"/>
          <w:color w:val="auto"/>
          <w:highlight w:val="none"/>
        </w:rPr>
      </w:pPr>
      <w:r>
        <w:rPr>
          <w:rFonts w:hint="default" w:ascii="Times New Roman" w:hAnsi="Times New Roman" w:cs="Times New Roman"/>
          <w:b/>
          <w:color w:val="auto"/>
          <w:highlight w:val="none"/>
        </w:rPr>
        <w:t>样品交接：</w:t>
      </w:r>
      <w:r>
        <w:rPr>
          <w:rFonts w:hint="default" w:ascii="Times New Roman" w:hAnsi="Times New Roman" w:cs="Times New Roman"/>
          <w:color w:val="auto"/>
          <w:highlight w:val="none"/>
        </w:rPr>
        <w:t>样品送到实验室后，采样人员和实验室样品管理员双方同时清点核实样品。</w:t>
      </w:r>
    </w:p>
    <w:p w14:paraId="7CC80A14">
      <w:pPr>
        <w:pStyle w:val="5"/>
        <w:tabs>
          <w:tab w:val="clear" w:pos="851"/>
        </w:tabs>
        <w:rPr>
          <w:rFonts w:hint="default" w:ascii="Times New Roman" w:hAnsi="Times New Roman" w:cs="Times New Roman"/>
          <w:color w:val="auto"/>
          <w:highlight w:val="none"/>
        </w:rPr>
      </w:pPr>
      <w:r>
        <w:rPr>
          <w:rFonts w:hint="default" w:ascii="Times New Roman" w:hAnsi="Times New Roman" w:cs="Times New Roman"/>
          <w:color w:val="auto"/>
          <w:highlight w:val="none"/>
        </w:rPr>
        <w:t>实验室质量控制</w:t>
      </w:r>
    </w:p>
    <w:p w14:paraId="0740CE4E">
      <w:pPr>
        <w:ind w:firstLine="480" w:firstLineChars="200"/>
        <w:rPr>
          <w:rFonts w:hint="default" w:ascii="Times New Roman" w:hAnsi="Times New Roman" w:cs="Times New Roman"/>
          <w:color w:val="auto"/>
          <w:highlight w:val="none"/>
        </w:rPr>
        <w:sectPr>
          <w:headerReference r:id="rId15" w:type="default"/>
          <w:pgSz w:w="11849" w:h="16781"/>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r>
        <w:rPr>
          <w:rFonts w:hint="default" w:ascii="Times New Roman" w:hAnsi="Times New Roman" w:cs="Times New Roman"/>
          <w:color w:val="auto"/>
          <w:highlight w:val="none"/>
        </w:rPr>
        <w:t>实验室分析时设实验室空白、平行样、基质加标。要求分析结果中平行样的相对标准偏差均在要求的范围内，实验室加标和基质加标的平行样品均在要求的相对百分偏差内。样品的保留时间、保留温度等实验室内部质量保证/控制措施均符合规定的要求。</w:t>
      </w:r>
    </w:p>
    <w:p w14:paraId="2CC31CC8">
      <w:pPr>
        <w:pStyle w:val="3"/>
        <w:numPr>
          <w:ilvl w:val="0"/>
          <w:numId w:val="1"/>
        </w:numPr>
        <w:tabs>
          <w:tab w:val="clear" w:pos="425"/>
        </w:tabs>
        <w:rPr>
          <w:rFonts w:hint="default" w:ascii="Times New Roman" w:hAnsi="Times New Roman" w:cs="Times New Roman"/>
          <w:color w:val="auto"/>
          <w:highlight w:val="none"/>
        </w:rPr>
      </w:pPr>
      <w:bookmarkStart w:id="27" w:name="_Toc23391"/>
      <w:r>
        <w:rPr>
          <w:rFonts w:hint="default" w:ascii="Times New Roman" w:hAnsi="Times New Roman" w:cs="Times New Roman"/>
          <w:color w:val="auto"/>
          <w:highlight w:val="none"/>
        </w:rPr>
        <w:t>现场工作及实验室分析</w:t>
      </w:r>
      <w:bookmarkEnd w:id="27"/>
    </w:p>
    <w:p w14:paraId="41F763D6">
      <w:pPr>
        <w:pStyle w:val="30"/>
        <w:spacing w:after="0"/>
        <w:ind w:firstLine="48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2020年10月20~30日，我公司与协作单位前往</w:t>
      </w:r>
      <w:r>
        <w:rPr>
          <w:rFonts w:hint="default" w:ascii="Times New Roman" w:hAnsi="Times New Roman" w:cs="Times New Roman"/>
          <w:color w:val="auto"/>
          <w:kern w:val="0"/>
          <w:highlight w:val="none"/>
          <w:lang w:eastAsia="zh-CN"/>
        </w:rPr>
        <w:t>城东产业园（鄂城新区）</w:t>
      </w:r>
      <w:r>
        <w:rPr>
          <w:rFonts w:hint="default" w:ascii="Times New Roman" w:hAnsi="Times New Roman" w:cs="Times New Roman"/>
          <w:color w:val="auto"/>
          <w:kern w:val="0"/>
          <w:highlight w:val="none"/>
        </w:rPr>
        <w:t>工业园开展了现场定点、土壤</w:t>
      </w:r>
      <w:r>
        <w:rPr>
          <w:rFonts w:hint="eastAsia" w:cs="Times New Roman"/>
          <w:color w:val="auto"/>
          <w:kern w:val="0"/>
          <w:highlight w:val="none"/>
          <w:lang w:eastAsia="zh-CN"/>
        </w:rPr>
        <w:t>样品</w:t>
      </w:r>
      <w:r>
        <w:rPr>
          <w:rFonts w:hint="default" w:ascii="Times New Roman" w:hAnsi="Times New Roman" w:cs="Times New Roman"/>
          <w:color w:val="auto"/>
          <w:kern w:val="0"/>
          <w:highlight w:val="none"/>
        </w:rPr>
        <w:t>采集和地下水钻井及采样工作。土壤表层（0-0.5m）样品采用手工铲的方式采集，地下水样品采用XY-150履带式钻机钻取了1口直径为90-130mm的土孔并建成地下水井后采集，另</w:t>
      </w:r>
      <w:r>
        <w:rPr>
          <w:rFonts w:hint="default" w:ascii="Times New Roman" w:hAnsi="Times New Roman" w:cs="Times New Roman"/>
          <w:color w:val="auto"/>
          <w:kern w:val="0"/>
          <w:highlight w:val="none"/>
          <w:lang w:val="en-US" w:eastAsia="zh-CN"/>
        </w:rPr>
        <w:t>1口水井</w:t>
      </w:r>
      <w:r>
        <w:rPr>
          <w:rFonts w:hint="default" w:ascii="Times New Roman" w:hAnsi="Times New Roman" w:cs="Times New Roman"/>
          <w:color w:val="auto"/>
          <w:kern w:val="0"/>
          <w:highlight w:val="none"/>
        </w:rPr>
        <w:t>利用现状村民水井</w:t>
      </w:r>
      <w:r>
        <w:rPr>
          <w:rFonts w:hint="default" w:ascii="Times New Roman" w:hAnsi="Times New Roman" w:cs="Times New Roman"/>
          <w:color w:val="auto"/>
          <w:kern w:val="0"/>
          <w:highlight w:val="none"/>
          <w:lang w:val="en-US" w:eastAsia="zh-CN"/>
        </w:rPr>
        <w:t>采集样品</w:t>
      </w:r>
      <w:r>
        <w:rPr>
          <w:rFonts w:hint="default" w:ascii="Times New Roman" w:hAnsi="Times New Roman" w:cs="Times New Roman"/>
          <w:color w:val="auto"/>
          <w:kern w:val="0"/>
          <w:highlight w:val="none"/>
        </w:rPr>
        <w:t>。本次调查主要工作内容总结如下：</w:t>
      </w:r>
    </w:p>
    <w:p w14:paraId="07D0792B">
      <w:pPr>
        <w:pStyle w:val="30"/>
        <w:spacing w:after="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（1）设置土壤采样点14个，采集土壤样品</w:t>
      </w:r>
      <w:r>
        <w:rPr>
          <w:rFonts w:hint="default" w:ascii="Times New Roman" w:hAnsi="Times New Roman" w:cs="Times New Roman"/>
          <w:color w:val="auto"/>
          <w:highlight w:val="none"/>
        </w:rPr>
        <w:t>14个、现场平行盲样1个和运输空白样1个，共送检16个样品</w:t>
      </w:r>
      <w:r>
        <w:rPr>
          <w:rFonts w:hint="default" w:ascii="Times New Roman" w:hAnsi="Times New Roman" w:cs="Times New Roman"/>
          <w:color w:val="auto"/>
          <w:szCs w:val="24"/>
          <w:highlight w:val="none"/>
        </w:rPr>
        <w:t>，测试项目包括</w:t>
      </w:r>
      <w:r>
        <w:rPr>
          <w:rFonts w:hint="default" w:ascii="Times New Roman" w:hAnsi="Times New Roman" w:cs="Times New Roman"/>
          <w:color w:val="auto"/>
          <w:highlight w:val="none"/>
        </w:rPr>
        <w:t>pH、重金属、挥发性有机物、半挥发性有机物、石油烃（C</w:t>
      </w:r>
      <w:r>
        <w:rPr>
          <w:rFonts w:hint="default" w:ascii="Times New Roman" w:hAnsi="Times New Roman" w:cs="Times New Roman"/>
          <w:color w:val="auto"/>
          <w:highlight w:val="none"/>
          <w:vertAlign w:val="subscript"/>
        </w:rPr>
        <w:t>10</w:t>
      </w:r>
      <w:r>
        <w:rPr>
          <w:rFonts w:hint="default" w:ascii="Times New Roman" w:hAnsi="Times New Roman" w:cs="Times New Roman"/>
          <w:color w:val="auto"/>
          <w:highlight w:val="none"/>
        </w:rPr>
        <w:t>-C</w:t>
      </w:r>
      <w:r>
        <w:rPr>
          <w:rFonts w:hint="default" w:ascii="Times New Roman" w:hAnsi="Times New Roman" w:cs="Times New Roman"/>
          <w:color w:val="auto"/>
          <w:highlight w:val="none"/>
          <w:vertAlign w:val="subscript"/>
        </w:rPr>
        <w:t>40</w:t>
      </w:r>
      <w:r>
        <w:rPr>
          <w:rFonts w:hint="default" w:ascii="Times New Roman" w:hAnsi="Times New Roman" w:cs="Times New Roman"/>
          <w:color w:val="auto"/>
          <w:highlight w:val="none"/>
        </w:rPr>
        <w:t>）、总氟化物、二噁英等共计60项</w:t>
      </w:r>
      <w:r>
        <w:rPr>
          <w:rFonts w:hint="default" w:ascii="Times New Roman" w:hAnsi="Times New Roman" w:cs="Times New Roman"/>
          <w:color w:val="auto"/>
          <w:szCs w:val="24"/>
          <w:highlight w:val="none"/>
        </w:rPr>
        <w:t>；</w:t>
      </w:r>
    </w:p>
    <w:p w14:paraId="63A9A479">
      <w:pPr>
        <w:pStyle w:val="30"/>
        <w:spacing w:after="0"/>
        <w:ind w:firstLine="480"/>
        <w:rPr>
          <w:rFonts w:hint="default" w:ascii="Times New Roman" w:hAnsi="Times New Roman" w:cs="Times New Roman"/>
          <w:color w:val="auto"/>
          <w:highlight w:val="none"/>
        </w:rPr>
      </w:pPr>
      <w:r>
        <w:rPr>
          <w:rFonts w:hint="default" w:ascii="Times New Roman" w:hAnsi="Times New Roman" w:cs="Times New Roman"/>
          <w:color w:val="auto"/>
          <w:kern w:val="0"/>
          <w:highlight w:val="none"/>
        </w:rPr>
        <w:t>（2）设置地下水</w:t>
      </w:r>
      <w:r>
        <w:rPr>
          <w:rFonts w:hint="default" w:ascii="Times New Roman" w:hAnsi="Times New Roman" w:cs="Times New Roman"/>
          <w:color w:val="auto"/>
          <w:highlight w:val="none"/>
        </w:rPr>
        <w:t>采样点2个，采集并送检</w:t>
      </w:r>
      <w:r>
        <w:rPr>
          <w:rFonts w:hint="default" w:ascii="Times New Roman" w:hAnsi="Times New Roman" w:cs="Times New Roman"/>
          <w:color w:val="auto"/>
          <w:kern w:val="0"/>
          <w:highlight w:val="none"/>
        </w:rPr>
        <w:t>地下水样品2个，测试项目包括</w:t>
      </w:r>
      <w:r>
        <w:rPr>
          <w:rFonts w:hint="default" w:ascii="Times New Roman" w:hAnsi="Times New Roman" w:cs="Times New Roman"/>
          <w:color w:val="auto"/>
          <w:highlight w:val="none"/>
        </w:rPr>
        <w:t>无机项目（14项）、金属类（13项）、有机类（5项）等32项。</w:t>
      </w:r>
    </w:p>
    <w:p w14:paraId="693BC128">
      <w:pPr>
        <w:pStyle w:val="4"/>
        <w:tabs>
          <w:tab w:val="clear" w:pos="425"/>
        </w:tabs>
        <w:rPr>
          <w:rFonts w:hint="default" w:ascii="Times New Roman" w:hAnsi="Times New Roman" w:cs="Times New Roman"/>
          <w:color w:val="auto"/>
          <w:highlight w:val="none"/>
        </w:rPr>
      </w:pPr>
      <w:bookmarkStart w:id="28" w:name="_Toc15538"/>
      <w:r>
        <w:rPr>
          <w:rFonts w:hint="default" w:ascii="Times New Roman" w:hAnsi="Times New Roman" w:cs="Times New Roman"/>
          <w:color w:val="auto"/>
          <w:highlight w:val="none"/>
        </w:rPr>
        <w:t>现场定点测绘</w:t>
      </w:r>
      <w:bookmarkEnd w:id="28"/>
    </w:p>
    <w:p w14:paraId="3BD44E16">
      <w:pPr>
        <w:pStyle w:val="30"/>
        <w:spacing w:after="0"/>
        <w:ind w:firstLine="48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为了进一步明确，统一各采样点位的实际地理坐标，根据采样布点方案，对每个采样点使用GPS进行现场定点。若存在部分点位因园区实际条件无法采样时，记录调整后的坐标、偏移方位及距离，及时修正点位，并用GPS记录实际采样点坐标。</w:t>
      </w:r>
    </w:p>
    <w:p w14:paraId="01E97D81">
      <w:pPr>
        <w:pStyle w:val="4"/>
        <w:tabs>
          <w:tab w:val="clear" w:pos="425"/>
        </w:tabs>
        <w:rPr>
          <w:rFonts w:hint="default" w:ascii="Times New Roman" w:hAnsi="Times New Roman" w:cs="Times New Roman"/>
          <w:color w:val="auto"/>
          <w:highlight w:val="none"/>
        </w:rPr>
      </w:pPr>
      <w:bookmarkStart w:id="29" w:name="_Toc7376"/>
      <w:r>
        <w:rPr>
          <w:rFonts w:hint="default" w:ascii="Times New Roman" w:hAnsi="Times New Roman" w:cs="Times New Roman"/>
          <w:color w:val="auto"/>
          <w:highlight w:val="none"/>
        </w:rPr>
        <w:t>样品采集</w:t>
      </w:r>
      <w:bookmarkEnd w:id="29"/>
    </w:p>
    <w:p w14:paraId="31AE4391">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土壤样品采集</w:t>
      </w:r>
    </w:p>
    <w:p w14:paraId="4A67141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园区土壤样品采集工作委托苏伊士环境检测技术（上海）有限公司承担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现场采样情况说明详见附件5</w:t>
      </w:r>
      <w:r>
        <w:rPr>
          <w:rFonts w:hint="default" w:ascii="Times New Roman" w:hAnsi="Times New Roman" w:cs="Times New Roman"/>
          <w:color w:val="auto"/>
          <w:highlight w:val="none"/>
        </w:rPr>
        <w:t>。</w:t>
      </w:r>
    </w:p>
    <w:p w14:paraId="196EBE38">
      <w:pPr>
        <w:pStyle w:val="6"/>
        <w:numPr>
          <w:ilvl w:val="0"/>
          <w:numId w:val="0"/>
        </w:numPr>
        <w:spacing w:after="0"/>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4.2.1.1 采集工具和方法</w:t>
      </w:r>
    </w:p>
    <w:p w14:paraId="6687BFC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土壤样品采用手工铲采集，在技术人员的指导下进行，根据相关技术导则操作。</w:t>
      </w:r>
    </w:p>
    <w:p w14:paraId="7CDD503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现场采样时，通过辅以样品性状、气味等污染识别方法，取相应深度土壤，专业技术人员戴上一次性的无污染手术用橡胶手套，用手工铲将取出的土壤装入样品瓶（袋）中，压实密封。用记号笔在每个样品瓶中记录样品名称、编号、采样日期等信息，边采边记，避免遗漏。样品瓶是由负责样品检测单位的实验室提供的、事先准备好带到现场。典型监测点位现场采样及样品照片见下图。</w:t>
      </w:r>
    </w:p>
    <w:tbl>
      <w:tblPr>
        <w:tblStyle w:val="21"/>
        <w:tblW w:w="97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719"/>
        <w:gridCol w:w="5079"/>
      </w:tblGrid>
      <w:tr w14:paraId="155100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719" w:type="dxa"/>
            <w:vAlign w:val="center"/>
          </w:tcPr>
          <w:p w14:paraId="2657F454">
            <w:pPr>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2851150" cy="2143125"/>
                  <wp:effectExtent l="0" t="0" r="13970" b="571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28"/>
                          <a:stretch>
                            <a:fillRect/>
                          </a:stretch>
                        </pic:blipFill>
                        <pic:spPr>
                          <a:xfrm>
                            <a:off x="0" y="0"/>
                            <a:ext cx="2851150" cy="2143125"/>
                          </a:xfrm>
                          <a:prstGeom prst="rect">
                            <a:avLst/>
                          </a:prstGeom>
                          <a:noFill/>
                          <a:ln>
                            <a:noFill/>
                          </a:ln>
                        </pic:spPr>
                      </pic:pic>
                    </a:graphicData>
                  </a:graphic>
                </wp:inline>
              </w:drawing>
            </w:r>
          </w:p>
        </w:tc>
        <w:tc>
          <w:tcPr>
            <w:tcW w:w="5079" w:type="dxa"/>
            <w:vAlign w:val="center"/>
          </w:tcPr>
          <w:p w14:paraId="2FD09388">
            <w:pPr>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3084830" cy="2104390"/>
                  <wp:effectExtent l="0" t="0" r="8890" b="1397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29"/>
                          <a:stretch>
                            <a:fillRect/>
                          </a:stretch>
                        </pic:blipFill>
                        <pic:spPr>
                          <a:xfrm>
                            <a:off x="0" y="0"/>
                            <a:ext cx="3084830" cy="2104390"/>
                          </a:xfrm>
                          <a:prstGeom prst="rect">
                            <a:avLst/>
                          </a:prstGeom>
                          <a:noFill/>
                          <a:ln>
                            <a:noFill/>
                          </a:ln>
                        </pic:spPr>
                      </pic:pic>
                    </a:graphicData>
                  </a:graphic>
                </wp:inline>
              </w:drawing>
            </w:r>
          </w:p>
        </w:tc>
      </w:tr>
      <w:tr w14:paraId="27D3B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719" w:type="dxa"/>
            <w:vAlign w:val="center"/>
          </w:tcPr>
          <w:p w14:paraId="1496DEE3">
            <w:pPr>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现场采样照片</w:t>
            </w:r>
          </w:p>
        </w:tc>
        <w:tc>
          <w:tcPr>
            <w:tcW w:w="5079" w:type="dxa"/>
            <w:vAlign w:val="center"/>
          </w:tcPr>
          <w:p w14:paraId="185B365B">
            <w:pPr>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现场取样照片</w:t>
            </w:r>
          </w:p>
        </w:tc>
      </w:tr>
      <w:tr w14:paraId="1527C5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719" w:type="dxa"/>
            <w:vAlign w:val="center"/>
          </w:tcPr>
          <w:p w14:paraId="3CF226E0">
            <w:pPr>
              <w:snapToGrid w:val="0"/>
              <w:spacing w:line="240" w:lineRule="auto"/>
              <w:jc w:val="center"/>
              <w:rPr>
                <w:rFonts w:hint="default" w:ascii="Times New Roman" w:hAnsi="Times New Roman" w:cs="Times New Roman"/>
                <w:b/>
                <w:bCs/>
                <w:color w:val="auto"/>
                <w:highlight w:val="none"/>
              </w:rPr>
            </w:pPr>
            <w:r>
              <w:rPr>
                <w:rFonts w:hint="default" w:ascii="Times New Roman" w:hAnsi="Times New Roman" w:cs="Times New Roman"/>
                <w:color w:val="auto"/>
                <w:highlight w:val="none"/>
              </w:rPr>
              <w:drawing>
                <wp:inline distT="0" distB="0" distL="114300" distR="114300">
                  <wp:extent cx="2854960" cy="2147570"/>
                  <wp:effectExtent l="0" t="0" r="10160" b="127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30"/>
                          <a:stretch>
                            <a:fillRect/>
                          </a:stretch>
                        </pic:blipFill>
                        <pic:spPr>
                          <a:xfrm>
                            <a:off x="0" y="0"/>
                            <a:ext cx="2854960" cy="2147570"/>
                          </a:xfrm>
                          <a:prstGeom prst="rect">
                            <a:avLst/>
                          </a:prstGeom>
                          <a:noFill/>
                          <a:ln>
                            <a:noFill/>
                          </a:ln>
                        </pic:spPr>
                      </pic:pic>
                    </a:graphicData>
                  </a:graphic>
                </wp:inline>
              </w:drawing>
            </w:r>
          </w:p>
        </w:tc>
        <w:tc>
          <w:tcPr>
            <w:tcW w:w="5079" w:type="dxa"/>
            <w:vAlign w:val="center"/>
          </w:tcPr>
          <w:p w14:paraId="3819C231">
            <w:pPr>
              <w:snapToGrid w:val="0"/>
              <w:spacing w:line="240" w:lineRule="auto"/>
              <w:jc w:val="center"/>
              <w:rPr>
                <w:rFonts w:hint="default" w:ascii="Times New Roman" w:hAnsi="Times New Roman" w:cs="Times New Roman"/>
                <w:b/>
                <w:bCs/>
                <w:color w:val="auto"/>
                <w:highlight w:val="none"/>
              </w:rPr>
            </w:pPr>
            <w:r>
              <w:rPr>
                <w:rFonts w:hint="default" w:ascii="Times New Roman" w:hAnsi="Times New Roman" w:cs="Times New Roman"/>
                <w:color w:val="auto"/>
                <w:highlight w:val="none"/>
              </w:rPr>
              <w:drawing>
                <wp:inline distT="0" distB="0" distL="114300" distR="114300">
                  <wp:extent cx="2870200" cy="2152650"/>
                  <wp:effectExtent l="0" t="0" r="10160" b="1143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31"/>
                          <a:stretch>
                            <a:fillRect/>
                          </a:stretch>
                        </pic:blipFill>
                        <pic:spPr>
                          <a:xfrm>
                            <a:off x="0" y="0"/>
                            <a:ext cx="2870200" cy="2152650"/>
                          </a:xfrm>
                          <a:prstGeom prst="rect">
                            <a:avLst/>
                          </a:prstGeom>
                          <a:noFill/>
                          <a:ln>
                            <a:noFill/>
                          </a:ln>
                        </pic:spPr>
                      </pic:pic>
                    </a:graphicData>
                  </a:graphic>
                </wp:inline>
              </w:drawing>
            </w:r>
          </w:p>
        </w:tc>
      </w:tr>
      <w:tr w14:paraId="4A4F1C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719" w:type="dxa"/>
            <w:vAlign w:val="center"/>
          </w:tcPr>
          <w:p w14:paraId="2A554D91">
            <w:pPr>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现场样品照片</w:t>
            </w:r>
          </w:p>
        </w:tc>
        <w:tc>
          <w:tcPr>
            <w:tcW w:w="5079" w:type="dxa"/>
            <w:vAlign w:val="center"/>
          </w:tcPr>
          <w:p w14:paraId="7C62A590">
            <w:pPr>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现场样品照片</w:t>
            </w:r>
          </w:p>
        </w:tc>
      </w:tr>
    </w:tbl>
    <w:p w14:paraId="2CD2E182">
      <w:pPr>
        <w:ind w:firstLine="482"/>
        <w:jc w:val="center"/>
        <w:rPr>
          <w:rFonts w:hint="default" w:ascii="Times New Roman" w:hAnsi="Times New Roman" w:cs="Times New Roman"/>
          <w:color w:val="auto"/>
          <w:highlight w:val="none"/>
        </w:rPr>
      </w:pPr>
      <w:r>
        <w:rPr>
          <w:rFonts w:hint="default" w:ascii="Times New Roman" w:hAnsi="Times New Roman" w:eastAsia="黑体" w:cs="Times New Roman"/>
          <w:b/>
          <w:color w:val="auto"/>
          <w:szCs w:val="20"/>
          <w:highlight w:val="none"/>
        </w:rPr>
        <w:t>图4-2-</w:t>
      </w:r>
      <w:r>
        <w:rPr>
          <w:rFonts w:hint="default" w:ascii="Times New Roman" w:hAnsi="Times New Roman" w:eastAsia="黑体" w:cs="Times New Roman"/>
          <w:b/>
          <w:color w:val="auto"/>
          <w:szCs w:val="20"/>
          <w:highlight w:val="none"/>
          <w:lang w:val="en-US" w:eastAsia="zh-CN"/>
        </w:rPr>
        <w:t>1</w:t>
      </w:r>
      <w:r>
        <w:rPr>
          <w:rFonts w:hint="default" w:ascii="Times New Roman" w:hAnsi="Times New Roman" w:eastAsia="黑体" w:cs="Times New Roman"/>
          <w:b/>
          <w:color w:val="auto"/>
          <w:szCs w:val="20"/>
          <w:highlight w:val="none"/>
        </w:rPr>
        <w:t xml:space="preserve">  典型监测点位现场采样及样品照片</w:t>
      </w:r>
    </w:p>
    <w:p w14:paraId="0E318A4D">
      <w:pPr>
        <w:pStyle w:val="6"/>
        <w:numPr>
          <w:ilvl w:val="0"/>
          <w:numId w:val="0"/>
        </w:numPr>
        <w:spacing w:after="0"/>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4.2.1.2 样品现场筛测</w:t>
      </w:r>
    </w:p>
    <w:p w14:paraId="4728A8C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现场技术人员检查和记录土壤的类型，通过目测或嗅闻判断土壤是否有污染痕迹。为了现场判断采样区可疑情况，本次调查采用手持式光离子化检测器（PID）检测土壤中挥发性有机物含量。同时采集平行样品，用于质量保证和质量控制。现场快速检测典型照片见下图。</w:t>
      </w:r>
    </w:p>
    <w:tbl>
      <w:tblPr>
        <w:tblStyle w:val="21"/>
        <w:tblW w:w="932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20"/>
      </w:tblGrid>
      <w:tr w14:paraId="7467FC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70" w:hRule="atLeast"/>
          <w:jc w:val="center"/>
        </w:trPr>
        <w:tc>
          <w:tcPr>
            <w:tcW w:w="9320" w:type="dxa"/>
            <w:vAlign w:val="center"/>
          </w:tcPr>
          <w:p w14:paraId="53C082E5">
            <w:pPr>
              <w:snapToGrid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5629910" cy="3360420"/>
                  <wp:effectExtent l="0" t="0" r="8890" b="11430"/>
                  <wp:docPr id="17" name="图片 1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1"/>
                          <pic:cNvPicPr>
                            <a:picLocks noChangeAspect="1"/>
                          </pic:cNvPicPr>
                        </pic:nvPicPr>
                        <pic:blipFill>
                          <a:blip r:embed="rId32"/>
                          <a:stretch>
                            <a:fillRect/>
                          </a:stretch>
                        </pic:blipFill>
                        <pic:spPr>
                          <a:xfrm>
                            <a:off x="0" y="0"/>
                            <a:ext cx="5629910" cy="3360420"/>
                          </a:xfrm>
                          <a:prstGeom prst="rect">
                            <a:avLst/>
                          </a:prstGeom>
                        </pic:spPr>
                      </pic:pic>
                    </a:graphicData>
                  </a:graphic>
                </wp:inline>
              </w:drawing>
            </w:r>
          </w:p>
        </w:tc>
      </w:tr>
      <w:tr w14:paraId="6055C5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9320" w:type="dxa"/>
            <w:vAlign w:val="center"/>
          </w:tcPr>
          <w:p w14:paraId="08EC7677">
            <w:pPr>
              <w:snapToGrid w:val="0"/>
              <w:spacing w:line="240" w:lineRule="auto"/>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现场PID快速检测</w:t>
            </w:r>
          </w:p>
        </w:tc>
      </w:tr>
    </w:tbl>
    <w:p w14:paraId="13FB3818">
      <w:pPr>
        <w:ind w:firstLine="482"/>
        <w:jc w:val="center"/>
        <w:rPr>
          <w:rFonts w:hint="default" w:ascii="Times New Roman" w:hAnsi="Times New Roman" w:eastAsia="黑体" w:cs="Times New Roman"/>
          <w:b/>
          <w:color w:val="auto"/>
          <w:szCs w:val="20"/>
          <w:highlight w:val="none"/>
        </w:rPr>
      </w:pPr>
      <w:r>
        <w:rPr>
          <w:rFonts w:hint="default" w:ascii="Times New Roman" w:hAnsi="Times New Roman" w:eastAsia="黑体" w:cs="Times New Roman"/>
          <w:b/>
          <w:color w:val="auto"/>
          <w:szCs w:val="20"/>
          <w:highlight w:val="none"/>
        </w:rPr>
        <w:t>图4-2-2  典型监测点位现场快速检测照片</w:t>
      </w:r>
    </w:p>
    <w:p w14:paraId="7011F1BD">
      <w:pPr>
        <w:pStyle w:val="6"/>
        <w:numPr>
          <w:ilvl w:val="0"/>
          <w:numId w:val="0"/>
        </w:numPr>
        <w:spacing w:after="0"/>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4.2.1.3样品保存</w:t>
      </w:r>
    </w:p>
    <w:p w14:paraId="513F5B70">
      <w:pPr>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装入土壤样品的样品瓶（袋），需立即放置到冷藏箱中，低温保存。样品采集完成后在样品保存流转时限内送至实验室分析。样品装运前核对采样记录表、样品标签等，如有缺漏项和错误处，将及时补充和修正后方可装运。样品运输过程中严防损失、混淆或玷污。样品送到实验室后，采样人员和实验室样品管理员双方同时清点核实样品，并在样品流转单上签字确认。</w:t>
      </w:r>
    </w:p>
    <w:p w14:paraId="36BBC7EA">
      <w:pPr>
        <w:pStyle w:val="6"/>
        <w:numPr>
          <w:ilvl w:val="0"/>
          <w:numId w:val="0"/>
        </w:numPr>
        <w:spacing w:after="0"/>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4.2.1.4样品质量控制</w:t>
      </w:r>
    </w:p>
    <w:p w14:paraId="78551FD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采样人员均已通过岗前培训、持证上岗，切实掌握土壤、地下水采样技术，熟知采样器具的使用和样品固定、保存、运输条件。样品的质量控制措施严格按照《建设用地土壤污染风险管控和修复监测技术导则》（HJ 25.2-2019）中的技术规范进行操作。</w:t>
      </w:r>
    </w:p>
    <w:p w14:paraId="21ED2F2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（1）所有土壤样品采集后立即装入样品瓶中，保证样品中污染物不会挥发出来。所有样品放置在冷藏箱保存并在样品保存流转时限内运送至实验室。</w:t>
      </w:r>
    </w:p>
    <w:p w14:paraId="363A56ED">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本次现场采样</w:t>
      </w:r>
      <w:r>
        <w:rPr>
          <w:rFonts w:hint="default" w:ascii="Times New Roman" w:hAnsi="Times New Roman" w:cs="Times New Roman"/>
          <w:color w:val="000000"/>
          <w:highlight w:val="none"/>
        </w:rPr>
        <w:t>5个园区连续采样，分批次送样，每一批次按10%比例设置现场平行盲样。</w:t>
      </w:r>
      <w:r>
        <w:rPr>
          <w:rFonts w:hint="default" w:ascii="Times New Roman" w:hAnsi="Times New Roman" w:cs="Times New Roman"/>
          <w:color w:val="auto"/>
          <w:highlight w:val="none"/>
        </w:rPr>
        <w:t>每批次样品设置一个运输空白样，与样品一起送实验室分析。</w:t>
      </w:r>
    </w:p>
    <w:p w14:paraId="6626BF36">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地下水样品采集</w:t>
      </w:r>
    </w:p>
    <w:p w14:paraId="0846A53D">
      <w:pPr>
        <w:pStyle w:val="6"/>
        <w:numPr>
          <w:ilvl w:val="0"/>
          <w:numId w:val="0"/>
        </w:numPr>
        <w:spacing w:after="0"/>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4.2.2.1监测井安装</w:t>
      </w:r>
    </w:p>
    <w:p w14:paraId="76A33DF8">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监测井钻探完成后，安装一根封底硬质PVC井管，PVC井管由底部密闭、管壁可滤水的筛管、上部延伸到地表的实管组成。监测井的深度和筛管的安装位置由专业人员根据现场水位的相对位置及各监测井的不同监测要求综合考虑设定。监测井筛管外侧周围用粒径大于0.25mm的清洁石英砂回填作为滤水层，石英砂回填至地下水水位线处，其上部再回填膨润土至自然地坪处。</w:t>
      </w:r>
    </w:p>
    <w:p w14:paraId="042EAD84">
      <w:pPr>
        <w:pStyle w:val="6"/>
        <w:numPr>
          <w:ilvl w:val="0"/>
          <w:numId w:val="0"/>
        </w:numPr>
        <w:spacing w:after="0"/>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4.2.2.2 样品采集</w:t>
      </w:r>
    </w:p>
    <w:p w14:paraId="1F77488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采样前用贝勒管进行洗井。洗井时抽提出来的水量大于监测井总量的3</w:t>
      </w:r>
      <w:r>
        <w:rPr>
          <w:rFonts w:hint="eastAsia" w:cs="Times New Roman"/>
          <w:color w:val="auto"/>
          <w:highlight w:val="none"/>
          <w:lang w:val="en-US" w:eastAsia="zh-CN"/>
        </w:rPr>
        <w:t>~5</w:t>
      </w:r>
      <w:r>
        <w:rPr>
          <w:rFonts w:hint="default" w:ascii="Times New Roman" w:hAnsi="Times New Roman" w:cs="Times New Roman"/>
          <w:color w:val="auto"/>
          <w:highlight w:val="none"/>
        </w:rPr>
        <w:t>倍。在监测井洗井稳定24</w:t>
      </w:r>
      <w:r>
        <w:rPr>
          <w:rFonts w:hint="default" w:ascii="Times New Roman" w:hAnsi="Times New Roman" w:cs="Times New Roman"/>
          <w:color w:val="auto"/>
          <w:highlight w:val="none"/>
          <w:lang w:val="en-US" w:eastAsia="zh-CN"/>
        </w:rPr>
        <w:t>h</w:t>
      </w:r>
      <w:r>
        <w:rPr>
          <w:rFonts w:hint="default" w:ascii="Times New Roman" w:hAnsi="Times New Roman" w:cs="Times New Roman"/>
          <w:color w:val="auto"/>
          <w:highlight w:val="none"/>
        </w:rPr>
        <w:t>后，使用贝勒管进行地下水样的采集。为避免监测井中发生浑浊，贝勒管放入和提出时均缓慢进行。采样时，所有地下水样品均迅速转入由实验室提供的专用样品瓶中保存。调查园区下水监测井成井情况及水样采集照片见图4-2-3。</w:t>
      </w:r>
    </w:p>
    <w:tbl>
      <w:tblPr>
        <w:tblStyle w:val="21"/>
        <w:tblW w:w="97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02"/>
        <w:gridCol w:w="4896"/>
      </w:tblGrid>
      <w:tr w14:paraId="786899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 w:hRule="atLeast"/>
          <w:jc w:val="center"/>
        </w:trPr>
        <w:tc>
          <w:tcPr>
            <w:tcW w:w="4902" w:type="dxa"/>
            <w:tcBorders>
              <w:tl2br w:val="nil"/>
              <w:tr2bl w:val="nil"/>
            </w:tcBorders>
            <w:vAlign w:val="center"/>
          </w:tcPr>
          <w:p w14:paraId="0F7567A4">
            <w:pPr>
              <w:overflowPunct w:val="0"/>
              <w:autoSpaceDE w:val="0"/>
              <w:autoSpaceDN w:val="0"/>
              <w:adjustRightInd w:val="0"/>
              <w:spacing w:line="240" w:lineRule="auto"/>
              <w:jc w:val="center"/>
              <w:textAlignment w:val="baseline"/>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drawing>
                <wp:inline distT="0" distB="0" distL="114300" distR="114300">
                  <wp:extent cx="2430145" cy="3239770"/>
                  <wp:effectExtent l="0" t="0" r="8255" b="17780"/>
                  <wp:docPr id="30" name="图片 30" descr="IMG_20201022_102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MG_20201022_102343"/>
                          <pic:cNvPicPr>
                            <a:picLocks noChangeAspect="1"/>
                          </pic:cNvPicPr>
                        </pic:nvPicPr>
                        <pic:blipFill>
                          <a:blip r:embed="rId33"/>
                          <a:stretch>
                            <a:fillRect/>
                          </a:stretch>
                        </pic:blipFill>
                        <pic:spPr>
                          <a:xfrm>
                            <a:off x="0" y="0"/>
                            <a:ext cx="2430145" cy="3239770"/>
                          </a:xfrm>
                          <a:prstGeom prst="rect">
                            <a:avLst/>
                          </a:prstGeom>
                        </pic:spPr>
                      </pic:pic>
                    </a:graphicData>
                  </a:graphic>
                </wp:inline>
              </w:drawing>
            </w:r>
          </w:p>
        </w:tc>
        <w:tc>
          <w:tcPr>
            <w:tcW w:w="4896" w:type="dxa"/>
            <w:tcBorders>
              <w:tl2br w:val="nil"/>
              <w:tr2bl w:val="nil"/>
            </w:tcBorders>
            <w:vAlign w:val="center"/>
          </w:tcPr>
          <w:p w14:paraId="48C2FF04">
            <w:pPr>
              <w:overflowPunct w:val="0"/>
              <w:autoSpaceDE w:val="0"/>
              <w:autoSpaceDN w:val="0"/>
              <w:adjustRightInd w:val="0"/>
              <w:spacing w:line="240" w:lineRule="auto"/>
              <w:jc w:val="center"/>
              <w:textAlignment w:val="baseline"/>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drawing>
                <wp:inline distT="0" distB="0" distL="114300" distR="114300">
                  <wp:extent cx="2879725" cy="2160270"/>
                  <wp:effectExtent l="0" t="0" r="15875" b="11430"/>
                  <wp:docPr id="31" name="图片 31" descr="IMG_20201022_165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IMG_20201022_165211"/>
                          <pic:cNvPicPr>
                            <a:picLocks noChangeAspect="1"/>
                          </pic:cNvPicPr>
                        </pic:nvPicPr>
                        <pic:blipFill>
                          <a:blip r:embed="rId34"/>
                          <a:stretch>
                            <a:fillRect/>
                          </a:stretch>
                        </pic:blipFill>
                        <pic:spPr>
                          <a:xfrm>
                            <a:off x="0" y="0"/>
                            <a:ext cx="2879725" cy="2160270"/>
                          </a:xfrm>
                          <a:prstGeom prst="rect">
                            <a:avLst/>
                          </a:prstGeom>
                        </pic:spPr>
                      </pic:pic>
                    </a:graphicData>
                  </a:graphic>
                </wp:inline>
              </w:drawing>
            </w:r>
          </w:p>
        </w:tc>
      </w:tr>
      <w:tr w14:paraId="7A1846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4902" w:type="dxa"/>
            <w:tcBorders>
              <w:tl2br w:val="nil"/>
              <w:tr2bl w:val="nil"/>
            </w:tcBorders>
            <w:vAlign w:val="center"/>
          </w:tcPr>
          <w:p w14:paraId="06879F5E">
            <w:pPr>
              <w:spacing w:line="240" w:lineRule="auto"/>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地下水钻机</w:t>
            </w:r>
          </w:p>
        </w:tc>
        <w:tc>
          <w:tcPr>
            <w:tcW w:w="4896" w:type="dxa"/>
            <w:tcBorders>
              <w:tl2br w:val="nil"/>
              <w:tr2bl w:val="nil"/>
            </w:tcBorders>
            <w:vAlign w:val="center"/>
          </w:tcPr>
          <w:p w14:paraId="67FFBED1">
            <w:pPr>
              <w:spacing w:line="240" w:lineRule="auto"/>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地下水成井</w:t>
            </w:r>
          </w:p>
        </w:tc>
      </w:tr>
      <w:tr w14:paraId="3673B8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902" w:type="dxa"/>
            <w:tcBorders>
              <w:tl2br w:val="nil"/>
              <w:tr2bl w:val="nil"/>
            </w:tcBorders>
            <w:vAlign w:val="center"/>
          </w:tcPr>
          <w:p w14:paraId="2232F632">
            <w:pPr>
              <w:spacing w:line="240" w:lineRule="auto"/>
              <w:jc w:val="center"/>
              <w:rPr>
                <w:rFonts w:hint="default" w:ascii="Times New Roman" w:hAnsi="Times New Roman" w:cs="Times New Roman"/>
                <w:bCs/>
                <w:color w:val="auto"/>
                <w:kern w:val="0"/>
                <w:sz w:val="18"/>
                <w:szCs w:val="18"/>
                <w:highlight w:val="none"/>
              </w:rPr>
            </w:pPr>
            <w:r>
              <w:rPr>
                <w:rFonts w:hint="default" w:ascii="Times New Roman" w:hAnsi="Times New Roman" w:cs="Times New Roman"/>
                <w:bCs/>
                <w:color w:val="auto"/>
                <w:kern w:val="0"/>
                <w:sz w:val="18"/>
                <w:szCs w:val="18"/>
                <w:highlight w:val="none"/>
              </w:rPr>
              <w:drawing>
                <wp:inline distT="0" distB="0" distL="114300" distR="114300">
                  <wp:extent cx="2946400" cy="2209800"/>
                  <wp:effectExtent l="0" t="0" r="6350" b="0"/>
                  <wp:docPr id="3" name="图片 3" descr="IMG_20201027_160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0201027_160326"/>
                          <pic:cNvPicPr>
                            <a:picLocks noChangeAspect="1"/>
                          </pic:cNvPicPr>
                        </pic:nvPicPr>
                        <pic:blipFill>
                          <a:blip r:embed="rId35"/>
                          <a:stretch>
                            <a:fillRect/>
                          </a:stretch>
                        </pic:blipFill>
                        <pic:spPr>
                          <a:xfrm>
                            <a:off x="0" y="0"/>
                            <a:ext cx="2946400" cy="2209800"/>
                          </a:xfrm>
                          <a:prstGeom prst="rect">
                            <a:avLst/>
                          </a:prstGeom>
                        </pic:spPr>
                      </pic:pic>
                    </a:graphicData>
                  </a:graphic>
                </wp:inline>
              </w:drawing>
            </w:r>
          </w:p>
        </w:tc>
        <w:tc>
          <w:tcPr>
            <w:tcW w:w="4896" w:type="dxa"/>
            <w:tcBorders>
              <w:tl2br w:val="nil"/>
              <w:tr2bl w:val="nil"/>
            </w:tcBorders>
            <w:vAlign w:val="center"/>
          </w:tcPr>
          <w:p w14:paraId="130C431A">
            <w:pPr>
              <w:spacing w:line="240" w:lineRule="auto"/>
              <w:jc w:val="center"/>
              <w:rPr>
                <w:rFonts w:hint="default" w:ascii="Times New Roman" w:hAnsi="Times New Roman" w:cs="Times New Roman"/>
                <w:bCs/>
                <w:color w:val="auto"/>
                <w:kern w:val="0"/>
                <w:sz w:val="18"/>
                <w:szCs w:val="18"/>
                <w:highlight w:val="none"/>
              </w:rPr>
            </w:pPr>
            <w:r>
              <w:rPr>
                <w:rFonts w:hint="default" w:ascii="Times New Roman" w:hAnsi="Times New Roman" w:cs="Times New Roman"/>
                <w:color w:val="auto"/>
                <w:highlight w:val="none"/>
              </w:rPr>
              <w:drawing>
                <wp:inline distT="0" distB="0" distL="114300" distR="114300">
                  <wp:extent cx="2970530" cy="2223770"/>
                  <wp:effectExtent l="0" t="0" r="1270" b="127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36"/>
                          <a:stretch>
                            <a:fillRect/>
                          </a:stretch>
                        </pic:blipFill>
                        <pic:spPr>
                          <a:xfrm>
                            <a:off x="0" y="0"/>
                            <a:ext cx="2970530" cy="2223770"/>
                          </a:xfrm>
                          <a:prstGeom prst="rect">
                            <a:avLst/>
                          </a:prstGeom>
                          <a:noFill/>
                          <a:ln>
                            <a:noFill/>
                          </a:ln>
                        </pic:spPr>
                      </pic:pic>
                    </a:graphicData>
                  </a:graphic>
                </wp:inline>
              </w:drawing>
            </w:r>
          </w:p>
        </w:tc>
      </w:tr>
      <w:tr w14:paraId="28AAFB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4902" w:type="dxa"/>
            <w:tcBorders>
              <w:tl2br w:val="nil"/>
              <w:tr2bl w:val="nil"/>
            </w:tcBorders>
            <w:vAlign w:val="center"/>
          </w:tcPr>
          <w:p w14:paraId="343BB193">
            <w:pPr>
              <w:spacing w:line="240" w:lineRule="auto"/>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地下水洗井</w:t>
            </w:r>
          </w:p>
        </w:tc>
        <w:tc>
          <w:tcPr>
            <w:tcW w:w="4896" w:type="dxa"/>
            <w:tcBorders>
              <w:tl2br w:val="nil"/>
              <w:tr2bl w:val="nil"/>
            </w:tcBorders>
            <w:vAlign w:val="center"/>
          </w:tcPr>
          <w:p w14:paraId="76B69352">
            <w:pPr>
              <w:spacing w:line="240" w:lineRule="auto"/>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地下水样品</w:t>
            </w:r>
          </w:p>
        </w:tc>
      </w:tr>
    </w:tbl>
    <w:p w14:paraId="47B34FF1">
      <w:pPr>
        <w:pStyle w:val="33"/>
        <w:spacing w:before="0" w:beforeLines="0"/>
        <w:rPr>
          <w:rFonts w:hint="default" w:ascii="Times New Roman" w:hAnsi="Times New Roman" w:eastAsia="宋体" w:cs="Times New Roman"/>
          <w:color w:val="auto"/>
          <w:kern w:val="0"/>
          <w:szCs w:val="24"/>
          <w:highlight w:val="none"/>
        </w:rPr>
      </w:pPr>
      <w:r>
        <w:rPr>
          <w:rFonts w:hint="default" w:ascii="Times New Roman" w:hAnsi="Times New Roman" w:eastAsia="宋体" w:cs="Times New Roman"/>
          <w:color w:val="auto"/>
          <w:kern w:val="0"/>
          <w:szCs w:val="24"/>
          <w:highlight w:val="none"/>
        </w:rPr>
        <w:t>图4-2-3  典型监测井及地下水取样照片</w:t>
      </w:r>
    </w:p>
    <w:p w14:paraId="5417BA0A">
      <w:pPr>
        <w:pStyle w:val="6"/>
        <w:numPr>
          <w:ilvl w:val="0"/>
          <w:numId w:val="0"/>
        </w:numPr>
        <w:spacing w:after="0"/>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4.2.2.3样品保存</w:t>
      </w:r>
    </w:p>
    <w:p w14:paraId="770EC0C4">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样品贮存间置冷藏柜，防水、防盗和保密措施。样品管理员负责保持样品贮存间的清洁、通风、无腐蚀的环境，并对贮存环境条件加以维持和监控。</w:t>
      </w:r>
    </w:p>
    <w:p w14:paraId="4725C034">
      <w:pPr>
        <w:pStyle w:val="6"/>
        <w:numPr>
          <w:ilvl w:val="0"/>
          <w:numId w:val="0"/>
        </w:numPr>
        <w:spacing w:after="0"/>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4.2.2.4样品质量控制</w:t>
      </w:r>
    </w:p>
    <w:p w14:paraId="078FCFBC">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采样人员均已通过岗前培训、持证上岗，切实掌握土壤、地下水采样技术，熟知采样器具的使用和样品固定、保存、运输条件。同批次水样，加采现场平行样。每次测试结束后，除必要的留存样外，样品容器均及时清洗。</w:t>
      </w:r>
    </w:p>
    <w:p w14:paraId="3EBDF07A">
      <w:pPr>
        <w:pStyle w:val="4"/>
        <w:tabs>
          <w:tab w:val="clear" w:pos="425"/>
        </w:tabs>
        <w:rPr>
          <w:rFonts w:hint="default" w:ascii="Times New Roman" w:hAnsi="Times New Roman" w:cs="Times New Roman"/>
          <w:color w:val="auto"/>
          <w:highlight w:val="none"/>
        </w:rPr>
      </w:pPr>
      <w:bookmarkStart w:id="30" w:name="_Toc6439"/>
      <w:r>
        <w:rPr>
          <w:rFonts w:hint="default" w:ascii="Times New Roman" w:hAnsi="Times New Roman" w:cs="Times New Roman"/>
          <w:color w:val="auto"/>
          <w:highlight w:val="none"/>
        </w:rPr>
        <w:t>现场记录</w:t>
      </w:r>
      <w:bookmarkEnd w:id="30"/>
    </w:p>
    <w:p w14:paraId="42BA82F7">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szCs w:val="20"/>
          <w:highlight w:val="none"/>
        </w:rPr>
        <w:t>土壤快速检测</w:t>
      </w:r>
      <w:r>
        <w:rPr>
          <w:rFonts w:hint="default" w:ascii="Times New Roman" w:hAnsi="Times New Roman" w:cs="Times New Roman"/>
          <w:color w:val="auto"/>
          <w:highlight w:val="none"/>
        </w:rPr>
        <w:t>记录</w:t>
      </w:r>
    </w:p>
    <w:p w14:paraId="0C6DE348">
      <w:pPr>
        <w:pStyle w:val="30"/>
        <w:adjustRightInd w:val="0"/>
        <w:snapToGrid w:val="0"/>
        <w:spacing w:after="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本次调查期间，采样人员使用手持式光离子化检测器（PID）对位于调查园区内土壤样品进行了快速检测，共测试14个土壤样品、1个平行盲样，PID读数</w:t>
      </w:r>
      <w:r>
        <w:rPr>
          <w:rFonts w:hint="default" w:ascii="Times New Roman" w:hAnsi="Times New Roman" w:cs="Times New Roman"/>
          <w:color w:val="auto"/>
          <w:highlight w:val="none"/>
          <w:lang w:val="en-US" w:eastAsia="zh-CN"/>
        </w:rPr>
        <w:t>均为0</w:t>
      </w:r>
      <w:r>
        <w:rPr>
          <w:rFonts w:hint="default" w:ascii="Times New Roman" w:hAnsi="Times New Roman" w:cs="Times New Roman"/>
          <w:color w:val="auto"/>
          <w:highlight w:val="none"/>
        </w:rPr>
        <w:t>ppm。现场记录见附件1。</w:t>
      </w:r>
    </w:p>
    <w:p w14:paraId="7E6B2C07">
      <w:pPr>
        <w:pStyle w:val="5"/>
        <w:keepLines w:val="0"/>
        <w:tabs>
          <w:tab w:val="left" w:pos="425"/>
        </w:tabs>
        <w:spacing w:after="0"/>
        <w:rPr>
          <w:rFonts w:hint="default" w:ascii="Times New Roman" w:hAnsi="Times New Roman" w:cs="Times New Roman"/>
          <w:color w:val="auto"/>
          <w:highlight w:val="none"/>
        </w:rPr>
      </w:pPr>
      <w:r>
        <w:rPr>
          <w:rFonts w:hint="default" w:ascii="Times New Roman" w:hAnsi="Times New Roman" w:cs="Times New Roman"/>
          <w:color w:val="auto"/>
          <w:highlight w:val="none"/>
        </w:rPr>
        <w:t>工程地质条件</w:t>
      </w:r>
    </w:p>
    <w:p w14:paraId="79C9EC2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现场土壤样品主要为表层（0-0.5m）土壤，</w:t>
      </w:r>
      <w:r>
        <w:rPr>
          <w:rFonts w:hint="eastAsia" w:cs="Times New Roman"/>
          <w:color w:val="auto"/>
          <w:highlight w:val="none"/>
          <w:lang w:eastAsia="zh-CN"/>
        </w:rPr>
        <w:t>其类型</w:t>
      </w:r>
      <w:r>
        <w:rPr>
          <w:rFonts w:hint="default" w:ascii="Times New Roman" w:hAnsi="Times New Roman" w:cs="Times New Roman"/>
          <w:color w:val="auto"/>
          <w:highlight w:val="none"/>
        </w:rPr>
        <w:t>主要为杂填土</w:t>
      </w:r>
      <w:r>
        <w:rPr>
          <w:rFonts w:hint="default" w:ascii="Times New Roman" w:hAnsi="Times New Roman" w:cs="Times New Roman"/>
          <w:color w:val="auto"/>
          <w:highlight w:val="none"/>
          <w:lang w:val="en-US" w:eastAsia="zh-CN"/>
        </w:rPr>
        <w:t>或素填土</w:t>
      </w:r>
      <w:r>
        <w:rPr>
          <w:rFonts w:hint="default" w:ascii="Times New Roman" w:hAnsi="Times New Roman" w:cs="Times New Roman"/>
          <w:color w:val="auto"/>
          <w:highlight w:val="none"/>
        </w:rPr>
        <w:t>，表面夹杂石块、根系等，部分土壤夹杂有少量的高岭土、铁锰矿物。</w:t>
      </w:r>
    </w:p>
    <w:p w14:paraId="2F7BE72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地下水井钻探期间揭露浅部地层分布状况结构描述见表4-3-1。</w:t>
      </w:r>
    </w:p>
    <w:p w14:paraId="070D6208">
      <w:pPr>
        <w:pStyle w:val="2"/>
        <w:rPr>
          <w:rFonts w:hint="default" w:ascii="Times New Roman" w:hAnsi="Times New Roman" w:cs="Times New Roman"/>
          <w:color w:val="auto"/>
          <w:highlight w:val="none"/>
        </w:rPr>
      </w:pPr>
    </w:p>
    <w:p w14:paraId="5B678F0C">
      <w:pPr>
        <w:pStyle w:val="2"/>
        <w:rPr>
          <w:rFonts w:hint="default" w:ascii="Times New Roman" w:hAnsi="Times New Roman" w:cs="Times New Roman"/>
          <w:color w:val="auto"/>
          <w:highlight w:val="none"/>
        </w:rPr>
      </w:pPr>
    </w:p>
    <w:p w14:paraId="42DD1854">
      <w:pPr>
        <w:pStyle w:val="2"/>
        <w:rPr>
          <w:rFonts w:hint="default" w:ascii="Times New Roman" w:hAnsi="Times New Roman" w:cs="Times New Roman"/>
          <w:color w:val="auto"/>
          <w:highlight w:val="none"/>
        </w:rPr>
      </w:pPr>
    </w:p>
    <w:p w14:paraId="1DE3414A">
      <w:pPr>
        <w:pStyle w:val="2"/>
        <w:spacing w:before="165" w:beforeLines="50" w:after="0" w:line="240" w:lineRule="auto"/>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 xml:space="preserve">表4-3-1 </w:t>
      </w:r>
      <w:r>
        <w:rPr>
          <w:rFonts w:hint="default" w:ascii="Times New Roman" w:hAnsi="Times New Roman" w:cs="Times New Roman"/>
          <w:b/>
          <w:bCs/>
          <w:color w:val="auto"/>
          <w:highlight w:val="none"/>
          <w:lang w:val="en-US" w:eastAsia="zh-CN"/>
        </w:rPr>
        <w:t>地下水点位</w:t>
      </w:r>
      <w:r>
        <w:rPr>
          <w:rFonts w:hint="default" w:ascii="Times New Roman" w:hAnsi="Times New Roman" w:cs="Times New Roman"/>
          <w:b/>
          <w:bCs/>
          <w:color w:val="auto"/>
          <w:highlight w:val="none"/>
        </w:rPr>
        <w:t>钻孔地层分布状况</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874"/>
        <w:gridCol w:w="1470"/>
        <w:gridCol w:w="1070"/>
        <w:gridCol w:w="646"/>
        <w:gridCol w:w="452"/>
        <w:gridCol w:w="452"/>
        <w:gridCol w:w="663"/>
        <w:gridCol w:w="3984"/>
      </w:tblGrid>
      <w:tr w14:paraId="7D0E39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77" w:type="pct"/>
            <w:tcBorders>
              <w:bottom w:val="single" w:color="auto" w:sz="12" w:space="0"/>
            </w:tcBorders>
            <w:shd w:val="clear" w:color="auto" w:fill="auto"/>
            <w:noWrap/>
            <w:tcMar>
              <w:top w:w="15" w:type="dxa"/>
              <w:left w:w="15" w:type="dxa"/>
              <w:right w:w="15" w:type="dxa"/>
            </w:tcMar>
            <w:vAlign w:val="center"/>
          </w:tcPr>
          <w:p w14:paraId="77853D1F">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钻井编号</w:t>
            </w:r>
          </w:p>
        </w:tc>
        <w:tc>
          <w:tcPr>
            <w:tcW w:w="477" w:type="pct"/>
            <w:tcBorders>
              <w:bottom w:val="single" w:color="auto" w:sz="12" w:space="0"/>
            </w:tcBorders>
            <w:shd w:val="clear" w:color="auto" w:fill="auto"/>
            <w:noWrap/>
            <w:tcMar>
              <w:top w:w="15" w:type="dxa"/>
              <w:left w:w="15" w:type="dxa"/>
              <w:right w:w="15" w:type="dxa"/>
            </w:tcMar>
            <w:vAlign w:val="center"/>
          </w:tcPr>
          <w:p w14:paraId="39946620">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钻井深度（m）</w:t>
            </w:r>
          </w:p>
        </w:tc>
        <w:tc>
          <w:tcPr>
            <w:tcW w:w="617" w:type="pct"/>
            <w:tcBorders>
              <w:bottom w:val="single" w:color="auto" w:sz="12" w:space="0"/>
            </w:tcBorders>
            <w:shd w:val="clear" w:color="auto" w:fill="auto"/>
            <w:noWrap/>
            <w:tcMar>
              <w:top w:w="15" w:type="dxa"/>
              <w:left w:w="15" w:type="dxa"/>
              <w:right w:w="15" w:type="dxa"/>
            </w:tcMar>
            <w:vAlign w:val="center"/>
          </w:tcPr>
          <w:p w14:paraId="1E1430B9">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土壤类型</w:t>
            </w:r>
          </w:p>
        </w:tc>
        <w:tc>
          <w:tcPr>
            <w:tcW w:w="377" w:type="pct"/>
            <w:tcBorders>
              <w:bottom w:val="single" w:color="auto" w:sz="12" w:space="0"/>
            </w:tcBorders>
            <w:shd w:val="clear" w:color="auto" w:fill="auto"/>
            <w:noWrap/>
            <w:tcMar>
              <w:top w:w="15" w:type="dxa"/>
              <w:left w:w="15" w:type="dxa"/>
              <w:right w:w="15" w:type="dxa"/>
            </w:tcMar>
            <w:vAlign w:val="center"/>
          </w:tcPr>
          <w:p w14:paraId="5E3A06E0">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颜色</w:t>
            </w:r>
          </w:p>
        </w:tc>
        <w:tc>
          <w:tcPr>
            <w:tcW w:w="257" w:type="pct"/>
            <w:tcBorders>
              <w:bottom w:val="single" w:color="auto" w:sz="12" w:space="0"/>
            </w:tcBorders>
            <w:shd w:val="clear" w:color="auto" w:fill="auto"/>
            <w:noWrap/>
            <w:tcMar>
              <w:top w:w="15" w:type="dxa"/>
              <w:left w:w="15" w:type="dxa"/>
              <w:right w:w="15" w:type="dxa"/>
            </w:tcMar>
            <w:vAlign w:val="center"/>
          </w:tcPr>
          <w:p w14:paraId="2D863092">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湿度</w:t>
            </w:r>
          </w:p>
        </w:tc>
        <w:tc>
          <w:tcPr>
            <w:tcW w:w="257" w:type="pct"/>
            <w:tcBorders>
              <w:bottom w:val="single" w:color="auto" w:sz="12" w:space="0"/>
            </w:tcBorders>
            <w:shd w:val="clear" w:color="auto" w:fill="auto"/>
            <w:noWrap/>
            <w:tcMar>
              <w:top w:w="15" w:type="dxa"/>
              <w:left w:w="15" w:type="dxa"/>
              <w:right w:w="15" w:type="dxa"/>
            </w:tcMar>
            <w:vAlign w:val="center"/>
          </w:tcPr>
          <w:p w14:paraId="1E0D9570">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气味</w:t>
            </w:r>
          </w:p>
        </w:tc>
        <w:tc>
          <w:tcPr>
            <w:tcW w:w="362" w:type="pct"/>
            <w:tcBorders>
              <w:bottom w:val="single" w:color="auto" w:sz="12" w:space="0"/>
            </w:tcBorders>
            <w:shd w:val="clear" w:color="auto" w:fill="auto"/>
            <w:noWrap/>
            <w:tcMar>
              <w:top w:w="15" w:type="dxa"/>
              <w:left w:w="15" w:type="dxa"/>
              <w:right w:w="15" w:type="dxa"/>
            </w:tcMar>
            <w:vAlign w:val="center"/>
          </w:tcPr>
          <w:p w14:paraId="79008214">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可塑性</w:t>
            </w:r>
          </w:p>
        </w:tc>
        <w:tc>
          <w:tcPr>
            <w:tcW w:w="2176" w:type="pct"/>
            <w:tcBorders>
              <w:bottom w:val="single" w:color="auto" w:sz="12" w:space="0"/>
            </w:tcBorders>
            <w:shd w:val="clear" w:color="auto" w:fill="auto"/>
            <w:noWrap/>
            <w:tcMar>
              <w:top w:w="15" w:type="dxa"/>
              <w:left w:w="15" w:type="dxa"/>
              <w:right w:w="15" w:type="dxa"/>
            </w:tcMar>
            <w:vAlign w:val="center"/>
          </w:tcPr>
          <w:p w14:paraId="3D63BFF8">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夹杂物</w:t>
            </w:r>
          </w:p>
        </w:tc>
      </w:tr>
      <w:tr w14:paraId="09728B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77" w:type="pct"/>
            <w:vMerge w:val="restart"/>
            <w:tcBorders>
              <w:top w:val="single" w:color="auto" w:sz="12" w:space="0"/>
              <w:tl2br w:val="nil"/>
              <w:tr2bl w:val="nil"/>
            </w:tcBorders>
            <w:shd w:val="clear" w:color="auto" w:fill="auto"/>
            <w:noWrap/>
            <w:tcMar>
              <w:top w:w="15" w:type="dxa"/>
              <w:left w:w="15" w:type="dxa"/>
              <w:right w:w="15" w:type="dxa"/>
            </w:tcMar>
            <w:vAlign w:val="center"/>
          </w:tcPr>
          <w:p w14:paraId="0A40D5A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XM-W1</w:t>
            </w:r>
          </w:p>
        </w:tc>
        <w:tc>
          <w:tcPr>
            <w:tcW w:w="477" w:type="pct"/>
            <w:tcBorders>
              <w:top w:val="single" w:color="auto" w:sz="12" w:space="0"/>
              <w:tl2br w:val="nil"/>
              <w:tr2bl w:val="nil"/>
            </w:tcBorders>
            <w:shd w:val="clear" w:color="auto" w:fill="auto"/>
            <w:noWrap/>
            <w:tcMar>
              <w:top w:w="15" w:type="dxa"/>
              <w:left w:w="15" w:type="dxa"/>
              <w:right w:w="15" w:type="dxa"/>
            </w:tcMar>
            <w:vAlign w:val="center"/>
          </w:tcPr>
          <w:p w14:paraId="1E68DA1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0~0.2</w:t>
            </w:r>
          </w:p>
        </w:tc>
        <w:tc>
          <w:tcPr>
            <w:tcW w:w="617" w:type="pct"/>
            <w:tcBorders>
              <w:top w:val="single" w:color="auto" w:sz="12" w:space="0"/>
              <w:tl2br w:val="nil"/>
              <w:tr2bl w:val="nil"/>
            </w:tcBorders>
            <w:shd w:val="clear" w:color="auto" w:fill="auto"/>
            <w:noWrap/>
            <w:tcMar>
              <w:top w:w="15" w:type="dxa"/>
              <w:left w:w="15" w:type="dxa"/>
              <w:right w:w="15" w:type="dxa"/>
            </w:tcMar>
            <w:vAlign w:val="center"/>
          </w:tcPr>
          <w:p w14:paraId="5083A5E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耕植土</w:t>
            </w:r>
          </w:p>
        </w:tc>
        <w:tc>
          <w:tcPr>
            <w:tcW w:w="377" w:type="pct"/>
            <w:tcBorders>
              <w:top w:val="single" w:color="auto" w:sz="12" w:space="0"/>
              <w:tl2br w:val="nil"/>
              <w:tr2bl w:val="nil"/>
            </w:tcBorders>
            <w:shd w:val="clear" w:color="auto" w:fill="auto"/>
            <w:noWrap/>
            <w:tcMar>
              <w:top w:w="15" w:type="dxa"/>
              <w:left w:w="15" w:type="dxa"/>
              <w:right w:w="15" w:type="dxa"/>
            </w:tcMar>
            <w:vAlign w:val="center"/>
          </w:tcPr>
          <w:p w14:paraId="17B94E8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灰褐</w:t>
            </w:r>
          </w:p>
        </w:tc>
        <w:tc>
          <w:tcPr>
            <w:tcW w:w="257" w:type="pct"/>
            <w:tcBorders>
              <w:top w:val="single" w:color="auto" w:sz="12" w:space="0"/>
              <w:tl2br w:val="nil"/>
              <w:tr2bl w:val="nil"/>
            </w:tcBorders>
            <w:shd w:val="clear" w:color="auto" w:fill="auto"/>
            <w:noWrap/>
            <w:tcMar>
              <w:top w:w="15" w:type="dxa"/>
              <w:left w:w="15" w:type="dxa"/>
              <w:right w:w="15" w:type="dxa"/>
            </w:tcMar>
            <w:vAlign w:val="center"/>
          </w:tcPr>
          <w:p w14:paraId="769B83B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稍湿</w:t>
            </w:r>
          </w:p>
        </w:tc>
        <w:tc>
          <w:tcPr>
            <w:tcW w:w="257" w:type="pct"/>
            <w:tcBorders>
              <w:top w:val="single" w:color="auto" w:sz="12" w:space="0"/>
              <w:tl2br w:val="nil"/>
              <w:tr2bl w:val="nil"/>
            </w:tcBorders>
            <w:shd w:val="clear" w:color="auto" w:fill="auto"/>
            <w:noWrap/>
            <w:tcMar>
              <w:top w:w="15" w:type="dxa"/>
              <w:left w:w="15" w:type="dxa"/>
              <w:right w:w="15" w:type="dxa"/>
            </w:tcMar>
            <w:vAlign w:val="center"/>
          </w:tcPr>
          <w:p w14:paraId="415B453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362" w:type="pct"/>
            <w:tcBorders>
              <w:top w:val="single" w:color="auto" w:sz="12" w:space="0"/>
              <w:tl2br w:val="nil"/>
              <w:tr2bl w:val="nil"/>
            </w:tcBorders>
            <w:shd w:val="clear" w:color="auto" w:fill="auto"/>
            <w:noWrap/>
            <w:tcMar>
              <w:top w:w="15" w:type="dxa"/>
              <w:left w:w="15" w:type="dxa"/>
              <w:right w:w="15" w:type="dxa"/>
            </w:tcMar>
            <w:vAlign w:val="center"/>
          </w:tcPr>
          <w:p w14:paraId="0481A57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松散</w:t>
            </w:r>
          </w:p>
        </w:tc>
        <w:tc>
          <w:tcPr>
            <w:tcW w:w="2176" w:type="pct"/>
            <w:tcBorders>
              <w:top w:val="single" w:color="auto" w:sz="12" w:space="0"/>
              <w:tl2br w:val="nil"/>
              <w:tr2bl w:val="nil"/>
            </w:tcBorders>
            <w:shd w:val="clear" w:color="auto" w:fill="auto"/>
            <w:noWrap/>
            <w:tcMar>
              <w:top w:w="15" w:type="dxa"/>
              <w:left w:w="15" w:type="dxa"/>
              <w:right w:w="15" w:type="dxa"/>
            </w:tcMar>
            <w:vAlign w:val="center"/>
          </w:tcPr>
          <w:p w14:paraId="610BC6C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含大量植物根系</w:t>
            </w:r>
          </w:p>
        </w:tc>
      </w:tr>
      <w:tr w14:paraId="12D2DB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77" w:type="pct"/>
            <w:vMerge w:val="continue"/>
            <w:tcBorders>
              <w:tl2br w:val="nil"/>
              <w:tr2bl w:val="nil"/>
            </w:tcBorders>
            <w:shd w:val="clear" w:color="auto" w:fill="auto"/>
            <w:noWrap/>
            <w:tcMar>
              <w:top w:w="15" w:type="dxa"/>
              <w:left w:w="15" w:type="dxa"/>
              <w:right w:w="15" w:type="dxa"/>
            </w:tcMar>
            <w:vAlign w:val="center"/>
          </w:tcPr>
          <w:p w14:paraId="3AD93437">
            <w:pPr>
              <w:spacing w:line="240" w:lineRule="auto"/>
              <w:jc w:val="center"/>
              <w:rPr>
                <w:rFonts w:hint="default" w:ascii="Times New Roman" w:hAnsi="Times New Roman" w:cs="Times New Roman"/>
                <w:color w:val="auto"/>
                <w:sz w:val="21"/>
                <w:szCs w:val="21"/>
                <w:highlight w:val="none"/>
              </w:rPr>
            </w:pPr>
          </w:p>
        </w:tc>
        <w:tc>
          <w:tcPr>
            <w:tcW w:w="477" w:type="pct"/>
            <w:tcBorders>
              <w:tl2br w:val="nil"/>
              <w:tr2bl w:val="nil"/>
            </w:tcBorders>
            <w:shd w:val="clear" w:color="auto" w:fill="auto"/>
            <w:noWrap/>
            <w:tcMar>
              <w:top w:w="15" w:type="dxa"/>
              <w:left w:w="15" w:type="dxa"/>
              <w:right w:w="15" w:type="dxa"/>
            </w:tcMar>
            <w:vAlign w:val="center"/>
          </w:tcPr>
          <w:p w14:paraId="1C326D7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0.2~1.8</w:t>
            </w:r>
          </w:p>
        </w:tc>
        <w:tc>
          <w:tcPr>
            <w:tcW w:w="617" w:type="pct"/>
            <w:tcBorders>
              <w:tl2br w:val="nil"/>
              <w:tr2bl w:val="nil"/>
            </w:tcBorders>
            <w:shd w:val="clear" w:color="auto" w:fill="auto"/>
            <w:noWrap/>
            <w:tcMar>
              <w:top w:w="15" w:type="dxa"/>
              <w:left w:w="15" w:type="dxa"/>
              <w:right w:w="15" w:type="dxa"/>
            </w:tcMar>
            <w:vAlign w:val="center"/>
          </w:tcPr>
          <w:p w14:paraId="5D598D5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素填土</w:t>
            </w:r>
          </w:p>
        </w:tc>
        <w:tc>
          <w:tcPr>
            <w:tcW w:w="377" w:type="pct"/>
            <w:tcBorders>
              <w:tl2br w:val="nil"/>
              <w:tr2bl w:val="nil"/>
            </w:tcBorders>
            <w:shd w:val="clear" w:color="auto" w:fill="auto"/>
            <w:noWrap/>
            <w:tcMar>
              <w:top w:w="15" w:type="dxa"/>
              <w:left w:w="15" w:type="dxa"/>
              <w:right w:w="15" w:type="dxa"/>
            </w:tcMar>
            <w:vAlign w:val="center"/>
          </w:tcPr>
          <w:p w14:paraId="59A5E79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灰褐</w:t>
            </w:r>
          </w:p>
        </w:tc>
        <w:tc>
          <w:tcPr>
            <w:tcW w:w="257" w:type="pct"/>
            <w:tcBorders>
              <w:tl2br w:val="nil"/>
              <w:tr2bl w:val="nil"/>
            </w:tcBorders>
            <w:shd w:val="clear" w:color="auto" w:fill="auto"/>
            <w:noWrap/>
            <w:tcMar>
              <w:top w:w="15" w:type="dxa"/>
              <w:left w:w="15" w:type="dxa"/>
              <w:right w:w="15" w:type="dxa"/>
            </w:tcMar>
            <w:vAlign w:val="center"/>
          </w:tcPr>
          <w:p w14:paraId="27F3BD3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稍湿</w:t>
            </w:r>
          </w:p>
        </w:tc>
        <w:tc>
          <w:tcPr>
            <w:tcW w:w="257" w:type="pct"/>
            <w:tcBorders>
              <w:tl2br w:val="nil"/>
              <w:tr2bl w:val="nil"/>
            </w:tcBorders>
            <w:shd w:val="clear" w:color="auto" w:fill="auto"/>
            <w:noWrap/>
            <w:tcMar>
              <w:top w:w="15" w:type="dxa"/>
              <w:left w:w="15" w:type="dxa"/>
              <w:right w:w="15" w:type="dxa"/>
            </w:tcMar>
            <w:vAlign w:val="center"/>
          </w:tcPr>
          <w:p w14:paraId="5779CA3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362" w:type="pct"/>
            <w:tcBorders>
              <w:tl2br w:val="nil"/>
              <w:tr2bl w:val="nil"/>
            </w:tcBorders>
            <w:shd w:val="clear" w:color="auto" w:fill="auto"/>
            <w:noWrap/>
            <w:tcMar>
              <w:top w:w="15" w:type="dxa"/>
              <w:left w:w="15" w:type="dxa"/>
              <w:right w:w="15" w:type="dxa"/>
            </w:tcMar>
            <w:vAlign w:val="center"/>
          </w:tcPr>
          <w:p w14:paraId="4603724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可塑</w:t>
            </w:r>
          </w:p>
        </w:tc>
        <w:tc>
          <w:tcPr>
            <w:tcW w:w="2176" w:type="pct"/>
            <w:tcBorders>
              <w:tl2br w:val="nil"/>
              <w:tr2bl w:val="nil"/>
            </w:tcBorders>
            <w:shd w:val="clear" w:color="auto" w:fill="auto"/>
            <w:noWrap/>
            <w:tcMar>
              <w:top w:w="15" w:type="dxa"/>
              <w:left w:w="15" w:type="dxa"/>
              <w:right w:w="15" w:type="dxa"/>
            </w:tcMar>
            <w:vAlign w:val="center"/>
          </w:tcPr>
          <w:p w14:paraId="5F11AAC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主要由粘土组成，含少量氧化物</w:t>
            </w:r>
          </w:p>
        </w:tc>
      </w:tr>
      <w:tr w14:paraId="0E14BF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77" w:type="pct"/>
            <w:vMerge w:val="continue"/>
            <w:tcBorders>
              <w:tl2br w:val="nil"/>
              <w:tr2bl w:val="nil"/>
            </w:tcBorders>
            <w:shd w:val="clear" w:color="auto" w:fill="auto"/>
            <w:noWrap/>
            <w:tcMar>
              <w:top w:w="15" w:type="dxa"/>
              <w:left w:w="15" w:type="dxa"/>
              <w:right w:w="15" w:type="dxa"/>
            </w:tcMar>
            <w:vAlign w:val="center"/>
          </w:tcPr>
          <w:p w14:paraId="6E56B1C9">
            <w:pPr>
              <w:spacing w:line="240" w:lineRule="auto"/>
              <w:jc w:val="center"/>
              <w:rPr>
                <w:rFonts w:hint="default" w:ascii="Times New Roman" w:hAnsi="Times New Roman" w:cs="Times New Roman"/>
                <w:color w:val="auto"/>
                <w:sz w:val="21"/>
                <w:szCs w:val="21"/>
                <w:highlight w:val="none"/>
              </w:rPr>
            </w:pPr>
          </w:p>
        </w:tc>
        <w:tc>
          <w:tcPr>
            <w:tcW w:w="477" w:type="pct"/>
            <w:tcBorders>
              <w:tl2br w:val="nil"/>
              <w:tr2bl w:val="nil"/>
            </w:tcBorders>
            <w:shd w:val="clear" w:color="auto" w:fill="auto"/>
            <w:noWrap/>
            <w:tcMar>
              <w:top w:w="15" w:type="dxa"/>
              <w:left w:w="15" w:type="dxa"/>
              <w:right w:w="15" w:type="dxa"/>
            </w:tcMar>
            <w:vAlign w:val="center"/>
          </w:tcPr>
          <w:p w14:paraId="1AAC5AA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1.8~6.0</w:t>
            </w:r>
          </w:p>
        </w:tc>
        <w:tc>
          <w:tcPr>
            <w:tcW w:w="617" w:type="pct"/>
            <w:tcBorders>
              <w:tl2br w:val="nil"/>
              <w:tr2bl w:val="nil"/>
            </w:tcBorders>
            <w:shd w:val="clear" w:color="auto" w:fill="auto"/>
            <w:noWrap/>
            <w:tcMar>
              <w:top w:w="15" w:type="dxa"/>
              <w:left w:w="15" w:type="dxa"/>
              <w:right w:w="15" w:type="dxa"/>
            </w:tcMar>
            <w:vAlign w:val="center"/>
          </w:tcPr>
          <w:p w14:paraId="46298C2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粘土</w:t>
            </w:r>
          </w:p>
        </w:tc>
        <w:tc>
          <w:tcPr>
            <w:tcW w:w="377" w:type="pct"/>
            <w:tcBorders>
              <w:tl2br w:val="nil"/>
              <w:tr2bl w:val="nil"/>
            </w:tcBorders>
            <w:shd w:val="clear" w:color="auto" w:fill="auto"/>
            <w:noWrap/>
            <w:tcMar>
              <w:top w:w="15" w:type="dxa"/>
              <w:left w:w="15" w:type="dxa"/>
              <w:right w:w="15" w:type="dxa"/>
            </w:tcMar>
            <w:vAlign w:val="center"/>
          </w:tcPr>
          <w:p w14:paraId="4FC21B7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红褐</w:t>
            </w:r>
          </w:p>
        </w:tc>
        <w:tc>
          <w:tcPr>
            <w:tcW w:w="257" w:type="pct"/>
            <w:tcBorders>
              <w:tl2br w:val="nil"/>
              <w:tr2bl w:val="nil"/>
            </w:tcBorders>
            <w:shd w:val="clear" w:color="auto" w:fill="auto"/>
            <w:noWrap/>
            <w:tcMar>
              <w:top w:w="15" w:type="dxa"/>
              <w:left w:w="15" w:type="dxa"/>
              <w:right w:w="15" w:type="dxa"/>
            </w:tcMar>
            <w:vAlign w:val="center"/>
          </w:tcPr>
          <w:p w14:paraId="56AD309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稍湿</w:t>
            </w:r>
          </w:p>
        </w:tc>
        <w:tc>
          <w:tcPr>
            <w:tcW w:w="257" w:type="pct"/>
            <w:tcBorders>
              <w:tl2br w:val="nil"/>
              <w:tr2bl w:val="nil"/>
            </w:tcBorders>
            <w:shd w:val="clear" w:color="auto" w:fill="auto"/>
            <w:noWrap/>
            <w:tcMar>
              <w:top w:w="15" w:type="dxa"/>
              <w:left w:w="15" w:type="dxa"/>
              <w:right w:w="15" w:type="dxa"/>
            </w:tcMar>
            <w:vAlign w:val="center"/>
          </w:tcPr>
          <w:p w14:paraId="78D5136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362" w:type="pct"/>
            <w:tcBorders>
              <w:tl2br w:val="nil"/>
              <w:tr2bl w:val="nil"/>
            </w:tcBorders>
            <w:shd w:val="clear" w:color="auto" w:fill="auto"/>
            <w:noWrap/>
            <w:tcMar>
              <w:top w:w="15" w:type="dxa"/>
              <w:left w:w="15" w:type="dxa"/>
              <w:right w:w="15" w:type="dxa"/>
            </w:tcMar>
            <w:vAlign w:val="center"/>
          </w:tcPr>
          <w:p w14:paraId="0AF1049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可塑</w:t>
            </w:r>
          </w:p>
        </w:tc>
        <w:tc>
          <w:tcPr>
            <w:tcW w:w="2176" w:type="pct"/>
            <w:tcBorders>
              <w:tl2br w:val="nil"/>
              <w:tr2bl w:val="nil"/>
            </w:tcBorders>
            <w:shd w:val="clear" w:color="auto" w:fill="auto"/>
            <w:noWrap/>
            <w:tcMar>
              <w:top w:w="15" w:type="dxa"/>
              <w:left w:w="15" w:type="dxa"/>
              <w:right w:w="15" w:type="dxa"/>
            </w:tcMar>
            <w:vAlign w:val="center"/>
          </w:tcPr>
          <w:p w14:paraId="51AF43E1">
            <w:pPr>
              <w:widowControl/>
              <w:spacing w:line="240" w:lineRule="auto"/>
              <w:jc w:val="left"/>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局部夹少量灰白色高岭土，含少量氧化物</w:t>
            </w:r>
          </w:p>
        </w:tc>
      </w:tr>
    </w:tbl>
    <w:p w14:paraId="428D72EB">
      <w:pPr>
        <w:pStyle w:val="5"/>
        <w:keepLines w:val="0"/>
        <w:tabs>
          <w:tab w:val="left" w:pos="425"/>
        </w:tabs>
        <w:spacing w:after="0"/>
        <w:rPr>
          <w:rFonts w:hint="default" w:ascii="Times New Roman" w:hAnsi="Times New Roman" w:cs="Times New Roman"/>
          <w:color w:val="auto"/>
          <w:highlight w:val="none"/>
        </w:rPr>
      </w:pPr>
      <w:r>
        <w:rPr>
          <w:rFonts w:hint="default" w:ascii="Times New Roman" w:hAnsi="Times New Roman" w:cs="Times New Roman"/>
          <w:color w:val="auto"/>
          <w:highlight w:val="none"/>
        </w:rPr>
        <w:t>水文地质条件</w:t>
      </w:r>
    </w:p>
    <w:p w14:paraId="0973E2B2">
      <w:pPr>
        <w:pStyle w:val="30"/>
        <w:adjustRightInd w:val="0"/>
        <w:snapToGrid w:val="0"/>
        <w:spacing w:after="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根据现场情况判断，本次调查钻探的地下水类型为潜水，本次调查最大钻探深度为6.0m，现场测得的地下水相关信息数据见表4-3-4。</w:t>
      </w:r>
    </w:p>
    <w:p w14:paraId="1F25D260">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样品质量控制</w:t>
      </w:r>
    </w:p>
    <w:p w14:paraId="6225C941">
      <w:pPr>
        <w:pStyle w:val="30"/>
        <w:adjustRightInd w:val="0"/>
        <w:snapToGrid w:val="0"/>
        <w:spacing w:after="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采样人员均已通过岗前培训、持证上岗，切实掌握土壤、地下水采样技术，熟知采样器具的使用和样品固定、保存、运输条件。同批次水样、土样，加采现场平行样。每次测试结束后，除必要的留存样外，样品容器均及时清洗。</w:t>
      </w:r>
    </w:p>
    <w:p w14:paraId="0842FC3C">
      <w:pPr>
        <w:pStyle w:val="30"/>
        <w:adjustRightInd w:val="0"/>
        <w:snapToGrid w:val="0"/>
        <w:spacing w:after="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本园区</w:t>
      </w:r>
      <w:r>
        <w:rPr>
          <w:rFonts w:hint="default" w:ascii="Times New Roman" w:hAnsi="Times New Roman" w:cs="Times New Roman"/>
          <w:color w:val="auto"/>
          <w:highlight w:val="none"/>
        </w:rPr>
        <w:t>调查实际共采集1个土壤平行盲样，具体布设情况见表4-3-2。</w:t>
      </w:r>
    </w:p>
    <w:p w14:paraId="2D2ED1D4">
      <w:pPr>
        <w:pStyle w:val="33"/>
        <w:spacing w:before="0" w:beforeLines="0" w:line="24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表4-3-2  调查范围内平行盲样布设情况</w:t>
      </w:r>
    </w:p>
    <w:tbl>
      <w:tblPr>
        <w:tblStyle w:val="21"/>
        <w:tblW w:w="9798"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38"/>
        <w:gridCol w:w="2330"/>
        <w:gridCol w:w="3022"/>
        <w:gridCol w:w="3108"/>
      </w:tblGrid>
      <w:tr w14:paraId="75BE57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tblHeader/>
        </w:trPr>
        <w:tc>
          <w:tcPr>
            <w:tcW w:w="1338" w:type="dxa"/>
            <w:tcBorders>
              <w:bottom w:val="single" w:color="auto" w:sz="12" w:space="0"/>
            </w:tcBorders>
            <w:vAlign w:val="center"/>
          </w:tcPr>
          <w:p w14:paraId="1EB913D9">
            <w:pPr>
              <w:widowControl/>
              <w:spacing w:line="240" w:lineRule="auto"/>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序号</w:t>
            </w:r>
          </w:p>
        </w:tc>
        <w:tc>
          <w:tcPr>
            <w:tcW w:w="2330" w:type="dxa"/>
            <w:tcBorders>
              <w:bottom w:val="single" w:color="auto" w:sz="12" w:space="0"/>
            </w:tcBorders>
            <w:vAlign w:val="center"/>
          </w:tcPr>
          <w:p w14:paraId="1A473C68">
            <w:pPr>
              <w:widowControl/>
              <w:spacing w:line="240" w:lineRule="auto"/>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平行盲样编号</w:t>
            </w:r>
          </w:p>
        </w:tc>
        <w:tc>
          <w:tcPr>
            <w:tcW w:w="3022" w:type="dxa"/>
            <w:tcBorders>
              <w:bottom w:val="single" w:color="auto" w:sz="12" w:space="0"/>
            </w:tcBorders>
            <w:vAlign w:val="center"/>
          </w:tcPr>
          <w:p w14:paraId="6D59E4F7">
            <w:pPr>
              <w:widowControl/>
              <w:spacing w:line="240" w:lineRule="auto"/>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对应采样点位信息</w:t>
            </w:r>
          </w:p>
        </w:tc>
        <w:tc>
          <w:tcPr>
            <w:tcW w:w="3108" w:type="dxa"/>
            <w:tcBorders>
              <w:bottom w:val="single" w:color="auto" w:sz="12" w:space="0"/>
            </w:tcBorders>
            <w:vAlign w:val="center"/>
          </w:tcPr>
          <w:p w14:paraId="348A0F5F">
            <w:pPr>
              <w:widowControl/>
              <w:spacing w:line="240" w:lineRule="auto"/>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样品类型</w:t>
            </w:r>
          </w:p>
        </w:tc>
      </w:tr>
      <w:tr w14:paraId="5DB3200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1338" w:type="dxa"/>
            <w:tcBorders>
              <w:top w:val="single" w:color="auto" w:sz="12" w:space="0"/>
            </w:tcBorders>
            <w:vAlign w:val="center"/>
          </w:tcPr>
          <w:p w14:paraId="176B44F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w:t>
            </w:r>
          </w:p>
        </w:tc>
        <w:tc>
          <w:tcPr>
            <w:tcW w:w="2330" w:type="dxa"/>
            <w:tcBorders>
              <w:top w:val="single" w:color="auto" w:sz="12" w:space="0"/>
            </w:tcBorders>
            <w:vAlign w:val="center"/>
          </w:tcPr>
          <w:p w14:paraId="228791A0">
            <w:pPr>
              <w:spacing w:line="240" w:lineRule="auto"/>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QC-6</w:t>
            </w:r>
          </w:p>
        </w:tc>
        <w:tc>
          <w:tcPr>
            <w:tcW w:w="3022" w:type="dxa"/>
            <w:tcBorders>
              <w:top w:val="single" w:color="auto" w:sz="12" w:space="0"/>
            </w:tcBorders>
            <w:vAlign w:val="center"/>
          </w:tcPr>
          <w:p w14:paraId="7319D2BB">
            <w:pPr>
              <w:spacing w:line="240" w:lineRule="auto"/>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XM-2-200</w:t>
            </w:r>
          </w:p>
        </w:tc>
        <w:tc>
          <w:tcPr>
            <w:tcW w:w="3108" w:type="dxa"/>
            <w:tcBorders>
              <w:top w:val="single" w:color="auto" w:sz="12" w:space="0"/>
            </w:tcBorders>
            <w:vAlign w:val="center"/>
          </w:tcPr>
          <w:p w14:paraId="5C4D0DD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土壤</w:t>
            </w:r>
          </w:p>
        </w:tc>
      </w:tr>
    </w:tbl>
    <w:p w14:paraId="403F9C2C">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土壤样品采集</w:t>
      </w:r>
    </w:p>
    <w:p w14:paraId="45CBFD51">
      <w:pPr>
        <w:pStyle w:val="30"/>
        <w:adjustRightInd w:val="0"/>
        <w:snapToGrid w:val="0"/>
        <w:spacing w:after="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结合</w:t>
      </w:r>
      <w:r>
        <w:rPr>
          <w:rFonts w:hint="default" w:ascii="Times New Roman" w:hAnsi="Times New Roman" w:cs="Times New Roman"/>
          <w:color w:val="auto"/>
          <w:highlight w:val="none"/>
          <w:lang w:val="en-US" w:eastAsia="zh-CN"/>
        </w:rPr>
        <w:t>园区</w:t>
      </w:r>
      <w:r>
        <w:rPr>
          <w:rFonts w:hint="default" w:ascii="Times New Roman" w:hAnsi="Times New Roman" w:cs="Times New Roman"/>
          <w:color w:val="auto"/>
          <w:highlight w:val="none"/>
        </w:rPr>
        <w:t>实际情况，本次调查实际共布设土壤监测点14个，采集土壤样品14个，另采集现场平行盲样1个及运输空白样1个，共送检土壤样品16个。实际采样点位于方案阶段一致，点位位置见表3-1-1。现场记录见附件1，</w:t>
      </w:r>
      <w:r>
        <w:rPr>
          <w:rFonts w:hint="default" w:ascii="Times New Roman" w:hAnsi="Times New Roman" w:cs="Times New Roman"/>
          <w:bCs/>
          <w:caps/>
          <w:color w:val="auto"/>
          <w:szCs w:val="24"/>
          <w:highlight w:val="none"/>
        </w:rPr>
        <w:t>土壤和地下水实际采样点位分布图见附图7</w:t>
      </w:r>
      <w:r>
        <w:rPr>
          <w:rFonts w:hint="default" w:ascii="Times New Roman" w:hAnsi="Times New Roman" w:cs="Times New Roman"/>
          <w:color w:val="auto"/>
          <w:highlight w:val="none"/>
        </w:rPr>
        <w:t>。</w:t>
      </w:r>
    </w:p>
    <w:p w14:paraId="209B67F5">
      <w:pPr>
        <w:pStyle w:val="30"/>
        <w:adjustRightInd w:val="0"/>
        <w:snapToGrid w:val="0"/>
        <w:spacing w:after="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园区</w:t>
      </w:r>
      <w:r>
        <w:rPr>
          <w:rFonts w:hint="default" w:ascii="Times New Roman" w:hAnsi="Times New Roman" w:cs="Times New Roman"/>
          <w:color w:val="auto"/>
          <w:highlight w:val="none"/>
        </w:rPr>
        <w:t>各采样点位土层土壤类型、颜色、湿度、气味、夹杂物情况等性状，以及土壤样品采集情况详见表4-3-3。</w:t>
      </w:r>
    </w:p>
    <w:p w14:paraId="7109859A">
      <w:pPr>
        <w:spacing w:line="400" w:lineRule="atLeast"/>
        <w:jc w:val="center"/>
        <w:rPr>
          <w:rFonts w:hint="default" w:ascii="Times New Roman" w:hAnsi="Times New Roman" w:eastAsia="黑体" w:cs="Times New Roman"/>
          <w:b/>
          <w:color w:val="auto"/>
          <w:szCs w:val="20"/>
          <w:highlight w:val="none"/>
        </w:rPr>
        <w:sectPr>
          <w:headerReference r:id="rId16" w:type="default"/>
          <w:pgSz w:w="11849" w:h="16781"/>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p>
    <w:p w14:paraId="005EBE8E">
      <w:pPr>
        <w:spacing w:line="400" w:lineRule="atLeast"/>
        <w:jc w:val="center"/>
        <w:rPr>
          <w:rFonts w:hint="default" w:ascii="Times New Roman" w:hAnsi="Times New Roman" w:cs="Times New Roman"/>
          <w:color w:val="auto"/>
          <w:highlight w:val="none"/>
        </w:rPr>
      </w:pPr>
      <w:r>
        <w:rPr>
          <w:rFonts w:hint="default" w:ascii="Times New Roman" w:hAnsi="Times New Roman" w:eastAsia="黑体" w:cs="Times New Roman"/>
          <w:b/>
          <w:color w:val="auto"/>
          <w:szCs w:val="20"/>
          <w:highlight w:val="none"/>
        </w:rPr>
        <w:t>表4-3-3  土壤采样点位现场记录统计表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52"/>
        <w:gridCol w:w="1920"/>
        <w:gridCol w:w="929"/>
        <w:gridCol w:w="874"/>
        <w:gridCol w:w="660"/>
        <w:gridCol w:w="452"/>
        <w:gridCol w:w="452"/>
        <w:gridCol w:w="663"/>
        <w:gridCol w:w="8141"/>
      </w:tblGrid>
      <w:tr w14:paraId="22149E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5" w:type="pct"/>
            <w:tcBorders>
              <w:bottom w:val="single" w:color="auto" w:sz="12" w:space="0"/>
              <w:tl2br w:val="nil"/>
              <w:tr2bl w:val="nil"/>
            </w:tcBorders>
            <w:shd w:val="clear" w:color="auto" w:fill="auto"/>
            <w:noWrap/>
            <w:tcMar>
              <w:top w:w="15" w:type="dxa"/>
              <w:left w:w="15" w:type="dxa"/>
              <w:right w:w="15" w:type="dxa"/>
            </w:tcMar>
            <w:vAlign w:val="center"/>
          </w:tcPr>
          <w:p w14:paraId="306A4170">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序号</w:t>
            </w:r>
          </w:p>
        </w:tc>
        <w:tc>
          <w:tcPr>
            <w:tcW w:w="660" w:type="pct"/>
            <w:tcBorders>
              <w:bottom w:val="single" w:color="auto" w:sz="12" w:space="0"/>
              <w:tl2br w:val="nil"/>
              <w:tr2bl w:val="nil"/>
            </w:tcBorders>
            <w:shd w:val="clear" w:color="auto" w:fill="auto"/>
            <w:noWrap/>
            <w:tcMar>
              <w:top w:w="15" w:type="dxa"/>
              <w:left w:w="15" w:type="dxa"/>
              <w:right w:w="15" w:type="dxa"/>
            </w:tcMar>
            <w:vAlign w:val="center"/>
          </w:tcPr>
          <w:p w14:paraId="4B793194">
            <w:pPr>
              <w:spacing w:line="240" w:lineRule="auto"/>
              <w:jc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bCs/>
                <w:color w:val="auto"/>
                <w:sz w:val="21"/>
                <w:szCs w:val="21"/>
                <w:highlight w:val="none"/>
              </w:rPr>
              <w:t>点位类型</w:t>
            </w:r>
          </w:p>
        </w:tc>
        <w:tc>
          <w:tcPr>
            <w:tcW w:w="319" w:type="pct"/>
            <w:tcBorders>
              <w:bottom w:val="single" w:color="auto" w:sz="12" w:space="0"/>
              <w:tl2br w:val="nil"/>
              <w:tr2bl w:val="nil"/>
            </w:tcBorders>
            <w:shd w:val="clear" w:color="auto" w:fill="auto"/>
            <w:noWrap/>
            <w:tcMar>
              <w:top w:w="15" w:type="dxa"/>
              <w:left w:w="15" w:type="dxa"/>
              <w:right w:w="15" w:type="dxa"/>
            </w:tcMar>
            <w:vAlign w:val="center"/>
          </w:tcPr>
          <w:p w14:paraId="1A8ECD43">
            <w:pPr>
              <w:spacing w:line="240" w:lineRule="auto"/>
              <w:jc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bCs/>
                <w:color w:val="auto"/>
                <w:sz w:val="21"/>
                <w:szCs w:val="21"/>
                <w:highlight w:val="none"/>
              </w:rPr>
              <w:t>检测点位</w:t>
            </w:r>
          </w:p>
        </w:tc>
        <w:tc>
          <w:tcPr>
            <w:tcW w:w="300" w:type="pct"/>
            <w:tcBorders>
              <w:bottom w:val="single" w:color="auto" w:sz="12" w:space="0"/>
              <w:tl2br w:val="nil"/>
              <w:tr2bl w:val="nil"/>
            </w:tcBorders>
            <w:shd w:val="clear" w:color="auto" w:fill="auto"/>
            <w:noWrap/>
            <w:tcMar>
              <w:top w:w="15" w:type="dxa"/>
              <w:left w:w="15" w:type="dxa"/>
              <w:right w:w="15" w:type="dxa"/>
            </w:tcMar>
            <w:vAlign w:val="center"/>
          </w:tcPr>
          <w:p w14:paraId="7EEC1473">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土壤类型</w:t>
            </w:r>
          </w:p>
        </w:tc>
        <w:tc>
          <w:tcPr>
            <w:tcW w:w="226" w:type="pct"/>
            <w:tcBorders>
              <w:bottom w:val="single" w:color="auto" w:sz="12" w:space="0"/>
              <w:tl2br w:val="nil"/>
              <w:tr2bl w:val="nil"/>
            </w:tcBorders>
            <w:shd w:val="clear" w:color="auto" w:fill="auto"/>
            <w:noWrap/>
            <w:tcMar>
              <w:top w:w="15" w:type="dxa"/>
              <w:left w:w="15" w:type="dxa"/>
              <w:right w:w="15" w:type="dxa"/>
            </w:tcMar>
            <w:vAlign w:val="center"/>
          </w:tcPr>
          <w:p w14:paraId="028D129E">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颜色</w:t>
            </w:r>
          </w:p>
        </w:tc>
        <w:tc>
          <w:tcPr>
            <w:tcW w:w="155" w:type="pct"/>
            <w:tcBorders>
              <w:bottom w:val="single" w:color="auto" w:sz="12" w:space="0"/>
              <w:tl2br w:val="nil"/>
              <w:tr2bl w:val="nil"/>
            </w:tcBorders>
            <w:shd w:val="clear" w:color="auto" w:fill="auto"/>
            <w:noWrap/>
            <w:tcMar>
              <w:top w:w="15" w:type="dxa"/>
              <w:left w:w="15" w:type="dxa"/>
              <w:right w:w="15" w:type="dxa"/>
            </w:tcMar>
            <w:vAlign w:val="center"/>
          </w:tcPr>
          <w:p w14:paraId="28BFC309">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湿度</w:t>
            </w:r>
          </w:p>
        </w:tc>
        <w:tc>
          <w:tcPr>
            <w:tcW w:w="155" w:type="pct"/>
            <w:tcBorders>
              <w:bottom w:val="single" w:color="auto" w:sz="12" w:space="0"/>
              <w:tl2br w:val="nil"/>
              <w:tr2bl w:val="nil"/>
            </w:tcBorders>
            <w:shd w:val="clear" w:color="auto" w:fill="auto"/>
            <w:noWrap/>
            <w:tcMar>
              <w:top w:w="15" w:type="dxa"/>
              <w:left w:w="15" w:type="dxa"/>
              <w:right w:w="15" w:type="dxa"/>
            </w:tcMar>
            <w:vAlign w:val="center"/>
          </w:tcPr>
          <w:p w14:paraId="12F5CF38">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气味</w:t>
            </w:r>
          </w:p>
        </w:tc>
        <w:tc>
          <w:tcPr>
            <w:tcW w:w="228" w:type="pct"/>
            <w:tcBorders>
              <w:bottom w:val="single" w:color="auto" w:sz="12" w:space="0"/>
              <w:tl2br w:val="nil"/>
              <w:tr2bl w:val="nil"/>
            </w:tcBorders>
            <w:shd w:val="clear" w:color="auto" w:fill="auto"/>
            <w:noWrap/>
            <w:tcMar>
              <w:top w:w="15" w:type="dxa"/>
              <w:left w:w="15" w:type="dxa"/>
              <w:right w:w="15" w:type="dxa"/>
            </w:tcMar>
            <w:vAlign w:val="center"/>
          </w:tcPr>
          <w:p w14:paraId="2EACC794">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可塑性</w:t>
            </w:r>
          </w:p>
        </w:tc>
        <w:tc>
          <w:tcPr>
            <w:tcW w:w="2798" w:type="pct"/>
            <w:tcBorders>
              <w:bottom w:val="single" w:color="auto" w:sz="12" w:space="0"/>
              <w:tl2br w:val="nil"/>
              <w:tr2bl w:val="nil"/>
            </w:tcBorders>
            <w:shd w:val="clear" w:color="auto" w:fill="auto"/>
            <w:noWrap/>
            <w:tcMar>
              <w:top w:w="15" w:type="dxa"/>
              <w:left w:w="15" w:type="dxa"/>
              <w:right w:w="15" w:type="dxa"/>
            </w:tcMar>
            <w:vAlign w:val="center"/>
          </w:tcPr>
          <w:p w14:paraId="380CC9CC">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夹杂物</w:t>
            </w:r>
          </w:p>
        </w:tc>
      </w:tr>
      <w:tr w14:paraId="08D33C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5" w:type="pct"/>
            <w:tcBorders>
              <w:top w:val="single" w:color="auto" w:sz="12" w:space="0"/>
              <w:tl2br w:val="nil"/>
              <w:tr2bl w:val="nil"/>
            </w:tcBorders>
            <w:shd w:val="clear" w:color="auto" w:fill="auto"/>
            <w:noWrap/>
            <w:tcMar>
              <w:top w:w="15" w:type="dxa"/>
              <w:left w:w="15" w:type="dxa"/>
              <w:right w:w="15" w:type="dxa"/>
            </w:tcMar>
            <w:vAlign w:val="center"/>
          </w:tcPr>
          <w:p w14:paraId="66FD61E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w:t>
            </w:r>
          </w:p>
        </w:tc>
        <w:tc>
          <w:tcPr>
            <w:tcW w:w="660" w:type="pct"/>
            <w:vMerge w:val="restart"/>
            <w:tcBorders>
              <w:top w:val="single" w:color="auto" w:sz="12" w:space="0"/>
              <w:tl2br w:val="nil"/>
              <w:tr2bl w:val="nil"/>
            </w:tcBorders>
            <w:shd w:val="clear" w:color="auto" w:fill="auto"/>
            <w:noWrap/>
            <w:tcMar>
              <w:top w:w="15" w:type="dxa"/>
              <w:left w:w="15" w:type="dxa"/>
              <w:right w:w="15" w:type="dxa"/>
            </w:tcMar>
            <w:vAlign w:val="center"/>
          </w:tcPr>
          <w:p w14:paraId="0D3DB365">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工业园周边点位</w:t>
            </w:r>
          </w:p>
        </w:tc>
        <w:tc>
          <w:tcPr>
            <w:tcW w:w="319" w:type="pct"/>
            <w:tcBorders>
              <w:top w:val="single" w:color="auto" w:sz="12" w:space="0"/>
              <w:tl2br w:val="nil"/>
              <w:tr2bl w:val="nil"/>
            </w:tcBorders>
            <w:shd w:val="clear" w:color="auto" w:fill="auto"/>
            <w:noWrap/>
            <w:tcMar>
              <w:top w:w="15" w:type="dxa"/>
              <w:left w:w="15" w:type="dxa"/>
              <w:right w:w="15" w:type="dxa"/>
            </w:tcMar>
          </w:tcPr>
          <w:p w14:paraId="07F6696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XM-1-75</w:t>
            </w:r>
          </w:p>
        </w:tc>
        <w:tc>
          <w:tcPr>
            <w:tcW w:w="300" w:type="pct"/>
            <w:tcBorders>
              <w:top w:val="single" w:color="auto" w:sz="12" w:space="0"/>
              <w:tl2br w:val="nil"/>
              <w:tr2bl w:val="nil"/>
            </w:tcBorders>
            <w:shd w:val="clear" w:color="auto" w:fill="auto"/>
            <w:noWrap/>
            <w:tcMar>
              <w:top w:w="15" w:type="dxa"/>
              <w:left w:w="15" w:type="dxa"/>
              <w:right w:w="15" w:type="dxa"/>
            </w:tcMar>
            <w:vAlign w:val="center"/>
          </w:tcPr>
          <w:p w14:paraId="6C725ABB">
            <w:pPr>
              <w:widowControl/>
              <w:spacing w:line="240" w:lineRule="auto"/>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素填土</w:t>
            </w:r>
          </w:p>
        </w:tc>
        <w:tc>
          <w:tcPr>
            <w:tcW w:w="226" w:type="pct"/>
            <w:tcBorders>
              <w:top w:val="single" w:color="auto" w:sz="12" w:space="0"/>
              <w:tl2br w:val="nil"/>
              <w:tr2bl w:val="nil"/>
            </w:tcBorders>
            <w:shd w:val="clear" w:color="auto" w:fill="auto"/>
            <w:noWrap/>
            <w:tcMar>
              <w:top w:w="15" w:type="dxa"/>
              <w:left w:w="15" w:type="dxa"/>
              <w:right w:w="15" w:type="dxa"/>
            </w:tcMar>
            <w:vAlign w:val="center"/>
          </w:tcPr>
          <w:p w14:paraId="38FC6B17">
            <w:pPr>
              <w:widowControl/>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灰褐色</w:t>
            </w:r>
          </w:p>
        </w:tc>
        <w:tc>
          <w:tcPr>
            <w:tcW w:w="155" w:type="pct"/>
            <w:tcBorders>
              <w:top w:val="single" w:color="auto" w:sz="12" w:space="0"/>
              <w:tl2br w:val="nil"/>
              <w:tr2bl w:val="nil"/>
            </w:tcBorders>
            <w:shd w:val="clear" w:color="auto" w:fill="auto"/>
            <w:noWrap/>
            <w:tcMar>
              <w:top w:w="15" w:type="dxa"/>
              <w:left w:w="15" w:type="dxa"/>
              <w:right w:w="15" w:type="dxa"/>
            </w:tcMar>
            <w:vAlign w:val="center"/>
          </w:tcPr>
          <w:p w14:paraId="43208CB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稍湿</w:t>
            </w:r>
          </w:p>
        </w:tc>
        <w:tc>
          <w:tcPr>
            <w:tcW w:w="155" w:type="pct"/>
            <w:tcBorders>
              <w:top w:val="single" w:color="auto" w:sz="12" w:space="0"/>
              <w:tl2br w:val="nil"/>
              <w:tr2bl w:val="nil"/>
            </w:tcBorders>
            <w:shd w:val="clear" w:color="auto" w:fill="auto"/>
            <w:noWrap/>
            <w:tcMar>
              <w:top w:w="15" w:type="dxa"/>
              <w:left w:w="15" w:type="dxa"/>
              <w:right w:w="15" w:type="dxa"/>
            </w:tcMar>
            <w:vAlign w:val="center"/>
          </w:tcPr>
          <w:p w14:paraId="6CF9746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228" w:type="pct"/>
            <w:tcBorders>
              <w:top w:val="single" w:color="auto" w:sz="12" w:space="0"/>
              <w:tl2br w:val="nil"/>
              <w:tr2bl w:val="nil"/>
            </w:tcBorders>
            <w:shd w:val="clear" w:color="auto" w:fill="auto"/>
            <w:noWrap/>
            <w:tcMar>
              <w:top w:w="15" w:type="dxa"/>
              <w:left w:w="15" w:type="dxa"/>
              <w:right w:w="15" w:type="dxa"/>
            </w:tcMar>
            <w:vAlign w:val="center"/>
          </w:tcPr>
          <w:p w14:paraId="2FA9B64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可塑</w:t>
            </w:r>
          </w:p>
        </w:tc>
        <w:tc>
          <w:tcPr>
            <w:tcW w:w="2798" w:type="pct"/>
            <w:tcBorders>
              <w:top w:val="single" w:color="auto" w:sz="12" w:space="0"/>
              <w:tl2br w:val="nil"/>
              <w:tr2bl w:val="nil"/>
            </w:tcBorders>
            <w:shd w:val="clear" w:color="auto" w:fill="auto"/>
            <w:noWrap/>
            <w:tcMar>
              <w:top w:w="15" w:type="dxa"/>
              <w:left w:w="15" w:type="dxa"/>
              <w:right w:w="15" w:type="dxa"/>
            </w:tcMar>
            <w:vAlign w:val="center"/>
          </w:tcPr>
          <w:p w14:paraId="5577BA8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表面含根系、石块，下层主要由粘土组成</w:t>
            </w:r>
          </w:p>
        </w:tc>
      </w:tr>
      <w:tr w14:paraId="32D4CE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5" w:type="pct"/>
            <w:tcBorders>
              <w:tl2br w:val="nil"/>
              <w:tr2bl w:val="nil"/>
            </w:tcBorders>
            <w:shd w:val="clear" w:color="auto" w:fill="auto"/>
            <w:noWrap/>
            <w:tcMar>
              <w:top w:w="15" w:type="dxa"/>
              <w:left w:w="15" w:type="dxa"/>
              <w:right w:w="15" w:type="dxa"/>
            </w:tcMar>
            <w:vAlign w:val="center"/>
          </w:tcPr>
          <w:p w14:paraId="2A3FDAE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w:t>
            </w:r>
          </w:p>
        </w:tc>
        <w:tc>
          <w:tcPr>
            <w:tcW w:w="660" w:type="pct"/>
            <w:vMerge w:val="continue"/>
            <w:tcBorders>
              <w:tl2br w:val="nil"/>
              <w:tr2bl w:val="nil"/>
            </w:tcBorders>
            <w:shd w:val="clear" w:color="auto" w:fill="auto"/>
            <w:noWrap/>
            <w:tcMar>
              <w:top w:w="15" w:type="dxa"/>
              <w:left w:w="15" w:type="dxa"/>
              <w:right w:w="15" w:type="dxa"/>
            </w:tcMar>
            <w:vAlign w:val="center"/>
          </w:tcPr>
          <w:p w14:paraId="5AFD751F">
            <w:pPr>
              <w:spacing w:line="240" w:lineRule="auto"/>
              <w:jc w:val="center"/>
              <w:rPr>
                <w:rFonts w:hint="default" w:ascii="Times New Roman" w:hAnsi="Times New Roman" w:cs="Times New Roman"/>
                <w:color w:val="auto"/>
                <w:sz w:val="21"/>
                <w:szCs w:val="21"/>
                <w:highlight w:val="none"/>
              </w:rPr>
            </w:pPr>
          </w:p>
        </w:tc>
        <w:tc>
          <w:tcPr>
            <w:tcW w:w="319" w:type="pct"/>
            <w:tcBorders>
              <w:tl2br w:val="nil"/>
              <w:tr2bl w:val="nil"/>
            </w:tcBorders>
            <w:shd w:val="clear" w:color="auto" w:fill="auto"/>
            <w:noWrap/>
            <w:tcMar>
              <w:top w:w="15" w:type="dxa"/>
              <w:left w:w="15" w:type="dxa"/>
              <w:right w:w="15" w:type="dxa"/>
            </w:tcMar>
          </w:tcPr>
          <w:p w14:paraId="6EAB098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XM-1-200</w:t>
            </w:r>
          </w:p>
        </w:tc>
        <w:tc>
          <w:tcPr>
            <w:tcW w:w="300" w:type="pct"/>
            <w:tcBorders>
              <w:tl2br w:val="nil"/>
              <w:tr2bl w:val="nil"/>
            </w:tcBorders>
            <w:shd w:val="clear" w:color="auto" w:fill="auto"/>
            <w:noWrap/>
            <w:tcMar>
              <w:top w:w="15" w:type="dxa"/>
              <w:left w:w="15" w:type="dxa"/>
              <w:right w:w="15" w:type="dxa"/>
            </w:tcMar>
            <w:vAlign w:val="center"/>
          </w:tcPr>
          <w:p w14:paraId="55CD9FE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杂填土</w:t>
            </w:r>
          </w:p>
        </w:tc>
        <w:tc>
          <w:tcPr>
            <w:tcW w:w="226" w:type="pct"/>
            <w:tcBorders>
              <w:tl2br w:val="nil"/>
              <w:tr2bl w:val="nil"/>
            </w:tcBorders>
            <w:shd w:val="clear" w:color="auto" w:fill="auto"/>
            <w:noWrap/>
            <w:tcMar>
              <w:top w:w="15" w:type="dxa"/>
              <w:left w:w="15" w:type="dxa"/>
              <w:right w:w="15" w:type="dxa"/>
            </w:tcMar>
            <w:vAlign w:val="center"/>
          </w:tcPr>
          <w:p w14:paraId="5FF2EBA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杂色</w:t>
            </w:r>
          </w:p>
        </w:tc>
        <w:tc>
          <w:tcPr>
            <w:tcW w:w="155" w:type="pct"/>
            <w:tcBorders>
              <w:tl2br w:val="nil"/>
              <w:tr2bl w:val="nil"/>
            </w:tcBorders>
            <w:shd w:val="clear" w:color="auto" w:fill="auto"/>
            <w:noWrap/>
            <w:tcMar>
              <w:top w:w="15" w:type="dxa"/>
              <w:left w:w="15" w:type="dxa"/>
              <w:right w:w="15" w:type="dxa"/>
            </w:tcMar>
            <w:vAlign w:val="center"/>
          </w:tcPr>
          <w:p w14:paraId="7BCF163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稍湿</w:t>
            </w:r>
          </w:p>
        </w:tc>
        <w:tc>
          <w:tcPr>
            <w:tcW w:w="155" w:type="pct"/>
            <w:tcBorders>
              <w:tl2br w:val="nil"/>
              <w:tr2bl w:val="nil"/>
            </w:tcBorders>
            <w:shd w:val="clear" w:color="auto" w:fill="auto"/>
            <w:noWrap/>
            <w:tcMar>
              <w:top w:w="15" w:type="dxa"/>
              <w:left w:w="15" w:type="dxa"/>
              <w:right w:w="15" w:type="dxa"/>
            </w:tcMar>
            <w:vAlign w:val="center"/>
          </w:tcPr>
          <w:p w14:paraId="74D3824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228" w:type="pct"/>
            <w:tcBorders>
              <w:tl2br w:val="nil"/>
              <w:tr2bl w:val="nil"/>
            </w:tcBorders>
            <w:shd w:val="clear" w:color="auto" w:fill="auto"/>
            <w:noWrap/>
            <w:tcMar>
              <w:top w:w="15" w:type="dxa"/>
              <w:left w:w="15" w:type="dxa"/>
              <w:right w:w="15" w:type="dxa"/>
            </w:tcMar>
            <w:vAlign w:val="center"/>
          </w:tcPr>
          <w:p w14:paraId="5E838AD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可塑</w:t>
            </w:r>
          </w:p>
        </w:tc>
        <w:tc>
          <w:tcPr>
            <w:tcW w:w="2798" w:type="pct"/>
            <w:tcBorders>
              <w:tl2br w:val="nil"/>
              <w:tr2bl w:val="nil"/>
            </w:tcBorders>
            <w:shd w:val="clear" w:color="auto" w:fill="auto"/>
            <w:noWrap/>
            <w:tcMar>
              <w:top w:w="15" w:type="dxa"/>
              <w:left w:w="15" w:type="dxa"/>
              <w:right w:w="15" w:type="dxa"/>
            </w:tcMar>
            <w:vAlign w:val="center"/>
          </w:tcPr>
          <w:p w14:paraId="1187624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表面含根系、石块，下层主要由粘土组成</w:t>
            </w:r>
          </w:p>
        </w:tc>
      </w:tr>
      <w:tr w14:paraId="6C130B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5" w:type="pct"/>
            <w:tcBorders>
              <w:tl2br w:val="nil"/>
              <w:tr2bl w:val="nil"/>
            </w:tcBorders>
            <w:shd w:val="clear" w:color="auto" w:fill="auto"/>
            <w:noWrap/>
            <w:tcMar>
              <w:top w:w="15" w:type="dxa"/>
              <w:left w:w="15" w:type="dxa"/>
              <w:right w:w="15" w:type="dxa"/>
            </w:tcMar>
            <w:vAlign w:val="center"/>
          </w:tcPr>
          <w:p w14:paraId="5BC087F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w:t>
            </w:r>
          </w:p>
        </w:tc>
        <w:tc>
          <w:tcPr>
            <w:tcW w:w="660" w:type="pct"/>
            <w:vMerge w:val="continue"/>
            <w:tcBorders>
              <w:tl2br w:val="nil"/>
              <w:tr2bl w:val="nil"/>
            </w:tcBorders>
            <w:shd w:val="clear" w:color="auto" w:fill="auto"/>
            <w:noWrap/>
            <w:tcMar>
              <w:top w:w="15" w:type="dxa"/>
              <w:left w:w="15" w:type="dxa"/>
              <w:right w:w="15" w:type="dxa"/>
            </w:tcMar>
            <w:vAlign w:val="center"/>
          </w:tcPr>
          <w:p w14:paraId="286F5204">
            <w:pPr>
              <w:spacing w:line="240" w:lineRule="auto"/>
              <w:jc w:val="center"/>
              <w:rPr>
                <w:rFonts w:hint="default" w:ascii="Times New Roman" w:hAnsi="Times New Roman" w:cs="Times New Roman"/>
                <w:color w:val="auto"/>
                <w:sz w:val="21"/>
                <w:szCs w:val="21"/>
                <w:highlight w:val="none"/>
              </w:rPr>
            </w:pPr>
          </w:p>
        </w:tc>
        <w:tc>
          <w:tcPr>
            <w:tcW w:w="319" w:type="pct"/>
            <w:tcBorders>
              <w:tl2br w:val="nil"/>
              <w:tr2bl w:val="nil"/>
            </w:tcBorders>
            <w:shd w:val="clear" w:color="auto" w:fill="auto"/>
            <w:noWrap/>
            <w:tcMar>
              <w:top w:w="15" w:type="dxa"/>
              <w:left w:w="15" w:type="dxa"/>
              <w:right w:w="15" w:type="dxa"/>
            </w:tcMar>
          </w:tcPr>
          <w:p w14:paraId="5AD4C4A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XM-1-400</w:t>
            </w:r>
          </w:p>
        </w:tc>
        <w:tc>
          <w:tcPr>
            <w:tcW w:w="300" w:type="pct"/>
            <w:tcBorders>
              <w:tl2br w:val="nil"/>
              <w:tr2bl w:val="nil"/>
            </w:tcBorders>
            <w:shd w:val="clear" w:color="auto" w:fill="auto"/>
            <w:noWrap/>
            <w:tcMar>
              <w:top w:w="15" w:type="dxa"/>
              <w:left w:w="15" w:type="dxa"/>
              <w:right w:w="15" w:type="dxa"/>
            </w:tcMar>
            <w:vAlign w:val="center"/>
          </w:tcPr>
          <w:p w14:paraId="4CFEC24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杂填土</w:t>
            </w:r>
          </w:p>
        </w:tc>
        <w:tc>
          <w:tcPr>
            <w:tcW w:w="226" w:type="pct"/>
            <w:tcBorders>
              <w:tl2br w:val="nil"/>
              <w:tr2bl w:val="nil"/>
            </w:tcBorders>
            <w:shd w:val="clear" w:color="auto" w:fill="auto"/>
            <w:noWrap/>
            <w:tcMar>
              <w:top w:w="15" w:type="dxa"/>
              <w:left w:w="15" w:type="dxa"/>
              <w:right w:w="15" w:type="dxa"/>
            </w:tcMar>
            <w:vAlign w:val="center"/>
          </w:tcPr>
          <w:p w14:paraId="705E1D8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杂色</w:t>
            </w:r>
          </w:p>
        </w:tc>
        <w:tc>
          <w:tcPr>
            <w:tcW w:w="155" w:type="pct"/>
            <w:tcBorders>
              <w:tl2br w:val="nil"/>
              <w:tr2bl w:val="nil"/>
            </w:tcBorders>
            <w:shd w:val="clear" w:color="auto" w:fill="auto"/>
            <w:noWrap/>
            <w:tcMar>
              <w:top w:w="15" w:type="dxa"/>
              <w:left w:w="15" w:type="dxa"/>
              <w:right w:w="15" w:type="dxa"/>
            </w:tcMar>
            <w:vAlign w:val="center"/>
          </w:tcPr>
          <w:p w14:paraId="7F4B0E3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稍湿</w:t>
            </w:r>
          </w:p>
        </w:tc>
        <w:tc>
          <w:tcPr>
            <w:tcW w:w="155" w:type="pct"/>
            <w:tcBorders>
              <w:tl2br w:val="nil"/>
              <w:tr2bl w:val="nil"/>
            </w:tcBorders>
            <w:shd w:val="clear" w:color="auto" w:fill="auto"/>
            <w:noWrap/>
            <w:tcMar>
              <w:top w:w="15" w:type="dxa"/>
              <w:left w:w="15" w:type="dxa"/>
              <w:right w:w="15" w:type="dxa"/>
            </w:tcMar>
            <w:vAlign w:val="center"/>
          </w:tcPr>
          <w:p w14:paraId="4D2447E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228" w:type="pct"/>
            <w:tcBorders>
              <w:tl2br w:val="nil"/>
              <w:tr2bl w:val="nil"/>
            </w:tcBorders>
            <w:shd w:val="clear" w:color="auto" w:fill="auto"/>
            <w:noWrap/>
            <w:tcMar>
              <w:top w:w="15" w:type="dxa"/>
              <w:left w:w="15" w:type="dxa"/>
              <w:right w:w="15" w:type="dxa"/>
            </w:tcMar>
            <w:vAlign w:val="center"/>
          </w:tcPr>
          <w:p w14:paraId="3B4086F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松散</w:t>
            </w:r>
          </w:p>
        </w:tc>
        <w:tc>
          <w:tcPr>
            <w:tcW w:w="2798" w:type="pct"/>
            <w:tcBorders>
              <w:tl2br w:val="nil"/>
              <w:tr2bl w:val="nil"/>
            </w:tcBorders>
            <w:shd w:val="clear" w:color="auto" w:fill="auto"/>
            <w:noWrap/>
            <w:tcMar>
              <w:top w:w="15" w:type="dxa"/>
              <w:left w:w="15" w:type="dxa"/>
              <w:right w:w="15" w:type="dxa"/>
            </w:tcMar>
            <w:vAlign w:val="center"/>
          </w:tcPr>
          <w:p w14:paraId="13E28F4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表面含少量根系、石块，下层主要由粘土组成</w:t>
            </w:r>
          </w:p>
        </w:tc>
      </w:tr>
      <w:tr w14:paraId="78B82E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5" w:type="pct"/>
            <w:tcBorders>
              <w:tl2br w:val="nil"/>
              <w:tr2bl w:val="nil"/>
            </w:tcBorders>
            <w:shd w:val="clear" w:color="auto" w:fill="auto"/>
            <w:noWrap/>
            <w:tcMar>
              <w:top w:w="15" w:type="dxa"/>
              <w:left w:w="15" w:type="dxa"/>
              <w:right w:w="15" w:type="dxa"/>
            </w:tcMar>
            <w:vAlign w:val="center"/>
          </w:tcPr>
          <w:p w14:paraId="59FA75B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w:t>
            </w:r>
          </w:p>
        </w:tc>
        <w:tc>
          <w:tcPr>
            <w:tcW w:w="660" w:type="pct"/>
            <w:vMerge w:val="continue"/>
            <w:tcBorders>
              <w:tl2br w:val="nil"/>
              <w:tr2bl w:val="nil"/>
            </w:tcBorders>
            <w:shd w:val="clear" w:color="auto" w:fill="auto"/>
            <w:noWrap/>
            <w:tcMar>
              <w:top w:w="15" w:type="dxa"/>
              <w:left w:w="15" w:type="dxa"/>
              <w:right w:w="15" w:type="dxa"/>
            </w:tcMar>
            <w:vAlign w:val="center"/>
          </w:tcPr>
          <w:p w14:paraId="45A0DED3">
            <w:pPr>
              <w:spacing w:line="240" w:lineRule="auto"/>
              <w:jc w:val="center"/>
              <w:rPr>
                <w:rFonts w:hint="default" w:ascii="Times New Roman" w:hAnsi="Times New Roman" w:cs="Times New Roman"/>
                <w:color w:val="auto"/>
                <w:sz w:val="21"/>
                <w:szCs w:val="21"/>
                <w:highlight w:val="none"/>
              </w:rPr>
            </w:pPr>
          </w:p>
        </w:tc>
        <w:tc>
          <w:tcPr>
            <w:tcW w:w="319" w:type="pct"/>
            <w:tcBorders>
              <w:tl2br w:val="nil"/>
              <w:tr2bl w:val="nil"/>
            </w:tcBorders>
            <w:shd w:val="clear" w:color="auto" w:fill="auto"/>
            <w:noWrap/>
            <w:tcMar>
              <w:top w:w="15" w:type="dxa"/>
              <w:left w:w="15" w:type="dxa"/>
              <w:right w:w="15" w:type="dxa"/>
            </w:tcMar>
          </w:tcPr>
          <w:p w14:paraId="4A4A1A3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XM-2-75</w:t>
            </w:r>
          </w:p>
        </w:tc>
        <w:tc>
          <w:tcPr>
            <w:tcW w:w="300" w:type="pct"/>
            <w:tcBorders>
              <w:tl2br w:val="nil"/>
              <w:tr2bl w:val="nil"/>
            </w:tcBorders>
            <w:shd w:val="clear" w:color="auto" w:fill="auto"/>
            <w:noWrap/>
            <w:tcMar>
              <w:top w:w="15" w:type="dxa"/>
              <w:left w:w="15" w:type="dxa"/>
              <w:right w:w="15" w:type="dxa"/>
            </w:tcMar>
            <w:vAlign w:val="center"/>
          </w:tcPr>
          <w:p w14:paraId="3519B61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杂填土</w:t>
            </w:r>
          </w:p>
        </w:tc>
        <w:tc>
          <w:tcPr>
            <w:tcW w:w="226" w:type="pct"/>
            <w:tcBorders>
              <w:tl2br w:val="nil"/>
              <w:tr2bl w:val="nil"/>
            </w:tcBorders>
            <w:shd w:val="clear" w:color="auto" w:fill="auto"/>
            <w:noWrap/>
            <w:tcMar>
              <w:top w:w="15" w:type="dxa"/>
              <w:left w:w="15" w:type="dxa"/>
              <w:right w:w="15" w:type="dxa"/>
            </w:tcMar>
            <w:vAlign w:val="center"/>
          </w:tcPr>
          <w:p w14:paraId="654A014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杂色</w:t>
            </w:r>
          </w:p>
        </w:tc>
        <w:tc>
          <w:tcPr>
            <w:tcW w:w="155" w:type="pct"/>
            <w:tcBorders>
              <w:tl2br w:val="nil"/>
              <w:tr2bl w:val="nil"/>
            </w:tcBorders>
            <w:shd w:val="clear" w:color="auto" w:fill="auto"/>
            <w:noWrap/>
            <w:tcMar>
              <w:top w:w="15" w:type="dxa"/>
              <w:left w:w="15" w:type="dxa"/>
              <w:right w:w="15" w:type="dxa"/>
            </w:tcMar>
            <w:vAlign w:val="center"/>
          </w:tcPr>
          <w:p w14:paraId="694F09E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稍湿</w:t>
            </w:r>
          </w:p>
        </w:tc>
        <w:tc>
          <w:tcPr>
            <w:tcW w:w="155" w:type="pct"/>
            <w:tcBorders>
              <w:tl2br w:val="nil"/>
              <w:tr2bl w:val="nil"/>
            </w:tcBorders>
            <w:shd w:val="clear" w:color="auto" w:fill="auto"/>
            <w:noWrap/>
            <w:tcMar>
              <w:top w:w="15" w:type="dxa"/>
              <w:left w:w="15" w:type="dxa"/>
              <w:right w:w="15" w:type="dxa"/>
            </w:tcMar>
            <w:vAlign w:val="center"/>
          </w:tcPr>
          <w:p w14:paraId="3D1F7DD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228" w:type="pct"/>
            <w:tcBorders>
              <w:tl2br w:val="nil"/>
              <w:tr2bl w:val="nil"/>
            </w:tcBorders>
            <w:shd w:val="clear" w:color="auto" w:fill="auto"/>
            <w:noWrap/>
            <w:tcMar>
              <w:top w:w="15" w:type="dxa"/>
              <w:left w:w="15" w:type="dxa"/>
              <w:right w:w="15" w:type="dxa"/>
            </w:tcMar>
            <w:vAlign w:val="center"/>
          </w:tcPr>
          <w:p w14:paraId="2FA4EC8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可塑</w:t>
            </w:r>
          </w:p>
        </w:tc>
        <w:tc>
          <w:tcPr>
            <w:tcW w:w="2798" w:type="pct"/>
            <w:tcBorders>
              <w:tl2br w:val="nil"/>
              <w:tr2bl w:val="nil"/>
            </w:tcBorders>
            <w:shd w:val="clear" w:color="auto" w:fill="auto"/>
            <w:noWrap/>
            <w:tcMar>
              <w:top w:w="15" w:type="dxa"/>
              <w:left w:w="15" w:type="dxa"/>
              <w:right w:w="15" w:type="dxa"/>
            </w:tcMar>
            <w:vAlign w:val="center"/>
          </w:tcPr>
          <w:p w14:paraId="314C744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表面含根系、石块，下层主要由粘土组成</w:t>
            </w:r>
          </w:p>
        </w:tc>
      </w:tr>
      <w:tr w14:paraId="0CDDF8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5" w:type="pct"/>
            <w:tcBorders>
              <w:tl2br w:val="nil"/>
              <w:tr2bl w:val="nil"/>
            </w:tcBorders>
            <w:shd w:val="clear" w:color="auto" w:fill="auto"/>
            <w:noWrap/>
            <w:tcMar>
              <w:top w:w="15" w:type="dxa"/>
              <w:left w:w="15" w:type="dxa"/>
              <w:right w:w="15" w:type="dxa"/>
            </w:tcMar>
            <w:vAlign w:val="center"/>
          </w:tcPr>
          <w:p w14:paraId="2257F29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w:t>
            </w:r>
          </w:p>
        </w:tc>
        <w:tc>
          <w:tcPr>
            <w:tcW w:w="660" w:type="pct"/>
            <w:vMerge w:val="continue"/>
            <w:tcBorders>
              <w:tl2br w:val="nil"/>
              <w:tr2bl w:val="nil"/>
            </w:tcBorders>
            <w:shd w:val="clear" w:color="auto" w:fill="auto"/>
            <w:noWrap/>
            <w:tcMar>
              <w:top w:w="15" w:type="dxa"/>
              <w:left w:w="15" w:type="dxa"/>
              <w:right w:w="15" w:type="dxa"/>
            </w:tcMar>
            <w:vAlign w:val="center"/>
          </w:tcPr>
          <w:p w14:paraId="204507B2">
            <w:pPr>
              <w:spacing w:line="240" w:lineRule="auto"/>
              <w:jc w:val="center"/>
              <w:rPr>
                <w:rFonts w:hint="default" w:ascii="Times New Roman" w:hAnsi="Times New Roman" w:cs="Times New Roman"/>
                <w:color w:val="auto"/>
                <w:sz w:val="21"/>
                <w:szCs w:val="21"/>
                <w:highlight w:val="none"/>
              </w:rPr>
            </w:pPr>
          </w:p>
        </w:tc>
        <w:tc>
          <w:tcPr>
            <w:tcW w:w="319" w:type="pct"/>
            <w:tcBorders>
              <w:tl2br w:val="nil"/>
              <w:tr2bl w:val="nil"/>
            </w:tcBorders>
            <w:shd w:val="clear" w:color="auto" w:fill="auto"/>
            <w:noWrap/>
            <w:tcMar>
              <w:top w:w="15" w:type="dxa"/>
              <w:left w:w="15" w:type="dxa"/>
              <w:right w:w="15" w:type="dxa"/>
            </w:tcMar>
          </w:tcPr>
          <w:p w14:paraId="28C0FE6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XM-2-200</w:t>
            </w:r>
          </w:p>
        </w:tc>
        <w:tc>
          <w:tcPr>
            <w:tcW w:w="300" w:type="pct"/>
            <w:tcBorders>
              <w:tl2br w:val="nil"/>
              <w:tr2bl w:val="nil"/>
            </w:tcBorders>
            <w:shd w:val="clear" w:color="auto" w:fill="auto"/>
            <w:noWrap/>
            <w:tcMar>
              <w:top w:w="15" w:type="dxa"/>
              <w:left w:w="15" w:type="dxa"/>
              <w:right w:w="15" w:type="dxa"/>
            </w:tcMar>
            <w:vAlign w:val="center"/>
          </w:tcPr>
          <w:p w14:paraId="5FEAF50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杂填土</w:t>
            </w:r>
          </w:p>
        </w:tc>
        <w:tc>
          <w:tcPr>
            <w:tcW w:w="226" w:type="pct"/>
            <w:tcBorders>
              <w:tl2br w:val="nil"/>
              <w:tr2bl w:val="nil"/>
            </w:tcBorders>
            <w:shd w:val="clear" w:color="auto" w:fill="auto"/>
            <w:noWrap/>
            <w:tcMar>
              <w:top w:w="15" w:type="dxa"/>
              <w:left w:w="15" w:type="dxa"/>
              <w:right w:w="15" w:type="dxa"/>
            </w:tcMar>
            <w:vAlign w:val="center"/>
          </w:tcPr>
          <w:p w14:paraId="265C7D8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杂色</w:t>
            </w:r>
          </w:p>
        </w:tc>
        <w:tc>
          <w:tcPr>
            <w:tcW w:w="155" w:type="pct"/>
            <w:tcBorders>
              <w:tl2br w:val="nil"/>
              <w:tr2bl w:val="nil"/>
            </w:tcBorders>
            <w:shd w:val="clear" w:color="auto" w:fill="auto"/>
            <w:noWrap/>
            <w:tcMar>
              <w:top w:w="15" w:type="dxa"/>
              <w:left w:w="15" w:type="dxa"/>
              <w:right w:w="15" w:type="dxa"/>
            </w:tcMar>
            <w:vAlign w:val="center"/>
          </w:tcPr>
          <w:p w14:paraId="62F6112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稍湿</w:t>
            </w:r>
          </w:p>
        </w:tc>
        <w:tc>
          <w:tcPr>
            <w:tcW w:w="155" w:type="pct"/>
            <w:tcBorders>
              <w:tl2br w:val="nil"/>
              <w:tr2bl w:val="nil"/>
            </w:tcBorders>
            <w:shd w:val="clear" w:color="auto" w:fill="auto"/>
            <w:noWrap/>
            <w:tcMar>
              <w:top w:w="15" w:type="dxa"/>
              <w:left w:w="15" w:type="dxa"/>
              <w:right w:w="15" w:type="dxa"/>
            </w:tcMar>
            <w:vAlign w:val="center"/>
          </w:tcPr>
          <w:p w14:paraId="4D4C479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228" w:type="pct"/>
            <w:tcBorders>
              <w:tl2br w:val="nil"/>
              <w:tr2bl w:val="nil"/>
            </w:tcBorders>
            <w:shd w:val="clear" w:color="auto" w:fill="auto"/>
            <w:noWrap/>
            <w:tcMar>
              <w:top w:w="15" w:type="dxa"/>
              <w:left w:w="15" w:type="dxa"/>
              <w:right w:w="15" w:type="dxa"/>
            </w:tcMar>
            <w:vAlign w:val="center"/>
          </w:tcPr>
          <w:p w14:paraId="2D1AC19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可塑</w:t>
            </w:r>
          </w:p>
        </w:tc>
        <w:tc>
          <w:tcPr>
            <w:tcW w:w="2798" w:type="pct"/>
            <w:tcBorders>
              <w:tl2br w:val="nil"/>
              <w:tr2bl w:val="nil"/>
            </w:tcBorders>
            <w:shd w:val="clear" w:color="auto" w:fill="auto"/>
            <w:noWrap/>
            <w:tcMar>
              <w:top w:w="15" w:type="dxa"/>
              <w:left w:w="15" w:type="dxa"/>
              <w:right w:w="15" w:type="dxa"/>
            </w:tcMar>
            <w:vAlign w:val="center"/>
          </w:tcPr>
          <w:p w14:paraId="112861F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表面含根系、石块，下层主要由粘土组成</w:t>
            </w:r>
          </w:p>
        </w:tc>
      </w:tr>
      <w:tr w14:paraId="6166DE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5" w:type="pct"/>
            <w:tcBorders>
              <w:tl2br w:val="nil"/>
              <w:tr2bl w:val="nil"/>
            </w:tcBorders>
            <w:shd w:val="clear" w:color="auto" w:fill="auto"/>
            <w:noWrap/>
            <w:tcMar>
              <w:top w:w="15" w:type="dxa"/>
              <w:left w:w="15" w:type="dxa"/>
              <w:right w:w="15" w:type="dxa"/>
            </w:tcMar>
            <w:vAlign w:val="center"/>
          </w:tcPr>
          <w:p w14:paraId="60DC291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w:t>
            </w:r>
          </w:p>
        </w:tc>
        <w:tc>
          <w:tcPr>
            <w:tcW w:w="660" w:type="pct"/>
            <w:vMerge w:val="continue"/>
            <w:tcBorders>
              <w:tl2br w:val="nil"/>
              <w:tr2bl w:val="nil"/>
            </w:tcBorders>
            <w:shd w:val="clear" w:color="auto" w:fill="auto"/>
            <w:noWrap/>
            <w:tcMar>
              <w:top w:w="15" w:type="dxa"/>
              <w:left w:w="15" w:type="dxa"/>
              <w:right w:w="15" w:type="dxa"/>
            </w:tcMar>
            <w:vAlign w:val="center"/>
          </w:tcPr>
          <w:p w14:paraId="0CB59681">
            <w:pPr>
              <w:spacing w:line="240" w:lineRule="auto"/>
              <w:jc w:val="center"/>
              <w:rPr>
                <w:rFonts w:hint="default" w:ascii="Times New Roman" w:hAnsi="Times New Roman" w:cs="Times New Roman"/>
                <w:color w:val="auto"/>
                <w:sz w:val="21"/>
                <w:szCs w:val="21"/>
                <w:highlight w:val="none"/>
              </w:rPr>
            </w:pPr>
          </w:p>
        </w:tc>
        <w:tc>
          <w:tcPr>
            <w:tcW w:w="319" w:type="pct"/>
            <w:tcBorders>
              <w:tl2br w:val="nil"/>
              <w:tr2bl w:val="nil"/>
            </w:tcBorders>
            <w:shd w:val="clear" w:color="auto" w:fill="auto"/>
            <w:noWrap/>
            <w:tcMar>
              <w:top w:w="15" w:type="dxa"/>
              <w:left w:w="15" w:type="dxa"/>
              <w:right w:w="15" w:type="dxa"/>
            </w:tcMar>
          </w:tcPr>
          <w:p w14:paraId="7B3B6D7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XM-2-400</w:t>
            </w:r>
          </w:p>
        </w:tc>
        <w:tc>
          <w:tcPr>
            <w:tcW w:w="300" w:type="pct"/>
            <w:tcBorders>
              <w:tl2br w:val="nil"/>
              <w:tr2bl w:val="nil"/>
            </w:tcBorders>
            <w:shd w:val="clear" w:color="auto" w:fill="auto"/>
            <w:noWrap/>
            <w:tcMar>
              <w:top w:w="15" w:type="dxa"/>
              <w:left w:w="15" w:type="dxa"/>
              <w:right w:w="15" w:type="dxa"/>
            </w:tcMar>
            <w:vAlign w:val="center"/>
          </w:tcPr>
          <w:p w14:paraId="0A0FAA5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杂填土</w:t>
            </w:r>
          </w:p>
        </w:tc>
        <w:tc>
          <w:tcPr>
            <w:tcW w:w="226" w:type="pct"/>
            <w:tcBorders>
              <w:tl2br w:val="nil"/>
              <w:tr2bl w:val="nil"/>
            </w:tcBorders>
            <w:shd w:val="clear" w:color="auto" w:fill="auto"/>
            <w:noWrap/>
            <w:tcMar>
              <w:top w:w="15" w:type="dxa"/>
              <w:left w:w="15" w:type="dxa"/>
              <w:right w:w="15" w:type="dxa"/>
            </w:tcMar>
            <w:vAlign w:val="center"/>
          </w:tcPr>
          <w:p w14:paraId="662CB24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杂色</w:t>
            </w:r>
          </w:p>
        </w:tc>
        <w:tc>
          <w:tcPr>
            <w:tcW w:w="155" w:type="pct"/>
            <w:tcBorders>
              <w:tl2br w:val="nil"/>
              <w:tr2bl w:val="nil"/>
            </w:tcBorders>
            <w:shd w:val="clear" w:color="auto" w:fill="auto"/>
            <w:noWrap/>
            <w:tcMar>
              <w:top w:w="15" w:type="dxa"/>
              <w:left w:w="15" w:type="dxa"/>
              <w:right w:w="15" w:type="dxa"/>
            </w:tcMar>
            <w:vAlign w:val="center"/>
          </w:tcPr>
          <w:p w14:paraId="3BCAB6D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稍湿</w:t>
            </w:r>
          </w:p>
        </w:tc>
        <w:tc>
          <w:tcPr>
            <w:tcW w:w="155" w:type="pct"/>
            <w:tcBorders>
              <w:tl2br w:val="nil"/>
              <w:tr2bl w:val="nil"/>
            </w:tcBorders>
            <w:shd w:val="clear" w:color="auto" w:fill="auto"/>
            <w:noWrap/>
            <w:tcMar>
              <w:top w:w="15" w:type="dxa"/>
              <w:left w:w="15" w:type="dxa"/>
              <w:right w:w="15" w:type="dxa"/>
            </w:tcMar>
            <w:vAlign w:val="center"/>
          </w:tcPr>
          <w:p w14:paraId="1E5653B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228" w:type="pct"/>
            <w:tcBorders>
              <w:tl2br w:val="nil"/>
              <w:tr2bl w:val="nil"/>
            </w:tcBorders>
            <w:shd w:val="clear" w:color="auto" w:fill="auto"/>
            <w:noWrap/>
            <w:tcMar>
              <w:top w:w="15" w:type="dxa"/>
              <w:left w:w="15" w:type="dxa"/>
              <w:right w:w="15" w:type="dxa"/>
            </w:tcMar>
            <w:vAlign w:val="center"/>
          </w:tcPr>
          <w:p w14:paraId="1D6E8D2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松散</w:t>
            </w:r>
          </w:p>
        </w:tc>
        <w:tc>
          <w:tcPr>
            <w:tcW w:w="2798" w:type="pct"/>
            <w:tcBorders>
              <w:tl2br w:val="nil"/>
              <w:tr2bl w:val="nil"/>
            </w:tcBorders>
            <w:shd w:val="clear" w:color="auto" w:fill="auto"/>
            <w:noWrap/>
            <w:tcMar>
              <w:top w:w="15" w:type="dxa"/>
              <w:left w:w="15" w:type="dxa"/>
              <w:right w:w="15" w:type="dxa"/>
            </w:tcMar>
            <w:vAlign w:val="center"/>
          </w:tcPr>
          <w:p w14:paraId="130CF21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表面含根系、石块，下层主要由粘土组成，含高岭土、黑色铁锰氧化物</w:t>
            </w:r>
          </w:p>
        </w:tc>
      </w:tr>
      <w:tr w14:paraId="5C72C8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5" w:type="pct"/>
            <w:tcBorders>
              <w:tl2br w:val="nil"/>
              <w:tr2bl w:val="nil"/>
            </w:tcBorders>
            <w:shd w:val="clear" w:color="auto" w:fill="auto"/>
            <w:noWrap/>
            <w:tcMar>
              <w:top w:w="15" w:type="dxa"/>
              <w:left w:w="15" w:type="dxa"/>
              <w:right w:w="15" w:type="dxa"/>
            </w:tcMar>
            <w:vAlign w:val="center"/>
          </w:tcPr>
          <w:p w14:paraId="11809A6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w:t>
            </w:r>
          </w:p>
        </w:tc>
        <w:tc>
          <w:tcPr>
            <w:tcW w:w="660" w:type="pct"/>
            <w:vMerge w:val="continue"/>
            <w:tcBorders>
              <w:tl2br w:val="nil"/>
              <w:tr2bl w:val="nil"/>
            </w:tcBorders>
            <w:shd w:val="clear" w:color="auto" w:fill="auto"/>
            <w:noWrap/>
            <w:tcMar>
              <w:top w:w="15" w:type="dxa"/>
              <w:left w:w="15" w:type="dxa"/>
              <w:right w:w="15" w:type="dxa"/>
            </w:tcMar>
            <w:vAlign w:val="center"/>
          </w:tcPr>
          <w:p w14:paraId="231CFF20">
            <w:pPr>
              <w:spacing w:line="240" w:lineRule="auto"/>
              <w:jc w:val="center"/>
              <w:rPr>
                <w:rFonts w:hint="default" w:ascii="Times New Roman" w:hAnsi="Times New Roman" w:cs="Times New Roman"/>
                <w:color w:val="auto"/>
                <w:sz w:val="21"/>
                <w:szCs w:val="21"/>
                <w:highlight w:val="none"/>
              </w:rPr>
            </w:pPr>
          </w:p>
        </w:tc>
        <w:tc>
          <w:tcPr>
            <w:tcW w:w="319" w:type="pct"/>
            <w:tcBorders>
              <w:tl2br w:val="nil"/>
              <w:tr2bl w:val="nil"/>
            </w:tcBorders>
            <w:shd w:val="clear" w:color="auto" w:fill="auto"/>
            <w:noWrap/>
            <w:tcMar>
              <w:top w:w="15" w:type="dxa"/>
              <w:left w:w="15" w:type="dxa"/>
              <w:right w:w="15" w:type="dxa"/>
            </w:tcMar>
          </w:tcPr>
          <w:p w14:paraId="0198733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XM-3-75</w:t>
            </w:r>
          </w:p>
        </w:tc>
        <w:tc>
          <w:tcPr>
            <w:tcW w:w="300" w:type="pct"/>
            <w:tcBorders>
              <w:tl2br w:val="nil"/>
              <w:tr2bl w:val="nil"/>
            </w:tcBorders>
            <w:shd w:val="clear" w:color="auto" w:fill="auto"/>
            <w:noWrap/>
            <w:tcMar>
              <w:top w:w="15" w:type="dxa"/>
              <w:left w:w="15" w:type="dxa"/>
              <w:right w:w="15" w:type="dxa"/>
            </w:tcMar>
            <w:vAlign w:val="center"/>
          </w:tcPr>
          <w:p w14:paraId="3BD2619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杂填土</w:t>
            </w:r>
          </w:p>
        </w:tc>
        <w:tc>
          <w:tcPr>
            <w:tcW w:w="226" w:type="pct"/>
            <w:tcBorders>
              <w:tl2br w:val="nil"/>
              <w:tr2bl w:val="nil"/>
            </w:tcBorders>
            <w:shd w:val="clear" w:color="auto" w:fill="auto"/>
            <w:noWrap/>
            <w:tcMar>
              <w:top w:w="15" w:type="dxa"/>
              <w:left w:w="15" w:type="dxa"/>
              <w:right w:w="15" w:type="dxa"/>
            </w:tcMar>
            <w:vAlign w:val="center"/>
          </w:tcPr>
          <w:p w14:paraId="1E10A86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杂色</w:t>
            </w:r>
          </w:p>
        </w:tc>
        <w:tc>
          <w:tcPr>
            <w:tcW w:w="155" w:type="pct"/>
            <w:tcBorders>
              <w:tl2br w:val="nil"/>
              <w:tr2bl w:val="nil"/>
            </w:tcBorders>
            <w:shd w:val="clear" w:color="auto" w:fill="auto"/>
            <w:noWrap/>
            <w:tcMar>
              <w:top w:w="15" w:type="dxa"/>
              <w:left w:w="15" w:type="dxa"/>
              <w:right w:w="15" w:type="dxa"/>
            </w:tcMar>
            <w:vAlign w:val="center"/>
          </w:tcPr>
          <w:p w14:paraId="3F77734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稍湿</w:t>
            </w:r>
          </w:p>
        </w:tc>
        <w:tc>
          <w:tcPr>
            <w:tcW w:w="155" w:type="pct"/>
            <w:tcBorders>
              <w:tl2br w:val="nil"/>
              <w:tr2bl w:val="nil"/>
            </w:tcBorders>
            <w:shd w:val="clear" w:color="auto" w:fill="auto"/>
            <w:noWrap/>
            <w:tcMar>
              <w:top w:w="15" w:type="dxa"/>
              <w:left w:w="15" w:type="dxa"/>
              <w:right w:w="15" w:type="dxa"/>
            </w:tcMar>
            <w:vAlign w:val="center"/>
          </w:tcPr>
          <w:p w14:paraId="270CD51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228" w:type="pct"/>
            <w:tcBorders>
              <w:tl2br w:val="nil"/>
              <w:tr2bl w:val="nil"/>
            </w:tcBorders>
            <w:shd w:val="clear" w:color="auto" w:fill="auto"/>
            <w:noWrap/>
            <w:tcMar>
              <w:top w:w="15" w:type="dxa"/>
              <w:left w:w="15" w:type="dxa"/>
              <w:right w:w="15" w:type="dxa"/>
            </w:tcMar>
            <w:vAlign w:val="center"/>
          </w:tcPr>
          <w:p w14:paraId="524A7C8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松散</w:t>
            </w:r>
          </w:p>
        </w:tc>
        <w:tc>
          <w:tcPr>
            <w:tcW w:w="2798" w:type="pct"/>
            <w:tcBorders>
              <w:tl2br w:val="nil"/>
              <w:tr2bl w:val="nil"/>
            </w:tcBorders>
            <w:shd w:val="clear" w:color="auto" w:fill="auto"/>
            <w:noWrap/>
            <w:tcMar>
              <w:top w:w="15" w:type="dxa"/>
              <w:left w:w="15" w:type="dxa"/>
              <w:right w:w="15" w:type="dxa"/>
            </w:tcMar>
            <w:vAlign w:val="center"/>
          </w:tcPr>
          <w:p w14:paraId="1387C40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主要由粉质粘土组成，含高岭土、黑色铁锰氧化物</w:t>
            </w:r>
          </w:p>
        </w:tc>
      </w:tr>
      <w:tr w14:paraId="0D354F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5" w:type="pct"/>
            <w:tcBorders>
              <w:tl2br w:val="nil"/>
              <w:tr2bl w:val="nil"/>
            </w:tcBorders>
            <w:shd w:val="clear" w:color="auto" w:fill="auto"/>
            <w:noWrap/>
            <w:tcMar>
              <w:top w:w="15" w:type="dxa"/>
              <w:left w:w="15" w:type="dxa"/>
              <w:right w:w="15" w:type="dxa"/>
            </w:tcMar>
            <w:vAlign w:val="center"/>
          </w:tcPr>
          <w:p w14:paraId="05AF726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8</w:t>
            </w:r>
          </w:p>
        </w:tc>
        <w:tc>
          <w:tcPr>
            <w:tcW w:w="660" w:type="pct"/>
            <w:vMerge w:val="continue"/>
            <w:tcBorders>
              <w:tl2br w:val="nil"/>
              <w:tr2bl w:val="nil"/>
            </w:tcBorders>
            <w:shd w:val="clear" w:color="auto" w:fill="auto"/>
            <w:noWrap/>
            <w:tcMar>
              <w:top w:w="15" w:type="dxa"/>
              <w:left w:w="15" w:type="dxa"/>
              <w:right w:w="15" w:type="dxa"/>
            </w:tcMar>
            <w:vAlign w:val="center"/>
          </w:tcPr>
          <w:p w14:paraId="018FE742">
            <w:pPr>
              <w:spacing w:line="240" w:lineRule="auto"/>
              <w:jc w:val="center"/>
              <w:rPr>
                <w:rFonts w:hint="default" w:ascii="Times New Roman" w:hAnsi="Times New Roman" w:cs="Times New Roman"/>
                <w:color w:val="auto"/>
                <w:sz w:val="21"/>
                <w:szCs w:val="21"/>
                <w:highlight w:val="none"/>
              </w:rPr>
            </w:pPr>
          </w:p>
        </w:tc>
        <w:tc>
          <w:tcPr>
            <w:tcW w:w="319" w:type="pct"/>
            <w:tcBorders>
              <w:tl2br w:val="nil"/>
              <w:tr2bl w:val="nil"/>
            </w:tcBorders>
            <w:shd w:val="clear" w:color="auto" w:fill="auto"/>
            <w:noWrap/>
            <w:tcMar>
              <w:top w:w="15" w:type="dxa"/>
              <w:left w:w="15" w:type="dxa"/>
              <w:right w:w="15" w:type="dxa"/>
            </w:tcMar>
          </w:tcPr>
          <w:p w14:paraId="3C2B6F2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XM-3-200</w:t>
            </w:r>
          </w:p>
        </w:tc>
        <w:tc>
          <w:tcPr>
            <w:tcW w:w="300" w:type="pct"/>
            <w:tcBorders>
              <w:tl2br w:val="nil"/>
              <w:tr2bl w:val="nil"/>
            </w:tcBorders>
            <w:shd w:val="clear" w:color="auto" w:fill="auto"/>
            <w:noWrap/>
            <w:tcMar>
              <w:top w:w="15" w:type="dxa"/>
              <w:left w:w="15" w:type="dxa"/>
              <w:right w:w="15" w:type="dxa"/>
            </w:tcMar>
            <w:vAlign w:val="center"/>
          </w:tcPr>
          <w:p w14:paraId="372035A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杂填土</w:t>
            </w:r>
          </w:p>
        </w:tc>
        <w:tc>
          <w:tcPr>
            <w:tcW w:w="226" w:type="pct"/>
            <w:tcBorders>
              <w:tl2br w:val="nil"/>
              <w:tr2bl w:val="nil"/>
            </w:tcBorders>
            <w:shd w:val="clear" w:color="auto" w:fill="auto"/>
            <w:noWrap/>
            <w:tcMar>
              <w:top w:w="15" w:type="dxa"/>
              <w:left w:w="15" w:type="dxa"/>
              <w:right w:w="15" w:type="dxa"/>
            </w:tcMar>
            <w:vAlign w:val="center"/>
          </w:tcPr>
          <w:p w14:paraId="6075934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杂色</w:t>
            </w:r>
          </w:p>
        </w:tc>
        <w:tc>
          <w:tcPr>
            <w:tcW w:w="155" w:type="pct"/>
            <w:tcBorders>
              <w:tl2br w:val="nil"/>
              <w:tr2bl w:val="nil"/>
            </w:tcBorders>
            <w:shd w:val="clear" w:color="auto" w:fill="auto"/>
            <w:noWrap/>
            <w:tcMar>
              <w:top w:w="15" w:type="dxa"/>
              <w:left w:w="15" w:type="dxa"/>
              <w:right w:w="15" w:type="dxa"/>
            </w:tcMar>
            <w:vAlign w:val="center"/>
          </w:tcPr>
          <w:p w14:paraId="48E6E52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湿</w:t>
            </w:r>
          </w:p>
        </w:tc>
        <w:tc>
          <w:tcPr>
            <w:tcW w:w="155" w:type="pct"/>
            <w:tcBorders>
              <w:tl2br w:val="nil"/>
              <w:tr2bl w:val="nil"/>
            </w:tcBorders>
            <w:shd w:val="clear" w:color="auto" w:fill="auto"/>
            <w:noWrap/>
            <w:tcMar>
              <w:top w:w="15" w:type="dxa"/>
              <w:left w:w="15" w:type="dxa"/>
              <w:right w:w="15" w:type="dxa"/>
            </w:tcMar>
            <w:vAlign w:val="center"/>
          </w:tcPr>
          <w:p w14:paraId="7E5E0E5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228" w:type="pct"/>
            <w:tcBorders>
              <w:tl2br w:val="nil"/>
              <w:tr2bl w:val="nil"/>
            </w:tcBorders>
            <w:shd w:val="clear" w:color="auto" w:fill="auto"/>
            <w:noWrap/>
            <w:tcMar>
              <w:top w:w="15" w:type="dxa"/>
              <w:left w:w="15" w:type="dxa"/>
              <w:right w:w="15" w:type="dxa"/>
            </w:tcMar>
            <w:vAlign w:val="center"/>
          </w:tcPr>
          <w:p w14:paraId="6E67852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松散</w:t>
            </w:r>
          </w:p>
        </w:tc>
        <w:tc>
          <w:tcPr>
            <w:tcW w:w="2798" w:type="pct"/>
            <w:tcBorders>
              <w:tl2br w:val="nil"/>
              <w:tr2bl w:val="nil"/>
            </w:tcBorders>
            <w:shd w:val="clear" w:color="auto" w:fill="auto"/>
            <w:noWrap/>
            <w:tcMar>
              <w:top w:w="15" w:type="dxa"/>
              <w:left w:w="15" w:type="dxa"/>
              <w:right w:w="15" w:type="dxa"/>
            </w:tcMar>
            <w:vAlign w:val="center"/>
          </w:tcPr>
          <w:p w14:paraId="07555E8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表面含根系、下层主要由粉质粘土组成，含高岭土、黑色铁锰氧化物</w:t>
            </w:r>
          </w:p>
        </w:tc>
      </w:tr>
      <w:tr w14:paraId="71EB78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5" w:type="pct"/>
            <w:tcBorders>
              <w:tl2br w:val="nil"/>
              <w:tr2bl w:val="nil"/>
            </w:tcBorders>
            <w:shd w:val="clear" w:color="auto" w:fill="auto"/>
            <w:noWrap/>
            <w:tcMar>
              <w:top w:w="15" w:type="dxa"/>
              <w:left w:w="15" w:type="dxa"/>
              <w:right w:w="15" w:type="dxa"/>
            </w:tcMar>
            <w:vAlign w:val="center"/>
          </w:tcPr>
          <w:p w14:paraId="052BB23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w:t>
            </w:r>
          </w:p>
        </w:tc>
        <w:tc>
          <w:tcPr>
            <w:tcW w:w="660" w:type="pct"/>
            <w:vMerge w:val="continue"/>
            <w:tcBorders>
              <w:tl2br w:val="nil"/>
              <w:tr2bl w:val="nil"/>
            </w:tcBorders>
            <w:shd w:val="clear" w:color="auto" w:fill="auto"/>
            <w:noWrap/>
            <w:tcMar>
              <w:top w:w="15" w:type="dxa"/>
              <w:left w:w="15" w:type="dxa"/>
              <w:right w:w="15" w:type="dxa"/>
            </w:tcMar>
            <w:vAlign w:val="center"/>
          </w:tcPr>
          <w:p w14:paraId="07FF3445">
            <w:pPr>
              <w:spacing w:line="240" w:lineRule="auto"/>
              <w:jc w:val="center"/>
              <w:rPr>
                <w:rFonts w:hint="default" w:ascii="Times New Roman" w:hAnsi="Times New Roman" w:cs="Times New Roman"/>
                <w:color w:val="auto"/>
                <w:sz w:val="21"/>
                <w:szCs w:val="21"/>
                <w:highlight w:val="none"/>
              </w:rPr>
            </w:pPr>
          </w:p>
        </w:tc>
        <w:tc>
          <w:tcPr>
            <w:tcW w:w="319" w:type="pct"/>
            <w:tcBorders>
              <w:tl2br w:val="nil"/>
              <w:tr2bl w:val="nil"/>
            </w:tcBorders>
            <w:shd w:val="clear" w:color="auto" w:fill="auto"/>
            <w:noWrap/>
            <w:tcMar>
              <w:top w:w="15" w:type="dxa"/>
              <w:left w:w="15" w:type="dxa"/>
              <w:right w:w="15" w:type="dxa"/>
            </w:tcMar>
          </w:tcPr>
          <w:p w14:paraId="41FF343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XM-3-400</w:t>
            </w:r>
          </w:p>
        </w:tc>
        <w:tc>
          <w:tcPr>
            <w:tcW w:w="300" w:type="pct"/>
            <w:tcBorders>
              <w:tl2br w:val="nil"/>
              <w:tr2bl w:val="nil"/>
            </w:tcBorders>
            <w:shd w:val="clear" w:color="auto" w:fill="auto"/>
            <w:noWrap/>
            <w:tcMar>
              <w:top w:w="15" w:type="dxa"/>
              <w:left w:w="15" w:type="dxa"/>
              <w:right w:w="15" w:type="dxa"/>
            </w:tcMar>
            <w:vAlign w:val="center"/>
          </w:tcPr>
          <w:p w14:paraId="2341110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杂填土</w:t>
            </w:r>
          </w:p>
        </w:tc>
        <w:tc>
          <w:tcPr>
            <w:tcW w:w="226" w:type="pct"/>
            <w:tcBorders>
              <w:tl2br w:val="nil"/>
              <w:tr2bl w:val="nil"/>
            </w:tcBorders>
            <w:shd w:val="clear" w:color="auto" w:fill="auto"/>
            <w:noWrap/>
            <w:tcMar>
              <w:top w:w="15" w:type="dxa"/>
              <w:left w:w="15" w:type="dxa"/>
              <w:right w:w="15" w:type="dxa"/>
            </w:tcMar>
            <w:vAlign w:val="center"/>
          </w:tcPr>
          <w:p w14:paraId="353488C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杂色</w:t>
            </w:r>
          </w:p>
        </w:tc>
        <w:tc>
          <w:tcPr>
            <w:tcW w:w="155" w:type="pct"/>
            <w:tcBorders>
              <w:tl2br w:val="nil"/>
              <w:tr2bl w:val="nil"/>
            </w:tcBorders>
            <w:shd w:val="clear" w:color="auto" w:fill="auto"/>
            <w:noWrap/>
            <w:tcMar>
              <w:top w:w="15" w:type="dxa"/>
              <w:left w:w="15" w:type="dxa"/>
              <w:right w:w="15" w:type="dxa"/>
            </w:tcMar>
            <w:vAlign w:val="center"/>
          </w:tcPr>
          <w:p w14:paraId="7D3089A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稍湿</w:t>
            </w:r>
          </w:p>
        </w:tc>
        <w:tc>
          <w:tcPr>
            <w:tcW w:w="155" w:type="pct"/>
            <w:tcBorders>
              <w:tl2br w:val="nil"/>
              <w:tr2bl w:val="nil"/>
            </w:tcBorders>
            <w:shd w:val="clear" w:color="auto" w:fill="auto"/>
            <w:noWrap/>
            <w:tcMar>
              <w:top w:w="15" w:type="dxa"/>
              <w:left w:w="15" w:type="dxa"/>
              <w:right w:w="15" w:type="dxa"/>
            </w:tcMar>
            <w:vAlign w:val="center"/>
          </w:tcPr>
          <w:p w14:paraId="3E0E5EC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228" w:type="pct"/>
            <w:tcBorders>
              <w:tl2br w:val="nil"/>
              <w:tr2bl w:val="nil"/>
            </w:tcBorders>
            <w:shd w:val="clear" w:color="auto" w:fill="auto"/>
            <w:noWrap/>
            <w:tcMar>
              <w:top w:w="15" w:type="dxa"/>
              <w:left w:w="15" w:type="dxa"/>
              <w:right w:w="15" w:type="dxa"/>
            </w:tcMar>
            <w:vAlign w:val="center"/>
          </w:tcPr>
          <w:p w14:paraId="4A37C9B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可塑</w:t>
            </w:r>
          </w:p>
        </w:tc>
        <w:tc>
          <w:tcPr>
            <w:tcW w:w="2798" w:type="pct"/>
            <w:tcBorders>
              <w:tl2br w:val="nil"/>
              <w:tr2bl w:val="nil"/>
            </w:tcBorders>
            <w:shd w:val="clear" w:color="auto" w:fill="auto"/>
            <w:noWrap/>
            <w:tcMar>
              <w:top w:w="15" w:type="dxa"/>
              <w:left w:w="15" w:type="dxa"/>
              <w:right w:w="15" w:type="dxa"/>
            </w:tcMar>
            <w:vAlign w:val="center"/>
          </w:tcPr>
          <w:p w14:paraId="163E7C4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表面含根系、石块，下层主要由粉质粘土组成，含高岭土、黑色铁锰氧化物</w:t>
            </w:r>
          </w:p>
        </w:tc>
      </w:tr>
      <w:tr w14:paraId="7AF15E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5" w:type="pct"/>
            <w:tcBorders>
              <w:tl2br w:val="nil"/>
              <w:tr2bl w:val="nil"/>
            </w:tcBorders>
            <w:shd w:val="clear" w:color="auto" w:fill="auto"/>
            <w:noWrap/>
            <w:tcMar>
              <w:top w:w="15" w:type="dxa"/>
              <w:left w:w="15" w:type="dxa"/>
              <w:right w:w="15" w:type="dxa"/>
            </w:tcMar>
            <w:vAlign w:val="center"/>
          </w:tcPr>
          <w:p w14:paraId="63D29BF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660" w:type="pct"/>
            <w:vMerge w:val="continue"/>
            <w:tcBorders>
              <w:tl2br w:val="nil"/>
              <w:tr2bl w:val="nil"/>
            </w:tcBorders>
            <w:shd w:val="clear" w:color="auto" w:fill="auto"/>
            <w:noWrap/>
            <w:tcMar>
              <w:top w:w="15" w:type="dxa"/>
              <w:left w:w="15" w:type="dxa"/>
              <w:right w:w="15" w:type="dxa"/>
            </w:tcMar>
            <w:vAlign w:val="center"/>
          </w:tcPr>
          <w:p w14:paraId="30203E77">
            <w:pPr>
              <w:spacing w:line="240" w:lineRule="auto"/>
              <w:jc w:val="center"/>
              <w:rPr>
                <w:rFonts w:hint="default" w:ascii="Times New Roman" w:hAnsi="Times New Roman" w:cs="Times New Roman"/>
                <w:color w:val="auto"/>
                <w:sz w:val="21"/>
                <w:szCs w:val="21"/>
                <w:highlight w:val="none"/>
              </w:rPr>
            </w:pPr>
          </w:p>
        </w:tc>
        <w:tc>
          <w:tcPr>
            <w:tcW w:w="319" w:type="pct"/>
            <w:tcBorders>
              <w:tl2br w:val="nil"/>
              <w:tr2bl w:val="nil"/>
            </w:tcBorders>
            <w:shd w:val="clear" w:color="auto" w:fill="auto"/>
            <w:noWrap/>
            <w:tcMar>
              <w:top w:w="15" w:type="dxa"/>
              <w:left w:w="15" w:type="dxa"/>
              <w:right w:w="15" w:type="dxa"/>
            </w:tcMar>
          </w:tcPr>
          <w:p w14:paraId="6455955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XM-4</w:t>
            </w:r>
          </w:p>
        </w:tc>
        <w:tc>
          <w:tcPr>
            <w:tcW w:w="300" w:type="pct"/>
            <w:tcBorders>
              <w:tl2br w:val="nil"/>
              <w:tr2bl w:val="nil"/>
            </w:tcBorders>
            <w:shd w:val="clear" w:color="auto" w:fill="auto"/>
            <w:noWrap/>
            <w:tcMar>
              <w:top w:w="15" w:type="dxa"/>
              <w:left w:w="15" w:type="dxa"/>
              <w:right w:w="15" w:type="dxa"/>
            </w:tcMar>
            <w:vAlign w:val="center"/>
          </w:tcPr>
          <w:p w14:paraId="2E8DEF1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杂填土</w:t>
            </w:r>
          </w:p>
        </w:tc>
        <w:tc>
          <w:tcPr>
            <w:tcW w:w="226" w:type="pct"/>
            <w:tcBorders>
              <w:tl2br w:val="nil"/>
              <w:tr2bl w:val="nil"/>
            </w:tcBorders>
            <w:shd w:val="clear" w:color="auto" w:fill="auto"/>
            <w:noWrap/>
            <w:tcMar>
              <w:top w:w="15" w:type="dxa"/>
              <w:left w:w="15" w:type="dxa"/>
              <w:right w:w="15" w:type="dxa"/>
            </w:tcMar>
            <w:vAlign w:val="center"/>
          </w:tcPr>
          <w:p w14:paraId="74E774F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杂色</w:t>
            </w:r>
          </w:p>
        </w:tc>
        <w:tc>
          <w:tcPr>
            <w:tcW w:w="155" w:type="pct"/>
            <w:tcBorders>
              <w:tl2br w:val="nil"/>
              <w:tr2bl w:val="nil"/>
            </w:tcBorders>
            <w:shd w:val="clear" w:color="auto" w:fill="auto"/>
            <w:noWrap/>
            <w:tcMar>
              <w:top w:w="15" w:type="dxa"/>
              <w:left w:w="15" w:type="dxa"/>
              <w:right w:w="15" w:type="dxa"/>
            </w:tcMar>
            <w:vAlign w:val="center"/>
          </w:tcPr>
          <w:p w14:paraId="57B35AC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干</w:t>
            </w:r>
          </w:p>
        </w:tc>
        <w:tc>
          <w:tcPr>
            <w:tcW w:w="155" w:type="pct"/>
            <w:tcBorders>
              <w:tl2br w:val="nil"/>
              <w:tr2bl w:val="nil"/>
            </w:tcBorders>
            <w:shd w:val="clear" w:color="auto" w:fill="auto"/>
            <w:noWrap/>
            <w:tcMar>
              <w:top w:w="15" w:type="dxa"/>
              <w:left w:w="15" w:type="dxa"/>
              <w:right w:w="15" w:type="dxa"/>
            </w:tcMar>
            <w:vAlign w:val="center"/>
          </w:tcPr>
          <w:p w14:paraId="30058A5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228" w:type="pct"/>
            <w:tcBorders>
              <w:tl2br w:val="nil"/>
              <w:tr2bl w:val="nil"/>
            </w:tcBorders>
            <w:shd w:val="clear" w:color="auto" w:fill="auto"/>
            <w:noWrap/>
            <w:tcMar>
              <w:top w:w="15" w:type="dxa"/>
              <w:left w:w="15" w:type="dxa"/>
              <w:right w:w="15" w:type="dxa"/>
            </w:tcMar>
            <w:vAlign w:val="center"/>
          </w:tcPr>
          <w:p w14:paraId="55C4ACD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松散</w:t>
            </w:r>
          </w:p>
        </w:tc>
        <w:tc>
          <w:tcPr>
            <w:tcW w:w="2798" w:type="pct"/>
            <w:tcBorders>
              <w:tl2br w:val="nil"/>
              <w:tr2bl w:val="nil"/>
            </w:tcBorders>
            <w:shd w:val="clear" w:color="auto" w:fill="auto"/>
            <w:noWrap/>
            <w:tcMar>
              <w:top w:w="15" w:type="dxa"/>
              <w:left w:w="15" w:type="dxa"/>
              <w:right w:w="15" w:type="dxa"/>
            </w:tcMar>
            <w:vAlign w:val="center"/>
          </w:tcPr>
          <w:p w14:paraId="1E62096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表面含大量根系，下层主要由粉质粘土组成</w:t>
            </w:r>
          </w:p>
        </w:tc>
      </w:tr>
      <w:tr w14:paraId="136614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5" w:type="pct"/>
            <w:tcBorders>
              <w:tl2br w:val="nil"/>
              <w:tr2bl w:val="nil"/>
            </w:tcBorders>
            <w:shd w:val="clear" w:color="auto" w:fill="auto"/>
            <w:noWrap/>
            <w:tcMar>
              <w:top w:w="15" w:type="dxa"/>
              <w:left w:w="15" w:type="dxa"/>
              <w:right w:w="15" w:type="dxa"/>
            </w:tcMar>
            <w:vAlign w:val="center"/>
          </w:tcPr>
          <w:p w14:paraId="60555A2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w:t>
            </w:r>
          </w:p>
        </w:tc>
        <w:tc>
          <w:tcPr>
            <w:tcW w:w="660" w:type="pct"/>
            <w:vMerge w:val="restart"/>
            <w:tcBorders>
              <w:tl2br w:val="nil"/>
              <w:tr2bl w:val="nil"/>
            </w:tcBorders>
            <w:shd w:val="clear" w:color="auto" w:fill="auto"/>
            <w:noWrap/>
            <w:tcMar>
              <w:top w:w="15" w:type="dxa"/>
              <w:left w:w="15" w:type="dxa"/>
              <w:right w:w="15" w:type="dxa"/>
            </w:tcMar>
            <w:vAlign w:val="center"/>
          </w:tcPr>
          <w:p w14:paraId="34C56F55">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企业聚集区周边点位</w:t>
            </w:r>
          </w:p>
        </w:tc>
        <w:tc>
          <w:tcPr>
            <w:tcW w:w="319" w:type="pct"/>
            <w:tcBorders>
              <w:tl2br w:val="nil"/>
              <w:tr2bl w:val="nil"/>
            </w:tcBorders>
            <w:shd w:val="clear" w:color="auto" w:fill="auto"/>
            <w:noWrap/>
            <w:tcMar>
              <w:top w:w="15" w:type="dxa"/>
              <w:left w:w="15" w:type="dxa"/>
              <w:right w:w="15" w:type="dxa"/>
            </w:tcMar>
          </w:tcPr>
          <w:p w14:paraId="7C17528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XM-JJ-1</w:t>
            </w:r>
          </w:p>
        </w:tc>
        <w:tc>
          <w:tcPr>
            <w:tcW w:w="300" w:type="pct"/>
            <w:tcBorders>
              <w:tl2br w:val="nil"/>
              <w:tr2bl w:val="nil"/>
            </w:tcBorders>
            <w:shd w:val="clear" w:color="auto" w:fill="auto"/>
            <w:noWrap/>
            <w:tcMar>
              <w:top w:w="15" w:type="dxa"/>
              <w:left w:w="15" w:type="dxa"/>
              <w:right w:w="15" w:type="dxa"/>
            </w:tcMar>
            <w:vAlign w:val="center"/>
          </w:tcPr>
          <w:p w14:paraId="643CF53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杂填土</w:t>
            </w:r>
          </w:p>
        </w:tc>
        <w:tc>
          <w:tcPr>
            <w:tcW w:w="226" w:type="pct"/>
            <w:tcBorders>
              <w:tl2br w:val="nil"/>
              <w:tr2bl w:val="nil"/>
            </w:tcBorders>
            <w:shd w:val="clear" w:color="auto" w:fill="auto"/>
            <w:noWrap/>
            <w:tcMar>
              <w:top w:w="15" w:type="dxa"/>
              <w:left w:w="15" w:type="dxa"/>
              <w:right w:w="15" w:type="dxa"/>
            </w:tcMar>
            <w:vAlign w:val="center"/>
          </w:tcPr>
          <w:p w14:paraId="378BC78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杂色</w:t>
            </w:r>
          </w:p>
        </w:tc>
        <w:tc>
          <w:tcPr>
            <w:tcW w:w="155" w:type="pct"/>
            <w:tcBorders>
              <w:tl2br w:val="nil"/>
              <w:tr2bl w:val="nil"/>
            </w:tcBorders>
            <w:shd w:val="clear" w:color="auto" w:fill="auto"/>
            <w:noWrap/>
            <w:tcMar>
              <w:top w:w="15" w:type="dxa"/>
              <w:left w:w="15" w:type="dxa"/>
              <w:right w:w="15" w:type="dxa"/>
            </w:tcMar>
            <w:vAlign w:val="center"/>
          </w:tcPr>
          <w:p w14:paraId="2CF33E6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稍湿</w:t>
            </w:r>
          </w:p>
        </w:tc>
        <w:tc>
          <w:tcPr>
            <w:tcW w:w="155" w:type="pct"/>
            <w:tcBorders>
              <w:tl2br w:val="nil"/>
              <w:tr2bl w:val="nil"/>
            </w:tcBorders>
            <w:shd w:val="clear" w:color="auto" w:fill="auto"/>
            <w:noWrap/>
            <w:tcMar>
              <w:top w:w="15" w:type="dxa"/>
              <w:left w:w="15" w:type="dxa"/>
              <w:right w:w="15" w:type="dxa"/>
            </w:tcMar>
            <w:vAlign w:val="center"/>
          </w:tcPr>
          <w:p w14:paraId="08B331D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228" w:type="pct"/>
            <w:tcBorders>
              <w:tl2br w:val="nil"/>
              <w:tr2bl w:val="nil"/>
            </w:tcBorders>
            <w:shd w:val="clear" w:color="auto" w:fill="auto"/>
            <w:noWrap/>
            <w:tcMar>
              <w:top w:w="15" w:type="dxa"/>
              <w:left w:w="15" w:type="dxa"/>
              <w:right w:w="15" w:type="dxa"/>
            </w:tcMar>
            <w:vAlign w:val="center"/>
          </w:tcPr>
          <w:p w14:paraId="7EC126F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可塑</w:t>
            </w:r>
          </w:p>
        </w:tc>
        <w:tc>
          <w:tcPr>
            <w:tcW w:w="2798" w:type="pct"/>
            <w:tcBorders>
              <w:tl2br w:val="nil"/>
              <w:tr2bl w:val="nil"/>
            </w:tcBorders>
            <w:shd w:val="clear" w:color="auto" w:fill="auto"/>
            <w:noWrap/>
            <w:tcMar>
              <w:top w:w="15" w:type="dxa"/>
              <w:left w:w="15" w:type="dxa"/>
              <w:right w:w="15" w:type="dxa"/>
            </w:tcMar>
            <w:vAlign w:val="center"/>
          </w:tcPr>
          <w:p w14:paraId="1ED90B1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表面含少量根系，下层主要由粉质粘土组成，含少量矿物</w:t>
            </w:r>
          </w:p>
        </w:tc>
      </w:tr>
      <w:tr w14:paraId="28738E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5" w:type="pct"/>
            <w:tcBorders>
              <w:tl2br w:val="nil"/>
              <w:tr2bl w:val="nil"/>
            </w:tcBorders>
            <w:shd w:val="clear" w:color="auto" w:fill="auto"/>
            <w:noWrap/>
            <w:tcMar>
              <w:top w:w="15" w:type="dxa"/>
              <w:left w:w="15" w:type="dxa"/>
              <w:right w:w="15" w:type="dxa"/>
            </w:tcMar>
            <w:vAlign w:val="center"/>
          </w:tcPr>
          <w:p w14:paraId="4A6C835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w:t>
            </w:r>
          </w:p>
        </w:tc>
        <w:tc>
          <w:tcPr>
            <w:tcW w:w="660" w:type="pct"/>
            <w:vMerge w:val="continue"/>
            <w:tcBorders>
              <w:tl2br w:val="nil"/>
              <w:tr2bl w:val="nil"/>
            </w:tcBorders>
            <w:shd w:val="clear" w:color="auto" w:fill="auto"/>
            <w:noWrap/>
            <w:tcMar>
              <w:top w:w="15" w:type="dxa"/>
              <w:left w:w="15" w:type="dxa"/>
              <w:right w:w="15" w:type="dxa"/>
            </w:tcMar>
            <w:vAlign w:val="center"/>
          </w:tcPr>
          <w:p w14:paraId="0F91B718">
            <w:pPr>
              <w:spacing w:line="240" w:lineRule="auto"/>
              <w:jc w:val="center"/>
              <w:rPr>
                <w:rFonts w:hint="default" w:ascii="Times New Roman" w:hAnsi="Times New Roman" w:cs="Times New Roman"/>
                <w:color w:val="auto"/>
                <w:sz w:val="21"/>
                <w:szCs w:val="21"/>
                <w:highlight w:val="none"/>
              </w:rPr>
            </w:pPr>
          </w:p>
        </w:tc>
        <w:tc>
          <w:tcPr>
            <w:tcW w:w="319" w:type="pct"/>
            <w:tcBorders>
              <w:tl2br w:val="nil"/>
              <w:tr2bl w:val="nil"/>
            </w:tcBorders>
            <w:shd w:val="clear" w:color="auto" w:fill="auto"/>
            <w:noWrap/>
            <w:tcMar>
              <w:top w:w="15" w:type="dxa"/>
              <w:left w:w="15" w:type="dxa"/>
              <w:right w:w="15" w:type="dxa"/>
            </w:tcMar>
          </w:tcPr>
          <w:p w14:paraId="1DED2D0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XM-JJ-2</w:t>
            </w:r>
          </w:p>
        </w:tc>
        <w:tc>
          <w:tcPr>
            <w:tcW w:w="300" w:type="pct"/>
            <w:tcBorders>
              <w:tl2br w:val="nil"/>
              <w:tr2bl w:val="nil"/>
            </w:tcBorders>
            <w:shd w:val="clear" w:color="auto" w:fill="auto"/>
            <w:noWrap/>
            <w:tcMar>
              <w:top w:w="15" w:type="dxa"/>
              <w:left w:w="15" w:type="dxa"/>
              <w:right w:w="15" w:type="dxa"/>
            </w:tcMar>
            <w:vAlign w:val="center"/>
          </w:tcPr>
          <w:p w14:paraId="719078C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杂填土</w:t>
            </w:r>
          </w:p>
        </w:tc>
        <w:tc>
          <w:tcPr>
            <w:tcW w:w="226" w:type="pct"/>
            <w:tcBorders>
              <w:tl2br w:val="nil"/>
              <w:tr2bl w:val="nil"/>
            </w:tcBorders>
            <w:shd w:val="clear" w:color="auto" w:fill="auto"/>
            <w:noWrap/>
            <w:tcMar>
              <w:top w:w="15" w:type="dxa"/>
              <w:left w:w="15" w:type="dxa"/>
              <w:right w:w="15" w:type="dxa"/>
            </w:tcMar>
            <w:vAlign w:val="center"/>
          </w:tcPr>
          <w:p w14:paraId="0F20C4A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杂色</w:t>
            </w:r>
          </w:p>
        </w:tc>
        <w:tc>
          <w:tcPr>
            <w:tcW w:w="155" w:type="pct"/>
            <w:tcBorders>
              <w:tl2br w:val="nil"/>
              <w:tr2bl w:val="nil"/>
            </w:tcBorders>
            <w:shd w:val="clear" w:color="auto" w:fill="auto"/>
            <w:noWrap/>
            <w:tcMar>
              <w:top w:w="15" w:type="dxa"/>
              <w:left w:w="15" w:type="dxa"/>
              <w:right w:w="15" w:type="dxa"/>
            </w:tcMar>
            <w:vAlign w:val="center"/>
          </w:tcPr>
          <w:p w14:paraId="1F2EC41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干</w:t>
            </w:r>
          </w:p>
        </w:tc>
        <w:tc>
          <w:tcPr>
            <w:tcW w:w="155" w:type="pct"/>
            <w:tcBorders>
              <w:tl2br w:val="nil"/>
              <w:tr2bl w:val="nil"/>
            </w:tcBorders>
            <w:shd w:val="clear" w:color="auto" w:fill="auto"/>
            <w:noWrap/>
            <w:tcMar>
              <w:top w:w="15" w:type="dxa"/>
              <w:left w:w="15" w:type="dxa"/>
              <w:right w:w="15" w:type="dxa"/>
            </w:tcMar>
            <w:vAlign w:val="center"/>
          </w:tcPr>
          <w:p w14:paraId="790BD1E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228" w:type="pct"/>
            <w:tcBorders>
              <w:tl2br w:val="nil"/>
              <w:tr2bl w:val="nil"/>
            </w:tcBorders>
            <w:shd w:val="clear" w:color="auto" w:fill="auto"/>
            <w:noWrap/>
            <w:tcMar>
              <w:top w:w="15" w:type="dxa"/>
              <w:left w:w="15" w:type="dxa"/>
              <w:right w:w="15" w:type="dxa"/>
            </w:tcMar>
            <w:vAlign w:val="center"/>
          </w:tcPr>
          <w:p w14:paraId="27874A6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可塑</w:t>
            </w:r>
          </w:p>
        </w:tc>
        <w:tc>
          <w:tcPr>
            <w:tcW w:w="2798" w:type="pct"/>
            <w:tcBorders>
              <w:tl2br w:val="nil"/>
              <w:tr2bl w:val="nil"/>
            </w:tcBorders>
            <w:shd w:val="clear" w:color="auto" w:fill="auto"/>
            <w:noWrap/>
            <w:tcMar>
              <w:top w:w="15" w:type="dxa"/>
              <w:left w:w="15" w:type="dxa"/>
              <w:right w:w="15" w:type="dxa"/>
            </w:tcMar>
            <w:vAlign w:val="center"/>
          </w:tcPr>
          <w:p w14:paraId="074BEDD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表面含少量根系、碎石，下层主要由粉质粘土组成，含高岭土、黑色铁锰氧化物</w:t>
            </w:r>
          </w:p>
        </w:tc>
      </w:tr>
      <w:tr w14:paraId="352C7A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5" w:type="pct"/>
            <w:tcBorders>
              <w:tl2br w:val="nil"/>
              <w:tr2bl w:val="nil"/>
            </w:tcBorders>
            <w:shd w:val="clear" w:color="auto" w:fill="auto"/>
            <w:noWrap/>
            <w:tcMar>
              <w:top w:w="15" w:type="dxa"/>
              <w:left w:w="15" w:type="dxa"/>
              <w:right w:w="15" w:type="dxa"/>
            </w:tcMar>
            <w:vAlign w:val="center"/>
          </w:tcPr>
          <w:p w14:paraId="7C3BC80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13</w:t>
            </w:r>
          </w:p>
        </w:tc>
        <w:tc>
          <w:tcPr>
            <w:tcW w:w="660" w:type="pct"/>
            <w:vMerge w:val="continue"/>
            <w:tcBorders>
              <w:tl2br w:val="nil"/>
              <w:tr2bl w:val="nil"/>
            </w:tcBorders>
            <w:shd w:val="clear" w:color="auto" w:fill="auto"/>
            <w:noWrap/>
            <w:tcMar>
              <w:top w:w="15" w:type="dxa"/>
              <w:left w:w="15" w:type="dxa"/>
              <w:right w:w="15" w:type="dxa"/>
            </w:tcMar>
            <w:vAlign w:val="center"/>
          </w:tcPr>
          <w:p w14:paraId="5F246440">
            <w:pPr>
              <w:spacing w:line="240" w:lineRule="auto"/>
              <w:jc w:val="center"/>
              <w:rPr>
                <w:rFonts w:hint="default" w:ascii="Times New Roman" w:hAnsi="Times New Roman" w:cs="Times New Roman"/>
                <w:color w:val="auto"/>
                <w:sz w:val="21"/>
                <w:szCs w:val="21"/>
                <w:highlight w:val="none"/>
              </w:rPr>
            </w:pPr>
          </w:p>
        </w:tc>
        <w:tc>
          <w:tcPr>
            <w:tcW w:w="319" w:type="pct"/>
            <w:tcBorders>
              <w:tl2br w:val="nil"/>
              <w:tr2bl w:val="nil"/>
            </w:tcBorders>
            <w:shd w:val="clear" w:color="auto" w:fill="auto"/>
            <w:noWrap/>
            <w:tcMar>
              <w:top w:w="15" w:type="dxa"/>
              <w:left w:w="15" w:type="dxa"/>
              <w:right w:w="15" w:type="dxa"/>
            </w:tcMar>
          </w:tcPr>
          <w:p w14:paraId="45363CB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XM-JJ-3</w:t>
            </w:r>
          </w:p>
        </w:tc>
        <w:tc>
          <w:tcPr>
            <w:tcW w:w="300" w:type="pct"/>
            <w:tcBorders>
              <w:tl2br w:val="nil"/>
              <w:tr2bl w:val="nil"/>
            </w:tcBorders>
            <w:shd w:val="clear" w:color="auto" w:fill="auto"/>
            <w:noWrap/>
            <w:tcMar>
              <w:top w:w="15" w:type="dxa"/>
              <w:left w:w="15" w:type="dxa"/>
              <w:right w:w="15" w:type="dxa"/>
            </w:tcMar>
            <w:vAlign w:val="center"/>
          </w:tcPr>
          <w:p w14:paraId="4B10BA1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杂填土</w:t>
            </w:r>
          </w:p>
        </w:tc>
        <w:tc>
          <w:tcPr>
            <w:tcW w:w="226" w:type="pct"/>
            <w:tcBorders>
              <w:tl2br w:val="nil"/>
              <w:tr2bl w:val="nil"/>
            </w:tcBorders>
            <w:shd w:val="clear" w:color="auto" w:fill="auto"/>
            <w:noWrap/>
            <w:tcMar>
              <w:top w:w="15" w:type="dxa"/>
              <w:left w:w="15" w:type="dxa"/>
              <w:right w:w="15" w:type="dxa"/>
            </w:tcMar>
            <w:vAlign w:val="center"/>
          </w:tcPr>
          <w:p w14:paraId="492987E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杂色</w:t>
            </w:r>
          </w:p>
        </w:tc>
        <w:tc>
          <w:tcPr>
            <w:tcW w:w="155" w:type="pct"/>
            <w:tcBorders>
              <w:tl2br w:val="nil"/>
              <w:tr2bl w:val="nil"/>
            </w:tcBorders>
            <w:shd w:val="clear" w:color="auto" w:fill="auto"/>
            <w:noWrap/>
            <w:tcMar>
              <w:top w:w="15" w:type="dxa"/>
              <w:left w:w="15" w:type="dxa"/>
              <w:right w:w="15" w:type="dxa"/>
            </w:tcMar>
            <w:vAlign w:val="center"/>
          </w:tcPr>
          <w:p w14:paraId="4FD3D50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稍湿</w:t>
            </w:r>
          </w:p>
        </w:tc>
        <w:tc>
          <w:tcPr>
            <w:tcW w:w="155" w:type="pct"/>
            <w:tcBorders>
              <w:tl2br w:val="nil"/>
              <w:tr2bl w:val="nil"/>
            </w:tcBorders>
            <w:shd w:val="clear" w:color="auto" w:fill="auto"/>
            <w:noWrap/>
            <w:tcMar>
              <w:top w:w="15" w:type="dxa"/>
              <w:left w:w="15" w:type="dxa"/>
              <w:right w:w="15" w:type="dxa"/>
            </w:tcMar>
            <w:vAlign w:val="center"/>
          </w:tcPr>
          <w:p w14:paraId="526FEBF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228" w:type="pct"/>
            <w:tcBorders>
              <w:tl2br w:val="nil"/>
              <w:tr2bl w:val="nil"/>
            </w:tcBorders>
            <w:shd w:val="clear" w:color="auto" w:fill="auto"/>
            <w:noWrap/>
            <w:tcMar>
              <w:top w:w="15" w:type="dxa"/>
              <w:left w:w="15" w:type="dxa"/>
              <w:right w:w="15" w:type="dxa"/>
            </w:tcMar>
            <w:vAlign w:val="center"/>
          </w:tcPr>
          <w:p w14:paraId="5D3D837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可塑</w:t>
            </w:r>
          </w:p>
        </w:tc>
        <w:tc>
          <w:tcPr>
            <w:tcW w:w="2798" w:type="pct"/>
            <w:tcBorders>
              <w:tl2br w:val="nil"/>
              <w:tr2bl w:val="nil"/>
            </w:tcBorders>
            <w:shd w:val="clear" w:color="auto" w:fill="auto"/>
            <w:noWrap/>
            <w:tcMar>
              <w:top w:w="15" w:type="dxa"/>
              <w:left w:w="15" w:type="dxa"/>
              <w:right w:w="15" w:type="dxa"/>
            </w:tcMar>
            <w:vAlign w:val="center"/>
          </w:tcPr>
          <w:p w14:paraId="33A21F7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表面含根系、石块，下层主要由粉质粘土组成，含矿物</w:t>
            </w:r>
          </w:p>
        </w:tc>
      </w:tr>
      <w:tr w14:paraId="2B1001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5" w:type="pct"/>
            <w:tcBorders>
              <w:tl2br w:val="nil"/>
              <w:tr2bl w:val="nil"/>
            </w:tcBorders>
            <w:shd w:val="clear" w:color="auto" w:fill="auto"/>
            <w:noWrap/>
            <w:tcMar>
              <w:top w:w="15" w:type="dxa"/>
              <w:left w:w="15" w:type="dxa"/>
              <w:right w:w="15" w:type="dxa"/>
            </w:tcMar>
            <w:vAlign w:val="center"/>
          </w:tcPr>
          <w:p w14:paraId="08B1A5E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14</w:t>
            </w:r>
          </w:p>
        </w:tc>
        <w:tc>
          <w:tcPr>
            <w:tcW w:w="660" w:type="pct"/>
            <w:vMerge w:val="continue"/>
            <w:tcBorders>
              <w:tl2br w:val="nil"/>
              <w:tr2bl w:val="nil"/>
            </w:tcBorders>
            <w:shd w:val="clear" w:color="auto" w:fill="auto"/>
            <w:noWrap/>
            <w:tcMar>
              <w:top w:w="15" w:type="dxa"/>
              <w:left w:w="15" w:type="dxa"/>
              <w:right w:w="15" w:type="dxa"/>
            </w:tcMar>
            <w:vAlign w:val="center"/>
          </w:tcPr>
          <w:p w14:paraId="30E84390">
            <w:pPr>
              <w:spacing w:line="240" w:lineRule="auto"/>
              <w:jc w:val="center"/>
              <w:rPr>
                <w:rFonts w:hint="default" w:ascii="Times New Roman" w:hAnsi="Times New Roman" w:cs="Times New Roman"/>
                <w:color w:val="auto"/>
                <w:sz w:val="21"/>
                <w:szCs w:val="21"/>
                <w:highlight w:val="none"/>
              </w:rPr>
            </w:pPr>
          </w:p>
        </w:tc>
        <w:tc>
          <w:tcPr>
            <w:tcW w:w="319" w:type="pct"/>
            <w:tcBorders>
              <w:tl2br w:val="nil"/>
              <w:tr2bl w:val="nil"/>
            </w:tcBorders>
            <w:shd w:val="clear" w:color="auto" w:fill="auto"/>
            <w:noWrap/>
            <w:tcMar>
              <w:top w:w="15" w:type="dxa"/>
              <w:left w:w="15" w:type="dxa"/>
              <w:right w:w="15" w:type="dxa"/>
            </w:tcMar>
          </w:tcPr>
          <w:p w14:paraId="6563A2A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XM-JJ-4</w:t>
            </w:r>
          </w:p>
        </w:tc>
        <w:tc>
          <w:tcPr>
            <w:tcW w:w="300" w:type="pct"/>
            <w:tcBorders>
              <w:tl2br w:val="nil"/>
              <w:tr2bl w:val="nil"/>
            </w:tcBorders>
            <w:shd w:val="clear" w:color="auto" w:fill="auto"/>
            <w:noWrap/>
            <w:tcMar>
              <w:top w:w="15" w:type="dxa"/>
              <w:left w:w="15" w:type="dxa"/>
              <w:right w:w="15" w:type="dxa"/>
            </w:tcMar>
            <w:vAlign w:val="center"/>
          </w:tcPr>
          <w:p w14:paraId="400074C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杂填土</w:t>
            </w:r>
          </w:p>
        </w:tc>
        <w:tc>
          <w:tcPr>
            <w:tcW w:w="226" w:type="pct"/>
            <w:tcBorders>
              <w:tl2br w:val="nil"/>
              <w:tr2bl w:val="nil"/>
            </w:tcBorders>
            <w:shd w:val="clear" w:color="auto" w:fill="auto"/>
            <w:noWrap/>
            <w:tcMar>
              <w:top w:w="15" w:type="dxa"/>
              <w:left w:w="15" w:type="dxa"/>
              <w:right w:w="15" w:type="dxa"/>
            </w:tcMar>
            <w:vAlign w:val="center"/>
          </w:tcPr>
          <w:p w14:paraId="46C2191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杂色</w:t>
            </w:r>
          </w:p>
        </w:tc>
        <w:tc>
          <w:tcPr>
            <w:tcW w:w="155" w:type="pct"/>
            <w:tcBorders>
              <w:tl2br w:val="nil"/>
              <w:tr2bl w:val="nil"/>
            </w:tcBorders>
            <w:shd w:val="clear" w:color="auto" w:fill="auto"/>
            <w:noWrap/>
            <w:tcMar>
              <w:top w:w="15" w:type="dxa"/>
              <w:left w:w="15" w:type="dxa"/>
              <w:right w:w="15" w:type="dxa"/>
            </w:tcMar>
            <w:vAlign w:val="center"/>
          </w:tcPr>
          <w:p w14:paraId="4AF5C79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干</w:t>
            </w:r>
          </w:p>
        </w:tc>
        <w:tc>
          <w:tcPr>
            <w:tcW w:w="155" w:type="pct"/>
            <w:tcBorders>
              <w:tl2br w:val="nil"/>
              <w:tr2bl w:val="nil"/>
            </w:tcBorders>
            <w:shd w:val="clear" w:color="auto" w:fill="auto"/>
            <w:noWrap/>
            <w:tcMar>
              <w:top w:w="15" w:type="dxa"/>
              <w:left w:w="15" w:type="dxa"/>
              <w:right w:w="15" w:type="dxa"/>
            </w:tcMar>
            <w:vAlign w:val="center"/>
          </w:tcPr>
          <w:p w14:paraId="4097DD3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w:t>
            </w:r>
          </w:p>
        </w:tc>
        <w:tc>
          <w:tcPr>
            <w:tcW w:w="228" w:type="pct"/>
            <w:tcBorders>
              <w:tl2br w:val="nil"/>
              <w:tr2bl w:val="nil"/>
            </w:tcBorders>
            <w:shd w:val="clear" w:color="auto" w:fill="auto"/>
            <w:noWrap/>
            <w:tcMar>
              <w:top w:w="15" w:type="dxa"/>
              <w:left w:w="15" w:type="dxa"/>
              <w:right w:w="15" w:type="dxa"/>
            </w:tcMar>
            <w:vAlign w:val="center"/>
          </w:tcPr>
          <w:p w14:paraId="41248F4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松散</w:t>
            </w:r>
          </w:p>
        </w:tc>
        <w:tc>
          <w:tcPr>
            <w:tcW w:w="2798" w:type="pct"/>
            <w:tcBorders>
              <w:tl2br w:val="nil"/>
              <w:tr2bl w:val="nil"/>
            </w:tcBorders>
            <w:shd w:val="clear" w:color="auto" w:fill="auto"/>
            <w:noWrap/>
            <w:tcMar>
              <w:top w:w="15" w:type="dxa"/>
              <w:left w:w="15" w:type="dxa"/>
              <w:right w:w="15" w:type="dxa"/>
            </w:tcMar>
            <w:vAlign w:val="center"/>
          </w:tcPr>
          <w:p w14:paraId="71753BD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表面含根系、砂质，下层主要由粘土组成</w:t>
            </w:r>
          </w:p>
        </w:tc>
      </w:tr>
    </w:tbl>
    <w:p w14:paraId="7B6970C1">
      <w:pPr>
        <w:pStyle w:val="30"/>
        <w:adjustRightInd w:val="0"/>
        <w:snapToGrid w:val="0"/>
        <w:spacing w:after="0" w:line="240" w:lineRule="auto"/>
        <w:ind w:firstLine="361"/>
        <w:rPr>
          <w:rFonts w:hint="default" w:ascii="Times New Roman" w:hAnsi="Times New Roman" w:cs="Times New Roman"/>
          <w:b/>
          <w:bCs/>
          <w:color w:val="auto"/>
          <w:sz w:val="18"/>
          <w:szCs w:val="18"/>
          <w:highlight w:val="none"/>
        </w:rPr>
        <w:sectPr>
          <w:headerReference r:id="rId17" w:type="default"/>
          <w:footerReference r:id="rId18" w:type="default"/>
          <w:pgSz w:w="16781" w:h="11849" w:orient="landscape"/>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p>
    <w:p w14:paraId="7B9D8A1A">
      <w:pPr>
        <w:pStyle w:val="5"/>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地下水样品采集</w:t>
      </w:r>
    </w:p>
    <w:p w14:paraId="5BE4AFA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调查范围内共有2个地下水监测井，每个点位取1个样品，共采集2个样品</w:t>
      </w:r>
      <w:r>
        <w:rPr>
          <w:rFonts w:hint="default" w:ascii="Times New Roman" w:hAnsi="Times New Roman" w:cs="Times New Roman"/>
          <w:color w:val="auto"/>
          <w:highlight w:val="none"/>
          <w:lang w:val="en-US" w:eastAsia="zh-CN"/>
        </w:rPr>
        <w:t>送检</w:t>
      </w:r>
      <w:r>
        <w:rPr>
          <w:rFonts w:hint="default" w:ascii="Times New Roman" w:hAnsi="Times New Roman" w:cs="Times New Roman"/>
          <w:color w:val="auto"/>
          <w:highlight w:val="none"/>
        </w:rPr>
        <w:t>。</w:t>
      </w:r>
    </w:p>
    <w:p w14:paraId="3D137763">
      <w:pPr>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具体地下水样采集情况详见表4-3-4。</w:t>
      </w:r>
    </w:p>
    <w:p w14:paraId="67B7DF89">
      <w:pPr>
        <w:spacing w:before="165" w:beforeLines="50" w:line="240" w:lineRule="auto"/>
        <w:jc w:val="center"/>
        <w:rPr>
          <w:rFonts w:hint="default" w:ascii="Times New Roman" w:hAnsi="Times New Roman" w:eastAsia="黑体" w:cs="Times New Roman"/>
          <w:b/>
          <w:bCs/>
          <w:color w:val="auto"/>
          <w:highlight w:val="none"/>
        </w:rPr>
      </w:pPr>
      <w:r>
        <w:rPr>
          <w:rFonts w:hint="default" w:ascii="Times New Roman" w:hAnsi="Times New Roman" w:eastAsia="黑体" w:cs="Times New Roman"/>
          <w:b/>
          <w:bCs/>
          <w:color w:val="auto"/>
          <w:highlight w:val="none"/>
        </w:rPr>
        <w:t>表4-3-4  地下水现场采样信息统计</w:t>
      </w:r>
    </w:p>
    <w:tbl>
      <w:tblPr>
        <w:tblStyle w:val="2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28"/>
        <w:gridCol w:w="1629"/>
        <w:gridCol w:w="1214"/>
        <w:gridCol w:w="1109"/>
        <w:gridCol w:w="813"/>
        <w:gridCol w:w="957"/>
        <w:gridCol w:w="982"/>
        <w:gridCol w:w="1078"/>
        <w:gridCol w:w="1079"/>
      </w:tblGrid>
      <w:tr w14:paraId="13285E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3" w:type="pct"/>
            <w:vMerge w:val="restart"/>
            <w:tcBorders>
              <w:tl2br w:val="nil"/>
              <w:tr2bl w:val="nil"/>
            </w:tcBorders>
            <w:vAlign w:val="center"/>
          </w:tcPr>
          <w:p w14:paraId="76EBF7BE">
            <w:pPr>
              <w:widowControl/>
              <w:spacing w:line="240" w:lineRule="auto"/>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点位编号</w:t>
            </w:r>
          </w:p>
        </w:tc>
        <w:tc>
          <w:tcPr>
            <w:tcW w:w="845" w:type="pct"/>
            <w:vMerge w:val="restart"/>
            <w:tcBorders>
              <w:tl2br w:val="nil"/>
              <w:tr2bl w:val="nil"/>
            </w:tcBorders>
            <w:vAlign w:val="center"/>
          </w:tcPr>
          <w:p w14:paraId="3C053D3E">
            <w:pPr>
              <w:widowControl/>
              <w:spacing w:line="240" w:lineRule="auto"/>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对应土壤点位</w:t>
            </w:r>
          </w:p>
        </w:tc>
        <w:tc>
          <w:tcPr>
            <w:tcW w:w="1186" w:type="pct"/>
            <w:gridSpan w:val="2"/>
            <w:tcBorders>
              <w:tl2br w:val="nil"/>
              <w:tr2bl w:val="nil"/>
            </w:tcBorders>
            <w:vAlign w:val="center"/>
          </w:tcPr>
          <w:p w14:paraId="26A0A49A">
            <w:pPr>
              <w:spacing w:line="240" w:lineRule="auto"/>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坐标</w:t>
            </w:r>
          </w:p>
        </w:tc>
        <w:tc>
          <w:tcPr>
            <w:tcW w:w="333" w:type="pct"/>
            <w:vMerge w:val="restart"/>
            <w:tcBorders>
              <w:tl2br w:val="nil"/>
              <w:tr2bl w:val="nil"/>
            </w:tcBorders>
            <w:vAlign w:val="center"/>
          </w:tcPr>
          <w:p w14:paraId="13146238">
            <w:pPr>
              <w:spacing w:line="240" w:lineRule="auto"/>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井深</w:t>
            </w:r>
            <w:r>
              <w:rPr>
                <w:rFonts w:hint="eastAsia" w:ascii="Times New Roman" w:hAnsi="Times New Roman" w:cs="Times New Roman"/>
                <w:b/>
                <w:bCs/>
                <w:color w:val="auto"/>
                <w:sz w:val="21"/>
                <w:szCs w:val="21"/>
                <w:highlight w:val="none"/>
                <w:lang w:val="en-US" w:eastAsia="zh-CN"/>
              </w:rPr>
              <w:t>（m）</w:t>
            </w:r>
          </w:p>
        </w:tc>
        <w:tc>
          <w:tcPr>
            <w:tcW w:w="515" w:type="pct"/>
            <w:vMerge w:val="restart"/>
            <w:tcBorders>
              <w:tl2br w:val="nil"/>
              <w:tr2bl w:val="nil"/>
            </w:tcBorders>
            <w:vAlign w:val="center"/>
          </w:tcPr>
          <w:p w14:paraId="19EA5493">
            <w:pPr>
              <w:pStyle w:val="29"/>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初见水位</w:t>
            </w:r>
            <w:r>
              <w:rPr>
                <w:rFonts w:hint="default" w:ascii="Times New Roman" w:hAnsi="Times New Roman" w:cs="Times New Roman"/>
                <w:b/>
                <w:bCs/>
                <w:color w:val="auto"/>
                <w:sz w:val="21"/>
                <w:szCs w:val="21"/>
                <w:highlight w:val="none"/>
                <w:vertAlign w:val="superscript"/>
              </w:rPr>
              <w:t>①</w:t>
            </w:r>
            <w:r>
              <w:rPr>
                <w:rFonts w:hint="eastAsia" w:ascii="Times New Roman" w:hAnsi="Times New Roman" w:cs="Times New Roman"/>
                <w:b/>
                <w:bCs/>
                <w:color w:val="auto"/>
                <w:sz w:val="21"/>
                <w:szCs w:val="21"/>
                <w:highlight w:val="none"/>
                <w:lang w:val="en-US" w:eastAsia="zh-CN"/>
              </w:rPr>
              <w:t>（m）</w:t>
            </w:r>
          </w:p>
        </w:tc>
        <w:tc>
          <w:tcPr>
            <w:tcW w:w="515" w:type="pct"/>
            <w:vMerge w:val="restart"/>
            <w:tcBorders>
              <w:tl2br w:val="nil"/>
              <w:tr2bl w:val="nil"/>
            </w:tcBorders>
            <w:vAlign w:val="center"/>
          </w:tcPr>
          <w:p w14:paraId="015231C9">
            <w:pPr>
              <w:pStyle w:val="29"/>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稳定水位</w:t>
            </w:r>
            <w:r>
              <w:rPr>
                <w:rFonts w:hint="default" w:ascii="Times New Roman" w:hAnsi="Times New Roman" w:cs="Times New Roman"/>
                <w:b/>
                <w:bCs/>
                <w:color w:val="auto"/>
                <w:sz w:val="21"/>
                <w:szCs w:val="21"/>
                <w:highlight w:val="none"/>
                <w:vertAlign w:val="superscript"/>
              </w:rPr>
              <w:t>①</w:t>
            </w:r>
            <w:r>
              <w:rPr>
                <w:rFonts w:hint="eastAsia" w:ascii="Times New Roman" w:hAnsi="Times New Roman" w:cs="Times New Roman"/>
                <w:b/>
                <w:bCs/>
                <w:color w:val="auto"/>
                <w:sz w:val="21"/>
                <w:szCs w:val="21"/>
                <w:highlight w:val="none"/>
                <w:lang w:val="en-US" w:eastAsia="zh-CN"/>
              </w:rPr>
              <w:t>（m）</w:t>
            </w:r>
          </w:p>
        </w:tc>
        <w:tc>
          <w:tcPr>
            <w:tcW w:w="564" w:type="pct"/>
            <w:vMerge w:val="restart"/>
            <w:tcBorders>
              <w:tl2br w:val="nil"/>
              <w:tr2bl w:val="nil"/>
            </w:tcBorders>
            <w:vAlign w:val="center"/>
          </w:tcPr>
          <w:p w14:paraId="0EC2152E">
            <w:pPr>
              <w:pStyle w:val="29"/>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花管埋深（m）</w:t>
            </w:r>
          </w:p>
        </w:tc>
        <w:tc>
          <w:tcPr>
            <w:tcW w:w="564" w:type="pct"/>
            <w:vMerge w:val="restart"/>
            <w:tcBorders>
              <w:tl2br w:val="nil"/>
              <w:tr2bl w:val="nil"/>
            </w:tcBorders>
            <w:vAlign w:val="center"/>
          </w:tcPr>
          <w:p w14:paraId="57F7BFC9">
            <w:pPr>
              <w:pStyle w:val="29"/>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地下水类型</w:t>
            </w:r>
          </w:p>
        </w:tc>
      </w:tr>
      <w:tr w14:paraId="117F45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3" w:type="pct"/>
            <w:vMerge w:val="continue"/>
            <w:tcBorders>
              <w:bottom w:val="single" w:color="auto" w:sz="12" w:space="0"/>
              <w:tl2br w:val="nil"/>
              <w:tr2bl w:val="nil"/>
            </w:tcBorders>
            <w:vAlign w:val="center"/>
          </w:tcPr>
          <w:p w14:paraId="3D57EA16">
            <w:pPr>
              <w:widowControl/>
              <w:spacing w:line="240" w:lineRule="auto"/>
              <w:jc w:val="center"/>
              <w:rPr>
                <w:rFonts w:hint="default" w:ascii="Times New Roman" w:hAnsi="Times New Roman" w:cs="Times New Roman"/>
                <w:b/>
                <w:color w:val="auto"/>
                <w:kern w:val="0"/>
                <w:sz w:val="21"/>
                <w:szCs w:val="21"/>
                <w:highlight w:val="none"/>
              </w:rPr>
            </w:pPr>
          </w:p>
        </w:tc>
        <w:tc>
          <w:tcPr>
            <w:tcW w:w="845" w:type="pct"/>
            <w:vMerge w:val="continue"/>
            <w:tcBorders>
              <w:bottom w:val="single" w:color="auto" w:sz="12" w:space="0"/>
              <w:tl2br w:val="nil"/>
              <w:tr2bl w:val="nil"/>
            </w:tcBorders>
            <w:vAlign w:val="center"/>
          </w:tcPr>
          <w:p w14:paraId="723C7639">
            <w:pPr>
              <w:widowControl/>
              <w:spacing w:line="240" w:lineRule="auto"/>
              <w:jc w:val="center"/>
              <w:rPr>
                <w:rFonts w:hint="default" w:ascii="Times New Roman" w:hAnsi="Times New Roman" w:cs="Times New Roman"/>
                <w:b/>
                <w:color w:val="auto"/>
                <w:kern w:val="0"/>
                <w:sz w:val="21"/>
                <w:szCs w:val="21"/>
                <w:highlight w:val="none"/>
              </w:rPr>
            </w:pPr>
          </w:p>
        </w:tc>
        <w:tc>
          <w:tcPr>
            <w:tcW w:w="619" w:type="pct"/>
            <w:tcBorders>
              <w:bottom w:val="single" w:color="auto" w:sz="12" w:space="0"/>
              <w:tl2br w:val="nil"/>
              <w:tr2bl w:val="nil"/>
            </w:tcBorders>
            <w:vAlign w:val="center"/>
          </w:tcPr>
          <w:p w14:paraId="1EBBA24D">
            <w:pPr>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sz w:val="21"/>
                <w:szCs w:val="21"/>
                <w:highlight w:val="none"/>
              </w:rPr>
              <w:t>经度（°）</w:t>
            </w:r>
          </w:p>
        </w:tc>
        <w:tc>
          <w:tcPr>
            <w:tcW w:w="566" w:type="pct"/>
            <w:tcBorders>
              <w:bottom w:val="single" w:color="auto" w:sz="12" w:space="0"/>
              <w:tl2br w:val="nil"/>
              <w:tr2bl w:val="nil"/>
            </w:tcBorders>
            <w:vAlign w:val="center"/>
          </w:tcPr>
          <w:p w14:paraId="0398EEF7">
            <w:pPr>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sz w:val="21"/>
                <w:szCs w:val="21"/>
                <w:highlight w:val="none"/>
              </w:rPr>
              <w:t>纬度（°）</w:t>
            </w:r>
          </w:p>
        </w:tc>
        <w:tc>
          <w:tcPr>
            <w:tcW w:w="333" w:type="pct"/>
            <w:vMerge w:val="continue"/>
            <w:tcBorders>
              <w:bottom w:val="single" w:color="auto" w:sz="12" w:space="0"/>
              <w:tl2br w:val="nil"/>
              <w:tr2bl w:val="nil"/>
            </w:tcBorders>
            <w:vAlign w:val="center"/>
          </w:tcPr>
          <w:p w14:paraId="0636FF0C">
            <w:pPr>
              <w:spacing w:line="240" w:lineRule="auto"/>
              <w:jc w:val="center"/>
              <w:rPr>
                <w:rFonts w:hint="default" w:ascii="Times New Roman" w:hAnsi="Times New Roman" w:cs="Times New Roman"/>
                <w:b/>
                <w:color w:val="auto"/>
                <w:kern w:val="0"/>
                <w:sz w:val="21"/>
                <w:szCs w:val="21"/>
                <w:highlight w:val="none"/>
              </w:rPr>
            </w:pPr>
          </w:p>
        </w:tc>
        <w:tc>
          <w:tcPr>
            <w:tcW w:w="515" w:type="pct"/>
            <w:vMerge w:val="continue"/>
            <w:tcBorders>
              <w:bottom w:val="single" w:color="auto" w:sz="12" w:space="0"/>
              <w:tl2br w:val="nil"/>
              <w:tr2bl w:val="nil"/>
            </w:tcBorders>
            <w:vAlign w:val="center"/>
          </w:tcPr>
          <w:p w14:paraId="6D4EB659">
            <w:pPr>
              <w:widowControl/>
              <w:spacing w:line="240" w:lineRule="auto"/>
              <w:jc w:val="center"/>
              <w:rPr>
                <w:rFonts w:hint="default" w:ascii="Times New Roman" w:hAnsi="Times New Roman" w:cs="Times New Roman"/>
                <w:b/>
                <w:color w:val="auto"/>
                <w:kern w:val="0"/>
                <w:sz w:val="21"/>
                <w:szCs w:val="21"/>
                <w:highlight w:val="none"/>
              </w:rPr>
            </w:pPr>
          </w:p>
        </w:tc>
        <w:tc>
          <w:tcPr>
            <w:tcW w:w="515" w:type="pct"/>
            <w:vMerge w:val="continue"/>
            <w:tcBorders>
              <w:bottom w:val="single" w:color="auto" w:sz="12" w:space="0"/>
              <w:tl2br w:val="nil"/>
              <w:tr2bl w:val="nil"/>
            </w:tcBorders>
            <w:vAlign w:val="center"/>
          </w:tcPr>
          <w:p w14:paraId="2A866BE4">
            <w:pPr>
              <w:widowControl/>
              <w:spacing w:line="240" w:lineRule="auto"/>
              <w:jc w:val="center"/>
              <w:rPr>
                <w:rFonts w:hint="default" w:ascii="Times New Roman" w:hAnsi="Times New Roman" w:cs="Times New Roman"/>
                <w:b/>
                <w:color w:val="auto"/>
                <w:kern w:val="0"/>
                <w:sz w:val="21"/>
                <w:szCs w:val="21"/>
                <w:highlight w:val="none"/>
              </w:rPr>
            </w:pPr>
          </w:p>
        </w:tc>
        <w:tc>
          <w:tcPr>
            <w:tcW w:w="564" w:type="pct"/>
            <w:vMerge w:val="continue"/>
            <w:tcBorders>
              <w:bottom w:val="single" w:color="auto" w:sz="12" w:space="0"/>
              <w:tl2br w:val="nil"/>
              <w:tr2bl w:val="nil"/>
            </w:tcBorders>
            <w:vAlign w:val="center"/>
          </w:tcPr>
          <w:p w14:paraId="1C461EB9">
            <w:pPr>
              <w:widowControl/>
              <w:spacing w:line="240" w:lineRule="auto"/>
              <w:jc w:val="center"/>
              <w:rPr>
                <w:rFonts w:hint="default" w:ascii="Times New Roman" w:hAnsi="Times New Roman" w:cs="Times New Roman"/>
                <w:b/>
                <w:color w:val="auto"/>
                <w:kern w:val="0"/>
                <w:sz w:val="21"/>
                <w:szCs w:val="21"/>
                <w:highlight w:val="none"/>
              </w:rPr>
            </w:pPr>
          </w:p>
        </w:tc>
        <w:tc>
          <w:tcPr>
            <w:tcW w:w="564" w:type="pct"/>
            <w:vMerge w:val="continue"/>
            <w:tcBorders>
              <w:bottom w:val="single" w:color="auto" w:sz="12" w:space="0"/>
              <w:tl2br w:val="nil"/>
              <w:tr2bl w:val="nil"/>
            </w:tcBorders>
            <w:vAlign w:val="center"/>
          </w:tcPr>
          <w:p w14:paraId="1D6BAB9D">
            <w:pPr>
              <w:widowControl/>
              <w:spacing w:line="240" w:lineRule="auto"/>
              <w:jc w:val="center"/>
              <w:rPr>
                <w:rFonts w:hint="default" w:ascii="Times New Roman" w:hAnsi="Times New Roman" w:cs="Times New Roman"/>
                <w:b/>
                <w:color w:val="auto"/>
                <w:kern w:val="0"/>
                <w:sz w:val="21"/>
                <w:szCs w:val="21"/>
                <w:highlight w:val="none"/>
              </w:rPr>
            </w:pPr>
          </w:p>
        </w:tc>
      </w:tr>
      <w:tr w14:paraId="5D7D3F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3" w:type="pct"/>
            <w:tcBorders>
              <w:top w:val="single" w:color="auto" w:sz="12" w:space="0"/>
            </w:tcBorders>
            <w:vAlign w:val="center"/>
          </w:tcPr>
          <w:p w14:paraId="21D7187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XM-W1</w:t>
            </w:r>
          </w:p>
        </w:tc>
        <w:tc>
          <w:tcPr>
            <w:tcW w:w="845" w:type="pct"/>
            <w:tcBorders>
              <w:top w:val="single" w:color="auto" w:sz="12" w:space="0"/>
            </w:tcBorders>
            <w:vAlign w:val="center"/>
          </w:tcPr>
          <w:p w14:paraId="29B365D5">
            <w:pPr>
              <w:widowControl/>
              <w:spacing w:line="240" w:lineRule="auto"/>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XM</w:t>
            </w:r>
            <w:r>
              <w:rPr>
                <w:rFonts w:hint="default" w:ascii="Times New Roman" w:hAnsi="Times New Roman" w:cs="Times New Roman"/>
                <w:color w:val="auto"/>
                <w:kern w:val="0"/>
                <w:sz w:val="21"/>
                <w:szCs w:val="21"/>
                <w:highlight w:val="none"/>
                <w:lang w:bidi="ar"/>
              </w:rPr>
              <w:t xml:space="preserve"> -1-75</w:t>
            </w:r>
          </w:p>
        </w:tc>
        <w:tc>
          <w:tcPr>
            <w:tcW w:w="619" w:type="pct"/>
            <w:tcBorders>
              <w:top w:val="single" w:color="auto" w:sz="12" w:space="0"/>
            </w:tcBorders>
            <w:vAlign w:val="center"/>
          </w:tcPr>
          <w:p w14:paraId="5900C383">
            <w:pPr>
              <w:widowControl/>
              <w:spacing w:line="240" w:lineRule="auto"/>
              <w:jc w:val="center"/>
              <w:textAlignment w:val="center"/>
              <w:rPr>
                <w:rFonts w:hint="default" w:ascii="Times New Roman" w:hAnsi="Times New Roman" w:cs="Times New Roman"/>
                <w:bCs/>
                <w:color w:val="auto"/>
                <w:kern w:val="0"/>
                <w:sz w:val="21"/>
                <w:szCs w:val="21"/>
                <w:highlight w:val="none"/>
              </w:rPr>
            </w:pPr>
            <w:r>
              <w:rPr>
                <w:rFonts w:hint="default" w:ascii="Times New Roman" w:hAnsi="Times New Roman" w:cs="Times New Roman"/>
                <w:color w:val="auto"/>
                <w:sz w:val="21"/>
                <w:szCs w:val="21"/>
                <w:highlight w:val="none"/>
              </w:rPr>
              <w:t xml:space="preserve">114.929019 </w:t>
            </w:r>
          </w:p>
        </w:tc>
        <w:tc>
          <w:tcPr>
            <w:tcW w:w="566" w:type="pct"/>
            <w:tcBorders>
              <w:top w:val="single" w:color="auto" w:sz="12" w:space="0"/>
            </w:tcBorders>
            <w:vAlign w:val="center"/>
          </w:tcPr>
          <w:p w14:paraId="389BA53F">
            <w:pPr>
              <w:widowControl/>
              <w:spacing w:line="240" w:lineRule="auto"/>
              <w:jc w:val="center"/>
              <w:textAlignment w:val="center"/>
              <w:rPr>
                <w:rFonts w:hint="default" w:ascii="Times New Roman" w:hAnsi="Times New Roman" w:cs="Times New Roman"/>
                <w:bCs/>
                <w:color w:val="auto"/>
                <w:kern w:val="0"/>
                <w:sz w:val="21"/>
                <w:szCs w:val="21"/>
                <w:highlight w:val="none"/>
              </w:rPr>
            </w:pPr>
            <w:r>
              <w:rPr>
                <w:rFonts w:hint="default" w:ascii="Times New Roman" w:hAnsi="Times New Roman" w:cs="Times New Roman"/>
                <w:color w:val="auto"/>
                <w:sz w:val="21"/>
                <w:szCs w:val="21"/>
                <w:highlight w:val="none"/>
              </w:rPr>
              <w:t xml:space="preserve">30.397679 </w:t>
            </w:r>
          </w:p>
        </w:tc>
        <w:tc>
          <w:tcPr>
            <w:tcW w:w="333" w:type="pct"/>
            <w:tcBorders>
              <w:top w:val="single" w:color="auto" w:sz="12" w:space="0"/>
            </w:tcBorders>
            <w:vAlign w:val="center"/>
          </w:tcPr>
          <w:p w14:paraId="410BE863">
            <w:pPr>
              <w:spacing w:line="240" w:lineRule="auto"/>
              <w:jc w:val="center"/>
              <w:rPr>
                <w:rFonts w:hint="default" w:ascii="Times New Roman" w:hAnsi="Times New Roman" w:cs="Times New Roman"/>
                <w:bCs/>
                <w:color w:val="auto"/>
                <w:kern w:val="0"/>
                <w:sz w:val="21"/>
                <w:szCs w:val="21"/>
                <w:highlight w:val="none"/>
              </w:rPr>
            </w:pPr>
            <w:r>
              <w:rPr>
                <w:rFonts w:hint="default" w:ascii="Times New Roman" w:hAnsi="Times New Roman" w:cs="Times New Roman"/>
                <w:bCs/>
                <w:color w:val="auto"/>
                <w:kern w:val="0"/>
                <w:sz w:val="21"/>
                <w:szCs w:val="21"/>
                <w:highlight w:val="none"/>
              </w:rPr>
              <w:t>6.0</w:t>
            </w:r>
          </w:p>
        </w:tc>
        <w:tc>
          <w:tcPr>
            <w:tcW w:w="515" w:type="pct"/>
            <w:tcBorders>
              <w:top w:val="single" w:color="auto" w:sz="12" w:space="0"/>
            </w:tcBorders>
            <w:vAlign w:val="center"/>
          </w:tcPr>
          <w:p w14:paraId="0B89EB1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val="en-US" w:eastAsia="zh-CN"/>
              </w:rPr>
              <w:t>4</w:t>
            </w:r>
            <w:r>
              <w:rPr>
                <w:rFonts w:hint="default" w:ascii="Times New Roman" w:hAnsi="Times New Roman" w:cs="Times New Roman"/>
                <w:color w:val="auto"/>
                <w:kern w:val="0"/>
                <w:sz w:val="21"/>
                <w:szCs w:val="21"/>
                <w:highlight w:val="none"/>
              </w:rPr>
              <w:t>.0</w:t>
            </w:r>
          </w:p>
        </w:tc>
        <w:tc>
          <w:tcPr>
            <w:tcW w:w="515" w:type="pct"/>
            <w:tcBorders>
              <w:top w:val="single" w:color="auto" w:sz="12" w:space="0"/>
            </w:tcBorders>
            <w:vAlign w:val="center"/>
          </w:tcPr>
          <w:p w14:paraId="39651667">
            <w:pPr>
              <w:widowControl/>
              <w:spacing w:line="240" w:lineRule="auto"/>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bCs/>
                <w:color w:val="auto"/>
                <w:kern w:val="0"/>
                <w:sz w:val="21"/>
                <w:szCs w:val="21"/>
                <w:highlight w:val="none"/>
                <w:lang w:val="en-US" w:eastAsia="zh-CN"/>
              </w:rPr>
              <w:t>0.7</w:t>
            </w:r>
          </w:p>
        </w:tc>
        <w:tc>
          <w:tcPr>
            <w:tcW w:w="564" w:type="pct"/>
            <w:tcBorders>
              <w:top w:val="single" w:color="auto" w:sz="12" w:space="0"/>
            </w:tcBorders>
            <w:vAlign w:val="center"/>
          </w:tcPr>
          <w:p w14:paraId="4F8766F0">
            <w:pPr>
              <w:widowControl/>
              <w:spacing w:line="240" w:lineRule="auto"/>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3.0~5.5</w:t>
            </w:r>
          </w:p>
        </w:tc>
        <w:tc>
          <w:tcPr>
            <w:tcW w:w="564" w:type="pct"/>
            <w:tcBorders>
              <w:top w:val="single" w:color="auto" w:sz="12" w:space="0"/>
            </w:tcBorders>
            <w:vAlign w:val="center"/>
          </w:tcPr>
          <w:p w14:paraId="7DE86B4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潜水</w:t>
            </w:r>
          </w:p>
        </w:tc>
      </w:tr>
      <w:tr w14:paraId="2E0C51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3" w:type="pct"/>
            <w:vAlign w:val="center"/>
          </w:tcPr>
          <w:p w14:paraId="159BA7A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XM -W2</w:t>
            </w:r>
          </w:p>
        </w:tc>
        <w:tc>
          <w:tcPr>
            <w:tcW w:w="845" w:type="pct"/>
            <w:vAlign w:val="center"/>
          </w:tcPr>
          <w:p w14:paraId="7B9E7FC2">
            <w:pPr>
              <w:widowControl/>
              <w:spacing w:line="240" w:lineRule="auto"/>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现状村民水井</w:t>
            </w:r>
          </w:p>
        </w:tc>
        <w:tc>
          <w:tcPr>
            <w:tcW w:w="619" w:type="pct"/>
            <w:vAlign w:val="center"/>
          </w:tcPr>
          <w:p w14:paraId="06653D6A">
            <w:pPr>
              <w:widowControl/>
              <w:spacing w:line="240" w:lineRule="auto"/>
              <w:jc w:val="center"/>
              <w:textAlignment w:val="center"/>
              <w:rPr>
                <w:rFonts w:hint="default" w:ascii="Times New Roman" w:hAnsi="Times New Roman" w:cs="Times New Roman"/>
                <w:bCs/>
                <w:color w:val="auto"/>
                <w:kern w:val="0"/>
                <w:sz w:val="21"/>
                <w:szCs w:val="21"/>
                <w:highlight w:val="none"/>
              </w:rPr>
            </w:pPr>
            <w:r>
              <w:rPr>
                <w:rFonts w:hint="default" w:ascii="Times New Roman" w:hAnsi="Times New Roman" w:cs="Times New Roman"/>
                <w:color w:val="auto"/>
                <w:kern w:val="0"/>
                <w:sz w:val="21"/>
                <w:szCs w:val="21"/>
                <w:highlight w:val="none"/>
                <w:lang w:bidi="ar"/>
              </w:rPr>
              <w:t>114.966181</w:t>
            </w:r>
          </w:p>
        </w:tc>
        <w:tc>
          <w:tcPr>
            <w:tcW w:w="566" w:type="pct"/>
            <w:vAlign w:val="center"/>
          </w:tcPr>
          <w:p w14:paraId="254896D1">
            <w:pPr>
              <w:widowControl/>
              <w:spacing w:line="240" w:lineRule="auto"/>
              <w:jc w:val="center"/>
              <w:textAlignment w:val="center"/>
              <w:rPr>
                <w:rFonts w:hint="default" w:ascii="Times New Roman" w:hAnsi="Times New Roman" w:cs="Times New Roman"/>
                <w:bCs/>
                <w:color w:val="auto"/>
                <w:kern w:val="0"/>
                <w:sz w:val="21"/>
                <w:szCs w:val="21"/>
                <w:highlight w:val="none"/>
              </w:rPr>
            </w:pPr>
            <w:r>
              <w:rPr>
                <w:rFonts w:hint="default" w:ascii="Times New Roman" w:hAnsi="Times New Roman" w:cs="Times New Roman"/>
                <w:color w:val="auto"/>
                <w:kern w:val="0"/>
                <w:sz w:val="21"/>
                <w:szCs w:val="21"/>
                <w:highlight w:val="none"/>
                <w:lang w:bidi="ar"/>
              </w:rPr>
              <w:t>30.383730</w:t>
            </w:r>
          </w:p>
        </w:tc>
        <w:tc>
          <w:tcPr>
            <w:tcW w:w="333" w:type="pct"/>
            <w:vAlign w:val="center"/>
          </w:tcPr>
          <w:p w14:paraId="4D48E107">
            <w:pPr>
              <w:spacing w:line="240" w:lineRule="auto"/>
              <w:jc w:val="center"/>
              <w:rPr>
                <w:rFonts w:hint="default" w:ascii="Times New Roman" w:hAnsi="Times New Roman" w:cs="Times New Roman"/>
                <w:bCs/>
                <w:color w:val="auto"/>
                <w:kern w:val="0"/>
                <w:sz w:val="21"/>
                <w:szCs w:val="21"/>
                <w:highlight w:val="none"/>
              </w:rPr>
            </w:pPr>
            <w:r>
              <w:rPr>
                <w:rFonts w:hint="default" w:ascii="Times New Roman" w:hAnsi="Times New Roman" w:cs="Times New Roman"/>
                <w:bCs/>
                <w:color w:val="auto"/>
                <w:kern w:val="0"/>
                <w:sz w:val="21"/>
                <w:szCs w:val="21"/>
                <w:highlight w:val="none"/>
              </w:rPr>
              <w:t>/</w:t>
            </w:r>
          </w:p>
        </w:tc>
        <w:tc>
          <w:tcPr>
            <w:tcW w:w="515" w:type="pct"/>
            <w:vAlign w:val="center"/>
          </w:tcPr>
          <w:p w14:paraId="2BDC995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w:t>
            </w:r>
          </w:p>
        </w:tc>
        <w:tc>
          <w:tcPr>
            <w:tcW w:w="515" w:type="pct"/>
            <w:vAlign w:val="center"/>
          </w:tcPr>
          <w:p w14:paraId="0EA8021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w:t>
            </w:r>
          </w:p>
        </w:tc>
        <w:tc>
          <w:tcPr>
            <w:tcW w:w="564" w:type="pct"/>
            <w:vAlign w:val="center"/>
          </w:tcPr>
          <w:p w14:paraId="240209F8">
            <w:pPr>
              <w:widowControl/>
              <w:spacing w:line="240" w:lineRule="auto"/>
              <w:jc w:val="center"/>
              <w:rPr>
                <w:rFonts w:hint="eastAsia"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c>
          <w:tcPr>
            <w:tcW w:w="564" w:type="pct"/>
            <w:vAlign w:val="center"/>
          </w:tcPr>
          <w:p w14:paraId="596050C8">
            <w:pPr>
              <w:widowControl/>
              <w:spacing w:line="240" w:lineRule="auto"/>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rPr>
              <w:t>/</w:t>
            </w:r>
          </w:p>
        </w:tc>
      </w:tr>
    </w:tbl>
    <w:p w14:paraId="268F9B11">
      <w:pPr>
        <w:widowControl/>
        <w:spacing w:line="240" w:lineRule="auto"/>
        <w:rPr>
          <w:rFonts w:hint="default" w:ascii="Times New Roman" w:hAnsi="Times New Roman" w:cs="Times New Roman"/>
          <w:b/>
          <w:color w:val="auto"/>
          <w:kern w:val="0"/>
          <w:sz w:val="18"/>
          <w:szCs w:val="18"/>
          <w:highlight w:val="none"/>
        </w:rPr>
      </w:pPr>
      <w:r>
        <w:rPr>
          <w:rFonts w:hint="default" w:ascii="Times New Roman" w:hAnsi="Times New Roman" w:cs="Times New Roman"/>
          <w:b/>
          <w:color w:val="auto"/>
          <w:kern w:val="0"/>
          <w:sz w:val="18"/>
          <w:szCs w:val="18"/>
          <w:highlight w:val="none"/>
        </w:rPr>
        <w:t>备注：①初见水位和稳定水位均为距离地面的距离。</w:t>
      </w:r>
    </w:p>
    <w:p w14:paraId="4EF9A0DA">
      <w:pPr>
        <w:pStyle w:val="4"/>
        <w:tabs>
          <w:tab w:val="left" w:leader="dot" w:pos="0"/>
          <w:tab w:val="clear" w:pos="425"/>
        </w:tabs>
        <w:rPr>
          <w:rFonts w:hint="default" w:ascii="Times New Roman" w:hAnsi="Times New Roman" w:cs="Times New Roman"/>
          <w:color w:val="auto"/>
          <w:highlight w:val="none"/>
        </w:rPr>
      </w:pPr>
      <w:bookmarkStart w:id="31" w:name="_Toc4930"/>
      <w:r>
        <w:rPr>
          <w:rFonts w:hint="default" w:ascii="Times New Roman" w:hAnsi="Times New Roman" w:cs="Times New Roman"/>
          <w:color w:val="auto"/>
          <w:highlight w:val="none"/>
        </w:rPr>
        <w:t>实验室分析</w:t>
      </w:r>
      <w:bookmarkEnd w:id="31"/>
    </w:p>
    <w:p w14:paraId="56424E27">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本次调查共送检14个土壤样品、1个平行盲样和</w:t>
      </w:r>
      <w:r>
        <w:rPr>
          <w:rFonts w:hint="default" w:ascii="Times New Roman" w:hAnsi="Times New Roman" w:cs="Times New Roman"/>
          <w:color w:val="auto"/>
          <w:kern w:val="0"/>
          <w:highlight w:val="none"/>
        </w:rPr>
        <w:t>1个运输空白样</w:t>
      </w:r>
      <w:r>
        <w:rPr>
          <w:rFonts w:hint="default" w:ascii="Times New Roman" w:hAnsi="Times New Roman" w:cs="Times New Roman"/>
          <w:color w:val="auto"/>
          <w:kern w:val="0"/>
          <w:highlight w:val="none"/>
          <w:lang w:eastAsia="zh-CN"/>
        </w:rPr>
        <w:t>，共</w:t>
      </w:r>
      <w:r>
        <w:rPr>
          <w:rFonts w:hint="default" w:ascii="Times New Roman" w:hAnsi="Times New Roman" w:cs="Times New Roman"/>
          <w:color w:val="auto"/>
          <w:kern w:val="0"/>
          <w:highlight w:val="none"/>
          <w:lang w:val="en-US" w:eastAsia="zh-CN"/>
        </w:rPr>
        <w:t>16个土壤样品</w:t>
      </w:r>
      <w:r>
        <w:rPr>
          <w:rFonts w:hint="default" w:ascii="Times New Roman" w:hAnsi="Times New Roman" w:cs="Times New Roman"/>
          <w:color w:val="auto"/>
          <w:highlight w:val="none"/>
        </w:rPr>
        <w:t>，土壤样品中所有铬（六价）测试工作委托第三方实验室武汉仲联诚鉴检测技术有限公司承担，</w:t>
      </w:r>
      <w:r>
        <w:rPr>
          <w:rFonts w:hint="default" w:ascii="Times New Roman" w:hAnsi="Times New Roman" w:cs="Times New Roman"/>
          <w:color w:val="auto"/>
          <w:highlight w:val="none"/>
          <w:lang w:val="en-US" w:eastAsia="zh-CN"/>
        </w:rPr>
        <w:t>二噁英测试工作委托</w:t>
      </w:r>
      <w:r>
        <w:rPr>
          <w:rFonts w:hint="default" w:ascii="Times New Roman" w:hAnsi="Times New Roman" w:cs="Times New Roman"/>
          <w:color w:val="auto"/>
          <w:highlight w:val="none"/>
        </w:rPr>
        <w:t>SGS通标标准技术服务有限公司</w:t>
      </w:r>
      <w:r>
        <w:rPr>
          <w:rFonts w:hint="default" w:ascii="Times New Roman" w:hAnsi="Times New Roman" w:cs="Times New Roman"/>
          <w:color w:val="auto"/>
          <w:highlight w:val="none"/>
          <w:lang w:val="en-US" w:eastAsia="zh-CN"/>
        </w:rPr>
        <w:t>承担，</w:t>
      </w:r>
      <w:r>
        <w:rPr>
          <w:rFonts w:hint="default" w:ascii="Times New Roman" w:hAnsi="Times New Roman" w:cs="Times New Roman"/>
          <w:color w:val="auto"/>
          <w:highlight w:val="none"/>
        </w:rPr>
        <w:t>其余测试项目均委托苏伊士环境检测技术（上海）有限公司</w:t>
      </w:r>
      <w:r>
        <w:rPr>
          <w:rFonts w:hint="default" w:ascii="Times New Roman" w:hAnsi="Times New Roman" w:cs="Times New Roman"/>
          <w:color w:val="auto"/>
          <w:highlight w:val="none"/>
          <w:lang w:val="en-US" w:eastAsia="zh-CN"/>
        </w:rPr>
        <w:t>北京</w:t>
      </w:r>
      <w:r>
        <w:rPr>
          <w:rFonts w:hint="default" w:ascii="Times New Roman" w:hAnsi="Times New Roman" w:cs="Times New Roman"/>
          <w:color w:val="auto"/>
          <w:highlight w:val="none"/>
        </w:rPr>
        <w:t>分公司承担；</w:t>
      </w:r>
      <w:r>
        <w:rPr>
          <w:rFonts w:hint="default" w:ascii="Times New Roman" w:hAnsi="Times New Roman" w:cs="Times New Roman"/>
          <w:color w:val="auto"/>
          <w:highlight w:val="none"/>
          <w:lang w:val="en-US" w:eastAsia="zh-CN"/>
        </w:rPr>
        <w:t>2个</w:t>
      </w:r>
      <w:r>
        <w:rPr>
          <w:rFonts w:hint="default" w:ascii="Times New Roman" w:hAnsi="Times New Roman" w:cs="Times New Roman"/>
          <w:color w:val="auto"/>
          <w:highlight w:val="none"/>
        </w:rPr>
        <w:t>地下水样品均委托武汉仲联诚鉴检测技术有限公司承担。</w:t>
      </w:r>
    </w:p>
    <w:p w14:paraId="19DF8DA4">
      <w:pPr>
        <w:pStyle w:val="5"/>
        <w:tabs>
          <w:tab w:val="left" w:pos="425"/>
        </w:tabs>
        <w:spacing w:before="120"/>
        <w:rPr>
          <w:rFonts w:hint="default" w:ascii="Times New Roman" w:hAnsi="Times New Roman" w:cs="Times New Roman"/>
          <w:bCs w:val="0"/>
          <w:color w:val="auto"/>
          <w:highlight w:val="none"/>
        </w:rPr>
      </w:pPr>
      <w:r>
        <w:rPr>
          <w:rFonts w:hint="default" w:ascii="Times New Roman" w:hAnsi="Times New Roman" w:cs="Times New Roman"/>
          <w:bCs w:val="0"/>
          <w:color w:val="auto"/>
          <w:highlight w:val="none"/>
        </w:rPr>
        <w:t>检测单位介绍</w:t>
      </w:r>
    </w:p>
    <w:p w14:paraId="456A85C5">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委托开展样品测试的第三方检测单位（苏伊士环境检测技术（上海）有限公司北京分公司、武汉仲联诚鉴检测技术有限公司</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SGS通标标准技术服务有限公司均具有CMA计量认证，可提供现场采样以及现场监测服务。</w:t>
      </w:r>
    </w:p>
    <w:p w14:paraId="1D59DCC0">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检测单位资质证书见附件2。</w:t>
      </w:r>
    </w:p>
    <w:p w14:paraId="6A6FCDDA">
      <w:pPr>
        <w:pStyle w:val="5"/>
        <w:tabs>
          <w:tab w:val="left" w:pos="425"/>
        </w:tabs>
        <w:spacing w:before="120"/>
        <w:rPr>
          <w:rFonts w:hint="default" w:ascii="Times New Roman" w:hAnsi="Times New Roman" w:cs="Times New Roman"/>
          <w:color w:val="auto"/>
          <w:highlight w:val="none"/>
        </w:rPr>
      </w:pPr>
      <w:r>
        <w:rPr>
          <w:rFonts w:hint="default" w:ascii="Times New Roman" w:hAnsi="Times New Roman" w:cs="Times New Roman"/>
          <w:color w:val="auto"/>
          <w:highlight w:val="none"/>
        </w:rPr>
        <w:t>监测分析方法</w:t>
      </w:r>
    </w:p>
    <w:p w14:paraId="66FD3F74">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土壤样品各检测指标检测方法和检出限详见表4-4-1。</w:t>
      </w:r>
    </w:p>
    <w:p w14:paraId="5C6CBB55">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地下水样品各检测指标检测方法和检出限详见表4-4-2。</w:t>
      </w:r>
    </w:p>
    <w:p w14:paraId="74351023">
      <w:pPr>
        <w:spacing w:before="165" w:beforeLines="50" w:line="240" w:lineRule="auto"/>
        <w:jc w:val="center"/>
        <w:rPr>
          <w:rFonts w:hint="default" w:ascii="Times New Roman" w:hAnsi="Times New Roman" w:eastAsia="黑体" w:cs="Times New Roman"/>
          <w:b/>
          <w:bCs/>
          <w:color w:val="auto"/>
          <w:highlight w:val="none"/>
        </w:rPr>
      </w:pPr>
      <w:r>
        <w:rPr>
          <w:rFonts w:hint="default" w:ascii="Times New Roman" w:hAnsi="Times New Roman" w:eastAsia="黑体" w:cs="Times New Roman"/>
          <w:b/>
          <w:bCs/>
          <w:color w:val="auto"/>
          <w:highlight w:val="none"/>
        </w:rPr>
        <w:t>表4-4-1  土壤监测分析方法及检出限汇总</w:t>
      </w:r>
    </w:p>
    <w:tbl>
      <w:tblPr>
        <w:tblStyle w:val="21"/>
        <w:tblW w:w="9798" w:type="dxa"/>
        <w:jc w:val="center"/>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2"/>
        <w:gridCol w:w="896"/>
        <w:gridCol w:w="1807"/>
        <w:gridCol w:w="3568"/>
        <w:gridCol w:w="1476"/>
        <w:gridCol w:w="1429"/>
      </w:tblGrid>
      <w:tr w14:paraId="317061AF">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blHeader/>
          <w:jc w:val="center"/>
        </w:trPr>
        <w:tc>
          <w:tcPr>
            <w:tcW w:w="622" w:type="dxa"/>
            <w:tcBorders>
              <w:top w:val="single" w:color="auto" w:sz="12" w:space="0"/>
              <w:left w:val="nil"/>
              <w:bottom w:val="single" w:color="auto" w:sz="12" w:space="0"/>
              <w:right w:val="single" w:color="auto" w:sz="4" w:space="0"/>
            </w:tcBorders>
            <w:vAlign w:val="center"/>
          </w:tcPr>
          <w:p w14:paraId="1ED0137A">
            <w:pPr>
              <w:overflowPunct w:val="0"/>
              <w:autoSpaceDE w:val="0"/>
              <w:autoSpaceDN w:val="0"/>
              <w:adjustRightInd w:val="0"/>
              <w:spacing w:line="240" w:lineRule="auto"/>
              <w:jc w:val="center"/>
              <w:textAlignment w:val="baseline"/>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类型</w:t>
            </w:r>
          </w:p>
        </w:tc>
        <w:tc>
          <w:tcPr>
            <w:tcW w:w="2703" w:type="dxa"/>
            <w:gridSpan w:val="2"/>
            <w:tcBorders>
              <w:top w:val="single" w:color="auto" w:sz="12" w:space="0"/>
              <w:left w:val="single" w:color="auto" w:sz="4" w:space="0"/>
              <w:bottom w:val="single" w:color="auto" w:sz="12" w:space="0"/>
              <w:right w:val="single" w:color="auto" w:sz="4" w:space="0"/>
            </w:tcBorders>
            <w:vAlign w:val="center"/>
          </w:tcPr>
          <w:p w14:paraId="7485A504">
            <w:pPr>
              <w:overflowPunct w:val="0"/>
              <w:autoSpaceDE w:val="0"/>
              <w:autoSpaceDN w:val="0"/>
              <w:adjustRightInd w:val="0"/>
              <w:spacing w:line="240" w:lineRule="auto"/>
              <w:jc w:val="center"/>
              <w:textAlignment w:val="baseline"/>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监测污染指标</w:t>
            </w:r>
          </w:p>
        </w:tc>
        <w:tc>
          <w:tcPr>
            <w:tcW w:w="3568" w:type="dxa"/>
            <w:tcBorders>
              <w:top w:val="single" w:color="auto" w:sz="12" w:space="0"/>
              <w:left w:val="single" w:color="auto" w:sz="4" w:space="0"/>
              <w:bottom w:val="single" w:color="auto" w:sz="12" w:space="0"/>
              <w:right w:val="single" w:color="auto" w:sz="4" w:space="0"/>
            </w:tcBorders>
            <w:vAlign w:val="center"/>
          </w:tcPr>
          <w:p w14:paraId="1DC013DE">
            <w:pPr>
              <w:overflowPunct w:val="0"/>
              <w:autoSpaceDE w:val="0"/>
              <w:autoSpaceDN w:val="0"/>
              <w:adjustRightInd w:val="0"/>
              <w:spacing w:line="240" w:lineRule="auto"/>
              <w:jc w:val="center"/>
              <w:textAlignment w:val="baseline"/>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分析方法及依据</w:t>
            </w:r>
          </w:p>
        </w:tc>
        <w:tc>
          <w:tcPr>
            <w:tcW w:w="1476" w:type="dxa"/>
            <w:tcBorders>
              <w:top w:val="single" w:color="auto" w:sz="12" w:space="0"/>
              <w:left w:val="single" w:color="auto" w:sz="4" w:space="0"/>
              <w:bottom w:val="single" w:color="auto" w:sz="12" w:space="0"/>
              <w:right w:val="single" w:color="auto" w:sz="4" w:space="0"/>
            </w:tcBorders>
            <w:vAlign w:val="center"/>
          </w:tcPr>
          <w:p w14:paraId="2173CA95">
            <w:pPr>
              <w:overflowPunct w:val="0"/>
              <w:autoSpaceDE w:val="0"/>
              <w:autoSpaceDN w:val="0"/>
              <w:adjustRightInd w:val="0"/>
              <w:spacing w:line="240" w:lineRule="auto"/>
              <w:jc w:val="center"/>
              <w:textAlignment w:val="baseline"/>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标准编号</w:t>
            </w:r>
          </w:p>
        </w:tc>
        <w:tc>
          <w:tcPr>
            <w:tcW w:w="1429" w:type="dxa"/>
            <w:tcBorders>
              <w:top w:val="single" w:color="auto" w:sz="12" w:space="0"/>
              <w:left w:val="single" w:color="auto" w:sz="4" w:space="0"/>
              <w:bottom w:val="single" w:color="auto" w:sz="12" w:space="0"/>
              <w:right w:val="nil"/>
            </w:tcBorders>
            <w:vAlign w:val="center"/>
          </w:tcPr>
          <w:p w14:paraId="18EC6D29">
            <w:pPr>
              <w:overflowPunct w:val="0"/>
              <w:autoSpaceDE w:val="0"/>
              <w:autoSpaceDN w:val="0"/>
              <w:adjustRightInd w:val="0"/>
              <w:spacing w:line="240" w:lineRule="auto"/>
              <w:jc w:val="center"/>
              <w:textAlignment w:val="baseline"/>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检出限</w:t>
            </w:r>
            <w:r>
              <w:rPr>
                <w:rFonts w:hint="default" w:ascii="Times New Roman" w:hAnsi="Times New Roman" w:cs="Times New Roman"/>
                <w:b/>
                <w:color w:val="auto"/>
                <w:kern w:val="0"/>
                <w:sz w:val="21"/>
                <w:szCs w:val="21"/>
                <w:highlight w:val="none"/>
              </w:rPr>
              <w:t>（mg/kg）</w:t>
            </w:r>
          </w:p>
        </w:tc>
      </w:tr>
      <w:tr w14:paraId="0CC7D2D6">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22" w:type="dxa"/>
            <w:vMerge w:val="restart"/>
            <w:tcBorders>
              <w:top w:val="single" w:color="auto" w:sz="12" w:space="0"/>
              <w:left w:val="nil"/>
              <w:right w:val="single" w:color="auto" w:sz="4" w:space="0"/>
            </w:tcBorders>
            <w:vAlign w:val="center"/>
          </w:tcPr>
          <w:p w14:paraId="0FD34ED3">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土壤</w:t>
            </w:r>
          </w:p>
        </w:tc>
        <w:tc>
          <w:tcPr>
            <w:tcW w:w="2703" w:type="dxa"/>
            <w:gridSpan w:val="2"/>
            <w:tcBorders>
              <w:top w:val="single" w:color="auto" w:sz="12" w:space="0"/>
              <w:left w:val="single" w:color="auto" w:sz="4" w:space="0"/>
              <w:bottom w:val="single" w:color="auto" w:sz="4" w:space="0"/>
              <w:right w:val="single" w:color="auto" w:sz="4" w:space="0"/>
            </w:tcBorders>
            <w:vAlign w:val="center"/>
          </w:tcPr>
          <w:p w14:paraId="5FD657B8">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pH值</w:t>
            </w:r>
          </w:p>
        </w:tc>
        <w:tc>
          <w:tcPr>
            <w:tcW w:w="3568" w:type="dxa"/>
            <w:tcBorders>
              <w:top w:val="single" w:color="auto" w:sz="12" w:space="0"/>
              <w:left w:val="single" w:color="auto" w:sz="4" w:space="0"/>
              <w:bottom w:val="single" w:color="auto" w:sz="4" w:space="0"/>
              <w:right w:val="single" w:color="auto" w:sz="4" w:space="0"/>
            </w:tcBorders>
            <w:vAlign w:val="center"/>
          </w:tcPr>
          <w:p w14:paraId="0337F1A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土壤 pH值的测定 电位法</w:t>
            </w:r>
          </w:p>
        </w:tc>
        <w:tc>
          <w:tcPr>
            <w:tcW w:w="1476" w:type="dxa"/>
            <w:tcBorders>
              <w:top w:val="single" w:color="auto" w:sz="12" w:space="0"/>
              <w:left w:val="single" w:color="auto" w:sz="4" w:space="0"/>
              <w:bottom w:val="single" w:color="auto" w:sz="4" w:space="0"/>
              <w:right w:val="single" w:color="auto" w:sz="4" w:space="0"/>
            </w:tcBorders>
            <w:vAlign w:val="center"/>
          </w:tcPr>
          <w:p w14:paraId="2FC4D11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HJ 962-2018</w:t>
            </w:r>
          </w:p>
        </w:tc>
        <w:tc>
          <w:tcPr>
            <w:tcW w:w="1429" w:type="dxa"/>
            <w:tcBorders>
              <w:top w:val="single" w:color="auto" w:sz="12" w:space="0"/>
              <w:left w:val="single" w:color="auto" w:sz="4" w:space="0"/>
              <w:bottom w:val="single" w:color="auto" w:sz="4" w:space="0"/>
              <w:right w:val="nil"/>
            </w:tcBorders>
            <w:vAlign w:val="center"/>
          </w:tcPr>
          <w:p w14:paraId="61388C3E">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0.01（无量纲）</w:t>
            </w:r>
          </w:p>
        </w:tc>
      </w:tr>
      <w:tr w14:paraId="2AE7B495">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22" w:type="dxa"/>
            <w:vMerge w:val="continue"/>
            <w:tcBorders>
              <w:left w:val="nil"/>
              <w:right w:val="single" w:color="auto" w:sz="4" w:space="0"/>
            </w:tcBorders>
            <w:vAlign w:val="center"/>
          </w:tcPr>
          <w:p w14:paraId="53AD22FC">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p>
        </w:tc>
        <w:tc>
          <w:tcPr>
            <w:tcW w:w="2703" w:type="dxa"/>
            <w:gridSpan w:val="2"/>
            <w:tcBorders>
              <w:top w:val="single" w:color="auto" w:sz="4" w:space="0"/>
              <w:left w:val="single" w:color="auto" w:sz="4" w:space="0"/>
              <w:bottom w:val="single" w:color="auto" w:sz="4" w:space="0"/>
              <w:right w:val="single" w:color="auto" w:sz="4" w:space="0"/>
            </w:tcBorders>
            <w:vAlign w:val="center"/>
          </w:tcPr>
          <w:p w14:paraId="7259C8E0">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总氟化物</w:t>
            </w:r>
          </w:p>
        </w:tc>
        <w:tc>
          <w:tcPr>
            <w:tcW w:w="3568" w:type="dxa"/>
            <w:tcBorders>
              <w:top w:val="single" w:color="auto" w:sz="4" w:space="0"/>
              <w:left w:val="single" w:color="auto" w:sz="4" w:space="0"/>
              <w:bottom w:val="single" w:color="auto" w:sz="4" w:space="0"/>
              <w:right w:val="single" w:color="auto" w:sz="4" w:space="0"/>
            </w:tcBorders>
            <w:vAlign w:val="center"/>
          </w:tcPr>
          <w:p w14:paraId="7A1CA4E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土壤 水溶性总氟化物和总氟化物的测定 离子选择电极法</w:t>
            </w:r>
          </w:p>
        </w:tc>
        <w:tc>
          <w:tcPr>
            <w:tcW w:w="1476" w:type="dxa"/>
            <w:tcBorders>
              <w:top w:val="single" w:color="auto" w:sz="4" w:space="0"/>
              <w:left w:val="single" w:color="auto" w:sz="4" w:space="0"/>
              <w:bottom w:val="single" w:color="auto" w:sz="4" w:space="0"/>
              <w:right w:val="single" w:color="auto" w:sz="4" w:space="0"/>
            </w:tcBorders>
            <w:vAlign w:val="center"/>
          </w:tcPr>
          <w:p w14:paraId="32D18DD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HJ 873-2017</w:t>
            </w:r>
          </w:p>
        </w:tc>
        <w:tc>
          <w:tcPr>
            <w:tcW w:w="1429" w:type="dxa"/>
            <w:tcBorders>
              <w:top w:val="single" w:color="auto" w:sz="4" w:space="0"/>
              <w:left w:val="single" w:color="auto" w:sz="4" w:space="0"/>
              <w:bottom w:val="single" w:color="auto" w:sz="4" w:space="0"/>
              <w:right w:val="nil"/>
            </w:tcBorders>
            <w:vAlign w:val="center"/>
          </w:tcPr>
          <w:p w14:paraId="5E125B92">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63</w:t>
            </w:r>
          </w:p>
        </w:tc>
      </w:tr>
      <w:tr w14:paraId="42213AC2">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622" w:type="dxa"/>
            <w:vMerge w:val="continue"/>
            <w:tcBorders>
              <w:left w:val="nil"/>
              <w:right w:val="single" w:color="auto" w:sz="4" w:space="0"/>
            </w:tcBorders>
            <w:vAlign w:val="center"/>
          </w:tcPr>
          <w:p w14:paraId="25E40292">
            <w:pPr>
              <w:widowControl/>
              <w:spacing w:line="240" w:lineRule="auto"/>
              <w:jc w:val="center"/>
              <w:rPr>
                <w:rFonts w:hint="default" w:ascii="Times New Roman" w:hAnsi="Times New Roman" w:cs="Times New Roman"/>
                <w:color w:val="auto"/>
                <w:sz w:val="21"/>
                <w:szCs w:val="21"/>
                <w:highlight w:val="none"/>
              </w:rPr>
            </w:pPr>
          </w:p>
        </w:tc>
        <w:tc>
          <w:tcPr>
            <w:tcW w:w="2703" w:type="dxa"/>
            <w:gridSpan w:val="2"/>
            <w:tcBorders>
              <w:top w:val="single" w:color="auto" w:sz="4" w:space="0"/>
              <w:left w:val="single" w:color="auto" w:sz="4" w:space="0"/>
              <w:bottom w:val="single" w:color="auto" w:sz="4" w:space="0"/>
              <w:right w:val="single" w:color="auto" w:sz="4" w:space="0"/>
            </w:tcBorders>
            <w:vAlign w:val="center"/>
          </w:tcPr>
          <w:p w14:paraId="69851096">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铬（六价）</w:t>
            </w:r>
          </w:p>
        </w:tc>
        <w:tc>
          <w:tcPr>
            <w:tcW w:w="3568" w:type="dxa"/>
            <w:tcBorders>
              <w:top w:val="single" w:color="auto" w:sz="4" w:space="0"/>
              <w:left w:val="single" w:color="auto" w:sz="4" w:space="0"/>
              <w:bottom w:val="single" w:color="auto" w:sz="4" w:space="0"/>
              <w:right w:val="single" w:color="auto" w:sz="4" w:space="0"/>
            </w:tcBorders>
            <w:vAlign w:val="center"/>
          </w:tcPr>
          <w:p w14:paraId="25A4F195">
            <w:pPr>
              <w:widowControl/>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土壤和沉积物 铬（六价）的测定 碱溶液提取-火焰原子吸收分光光度法</w:t>
            </w:r>
          </w:p>
        </w:tc>
        <w:tc>
          <w:tcPr>
            <w:tcW w:w="1476" w:type="dxa"/>
            <w:tcBorders>
              <w:top w:val="single" w:color="auto" w:sz="4" w:space="0"/>
              <w:left w:val="single" w:color="auto" w:sz="4" w:space="0"/>
              <w:bottom w:val="single" w:color="auto" w:sz="4" w:space="0"/>
              <w:right w:val="single" w:color="auto" w:sz="4" w:space="0"/>
            </w:tcBorders>
            <w:vAlign w:val="center"/>
          </w:tcPr>
          <w:p w14:paraId="5C225210">
            <w:pPr>
              <w:widowControl/>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 xml:space="preserve">HJ 1082-2019 </w:t>
            </w:r>
          </w:p>
        </w:tc>
        <w:tc>
          <w:tcPr>
            <w:tcW w:w="1429" w:type="dxa"/>
            <w:tcBorders>
              <w:top w:val="single" w:color="auto" w:sz="4" w:space="0"/>
              <w:left w:val="single" w:color="auto" w:sz="4" w:space="0"/>
              <w:bottom w:val="single" w:color="auto" w:sz="4" w:space="0"/>
              <w:right w:val="nil"/>
            </w:tcBorders>
            <w:vAlign w:val="center"/>
          </w:tcPr>
          <w:p w14:paraId="7144FBD6">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w:t>
            </w:r>
          </w:p>
        </w:tc>
      </w:tr>
      <w:tr w14:paraId="080A3CFF">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2" w:type="dxa"/>
            <w:vMerge w:val="continue"/>
            <w:tcBorders>
              <w:left w:val="nil"/>
              <w:right w:val="single" w:color="auto" w:sz="4" w:space="0"/>
            </w:tcBorders>
            <w:vAlign w:val="center"/>
          </w:tcPr>
          <w:p w14:paraId="7BC4F60C">
            <w:pPr>
              <w:widowControl/>
              <w:spacing w:line="240" w:lineRule="auto"/>
              <w:jc w:val="center"/>
              <w:rPr>
                <w:rFonts w:hint="default" w:ascii="Times New Roman" w:hAnsi="Times New Roman" w:cs="Times New Roman"/>
                <w:color w:val="auto"/>
                <w:sz w:val="21"/>
                <w:szCs w:val="21"/>
                <w:highlight w:val="none"/>
              </w:rPr>
            </w:pPr>
          </w:p>
        </w:tc>
        <w:tc>
          <w:tcPr>
            <w:tcW w:w="2703" w:type="dxa"/>
            <w:gridSpan w:val="2"/>
            <w:tcBorders>
              <w:top w:val="single" w:color="auto" w:sz="4" w:space="0"/>
              <w:left w:val="single" w:color="auto" w:sz="4" w:space="0"/>
              <w:bottom w:val="single" w:color="auto" w:sz="4" w:space="0"/>
              <w:right w:val="single" w:color="auto" w:sz="4" w:space="0"/>
            </w:tcBorders>
            <w:vAlign w:val="center"/>
          </w:tcPr>
          <w:p w14:paraId="52171F36">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铅</w:t>
            </w:r>
          </w:p>
        </w:tc>
        <w:tc>
          <w:tcPr>
            <w:tcW w:w="3568" w:type="dxa"/>
            <w:vMerge w:val="restart"/>
            <w:tcBorders>
              <w:top w:val="single" w:color="auto" w:sz="4" w:space="0"/>
              <w:left w:val="single" w:color="auto" w:sz="4" w:space="0"/>
              <w:right w:val="single" w:color="auto" w:sz="4" w:space="0"/>
            </w:tcBorders>
            <w:vAlign w:val="center"/>
          </w:tcPr>
          <w:p w14:paraId="6319745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土壤质量 铅、镉的测定 石墨炉原子吸收分光光度法</w:t>
            </w:r>
          </w:p>
        </w:tc>
        <w:tc>
          <w:tcPr>
            <w:tcW w:w="1476" w:type="dxa"/>
            <w:tcBorders>
              <w:top w:val="single" w:color="auto" w:sz="4" w:space="0"/>
              <w:left w:val="single" w:color="auto" w:sz="4" w:space="0"/>
              <w:bottom w:val="single" w:color="auto" w:sz="4" w:space="0"/>
              <w:right w:val="single" w:color="auto" w:sz="4" w:space="0"/>
            </w:tcBorders>
            <w:vAlign w:val="center"/>
          </w:tcPr>
          <w:p w14:paraId="0290E81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GB/T 17141-1997</w:t>
            </w:r>
          </w:p>
        </w:tc>
        <w:tc>
          <w:tcPr>
            <w:tcW w:w="1429" w:type="dxa"/>
            <w:tcBorders>
              <w:top w:val="single" w:color="auto" w:sz="4" w:space="0"/>
              <w:left w:val="single" w:color="auto" w:sz="4" w:space="0"/>
              <w:bottom w:val="single" w:color="auto" w:sz="4" w:space="0"/>
              <w:right w:val="nil"/>
            </w:tcBorders>
            <w:vAlign w:val="center"/>
          </w:tcPr>
          <w:p w14:paraId="30150FD9">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69B43AC3">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622" w:type="dxa"/>
            <w:vMerge w:val="continue"/>
            <w:tcBorders>
              <w:left w:val="nil"/>
              <w:right w:val="single" w:color="auto" w:sz="4" w:space="0"/>
            </w:tcBorders>
            <w:vAlign w:val="center"/>
          </w:tcPr>
          <w:p w14:paraId="620076DB">
            <w:pPr>
              <w:widowControl/>
              <w:spacing w:line="240" w:lineRule="auto"/>
              <w:jc w:val="center"/>
              <w:rPr>
                <w:rFonts w:hint="default" w:ascii="Times New Roman" w:hAnsi="Times New Roman" w:cs="Times New Roman"/>
                <w:color w:val="auto"/>
                <w:sz w:val="21"/>
                <w:szCs w:val="21"/>
                <w:highlight w:val="none"/>
              </w:rPr>
            </w:pPr>
          </w:p>
        </w:tc>
        <w:tc>
          <w:tcPr>
            <w:tcW w:w="2703" w:type="dxa"/>
            <w:gridSpan w:val="2"/>
            <w:tcBorders>
              <w:top w:val="single" w:color="auto" w:sz="4" w:space="0"/>
              <w:left w:val="single" w:color="auto" w:sz="4" w:space="0"/>
              <w:bottom w:val="single" w:color="auto" w:sz="4" w:space="0"/>
              <w:right w:val="single" w:color="auto" w:sz="4" w:space="0"/>
            </w:tcBorders>
            <w:vAlign w:val="center"/>
          </w:tcPr>
          <w:p w14:paraId="465C8D22">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镉</w:t>
            </w:r>
          </w:p>
        </w:tc>
        <w:tc>
          <w:tcPr>
            <w:tcW w:w="3568" w:type="dxa"/>
            <w:vMerge w:val="continue"/>
            <w:tcBorders>
              <w:left w:val="single" w:color="auto" w:sz="4" w:space="0"/>
              <w:bottom w:val="single" w:color="auto" w:sz="4" w:space="0"/>
              <w:right w:val="single" w:color="auto" w:sz="4" w:space="0"/>
            </w:tcBorders>
            <w:vAlign w:val="center"/>
          </w:tcPr>
          <w:p w14:paraId="66434B90">
            <w:pPr>
              <w:widowControl/>
              <w:spacing w:line="240" w:lineRule="auto"/>
              <w:jc w:val="center"/>
              <w:rPr>
                <w:rFonts w:hint="default" w:ascii="Times New Roman" w:hAnsi="Times New Roman" w:cs="Times New Roman"/>
                <w:color w:val="auto"/>
                <w:kern w:val="0"/>
                <w:sz w:val="21"/>
                <w:szCs w:val="21"/>
                <w:highlight w:val="none"/>
              </w:rPr>
            </w:pPr>
          </w:p>
        </w:tc>
        <w:tc>
          <w:tcPr>
            <w:tcW w:w="1476" w:type="dxa"/>
            <w:tcBorders>
              <w:top w:val="single" w:color="auto" w:sz="4" w:space="0"/>
              <w:left w:val="single" w:color="auto" w:sz="4" w:space="0"/>
              <w:bottom w:val="single" w:color="auto" w:sz="4" w:space="0"/>
              <w:right w:val="single" w:color="auto" w:sz="4" w:space="0"/>
            </w:tcBorders>
            <w:vAlign w:val="center"/>
          </w:tcPr>
          <w:p w14:paraId="3606E12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GB/T 17141-1997</w:t>
            </w:r>
          </w:p>
        </w:tc>
        <w:tc>
          <w:tcPr>
            <w:tcW w:w="1429" w:type="dxa"/>
            <w:tcBorders>
              <w:top w:val="single" w:color="auto" w:sz="4" w:space="0"/>
              <w:left w:val="single" w:color="auto" w:sz="4" w:space="0"/>
              <w:bottom w:val="single" w:color="auto" w:sz="4" w:space="0"/>
              <w:right w:val="nil"/>
            </w:tcBorders>
            <w:vAlign w:val="center"/>
          </w:tcPr>
          <w:p w14:paraId="14E322BD">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w:t>
            </w:r>
          </w:p>
        </w:tc>
      </w:tr>
      <w:tr w14:paraId="7F4964D9">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622" w:type="dxa"/>
            <w:vMerge w:val="continue"/>
            <w:tcBorders>
              <w:left w:val="nil"/>
              <w:right w:val="single" w:color="auto" w:sz="4" w:space="0"/>
            </w:tcBorders>
            <w:vAlign w:val="center"/>
          </w:tcPr>
          <w:p w14:paraId="57A77670">
            <w:pPr>
              <w:widowControl/>
              <w:spacing w:line="240" w:lineRule="auto"/>
              <w:jc w:val="center"/>
              <w:rPr>
                <w:rFonts w:hint="default" w:ascii="Times New Roman" w:hAnsi="Times New Roman" w:cs="Times New Roman"/>
                <w:color w:val="auto"/>
                <w:sz w:val="21"/>
                <w:szCs w:val="21"/>
                <w:highlight w:val="none"/>
              </w:rPr>
            </w:pPr>
          </w:p>
        </w:tc>
        <w:tc>
          <w:tcPr>
            <w:tcW w:w="2703" w:type="dxa"/>
            <w:gridSpan w:val="2"/>
            <w:tcBorders>
              <w:top w:val="single" w:color="auto" w:sz="4" w:space="0"/>
              <w:left w:val="single" w:color="auto" w:sz="4" w:space="0"/>
              <w:bottom w:val="single" w:color="auto" w:sz="4" w:space="0"/>
              <w:right w:val="single" w:color="auto" w:sz="4" w:space="0"/>
            </w:tcBorders>
            <w:vAlign w:val="center"/>
          </w:tcPr>
          <w:p w14:paraId="0ABCBC0B">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铜</w:t>
            </w:r>
          </w:p>
        </w:tc>
        <w:tc>
          <w:tcPr>
            <w:tcW w:w="3568" w:type="dxa"/>
            <w:vMerge w:val="restart"/>
            <w:tcBorders>
              <w:top w:val="single" w:color="auto" w:sz="4" w:space="0"/>
              <w:left w:val="single" w:color="auto" w:sz="4" w:space="0"/>
              <w:bottom w:val="single" w:color="auto" w:sz="4" w:space="0"/>
              <w:right w:val="single" w:color="auto" w:sz="4" w:space="0"/>
            </w:tcBorders>
            <w:vAlign w:val="center"/>
          </w:tcPr>
          <w:p w14:paraId="2996C472">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土壤和沉积物 铜、锌、铅、镍、铬的测定 火焰原子吸收分光光度法</w:t>
            </w:r>
          </w:p>
        </w:tc>
        <w:tc>
          <w:tcPr>
            <w:tcW w:w="1476" w:type="dxa"/>
            <w:vMerge w:val="restart"/>
            <w:tcBorders>
              <w:top w:val="single" w:color="auto" w:sz="4" w:space="0"/>
              <w:left w:val="single" w:color="auto" w:sz="4" w:space="0"/>
              <w:bottom w:val="single" w:color="auto" w:sz="4" w:space="0"/>
              <w:right w:val="single" w:color="auto" w:sz="4" w:space="0"/>
            </w:tcBorders>
            <w:vAlign w:val="center"/>
          </w:tcPr>
          <w:p w14:paraId="2AD42F58">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HJ 491-2019</w:t>
            </w:r>
          </w:p>
        </w:tc>
        <w:tc>
          <w:tcPr>
            <w:tcW w:w="1429" w:type="dxa"/>
            <w:tcBorders>
              <w:top w:val="single" w:color="auto" w:sz="4" w:space="0"/>
              <w:left w:val="single" w:color="auto" w:sz="4" w:space="0"/>
              <w:bottom w:val="single" w:color="auto" w:sz="4" w:space="0"/>
              <w:right w:val="nil"/>
            </w:tcBorders>
            <w:vAlign w:val="center"/>
          </w:tcPr>
          <w:p w14:paraId="23F3DB17">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r>
      <w:tr w14:paraId="2AB5163B">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622" w:type="dxa"/>
            <w:vMerge w:val="continue"/>
            <w:tcBorders>
              <w:left w:val="nil"/>
              <w:right w:val="single" w:color="auto" w:sz="4" w:space="0"/>
            </w:tcBorders>
            <w:vAlign w:val="center"/>
          </w:tcPr>
          <w:p w14:paraId="0F0EDB23">
            <w:pPr>
              <w:widowControl/>
              <w:spacing w:line="240" w:lineRule="auto"/>
              <w:jc w:val="center"/>
              <w:rPr>
                <w:rFonts w:hint="default" w:ascii="Times New Roman" w:hAnsi="Times New Roman" w:cs="Times New Roman"/>
                <w:color w:val="auto"/>
                <w:sz w:val="21"/>
                <w:szCs w:val="21"/>
                <w:highlight w:val="none"/>
              </w:rPr>
            </w:pPr>
          </w:p>
        </w:tc>
        <w:tc>
          <w:tcPr>
            <w:tcW w:w="2703" w:type="dxa"/>
            <w:gridSpan w:val="2"/>
            <w:tcBorders>
              <w:top w:val="single" w:color="auto" w:sz="4" w:space="0"/>
              <w:left w:val="single" w:color="auto" w:sz="4" w:space="0"/>
              <w:bottom w:val="single" w:color="auto" w:sz="4" w:space="0"/>
              <w:right w:val="single" w:color="auto" w:sz="4" w:space="0"/>
            </w:tcBorders>
            <w:vAlign w:val="center"/>
          </w:tcPr>
          <w:p w14:paraId="3B85D1B2">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铬</w:t>
            </w:r>
          </w:p>
        </w:tc>
        <w:tc>
          <w:tcPr>
            <w:tcW w:w="3568" w:type="dxa"/>
            <w:vMerge w:val="continue"/>
            <w:tcBorders>
              <w:left w:val="single" w:color="auto" w:sz="4" w:space="0"/>
              <w:right w:val="single" w:color="auto" w:sz="4" w:space="0"/>
            </w:tcBorders>
            <w:vAlign w:val="center"/>
          </w:tcPr>
          <w:p w14:paraId="4D0DC916">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450FFB0E">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298086A7">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r>
      <w:tr w14:paraId="1C30F695">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622" w:type="dxa"/>
            <w:vMerge w:val="continue"/>
            <w:tcBorders>
              <w:left w:val="nil"/>
              <w:right w:val="single" w:color="auto" w:sz="4" w:space="0"/>
            </w:tcBorders>
            <w:vAlign w:val="center"/>
          </w:tcPr>
          <w:p w14:paraId="367472DB">
            <w:pPr>
              <w:widowControl/>
              <w:spacing w:line="240" w:lineRule="auto"/>
              <w:jc w:val="center"/>
              <w:rPr>
                <w:rFonts w:hint="default" w:ascii="Times New Roman" w:hAnsi="Times New Roman" w:cs="Times New Roman"/>
                <w:color w:val="auto"/>
                <w:sz w:val="21"/>
                <w:szCs w:val="21"/>
                <w:highlight w:val="none"/>
              </w:rPr>
            </w:pPr>
          </w:p>
        </w:tc>
        <w:tc>
          <w:tcPr>
            <w:tcW w:w="2703" w:type="dxa"/>
            <w:gridSpan w:val="2"/>
            <w:tcBorders>
              <w:top w:val="single" w:color="auto" w:sz="4" w:space="0"/>
              <w:left w:val="single" w:color="auto" w:sz="4" w:space="0"/>
              <w:bottom w:val="single" w:color="auto" w:sz="4" w:space="0"/>
              <w:right w:val="single" w:color="auto" w:sz="4" w:space="0"/>
            </w:tcBorders>
            <w:vAlign w:val="center"/>
          </w:tcPr>
          <w:p w14:paraId="514C6A1A">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锌</w:t>
            </w:r>
          </w:p>
        </w:tc>
        <w:tc>
          <w:tcPr>
            <w:tcW w:w="3568" w:type="dxa"/>
            <w:vMerge w:val="continue"/>
            <w:tcBorders>
              <w:left w:val="single" w:color="auto" w:sz="4" w:space="0"/>
              <w:right w:val="single" w:color="auto" w:sz="4" w:space="0"/>
            </w:tcBorders>
            <w:vAlign w:val="center"/>
          </w:tcPr>
          <w:p w14:paraId="5CB23D90">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0744C562">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557DE88B">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r>
      <w:tr w14:paraId="63862A04">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22" w:type="dxa"/>
            <w:vMerge w:val="continue"/>
            <w:tcBorders>
              <w:left w:val="nil"/>
              <w:right w:val="single" w:color="auto" w:sz="4" w:space="0"/>
            </w:tcBorders>
            <w:vAlign w:val="center"/>
          </w:tcPr>
          <w:p w14:paraId="4CFC462B">
            <w:pPr>
              <w:widowControl/>
              <w:spacing w:line="240" w:lineRule="auto"/>
              <w:jc w:val="center"/>
              <w:rPr>
                <w:rFonts w:hint="default" w:ascii="Times New Roman" w:hAnsi="Times New Roman" w:cs="Times New Roman"/>
                <w:color w:val="auto"/>
                <w:sz w:val="21"/>
                <w:szCs w:val="21"/>
                <w:highlight w:val="none"/>
              </w:rPr>
            </w:pPr>
          </w:p>
        </w:tc>
        <w:tc>
          <w:tcPr>
            <w:tcW w:w="2703" w:type="dxa"/>
            <w:gridSpan w:val="2"/>
            <w:tcBorders>
              <w:top w:val="single" w:color="auto" w:sz="4" w:space="0"/>
              <w:left w:val="single" w:color="auto" w:sz="4" w:space="0"/>
              <w:bottom w:val="single" w:color="auto" w:sz="4" w:space="0"/>
              <w:right w:val="single" w:color="auto" w:sz="4" w:space="0"/>
            </w:tcBorders>
            <w:vAlign w:val="center"/>
          </w:tcPr>
          <w:p w14:paraId="39E0A302">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镍</w:t>
            </w:r>
          </w:p>
        </w:tc>
        <w:tc>
          <w:tcPr>
            <w:tcW w:w="3568" w:type="dxa"/>
            <w:vMerge w:val="continue"/>
            <w:tcBorders>
              <w:top w:val="single" w:color="auto" w:sz="4" w:space="0"/>
              <w:left w:val="single" w:color="auto" w:sz="4" w:space="0"/>
              <w:bottom w:val="single" w:color="auto" w:sz="4" w:space="0"/>
              <w:right w:val="single" w:color="auto" w:sz="4" w:space="0"/>
            </w:tcBorders>
            <w:vAlign w:val="center"/>
          </w:tcPr>
          <w:p w14:paraId="67D5B0FF">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p>
        </w:tc>
        <w:tc>
          <w:tcPr>
            <w:tcW w:w="1476" w:type="dxa"/>
            <w:vMerge w:val="continue"/>
            <w:tcBorders>
              <w:top w:val="single" w:color="auto" w:sz="4" w:space="0"/>
              <w:left w:val="single" w:color="auto" w:sz="4" w:space="0"/>
              <w:bottom w:val="single" w:color="auto" w:sz="4" w:space="0"/>
              <w:right w:val="single" w:color="auto" w:sz="4" w:space="0"/>
            </w:tcBorders>
            <w:vAlign w:val="center"/>
          </w:tcPr>
          <w:p w14:paraId="034C91ED">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77BF80CD">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r>
      <w:tr w14:paraId="17C151E8">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22" w:type="dxa"/>
            <w:vMerge w:val="continue"/>
            <w:tcBorders>
              <w:left w:val="nil"/>
              <w:right w:val="single" w:color="auto" w:sz="4" w:space="0"/>
            </w:tcBorders>
            <w:vAlign w:val="center"/>
          </w:tcPr>
          <w:p w14:paraId="778B021D">
            <w:pPr>
              <w:widowControl/>
              <w:spacing w:line="240" w:lineRule="auto"/>
              <w:jc w:val="center"/>
              <w:rPr>
                <w:rFonts w:hint="default" w:ascii="Times New Roman" w:hAnsi="Times New Roman" w:cs="Times New Roman"/>
                <w:color w:val="auto"/>
                <w:sz w:val="21"/>
                <w:szCs w:val="21"/>
                <w:highlight w:val="none"/>
              </w:rPr>
            </w:pPr>
          </w:p>
        </w:tc>
        <w:tc>
          <w:tcPr>
            <w:tcW w:w="2703" w:type="dxa"/>
            <w:gridSpan w:val="2"/>
            <w:tcBorders>
              <w:top w:val="single" w:color="auto" w:sz="4" w:space="0"/>
              <w:left w:val="single" w:color="auto" w:sz="4" w:space="0"/>
              <w:bottom w:val="single" w:color="auto" w:sz="4" w:space="0"/>
              <w:right w:val="single" w:color="auto" w:sz="4" w:space="0"/>
            </w:tcBorders>
            <w:vAlign w:val="center"/>
          </w:tcPr>
          <w:p w14:paraId="0790B7AA">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汞</w:t>
            </w:r>
          </w:p>
        </w:tc>
        <w:tc>
          <w:tcPr>
            <w:tcW w:w="3568" w:type="dxa"/>
            <w:tcBorders>
              <w:top w:val="single" w:color="auto" w:sz="4" w:space="0"/>
              <w:left w:val="single" w:color="auto" w:sz="4" w:space="0"/>
              <w:bottom w:val="single" w:color="auto" w:sz="4" w:space="0"/>
              <w:right w:val="single" w:color="auto" w:sz="4" w:space="0"/>
            </w:tcBorders>
            <w:vAlign w:val="center"/>
          </w:tcPr>
          <w:p w14:paraId="2BC54495">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土壤质量 总汞的测定 </w:t>
            </w:r>
          </w:p>
          <w:p w14:paraId="0710AC00">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冷原子吸收分光光度法</w:t>
            </w:r>
          </w:p>
        </w:tc>
        <w:tc>
          <w:tcPr>
            <w:tcW w:w="1476" w:type="dxa"/>
            <w:tcBorders>
              <w:top w:val="single" w:color="auto" w:sz="4" w:space="0"/>
              <w:left w:val="single" w:color="auto" w:sz="4" w:space="0"/>
              <w:bottom w:val="single" w:color="auto" w:sz="4" w:space="0"/>
              <w:right w:val="single" w:color="auto" w:sz="4" w:space="0"/>
            </w:tcBorders>
            <w:vAlign w:val="center"/>
          </w:tcPr>
          <w:p w14:paraId="2602D906">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GB/T 17136-1997</w:t>
            </w:r>
          </w:p>
        </w:tc>
        <w:tc>
          <w:tcPr>
            <w:tcW w:w="1429" w:type="dxa"/>
            <w:tcBorders>
              <w:top w:val="single" w:color="auto" w:sz="4" w:space="0"/>
              <w:left w:val="single" w:color="auto" w:sz="4" w:space="0"/>
              <w:bottom w:val="single" w:color="auto" w:sz="4" w:space="0"/>
              <w:right w:val="nil"/>
            </w:tcBorders>
            <w:vAlign w:val="center"/>
          </w:tcPr>
          <w:p w14:paraId="10D271DA">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4C380099">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22" w:type="dxa"/>
            <w:vMerge w:val="continue"/>
            <w:tcBorders>
              <w:left w:val="nil"/>
              <w:right w:val="single" w:color="auto" w:sz="4" w:space="0"/>
            </w:tcBorders>
            <w:vAlign w:val="center"/>
          </w:tcPr>
          <w:p w14:paraId="4A0E7BAC">
            <w:pPr>
              <w:widowControl/>
              <w:spacing w:line="240" w:lineRule="auto"/>
              <w:jc w:val="center"/>
              <w:rPr>
                <w:rFonts w:hint="default" w:ascii="Times New Roman" w:hAnsi="Times New Roman" w:cs="Times New Roman"/>
                <w:color w:val="auto"/>
                <w:sz w:val="21"/>
                <w:szCs w:val="21"/>
                <w:highlight w:val="none"/>
              </w:rPr>
            </w:pPr>
          </w:p>
        </w:tc>
        <w:tc>
          <w:tcPr>
            <w:tcW w:w="2703" w:type="dxa"/>
            <w:gridSpan w:val="2"/>
            <w:tcBorders>
              <w:top w:val="single" w:color="auto" w:sz="4" w:space="0"/>
              <w:left w:val="single" w:color="auto" w:sz="4" w:space="0"/>
              <w:bottom w:val="single" w:color="auto" w:sz="4" w:space="0"/>
              <w:right w:val="single" w:color="auto" w:sz="4" w:space="0"/>
            </w:tcBorders>
            <w:vAlign w:val="center"/>
          </w:tcPr>
          <w:p w14:paraId="1BE6E942">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砷</w:t>
            </w:r>
          </w:p>
        </w:tc>
        <w:tc>
          <w:tcPr>
            <w:tcW w:w="3568" w:type="dxa"/>
            <w:vMerge w:val="restart"/>
            <w:tcBorders>
              <w:top w:val="single" w:color="auto" w:sz="4" w:space="0"/>
              <w:left w:val="single" w:color="auto" w:sz="4" w:space="0"/>
              <w:right w:val="single" w:color="auto" w:sz="4" w:space="0"/>
            </w:tcBorders>
            <w:vAlign w:val="center"/>
          </w:tcPr>
          <w:p w14:paraId="603C2F15">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土壤和沉积物 12种金属元素的测定 王水提取-电感耦合等离子体质谱法</w:t>
            </w:r>
          </w:p>
        </w:tc>
        <w:tc>
          <w:tcPr>
            <w:tcW w:w="1476" w:type="dxa"/>
            <w:vMerge w:val="restart"/>
            <w:tcBorders>
              <w:top w:val="single" w:color="auto" w:sz="4" w:space="0"/>
              <w:left w:val="single" w:color="auto" w:sz="4" w:space="0"/>
              <w:right w:val="single" w:color="auto" w:sz="4" w:space="0"/>
            </w:tcBorders>
            <w:vAlign w:val="center"/>
          </w:tcPr>
          <w:p w14:paraId="1AA97E89">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HJ 803-2016</w:t>
            </w:r>
          </w:p>
        </w:tc>
        <w:tc>
          <w:tcPr>
            <w:tcW w:w="1429" w:type="dxa"/>
            <w:tcBorders>
              <w:top w:val="single" w:color="auto" w:sz="4" w:space="0"/>
              <w:left w:val="single" w:color="auto" w:sz="4" w:space="0"/>
              <w:bottom w:val="single" w:color="auto" w:sz="4" w:space="0"/>
              <w:right w:val="nil"/>
            </w:tcBorders>
            <w:vAlign w:val="center"/>
          </w:tcPr>
          <w:p w14:paraId="55858A46">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0.6</w:t>
            </w:r>
          </w:p>
        </w:tc>
      </w:tr>
      <w:tr w14:paraId="09437AC5">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22" w:type="dxa"/>
            <w:vMerge w:val="continue"/>
            <w:tcBorders>
              <w:left w:val="nil"/>
              <w:right w:val="single" w:color="auto" w:sz="4" w:space="0"/>
            </w:tcBorders>
            <w:vAlign w:val="center"/>
          </w:tcPr>
          <w:p w14:paraId="6492BA52">
            <w:pPr>
              <w:widowControl/>
              <w:spacing w:line="240" w:lineRule="auto"/>
              <w:jc w:val="center"/>
              <w:rPr>
                <w:rFonts w:hint="default" w:ascii="Times New Roman" w:hAnsi="Times New Roman" w:cs="Times New Roman"/>
                <w:color w:val="auto"/>
                <w:sz w:val="21"/>
                <w:szCs w:val="21"/>
                <w:highlight w:val="none"/>
              </w:rPr>
            </w:pPr>
          </w:p>
        </w:tc>
        <w:tc>
          <w:tcPr>
            <w:tcW w:w="2703" w:type="dxa"/>
            <w:gridSpan w:val="2"/>
            <w:tcBorders>
              <w:top w:val="single" w:color="auto" w:sz="4" w:space="0"/>
              <w:left w:val="single" w:color="auto" w:sz="4" w:space="0"/>
              <w:right w:val="single" w:color="auto" w:sz="4" w:space="0"/>
            </w:tcBorders>
            <w:vAlign w:val="center"/>
          </w:tcPr>
          <w:p w14:paraId="0C7E27E1">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钴</w:t>
            </w:r>
          </w:p>
        </w:tc>
        <w:tc>
          <w:tcPr>
            <w:tcW w:w="3568" w:type="dxa"/>
            <w:vMerge w:val="continue"/>
            <w:tcBorders>
              <w:left w:val="single" w:color="auto" w:sz="4" w:space="0"/>
              <w:right w:val="single" w:color="auto" w:sz="4" w:space="0"/>
            </w:tcBorders>
            <w:vAlign w:val="center"/>
          </w:tcPr>
          <w:p w14:paraId="299C36E2">
            <w:pPr>
              <w:overflowPunct w:val="0"/>
              <w:autoSpaceDE w:val="0"/>
              <w:autoSpaceDN w:val="0"/>
              <w:adjustRightInd w:val="0"/>
              <w:spacing w:line="240" w:lineRule="auto"/>
              <w:jc w:val="center"/>
              <w:textAlignment w:val="baseline"/>
              <w:rPr>
                <w:rFonts w:hint="default" w:ascii="Times New Roman" w:hAnsi="Times New Roman" w:cs="Times New Roman"/>
                <w:color w:val="auto"/>
                <w:kern w:val="0"/>
                <w:sz w:val="21"/>
                <w:szCs w:val="21"/>
                <w:highlight w:val="none"/>
              </w:rPr>
            </w:pPr>
          </w:p>
        </w:tc>
        <w:tc>
          <w:tcPr>
            <w:tcW w:w="1476" w:type="dxa"/>
            <w:vMerge w:val="continue"/>
            <w:tcBorders>
              <w:left w:val="single" w:color="auto" w:sz="4" w:space="0"/>
              <w:right w:val="single" w:color="auto" w:sz="4" w:space="0"/>
            </w:tcBorders>
            <w:vAlign w:val="center"/>
          </w:tcPr>
          <w:p w14:paraId="1722AFEA">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0EA6F020">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0.03</w:t>
            </w:r>
          </w:p>
        </w:tc>
      </w:tr>
      <w:tr w14:paraId="24D7A152">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22" w:type="dxa"/>
            <w:vMerge w:val="continue"/>
            <w:tcBorders>
              <w:left w:val="nil"/>
              <w:right w:val="single" w:color="auto" w:sz="4" w:space="0"/>
            </w:tcBorders>
            <w:vAlign w:val="center"/>
          </w:tcPr>
          <w:p w14:paraId="19A5E82D">
            <w:pPr>
              <w:widowControl/>
              <w:spacing w:line="240" w:lineRule="auto"/>
              <w:jc w:val="center"/>
              <w:rPr>
                <w:rFonts w:hint="default" w:ascii="Times New Roman" w:hAnsi="Times New Roman" w:cs="Times New Roman"/>
                <w:color w:val="auto"/>
                <w:sz w:val="21"/>
                <w:szCs w:val="21"/>
                <w:highlight w:val="none"/>
              </w:rPr>
            </w:pPr>
          </w:p>
        </w:tc>
        <w:tc>
          <w:tcPr>
            <w:tcW w:w="2703" w:type="dxa"/>
            <w:gridSpan w:val="2"/>
            <w:tcBorders>
              <w:top w:val="single" w:color="auto" w:sz="4" w:space="0"/>
              <w:left w:val="single" w:color="auto" w:sz="4" w:space="0"/>
              <w:right w:val="single" w:color="auto" w:sz="4" w:space="0"/>
            </w:tcBorders>
            <w:vAlign w:val="center"/>
          </w:tcPr>
          <w:p w14:paraId="78D68612">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钼</w:t>
            </w:r>
          </w:p>
        </w:tc>
        <w:tc>
          <w:tcPr>
            <w:tcW w:w="3568" w:type="dxa"/>
            <w:vMerge w:val="continue"/>
            <w:tcBorders>
              <w:left w:val="single" w:color="auto" w:sz="4" w:space="0"/>
              <w:right w:val="single" w:color="auto" w:sz="4" w:space="0"/>
            </w:tcBorders>
            <w:vAlign w:val="center"/>
          </w:tcPr>
          <w:p w14:paraId="230DF12C">
            <w:pPr>
              <w:overflowPunct w:val="0"/>
              <w:autoSpaceDE w:val="0"/>
              <w:autoSpaceDN w:val="0"/>
              <w:adjustRightInd w:val="0"/>
              <w:spacing w:line="240" w:lineRule="auto"/>
              <w:jc w:val="center"/>
              <w:textAlignment w:val="baseline"/>
              <w:rPr>
                <w:rFonts w:hint="default" w:ascii="Times New Roman" w:hAnsi="Times New Roman" w:cs="Times New Roman"/>
                <w:color w:val="auto"/>
                <w:kern w:val="0"/>
                <w:sz w:val="21"/>
                <w:szCs w:val="21"/>
                <w:highlight w:val="none"/>
              </w:rPr>
            </w:pPr>
          </w:p>
        </w:tc>
        <w:tc>
          <w:tcPr>
            <w:tcW w:w="1476" w:type="dxa"/>
            <w:vMerge w:val="continue"/>
            <w:tcBorders>
              <w:left w:val="single" w:color="auto" w:sz="4" w:space="0"/>
              <w:right w:val="single" w:color="auto" w:sz="4" w:space="0"/>
            </w:tcBorders>
            <w:vAlign w:val="center"/>
          </w:tcPr>
          <w:p w14:paraId="61F91E36">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106736FB">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3C82AD7E">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22" w:type="dxa"/>
            <w:vMerge w:val="continue"/>
            <w:tcBorders>
              <w:left w:val="nil"/>
              <w:right w:val="single" w:color="auto" w:sz="4" w:space="0"/>
            </w:tcBorders>
            <w:vAlign w:val="center"/>
          </w:tcPr>
          <w:p w14:paraId="4FA6EAEF">
            <w:pPr>
              <w:widowControl/>
              <w:spacing w:line="240" w:lineRule="auto"/>
              <w:jc w:val="center"/>
              <w:rPr>
                <w:rFonts w:hint="default" w:ascii="Times New Roman" w:hAnsi="Times New Roman" w:cs="Times New Roman"/>
                <w:color w:val="auto"/>
                <w:sz w:val="21"/>
                <w:szCs w:val="21"/>
                <w:highlight w:val="none"/>
              </w:rPr>
            </w:pPr>
          </w:p>
        </w:tc>
        <w:tc>
          <w:tcPr>
            <w:tcW w:w="2703" w:type="dxa"/>
            <w:gridSpan w:val="2"/>
            <w:tcBorders>
              <w:top w:val="single" w:color="auto" w:sz="4" w:space="0"/>
              <w:left w:val="single" w:color="auto" w:sz="4" w:space="0"/>
              <w:right w:val="single" w:color="auto" w:sz="4" w:space="0"/>
            </w:tcBorders>
            <w:vAlign w:val="center"/>
          </w:tcPr>
          <w:p w14:paraId="397E14CA">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锑</w:t>
            </w:r>
          </w:p>
        </w:tc>
        <w:tc>
          <w:tcPr>
            <w:tcW w:w="3568" w:type="dxa"/>
            <w:vMerge w:val="continue"/>
            <w:tcBorders>
              <w:left w:val="single" w:color="auto" w:sz="4" w:space="0"/>
              <w:right w:val="single" w:color="auto" w:sz="4" w:space="0"/>
            </w:tcBorders>
            <w:vAlign w:val="center"/>
          </w:tcPr>
          <w:p w14:paraId="68D70033">
            <w:pPr>
              <w:overflowPunct w:val="0"/>
              <w:autoSpaceDE w:val="0"/>
              <w:autoSpaceDN w:val="0"/>
              <w:adjustRightInd w:val="0"/>
              <w:spacing w:line="240" w:lineRule="auto"/>
              <w:jc w:val="center"/>
              <w:textAlignment w:val="baseline"/>
              <w:rPr>
                <w:rFonts w:hint="default" w:ascii="Times New Roman" w:hAnsi="Times New Roman" w:cs="Times New Roman"/>
                <w:color w:val="auto"/>
                <w:kern w:val="0"/>
                <w:sz w:val="21"/>
                <w:szCs w:val="21"/>
                <w:highlight w:val="none"/>
              </w:rPr>
            </w:pPr>
          </w:p>
        </w:tc>
        <w:tc>
          <w:tcPr>
            <w:tcW w:w="1476" w:type="dxa"/>
            <w:vMerge w:val="continue"/>
            <w:tcBorders>
              <w:left w:val="single" w:color="auto" w:sz="4" w:space="0"/>
              <w:right w:val="single" w:color="auto" w:sz="4" w:space="0"/>
            </w:tcBorders>
            <w:vAlign w:val="center"/>
          </w:tcPr>
          <w:p w14:paraId="4A6FAEE5">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382FD850">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0.3</w:t>
            </w:r>
          </w:p>
        </w:tc>
      </w:tr>
      <w:tr w14:paraId="2E95EEF2">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622" w:type="dxa"/>
            <w:vMerge w:val="continue"/>
            <w:tcBorders>
              <w:left w:val="nil"/>
              <w:right w:val="single" w:color="auto" w:sz="4" w:space="0"/>
            </w:tcBorders>
            <w:vAlign w:val="center"/>
          </w:tcPr>
          <w:p w14:paraId="33D1C084">
            <w:pPr>
              <w:widowControl/>
              <w:spacing w:line="240" w:lineRule="auto"/>
              <w:jc w:val="center"/>
              <w:rPr>
                <w:rFonts w:hint="default" w:ascii="Times New Roman" w:hAnsi="Times New Roman" w:cs="Times New Roman"/>
                <w:color w:val="auto"/>
                <w:sz w:val="21"/>
                <w:szCs w:val="21"/>
                <w:highlight w:val="none"/>
              </w:rPr>
            </w:pPr>
          </w:p>
        </w:tc>
        <w:tc>
          <w:tcPr>
            <w:tcW w:w="2703" w:type="dxa"/>
            <w:gridSpan w:val="2"/>
            <w:tcBorders>
              <w:top w:val="single" w:color="auto" w:sz="4" w:space="0"/>
              <w:left w:val="single" w:color="auto" w:sz="4" w:space="0"/>
              <w:bottom w:val="single" w:color="auto" w:sz="4" w:space="0"/>
              <w:right w:val="single" w:color="auto" w:sz="4" w:space="0"/>
            </w:tcBorders>
            <w:vAlign w:val="center"/>
          </w:tcPr>
          <w:p w14:paraId="064136AF">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石油烃（C</w:t>
            </w:r>
            <w:r>
              <w:rPr>
                <w:rFonts w:hint="default" w:ascii="Times New Roman" w:hAnsi="Times New Roman" w:cs="Times New Roman"/>
                <w:color w:val="auto"/>
                <w:sz w:val="21"/>
                <w:szCs w:val="21"/>
                <w:highlight w:val="none"/>
                <w:vertAlign w:val="subscript"/>
              </w:rPr>
              <w:t>10</w:t>
            </w:r>
            <w:r>
              <w:rPr>
                <w:rFonts w:hint="default" w:ascii="Times New Roman" w:hAnsi="Times New Roman" w:cs="Times New Roman"/>
                <w:color w:val="auto"/>
                <w:sz w:val="21"/>
                <w:szCs w:val="21"/>
                <w:highlight w:val="none"/>
              </w:rPr>
              <w:t>-C</w:t>
            </w:r>
            <w:r>
              <w:rPr>
                <w:rFonts w:hint="default" w:ascii="Times New Roman" w:hAnsi="Times New Roman" w:cs="Times New Roman"/>
                <w:color w:val="auto"/>
                <w:sz w:val="21"/>
                <w:szCs w:val="21"/>
                <w:highlight w:val="none"/>
                <w:vertAlign w:val="subscript"/>
              </w:rPr>
              <w:t>40</w:t>
            </w:r>
            <w:r>
              <w:rPr>
                <w:rFonts w:hint="default" w:ascii="Times New Roman" w:hAnsi="Times New Roman" w:cs="Times New Roman"/>
                <w:color w:val="auto"/>
                <w:sz w:val="21"/>
                <w:szCs w:val="21"/>
                <w:highlight w:val="none"/>
              </w:rPr>
              <w:t>）</w:t>
            </w:r>
          </w:p>
        </w:tc>
        <w:tc>
          <w:tcPr>
            <w:tcW w:w="3568" w:type="dxa"/>
            <w:tcBorders>
              <w:top w:val="single" w:color="auto" w:sz="4" w:space="0"/>
              <w:left w:val="single" w:color="auto" w:sz="4" w:space="0"/>
              <w:bottom w:val="single" w:color="auto" w:sz="4" w:space="0"/>
              <w:right w:val="single" w:color="auto" w:sz="4" w:space="0"/>
            </w:tcBorders>
            <w:vAlign w:val="center"/>
          </w:tcPr>
          <w:p w14:paraId="08A14F26">
            <w:pPr>
              <w:overflowPunct w:val="0"/>
              <w:autoSpaceDE w:val="0"/>
              <w:autoSpaceDN w:val="0"/>
              <w:adjustRightInd w:val="0"/>
              <w:spacing w:line="240" w:lineRule="auto"/>
              <w:jc w:val="center"/>
              <w:textAlignment w:val="baseline"/>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土壤和沉积物 挥发性有机物的测定 吹扫捕集/气相色谱-质谱法</w:t>
            </w:r>
          </w:p>
        </w:tc>
        <w:tc>
          <w:tcPr>
            <w:tcW w:w="1476" w:type="dxa"/>
            <w:tcBorders>
              <w:top w:val="single" w:color="auto" w:sz="4" w:space="0"/>
              <w:left w:val="single" w:color="auto" w:sz="4" w:space="0"/>
              <w:bottom w:val="single" w:color="auto" w:sz="4" w:space="0"/>
              <w:right w:val="single" w:color="auto" w:sz="4" w:space="0"/>
            </w:tcBorders>
            <w:vAlign w:val="center"/>
          </w:tcPr>
          <w:p w14:paraId="5F6D3B77">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HJ 605-2011</w:t>
            </w:r>
          </w:p>
        </w:tc>
        <w:tc>
          <w:tcPr>
            <w:tcW w:w="1429" w:type="dxa"/>
            <w:tcBorders>
              <w:top w:val="single" w:color="auto" w:sz="4" w:space="0"/>
              <w:left w:val="single" w:color="auto" w:sz="4" w:space="0"/>
              <w:bottom w:val="single" w:color="auto" w:sz="4" w:space="0"/>
              <w:right w:val="nil"/>
            </w:tcBorders>
            <w:vAlign w:val="center"/>
          </w:tcPr>
          <w:p w14:paraId="4F2A8103">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w:t>
            </w:r>
          </w:p>
        </w:tc>
      </w:tr>
      <w:tr w14:paraId="58B900AE">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2" w:type="dxa"/>
            <w:vMerge w:val="continue"/>
            <w:tcBorders>
              <w:left w:val="nil"/>
              <w:right w:val="single" w:color="auto" w:sz="4" w:space="0"/>
            </w:tcBorders>
            <w:vAlign w:val="center"/>
          </w:tcPr>
          <w:p w14:paraId="3C340A33">
            <w:pPr>
              <w:widowControl/>
              <w:spacing w:line="240" w:lineRule="auto"/>
              <w:jc w:val="center"/>
              <w:rPr>
                <w:rFonts w:hint="default" w:ascii="Times New Roman" w:hAnsi="Times New Roman" w:cs="Times New Roman"/>
                <w:color w:val="auto"/>
                <w:sz w:val="21"/>
                <w:szCs w:val="21"/>
                <w:highlight w:val="none"/>
              </w:rPr>
            </w:pPr>
          </w:p>
        </w:tc>
        <w:tc>
          <w:tcPr>
            <w:tcW w:w="896" w:type="dxa"/>
            <w:vMerge w:val="restart"/>
            <w:tcBorders>
              <w:top w:val="single" w:color="auto" w:sz="4" w:space="0"/>
              <w:left w:val="single" w:color="auto" w:sz="4" w:space="0"/>
              <w:right w:val="single" w:color="auto" w:sz="4" w:space="0"/>
            </w:tcBorders>
            <w:vAlign w:val="center"/>
          </w:tcPr>
          <w:p w14:paraId="39F502B3">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挥发性有机物</w:t>
            </w:r>
          </w:p>
        </w:tc>
        <w:tc>
          <w:tcPr>
            <w:tcW w:w="1807" w:type="dxa"/>
            <w:tcBorders>
              <w:top w:val="single" w:color="auto" w:sz="4" w:space="0"/>
              <w:left w:val="single" w:color="auto" w:sz="4" w:space="0"/>
              <w:bottom w:val="single" w:color="auto" w:sz="4" w:space="0"/>
              <w:right w:val="single" w:color="auto" w:sz="4" w:space="0"/>
            </w:tcBorders>
            <w:vAlign w:val="center"/>
          </w:tcPr>
          <w:p w14:paraId="1262042F">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苯</w:t>
            </w:r>
          </w:p>
        </w:tc>
        <w:tc>
          <w:tcPr>
            <w:tcW w:w="3568" w:type="dxa"/>
            <w:vMerge w:val="restart"/>
            <w:tcBorders>
              <w:top w:val="single" w:color="auto" w:sz="4" w:space="0"/>
              <w:left w:val="single" w:color="auto" w:sz="4" w:space="0"/>
              <w:right w:val="single" w:color="auto" w:sz="4" w:space="0"/>
            </w:tcBorders>
            <w:vAlign w:val="center"/>
          </w:tcPr>
          <w:p w14:paraId="6729AF6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 xml:space="preserve">土壤和沉积物 挥发性有机物的测定 </w:t>
            </w:r>
          </w:p>
          <w:p w14:paraId="23956585">
            <w:pPr>
              <w:widowControl/>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吹扫捕集/气相色谱-质谱法</w:t>
            </w:r>
          </w:p>
        </w:tc>
        <w:tc>
          <w:tcPr>
            <w:tcW w:w="1476" w:type="dxa"/>
            <w:vMerge w:val="restart"/>
            <w:tcBorders>
              <w:top w:val="single" w:color="auto" w:sz="4" w:space="0"/>
              <w:left w:val="single" w:color="auto" w:sz="4" w:space="0"/>
              <w:right w:val="single" w:color="auto" w:sz="4" w:space="0"/>
            </w:tcBorders>
            <w:vAlign w:val="center"/>
          </w:tcPr>
          <w:p w14:paraId="6F6BB15C">
            <w:pPr>
              <w:widowControl/>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HJ 605-2011</w:t>
            </w:r>
          </w:p>
        </w:tc>
        <w:tc>
          <w:tcPr>
            <w:tcW w:w="1429" w:type="dxa"/>
            <w:tcBorders>
              <w:top w:val="single" w:color="auto" w:sz="4" w:space="0"/>
              <w:left w:val="single" w:color="auto" w:sz="4" w:space="0"/>
              <w:bottom w:val="single" w:color="auto" w:sz="4" w:space="0"/>
              <w:right w:val="nil"/>
            </w:tcBorders>
            <w:vAlign w:val="center"/>
          </w:tcPr>
          <w:p w14:paraId="0165C6F1">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738F4AD4">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22" w:type="dxa"/>
            <w:vMerge w:val="continue"/>
            <w:tcBorders>
              <w:left w:val="nil"/>
              <w:right w:val="single" w:color="auto" w:sz="4" w:space="0"/>
            </w:tcBorders>
            <w:vAlign w:val="center"/>
          </w:tcPr>
          <w:p w14:paraId="4257FF9A">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197B9596">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391AFE8E">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甲苯</w:t>
            </w:r>
          </w:p>
        </w:tc>
        <w:tc>
          <w:tcPr>
            <w:tcW w:w="3568" w:type="dxa"/>
            <w:vMerge w:val="continue"/>
            <w:tcBorders>
              <w:left w:val="single" w:color="auto" w:sz="4" w:space="0"/>
              <w:right w:val="single" w:color="auto" w:sz="4" w:space="0"/>
            </w:tcBorders>
            <w:vAlign w:val="center"/>
          </w:tcPr>
          <w:p w14:paraId="5CD0EE48">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4FE2A5AF">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2C13D7A5">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1CB10F6E">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22" w:type="dxa"/>
            <w:vMerge w:val="continue"/>
            <w:tcBorders>
              <w:left w:val="nil"/>
              <w:right w:val="single" w:color="auto" w:sz="4" w:space="0"/>
            </w:tcBorders>
            <w:vAlign w:val="center"/>
          </w:tcPr>
          <w:p w14:paraId="3111318B">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22B41ED4">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7F88876F">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乙苯</w:t>
            </w:r>
          </w:p>
        </w:tc>
        <w:tc>
          <w:tcPr>
            <w:tcW w:w="3568" w:type="dxa"/>
            <w:vMerge w:val="continue"/>
            <w:tcBorders>
              <w:left w:val="single" w:color="auto" w:sz="4" w:space="0"/>
              <w:right w:val="single" w:color="auto" w:sz="4" w:space="0"/>
            </w:tcBorders>
            <w:vAlign w:val="center"/>
          </w:tcPr>
          <w:p w14:paraId="2B4F2891">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178C9064">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2146B040">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0349A171">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622" w:type="dxa"/>
            <w:vMerge w:val="continue"/>
            <w:tcBorders>
              <w:left w:val="nil"/>
              <w:right w:val="single" w:color="auto" w:sz="4" w:space="0"/>
            </w:tcBorders>
            <w:vAlign w:val="center"/>
          </w:tcPr>
          <w:p w14:paraId="4EA39AC6">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74679C8A">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4E9A6243">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间-二甲苯和对-二甲苯</w:t>
            </w:r>
          </w:p>
        </w:tc>
        <w:tc>
          <w:tcPr>
            <w:tcW w:w="3568" w:type="dxa"/>
            <w:vMerge w:val="continue"/>
            <w:tcBorders>
              <w:left w:val="single" w:color="auto" w:sz="4" w:space="0"/>
              <w:right w:val="single" w:color="auto" w:sz="4" w:space="0"/>
            </w:tcBorders>
            <w:vAlign w:val="center"/>
          </w:tcPr>
          <w:p w14:paraId="39BBF16C">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759C0865">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7FB4F95B">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1805E338">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22" w:type="dxa"/>
            <w:vMerge w:val="continue"/>
            <w:tcBorders>
              <w:left w:val="nil"/>
              <w:right w:val="single" w:color="auto" w:sz="4" w:space="0"/>
            </w:tcBorders>
            <w:vAlign w:val="center"/>
          </w:tcPr>
          <w:p w14:paraId="0EFA4F2D">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3892CCFB">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56ECC30A">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邻-二甲苯</w:t>
            </w:r>
          </w:p>
        </w:tc>
        <w:tc>
          <w:tcPr>
            <w:tcW w:w="3568" w:type="dxa"/>
            <w:vMerge w:val="continue"/>
            <w:tcBorders>
              <w:left w:val="single" w:color="auto" w:sz="4" w:space="0"/>
              <w:right w:val="single" w:color="auto" w:sz="4" w:space="0"/>
            </w:tcBorders>
            <w:vAlign w:val="center"/>
          </w:tcPr>
          <w:p w14:paraId="6D8872DC">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039EEADE">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2239620B">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6CE37F19">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22" w:type="dxa"/>
            <w:vMerge w:val="continue"/>
            <w:tcBorders>
              <w:left w:val="nil"/>
              <w:right w:val="single" w:color="auto" w:sz="4" w:space="0"/>
            </w:tcBorders>
            <w:vAlign w:val="center"/>
          </w:tcPr>
          <w:p w14:paraId="0231DAC6">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6AD76C14">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259B4323">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苯乙烯</w:t>
            </w:r>
          </w:p>
        </w:tc>
        <w:tc>
          <w:tcPr>
            <w:tcW w:w="3568" w:type="dxa"/>
            <w:vMerge w:val="continue"/>
            <w:tcBorders>
              <w:left w:val="single" w:color="auto" w:sz="4" w:space="0"/>
              <w:right w:val="single" w:color="auto" w:sz="4" w:space="0"/>
            </w:tcBorders>
            <w:vAlign w:val="center"/>
          </w:tcPr>
          <w:p w14:paraId="26D55026">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6D6D457A">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0A0E1397">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287F94EF">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22" w:type="dxa"/>
            <w:vMerge w:val="continue"/>
            <w:tcBorders>
              <w:left w:val="nil"/>
              <w:right w:val="single" w:color="auto" w:sz="4" w:space="0"/>
            </w:tcBorders>
            <w:vAlign w:val="center"/>
          </w:tcPr>
          <w:p w14:paraId="2151995E">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6CF55B70">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599858DC">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氯甲烷</w:t>
            </w:r>
          </w:p>
        </w:tc>
        <w:tc>
          <w:tcPr>
            <w:tcW w:w="3568" w:type="dxa"/>
            <w:vMerge w:val="continue"/>
            <w:tcBorders>
              <w:left w:val="single" w:color="auto" w:sz="4" w:space="0"/>
              <w:right w:val="single" w:color="auto" w:sz="4" w:space="0"/>
            </w:tcBorders>
            <w:vAlign w:val="center"/>
          </w:tcPr>
          <w:p w14:paraId="6F9F17BF">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05134B89">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1AD860BC">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2A51CD45">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6FD7CB5A">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01912E2F">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308B602E">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氯乙烯</w:t>
            </w:r>
          </w:p>
        </w:tc>
        <w:tc>
          <w:tcPr>
            <w:tcW w:w="3568" w:type="dxa"/>
            <w:vMerge w:val="continue"/>
            <w:tcBorders>
              <w:left w:val="single" w:color="auto" w:sz="4" w:space="0"/>
              <w:right w:val="single" w:color="auto" w:sz="4" w:space="0"/>
            </w:tcBorders>
            <w:vAlign w:val="center"/>
          </w:tcPr>
          <w:p w14:paraId="64406BBF">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5301545F">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6A9CE5D3">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4415E84D">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622" w:type="dxa"/>
            <w:vMerge w:val="continue"/>
            <w:tcBorders>
              <w:left w:val="nil"/>
              <w:right w:val="single" w:color="auto" w:sz="4" w:space="0"/>
            </w:tcBorders>
            <w:vAlign w:val="center"/>
          </w:tcPr>
          <w:p w14:paraId="08A6C0EB">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0FAC8F4A">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216B7975">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1,1-二氯乙烯</w:t>
            </w:r>
          </w:p>
        </w:tc>
        <w:tc>
          <w:tcPr>
            <w:tcW w:w="3568" w:type="dxa"/>
            <w:vMerge w:val="continue"/>
            <w:tcBorders>
              <w:left w:val="single" w:color="auto" w:sz="4" w:space="0"/>
              <w:right w:val="single" w:color="auto" w:sz="4" w:space="0"/>
            </w:tcBorders>
            <w:vAlign w:val="center"/>
          </w:tcPr>
          <w:p w14:paraId="727D9281">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792CB5F3">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57F7A689">
            <w:pPr>
              <w:overflowPunct w:val="0"/>
              <w:autoSpaceDE w:val="0"/>
              <w:autoSpaceDN w:val="0"/>
              <w:adjustRightInd w:val="0"/>
              <w:spacing w:line="240" w:lineRule="auto"/>
              <w:jc w:val="center"/>
              <w:textAlignment w:val="baseline"/>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0.05</w:t>
            </w:r>
          </w:p>
        </w:tc>
      </w:tr>
      <w:tr w14:paraId="0569A4D8">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622" w:type="dxa"/>
            <w:vMerge w:val="continue"/>
            <w:tcBorders>
              <w:left w:val="nil"/>
              <w:right w:val="single" w:color="auto" w:sz="4" w:space="0"/>
            </w:tcBorders>
            <w:vAlign w:val="center"/>
          </w:tcPr>
          <w:p w14:paraId="0D297D1A">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78B1DCE3">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203C4E32">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二氯甲烷</w:t>
            </w:r>
          </w:p>
        </w:tc>
        <w:tc>
          <w:tcPr>
            <w:tcW w:w="3568" w:type="dxa"/>
            <w:vMerge w:val="continue"/>
            <w:tcBorders>
              <w:left w:val="single" w:color="auto" w:sz="4" w:space="0"/>
              <w:right w:val="single" w:color="auto" w:sz="4" w:space="0"/>
            </w:tcBorders>
            <w:vAlign w:val="center"/>
          </w:tcPr>
          <w:p w14:paraId="49B45484">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418A916D">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67536C43">
            <w:pPr>
              <w:overflowPunct w:val="0"/>
              <w:autoSpaceDE w:val="0"/>
              <w:autoSpaceDN w:val="0"/>
              <w:adjustRightInd w:val="0"/>
              <w:spacing w:line="240" w:lineRule="auto"/>
              <w:jc w:val="center"/>
              <w:textAlignment w:val="baseline"/>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0.05</w:t>
            </w:r>
          </w:p>
        </w:tc>
      </w:tr>
      <w:tr w14:paraId="1E7E433B">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3E80F0BE">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20064FAD">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0ABA84C1">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反式-1,2-二氯乙烯</w:t>
            </w:r>
          </w:p>
        </w:tc>
        <w:tc>
          <w:tcPr>
            <w:tcW w:w="3568" w:type="dxa"/>
            <w:vMerge w:val="continue"/>
            <w:tcBorders>
              <w:left w:val="single" w:color="auto" w:sz="4" w:space="0"/>
              <w:right w:val="single" w:color="auto" w:sz="4" w:space="0"/>
            </w:tcBorders>
            <w:vAlign w:val="center"/>
          </w:tcPr>
          <w:p w14:paraId="545149EE">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4971DA07">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6754AFB3">
            <w:pPr>
              <w:overflowPunct w:val="0"/>
              <w:autoSpaceDE w:val="0"/>
              <w:autoSpaceDN w:val="0"/>
              <w:adjustRightInd w:val="0"/>
              <w:spacing w:line="240" w:lineRule="auto"/>
              <w:jc w:val="center"/>
              <w:textAlignment w:val="baseline"/>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0.05</w:t>
            </w:r>
          </w:p>
        </w:tc>
      </w:tr>
      <w:tr w14:paraId="03B8F2F6">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4F1870B9">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7C65C45D">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4FCB763C">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1,1-二氯乙烷</w:t>
            </w:r>
          </w:p>
        </w:tc>
        <w:tc>
          <w:tcPr>
            <w:tcW w:w="3568" w:type="dxa"/>
            <w:vMerge w:val="continue"/>
            <w:tcBorders>
              <w:left w:val="single" w:color="auto" w:sz="4" w:space="0"/>
              <w:right w:val="single" w:color="auto" w:sz="4" w:space="0"/>
            </w:tcBorders>
            <w:vAlign w:val="center"/>
          </w:tcPr>
          <w:p w14:paraId="242459E2">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2DE9FD9C">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5E3D9B13">
            <w:pPr>
              <w:overflowPunct w:val="0"/>
              <w:autoSpaceDE w:val="0"/>
              <w:autoSpaceDN w:val="0"/>
              <w:adjustRightInd w:val="0"/>
              <w:spacing w:line="240" w:lineRule="auto"/>
              <w:jc w:val="center"/>
              <w:textAlignment w:val="baseline"/>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0.05</w:t>
            </w:r>
          </w:p>
        </w:tc>
      </w:tr>
      <w:tr w14:paraId="6EDCF00A">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6A458117">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17397CBE">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2B89920C">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顺式-1,2-二氯乙烯</w:t>
            </w:r>
          </w:p>
        </w:tc>
        <w:tc>
          <w:tcPr>
            <w:tcW w:w="3568" w:type="dxa"/>
            <w:vMerge w:val="continue"/>
            <w:tcBorders>
              <w:left w:val="single" w:color="auto" w:sz="4" w:space="0"/>
              <w:right w:val="single" w:color="auto" w:sz="4" w:space="0"/>
            </w:tcBorders>
            <w:vAlign w:val="center"/>
          </w:tcPr>
          <w:p w14:paraId="1A1CE684">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36CB57C1">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1376721F">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04010ACE">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0659ADD5">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514FF7E8">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542DBE8C">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1,1,1-三氯乙烷</w:t>
            </w:r>
          </w:p>
        </w:tc>
        <w:tc>
          <w:tcPr>
            <w:tcW w:w="3568" w:type="dxa"/>
            <w:vMerge w:val="continue"/>
            <w:tcBorders>
              <w:left w:val="single" w:color="auto" w:sz="4" w:space="0"/>
              <w:right w:val="single" w:color="auto" w:sz="4" w:space="0"/>
            </w:tcBorders>
            <w:vAlign w:val="center"/>
          </w:tcPr>
          <w:p w14:paraId="1E863F0B">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5BE57E7B">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35635AFA">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04F074C3">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5511EAF9">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3D52BB50">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45C4790A">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四氯化碳</w:t>
            </w:r>
          </w:p>
        </w:tc>
        <w:tc>
          <w:tcPr>
            <w:tcW w:w="3568" w:type="dxa"/>
            <w:vMerge w:val="continue"/>
            <w:tcBorders>
              <w:left w:val="single" w:color="auto" w:sz="4" w:space="0"/>
              <w:right w:val="single" w:color="auto" w:sz="4" w:space="0"/>
            </w:tcBorders>
            <w:vAlign w:val="center"/>
          </w:tcPr>
          <w:p w14:paraId="014D2EE3">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0ED2FE77">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2A0C231C">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2616E66B">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6899AB6A">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05F1B274">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1BF535DE">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1,2-二氯乙烷</w:t>
            </w:r>
          </w:p>
        </w:tc>
        <w:tc>
          <w:tcPr>
            <w:tcW w:w="3568" w:type="dxa"/>
            <w:vMerge w:val="continue"/>
            <w:tcBorders>
              <w:left w:val="single" w:color="auto" w:sz="4" w:space="0"/>
              <w:right w:val="single" w:color="auto" w:sz="4" w:space="0"/>
            </w:tcBorders>
            <w:vAlign w:val="center"/>
          </w:tcPr>
          <w:p w14:paraId="4ADBB440">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450F19E6">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1B70971B">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3B39DEE2">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765C0333">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04B0ACF3">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0776B695">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三氯乙烯</w:t>
            </w:r>
          </w:p>
        </w:tc>
        <w:tc>
          <w:tcPr>
            <w:tcW w:w="3568" w:type="dxa"/>
            <w:vMerge w:val="continue"/>
            <w:tcBorders>
              <w:left w:val="single" w:color="auto" w:sz="4" w:space="0"/>
              <w:right w:val="single" w:color="auto" w:sz="4" w:space="0"/>
            </w:tcBorders>
            <w:vAlign w:val="center"/>
          </w:tcPr>
          <w:p w14:paraId="3ED18955">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0D23D809">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4683F5C7">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3B29845F">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6D942704">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60366DA3">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4E226280">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1,2-二氯丙烷</w:t>
            </w:r>
          </w:p>
        </w:tc>
        <w:tc>
          <w:tcPr>
            <w:tcW w:w="3568" w:type="dxa"/>
            <w:vMerge w:val="continue"/>
            <w:tcBorders>
              <w:left w:val="single" w:color="auto" w:sz="4" w:space="0"/>
              <w:right w:val="single" w:color="auto" w:sz="4" w:space="0"/>
            </w:tcBorders>
            <w:vAlign w:val="center"/>
          </w:tcPr>
          <w:p w14:paraId="6F24565E">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397286A6">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651B3C26">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19FA7876">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0D912FA6">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011ABC80">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75022033">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1,1,2-三氯乙烷</w:t>
            </w:r>
          </w:p>
        </w:tc>
        <w:tc>
          <w:tcPr>
            <w:tcW w:w="3568" w:type="dxa"/>
            <w:vMerge w:val="continue"/>
            <w:tcBorders>
              <w:left w:val="single" w:color="auto" w:sz="4" w:space="0"/>
              <w:right w:val="single" w:color="auto" w:sz="4" w:space="0"/>
            </w:tcBorders>
            <w:vAlign w:val="center"/>
          </w:tcPr>
          <w:p w14:paraId="417C3609">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2D7F4B80">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4558A7C9">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14BA9370">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2631137A">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6BC29279">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774A13CB">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四氯乙烯</w:t>
            </w:r>
          </w:p>
        </w:tc>
        <w:tc>
          <w:tcPr>
            <w:tcW w:w="3568" w:type="dxa"/>
            <w:vMerge w:val="continue"/>
            <w:tcBorders>
              <w:left w:val="single" w:color="auto" w:sz="4" w:space="0"/>
              <w:right w:val="single" w:color="auto" w:sz="4" w:space="0"/>
            </w:tcBorders>
            <w:vAlign w:val="center"/>
          </w:tcPr>
          <w:p w14:paraId="096BA29A">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2CE58B77">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3680A2FE">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5ABF7128">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161B835A">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4DA99B6B">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left w:val="single" w:color="auto" w:sz="4" w:space="0"/>
              <w:bottom w:val="single" w:color="auto" w:sz="4" w:space="0"/>
              <w:right w:val="single" w:color="auto" w:sz="4" w:space="0"/>
            </w:tcBorders>
            <w:vAlign w:val="center"/>
          </w:tcPr>
          <w:p w14:paraId="6C458624">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1,1,1,2-四氯乙烷</w:t>
            </w:r>
          </w:p>
        </w:tc>
        <w:tc>
          <w:tcPr>
            <w:tcW w:w="3568" w:type="dxa"/>
            <w:vMerge w:val="continue"/>
            <w:tcBorders>
              <w:left w:val="single" w:color="auto" w:sz="4" w:space="0"/>
              <w:right w:val="single" w:color="auto" w:sz="4" w:space="0"/>
            </w:tcBorders>
            <w:vAlign w:val="center"/>
          </w:tcPr>
          <w:p w14:paraId="76DD26F1">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3DB53DB6">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left w:val="single" w:color="auto" w:sz="4" w:space="0"/>
              <w:bottom w:val="single" w:color="auto" w:sz="4" w:space="0"/>
              <w:right w:val="nil"/>
            </w:tcBorders>
            <w:vAlign w:val="center"/>
          </w:tcPr>
          <w:p w14:paraId="4CF06FE7">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2694004A">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7D00D8B6">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14945FA9">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52546858">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1,1,2,2-四氯乙烷</w:t>
            </w:r>
          </w:p>
        </w:tc>
        <w:tc>
          <w:tcPr>
            <w:tcW w:w="3568" w:type="dxa"/>
            <w:vMerge w:val="continue"/>
            <w:tcBorders>
              <w:left w:val="single" w:color="auto" w:sz="4" w:space="0"/>
              <w:right w:val="single" w:color="auto" w:sz="4" w:space="0"/>
            </w:tcBorders>
            <w:vAlign w:val="center"/>
          </w:tcPr>
          <w:p w14:paraId="7B1B8CD3">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62573EAE">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09F5CE0C">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1DCBE4CB">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0AA7B6BE">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18BC4F39">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16B13949">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1,2,3-三氯丙烷</w:t>
            </w:r>
          </w:p>
        </w:tc>
        <w:tc>
          <w:tcPr>
            <w:tcW w:w="3568" w:type="dxa"/>
            <w:vMerge w:val="continue"/>
            <w:tcBorders>
              <w:left w:val="single" w:color="auto" w:sz="4" w:space="0"/>
              <w:right w:val="single" w:color="auto" w:sz="4" w:space="0"/>
            </w:tcBorders>
            <w:vAlign w:val="center"/>
          </w:tcPr>
          <w:p w14:paraId="4B4516B2">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05C7D0C8">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5749080D">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39FD4677">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1757D1CA">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499E85E3">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2A5C543D">
            <w:pPr>
              <w:overflowPunct w:val="0"/>
              <w:autoSpaceDE w:val="0"/>
              <w:autoSpaceDN w:val="0"/>
              <w:adjustRightInd w:val="0"/>
              <w:spacing w:line="240" w:lineRule="auto"/>
              <w:jc w:val="center"/>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1,3,5-</w:t>
            </w:r>
            <w:r>
              <w:rPr>
                <w:rFonts w:hint="default" w:ascii="Times New Roman" w:hAnsi="Times New Roman" w:cs="Times New Roman"/>
                <w:color w:val="auto"/>
                <w:sz w:val="21"/>
                <w:szCs w:val="21"/>
                <w:highlight w:val="none"/>
                <w:lang w:eastAsia="zh-CN"/>
              </w:rPr>
              <w:t>三甲基苯</w:t>
            </w:r>
          </w:p>
        </w:tc>
        <w:tc>
          <w:tcPr>
            <w:tcW w:w="3568" w:type="dxa"/>
            <w:vMerge w:val="continue"/>
            <w:tcBorders>
              <w:left w:val="single" w:color="auto" w:sz="4" w:space="0"/>
              <w:right w:val="single" w:color="auto" w:sz="4" w:space="0"/>
            </w:tcBorders>
            <w:vAlign w:val="center"/>
          </w:tcPr>
          <w:p w14:paraId="03159044">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06DEF33A">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7FFF1069">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1BEF0EF0">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45799756">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0A545EE4">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5FFCB837">
            <w:pPr>
              <w:overflowPunct w:val="0"/>
              <w:autoSpaceDE w:val="0"/>
              <w:autoSpaceDN w:val="0"/>
              <w:adjustRightInd w:val="0"/>
              <w:spacing w:line="240" w:lineRule="auto"/>
              <w:jc w:val="center"/>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1,2,4-</w:t>
            </w:r>
            <w:r>
              <w:rPr>
                <w:rFonts w:hint="default" w:ascii="Times New Roman" w:hAnsi="Times New Roman" w:cs="Times New Roman"/>
                <w:color w:val="auto"/>
                <w:sz w:val="21"/>
                <w:szCs w:val="21"/>
                <w:highlight w:val="none"/>
                <w:lang w:eastAsia="zh-CN"/>
              </w:rPr>
              <w:t>三甲基苯</w:t>
            </w:r>
          </w:p>
        </w:tc>
        <w:tc>
          <w:tcPr>
            <w:tcW w:w="3568" w:type="dxa"/>
            <w:vMerge w:val="continue"/>
            <w:tcBorders>
              <w:left w:val="single" w:color="auto" w:sz="4" w:space="0"/>
              <w:right w:val="single" w:color="auto" w:sz="4" w:space="0"/>
            </w:tcBorders>
            <w:vAlign w:val="center"/>
          </w:tcPr>
          <w:p w14:paraId="55802905">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4A63D4DF">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5CD70E5B">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5958FAC7">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35CE765E">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7B0FB61C">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58690FCF">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氯苯</w:t>
            </w:r>
          </w:p>
        </w:tc>
        <w:tc>
          <w:tcPr>
            <w:tcW w:w="3568" w:type="dxa"/>
            <w:vMerge w:val="continue"/>
            <w:tcBorders>
              <w:left w:val="single" w:color="auto" w:sz="4" w:space="0"/>
              <w:right w:val="single" w:color="auto" w:sz="4" w:space="0"/>
            </w:tcBorders>
            <w:vAlign w:val="center"/>
          </w:tcPr>
          <w:p w14:paraId="616CFD9A">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4924F280">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0DCBCE0B">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69881EDB">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5D5AEFDE">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5B1872F7">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14722401">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1,4-二氯苯</w:t>
            </w:r>
          </w:p>
        </w:tc>
        <w:tc>
          <w:tcPr>
            <w:tcW w:w="3568" w:type="dxa"/>
            <w:vMerge w:val="continue"/>
            <w:tcBorders>
              <w:left w:val="single" w:color="auto" w:sz="4" w:space="0"/>
              <w:right w:val="single" w:color="auto" w:sz="4" w:space="0"/>
            </w:tcBorders>
            <w:vAlign w:val="center"/>
          </w:tcPr>
          <w:p w14:paraId="1A1E4E90">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35BEC4E2">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4BC32348">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4D635D50">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73CEDC13">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36CC1CFC">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0CCC07E4">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1,2-二氯苯</w:t>
            </w:r>
          </w:p>
        </w:tc>
        <w:tc>
          <w:tcPr>
            <w:tcW w:w="3568" w:type="dxa"/>
            <w:vMerge w:val="continue"/>
            <w:tcBorders>
              <w:left w:val="single" w:color="auto" w:sz="4" w:space="0"/>
              <w:right w:val="single" w:color="auto" w:sz="4" w:space="0"/>
            </w:tcBorders>
            <w:vAlign w:val="center"/>
          </w:tcPr>
          <w:p w14:paraId="4A1F03D1">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1798E25C">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5A2AA595">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3A05B839">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5041A8D7">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right w:val="single" w:color="auto" w:sz="4" w:space="0"/>
            </w:tcBorders>
            <w:vAlign w:val="center"/>
          </w:tcPr>
          <w:p w14:paraId="5FB2D7DE">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377E2693">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氯仿(氯仿)</w:t>
            </w:r>
          </w:p>
        </w:tc>
        <w:tc>
          <w:tcPr>
            <w:tcW w:w="3568" w:type="dxa"/>
            <w:vMerge w:val="continue"/>
            <w:tcBorders>
              <w:left w:val="single" w:color="auto" w:sz="4" w:space="0"/>
              <w:right w:val="single" w:color="auto" w:sz="4" w:space="0"/>
            </w:tcBorders>
            <w:vAlign w:val="center"/>
          </w:tcPr>
          <w:p w14:paraId="5E581AE6">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right w:val="single" w:color="auto" w:sz="4" w:space="0"/>
            </w:tcBorders>
            <w:vAlign w:val="center"/>
          </w:tcPr>
          <w:p w14:paraId="1DDE9B26">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3A06367A">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42BCD874">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141A6AD3">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left w:val="single" w:color="auto" w:sz="4" w:space="0"/>
              <w:bottom w:val="single" w:color="auto" w:sz="4" w:space="0"/>
              <w:right w:val="single" w:color="auto" w:sz="4" w:space="0"/>
            </w:tcBorders>
            <w:vAlign w:val="center"/>
          </w:tcPr>
          <w:p w14:paraId="4BA980B5">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6A891153">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二硫化碳</w:t>
            </w:r>
          </w:p>
        </w:tc>
        <w:tc>
          <w:tcPr>
            <w:tcW w:w="3568" w:type="dxa"/>
            <w:vMerge w:val="continue"/>
            <w:tcBorders>
              <w:left w:val="single" w:color="auto" w:sz="4" w:space="0"/>
              <w:bottom w:val="single" w:color="auto" w:sz="4" w:space="0"/>
              <w:right w:val="single" w:color="auto" w:sz="4" w:space="0"/>
            </w:tcBorders>
            <w:vAlign w:val="center"/>
          </w:tcPr>
          <w:p w14:paraId="2D03D638">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left w:val="single" w:color="auto" w:sz="4" w:space="0"/>
              <w:bottom w:val="single" w:color="auto" w:sz="4" w:space="0"/>
              <w:right w:val="single" w:color="auto" w:sz="4" w:space="0"/>
            </w:tcBorders>
            <w:vAlign w:val="center"/>
          </w:tcPr>
          <w:p w14:paraId="78DA9E8D">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3A15AB54">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26445684">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608AF586">
            <w:pPr>
              <w:widowControl/>
              <w:spacing w:line="240" w:lineRule="auto"/>
              <w:jc w:val="center"/>
              <w:rPr>
                <w:rFonts w:hint="default" w:ascii="Times New Roman" w:hAnsi="Times New Roman" w:cs="Times New Roman"/>
                <w:color w:val="auto"/>
                <w:sz w:val="21"/>
                <w:szCs w:val="21"/>
                <w:highlight w:val="none"/>
              </w:rPr>
            </w:pPr>
          </w:p>
        </w:tc>
        <w:tc>
          <w:tcPr>
            <w:tcW w:w="896" w:type="dxa"/>
            <w:vMerge w:val="restart"/>
            <w:tcBorders>
              <w:top w:val="single" w:color="auto" w:sz="4" w:space="0"/>
            </w:tcBorders>
            <w:vAlign w:val="center"/>
          </w:tcPr>
          <w:p w14:paraId="7FA4D5E2">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半挥发性有机物</w:t>
            </w:r>
          </w:p>
        </w:tc>
        <w:tc>
          <w:tcPr>
            <w:tcW w:w="1807" w:type="dxa"/>
            <w:tcBorders>
              <w:top w:val="single" w:color="auto" w:sz="4" w:space="0"/>
              <w:bottom w:val="single" w:color="auto" w:sz="4" w:space="0"/>
            </w:tcBorders>
            <w:vAlign w:val="center"/>
          </w:tcPr>
          <w:p w14:paraId="3FE8EAFB">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2-氯酚</w:t>
            </w:r>
          </w:p>
        </w:tc>
        <w:tc>
          <w:tcPr>
            <w:tcW w:w="3568" w:type="dxa"/>
            <w:vMerge w:val="restart"/>
            <w:tcBorders>
              <w:top w:val="single" w:color="auto" w:sz="4" w:space="0"/>
            </w:tcBorders>
            <w:vAlign w:val="center"/>
          </w:tcPr>
          <w:p w14:paraId="135AA1D8">
            <w:pPr>
              <w:widowControl/>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土壤和沉积物 半挥发性有机物的测定 气相色谱-质谱法</w:t>
            </w:r>
          </w:p>
        </w:tc>
        <w:tc>
          <w:tcPr>
            <w:tcW w:w="1476" w:type="dxa"/>
            <w:vMerge w:val="restart"/>
            <w:tcBorders>
              <w:top w:val="single" w:color="auto" w:sz="4" w:space="0"/>
            </w:tcBorders>
            <w:vAlign w:val="center"/>
          </w:tcPr>
          <w:p w14:paraId="2A2980B5">
            <w:pPr>
              <w:widowControl/>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HJ 834-2017</w:t>
            </w:r>
          </w:p>
        </w:tc>
        <w:tc>
          <w:tcPr>
            <w:tcW w:w="1429" w:type="dxa"/>
            <w:tcBorders>
              <w:top w:val="single" w:color="auto" w:sz="4" w:space="0"/>
              <w:bottom w:val="single" w:color="auto" w:sz="4" w:space="0"/>
              <w:right w:val="nil"/>
            </w:tcBorders>
            <w:vAlign w:val="center"/>
          </w:tcPr>
          <w:p w14:paraId="0E34B93B">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0.06</w:t>
            </w:r>
          </w:p>
        </w:tc>
      </w:tr>
      <w:tr w14:paraId="43ED9859">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735DC524">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vAlign w:val="center"/>
          </w:tcPr>
          <w:p w14:paraId="092DDBFE">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27ED1B15">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苯酚</w:t>
            </w:r>
          </w:p>
        </w:tc>
        <w:tc>
          <w:tcPr>
            <w:tcW w:w="3568" w:type="dxa"/>
            <w:vMerge w:val="continue"/>
            <w:vAlign w:val="center"/>
          </w:tcPr>
          <w:p w14:paraId="527472F9">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vAlign w:val="center"/>
          </w:tcPr>
          <w:p w14:paraId="4F289F0A">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485B409F">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1893928F">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6A7CEC51">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vAlign w:val="center"/>
          </w:tcPr>
          <w:p w14:paraId="4F7BDCA6">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6B5AFC2F">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2-甲基苯酚</w:t>
            </w:r>
          </w:p>
        </w:tc>
        <w:tc>
          <w:tcPr>
            <w:tcW w:w="3568" w:type="dxa"/>
            <w:vMerge w:val="continue"/>
            <w:vAlign w:val="center"/>
          </w:tcPr>
          <w:p w14:paraId="4FBFFCE7">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vAlign w:val="center"/>
          </w:tcPr>
          <w:p w14:paraId="11D6811B">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239F60E4">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29DD98FC">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4D2FC7BE">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vAlign w:val="center"/>
          </w:tcPr>
          <w:p w14:paraId="3D6DF067">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287D91D5">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4-甲基苯酚</w:t>
            </w:r>
          </w:p>
        </w:tc>
        <w:tc>
          <w:tcPr>
            <w:tcW w:w="3568" w:type="dxa"/>
            <w:vMerge w:val="continue"/>
            <w:vAlign w:val="center"/>
          </w:tcPr>
          <w:p w14:paraId="0D100820">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vAlign w:val="center"/>
          </w:tcPr>
          <w:p w14:paraId="0A63CF5E">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53C9E7C4">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2B44FD5E">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194F0BDC">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vAlign w:val="center"/>
          </w:tcPr>
          <w:p w14:paraId="6A0BFA39">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466E0BE2">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萘</w:t>
            </w:r>
          </w:p>
        </w:tc>
        <w:tc>
          <w:tcPr>
            <w:tcW w:w="3568" w:type="dxa"/>
            <w:vMerge w:val="continue"/>
            <w:vAlign w:val="center"/>
          </w:tcPr>
          <w:p w14:paraId="23415442">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vAlign w:val="center"/>
          </w:tcPr>
          <w:p w14:paraId="7574B619">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2F5097F5">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0.09</w:t>
            </w:r>
          </w:p>
        </w:tc>
      </w:tr>
      <w:tr w14:paraId="69BF971E">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39ED145B">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vAlign w:val="center"/>
          </w:tcPr>
          <w:p w14:paraId="3B9D3B36">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2F7666F4">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苯并(a)蒽</w:t>
            </w:r>
          </w:p>
        </w:tc>
        <w:tc>
          <w:tcPr>
            <w:tcW w:w="3568" w:type="dxa"/>
            <w:vMerge w:val="continue"/>
            <w:vAlign w:val="center"/>
          </w:tcPr>
          <w:p w14:paraId="15890D80">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vAlign w:val="center"/>
          </w:tcPr>
          <w:p w14:paraId="24649780">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06D5E16E">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74C27C37">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2" w:type="dxa"/>
            <w:vMerge w:val="continue"/>
            <w:tcBorders>
              <w:left w:val="nil"/>
              <w:right w:val="single" w:color="auto" w:sz="4" w:space="0"/>
            </w:tcBorders>
            <w:vAlign w:val="center"/>
          </w:tcPr>
          <w:p w14:paraId="2801706B">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vAlign w:val="center"/>
          </w:tcPr>
          <w:p w14:paraId="4C8B92F1">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22274188">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䓛</w:t>
            </w:r>
          </w:p>
        </w:tc>
        <w:tc>
          <w:tcPr>
            <w:tcW w:w="3568" w:type="dxa"/>
            <w:vMerge w:val="continue"/>
            <w:vAlign w:val="center"/>
          </w:tcPr>
          <w:p w14:paraId="09D2CDFF">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vAlign w:val="center"/>
          </w:tcPr>
          <w:p w14:paraId="06014AFD">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5E5F2C9C">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13996D1D">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3AFFD885">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vAlign w:val="center"/>
          </w:tcPr>
          <w:p w14:paraId="51AD7AF7">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07312727">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苯并(b)荧蒽</w:t>
            </w:r>
          </w:p>
        </w:tc>
        <w:tc>
          <w:tcPr>
            <w:tcW w:w="3568" w:type="dxa"/>
            <w:vMerge w:val="continue"/>
            <w:vAlign w:val="center"/>
          </w:tcPr>
          <w:p w14:paraId="2D0CCB43">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vAlign w:val="center"/>
          </w:tcPr>
          <w:p w14:paraId="2A02A060">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68FBB583">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0.2</w:t>
            </w:r>
          </w:p>
        </w:tc>
      </w:tr>
      <w:tr w14:paraId="38854365">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720D75C3">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vAlign w:val="center"/>
          </w:tcPr>
          <w:p w14:paraId="0629DE38">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56D9C835">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苯并(k)荧蒽</w:t>
            </w:r>
          </w:p>
        </w:tc>
        <w:tc>
          <w:tcPr>
            <w:tcW w:w="3568" w:type="dxa"/>
            <w:vMerge w:val="continue"/>
            <w:vAlign w:val="center"/>
          </w:tcPr>
          <w:p w14:paraId="35AA9F83">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vAlign w:val="center"/>
          </w:tcPr>
          <w:p w14:paraId="4818A571">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4D53722B">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55D9E37D">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6F0154EB">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vAlign w:val="center"/>
          </w:tcPr>
          <w:p w14:paraId="4C4B60B7">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0CB962B7">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苯并(a)芘</w:t>
            </w:r>
          </w:p>
        </w:tc>
        <w:tc>
          <w:tcPr>
            <w:tcW w:w="3568" w:type="dxa"/>
            <w:vMerge w:val="continue"/>
            <w:vAlign w:val="center"/>
          </w:tcPr>
          <w:p w14:paraId="2E0783A4">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vAlign w:val="center"/>
          </w:tcPr>
          <w:p w14:paraId="4D0166E3">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09458025">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0085E4A5">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3887BD3B">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vAlign w:val="center"/>
          </w:tcPr>
          <w:p w14:paraId="7876CEDA">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2404CC10">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茚并(1,2,3-cd)芘</w:t>
            </w:r>
          </w:p>
        </w:tc>
        <w:tc>
          <w:tcPr>
            <w:tcW w:w="3568" w:type="dxa"/>
            <w:vMerge w:val="continue"/>
            <w:vAlign w:val="center"/>
          </w:tcPr>
          <w:p w14:paraId="29C50D76">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vAlign w:val="center"/>
          </w:tcPr>
          <w:p w14:paraId="60A269DB">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39A891FC">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12FFB2B3">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42A6B19B">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vAlign w:val="center"/>
          </w:tcPr>
          <w:p w14:paraId="7C222FDC">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290B7EB2">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二苯并(a,h)蒽</w:t>
            </w:r>
          </w:p>
        </w:tc>
        <w:tc>
          <w:tcPr>
            <w:tcW w:w="3568" w:type="dxa"/>
            <w:vMerge w:val="continue"/>
            <w:vAlign w:val="center"/>
          </w:tcPr>
          <w:p w14:paraId="746897DA">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vAlign w:val="center"/>
          </w:tcPr>
          <w:p w14:paraId="53C2EE45">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7C0614D6">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0CF000BB">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477480DE">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tcBorders>
              <w:bottom w:val="single" w:color="auto" w:sz="12" w:space="0"/>
            </w:tcBorders>
            <w:vAlign w:val="center"/>
          </w:tcPr>
          <w:p w14:paraId="4CEE7D8D">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631152B3">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硝基苯</w:t>
            </w:r>
          </w:p>
        </w:tc>
        <w:tc>
          <w:tcPr>
            <w:tcW w:w="3568" w:type="dxa"/>
            <w:vMerge w:val="continue"/>
            <w:tcBorders>
              <w:bottom w:val="single" w:color="auto" w:sz="4" w:space="0"/>
            </w:tcBorders>
            <w:vAlign w:val="center"/>
          </w:tcPr>
          <w:p w14:paraId="0227900F">
            <w:pPr>
              <w:widowControl/>
              <w:spacing w:line="240" w:lineRule="auto"/>
              <w:jc w:val="center"/>
              <w:rPr>
                <w:rFonts w:hint="default" w:ascii="Times New Roman" w:hAnsi="Times New Roman" w:cs="Times New Roman"/>
                <w:color w:val="auto"/>
                <w:sz w:val="21"/>
                <w:szCs w:val="21"/>
                <w:highlight w:val="none"/>
              </w:rPr>
            </w:pPr>
          </w:p>
        </w:tc>
        <w:tc>
          <w:tcPr>
            <w:tcW w:w="1476" w:type="dxa"/>
            <w:vMerge w:val="continue"/>
            <w:tcBorders>
              <w:bottom w:val="single" w:color="auto" w:sz="4" w:space="0"/>
            </w:tcBorders>
            <w:vAlign w:val="center"/>
          </w:tcPr>
          <w:p w14:paraId="30D7BBAD">
            <w:pPr>
              <w:widowControl/>
              <w:spacing w:line="240" w:lineRule="auto"/>
              <w:jc w:val="center"/>
              <w:rPr>
                <w:rFonts w:hint="default" w:ascii="Times New Roman" w:hAnsi="Times New Roman" w:cs="Times New Roman"/>
                <w:color w:val="auto"/>
                <w:sz w:val="21"/>
                <w:szCs w:val="21"/>
                <w:highlight w:val="none"/>
              </w:rPr>
            </w:pPr>
          </w:p>
        </w:tc>
        <w:tc>
          <w:tcPr>
            <w:tcW w:w="1429" w:type="dxa"/>
            <w:tcBorders>
              <w:top w:val="single" w:color="auto" w:sz="4" w:space="0"/>
              <w:bottom w:val="single" w:color="auto" w:sz="4" w:space="0"/>
              <w:right w:val="nil"/>
            </w:tcBorders>
            <w:vAlign w:val="center"/>
          </w:tcPr>
          <w:p w14:paraId="07F32912">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0.09</w:t>
            </w:r>
          </w:p>
        </w:tc>
      </w:tr>
      <w:tr w14:paraId="25D57D30">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right w:val="single" w:color="auto" w:sz="4" w:space="0"/>
            </w:tcBorders>
            <w:vAlign w:val="center"/>
          </w:tcPr>
          <w:p w14:paraId="085ED520">
            <w:pPr>
              <w:widowControl/>
              <w:spacing w:line="240" w:lineRule="auto"/>
              <w:jc w:val="center"/>
              <w:rPr>
                <w:rFonts w:hint="default" w:ascii="Times New Roman" w:hAnsi="Times New Roman" w:cs="Times New Roman"/>
                <w:color w:val="auto"/>
                <w:sz w:val="21"/>
                <w:szCs w:val="21"/>
                <w:highlight w:val="none"/>
              </w:rPr>
            </w:pPr>
          </w:p>
        </w:tc>
        <w:tc>
          <w:tcPr>
            <w:tcW w:w="896" w:type="dxa"/>
            <w:vMerge w:val="continue"/>
            <w:vAlign w:val="center"/>
          </w:tcPr>
          <w:p w14:paraId="0449054C">
            <w:pPr>
              <w:widowControl/>
              <w:spacing w:line="240" w:lineRule="auto"/>
              <w:jc w:val="center"/>
              <w:rPr>
                <w:rFonts w:hint="default" w:ascii="Times New Roman" w:hAnsi="Times New Roman" w:cs="Times New Roman"/>
                <w:color w:val="auto"/>
                <w:sz w:val="21"/>
                <w:szCs w:val="21"/>
                <w:highlight w:val="none"/>
              </w:rPr>
            </w:pPr>
          </w:p>
        </w:tc>
        <w:tc>
          <w:tcPr>
            <w:tcW w:w="1807" w:type="dxa"/>
            <w:tcBorders>
              <w:top w:val="single" w:color="auto" w:sz="4" w:space="0"/>
              <w:bottom w:val="single" w:color="auto" w:sz="4" w:space="0"/>
            </w:tcBorders>
            <w:vAlign w:val="center"/>
          </w:tcPr>
          <w:p w14:paraId="37A6BFCF">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苯胺</w:t>
            </w:r>
          </w:p>
        </w:tc>
        <w:tc>
          <w:tcPr>
            <w:tcW w:w="3568" w:type="dxa"/>
            <w:tcBorders>
              <w:top w:val="single" w:color="auto" w:sz="4" w:space="0"/>
              <w:bottom w:val="single" w:color="auto" w:sz="4" w:space="0"/>
            </w:tcBorders>
            <w:vAlign w:val="center"/>
          </w:tcPr>
          <w:p w14:paraId="2CD452C0">
            <w:pPr>
              <w:widowControl/>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半挥发性有机化合物的测定 气相色谱-质谱法</w:t>
            </w:r>
          </w:p>
        </w:tc>
        <w:tc>
          <w:tcPr>
            <w:tcW w:w="1476" w:type="dxa"/>
            <w:tcBorders>
              <w:top w:val="single" w:color="auto" w:sz="4" w:space="0"/>
              <w:bottom w:val="single" w:color="auto" w:sz="4" w:space="0"/>
            </w:tcBorders>
            <w:vAlign w:val="center"/>
          </w:tcPr>
          <w:p w14:paraId="5001ECCC">
            <w:pPr>
              <w:widowControl/>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USEPA 8270E Rev.6 (2017.2)</w:t>
            </w:r>
          </w:p>
        </w:tc>
        <w:tc>
          <w:tcPr>
            <w:tcW w:w="1429" w:type="dxa"/>
            <w:tcBorders>
              <w:top w:val="single" w:color="auto" w:sz="4" w:space="0"/>
              <w:bottom w:val="single" w:color="auto" w:sz="4" w:space="0"/>
              <w:right w:val="nil"/>
            </w:tcBorders>
            <w:vAlign w:val="center"/>
          </w:tcPr>
          <w:p w14:paraId="61FCC1CB">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09741D60">
        <w:tblPrEx>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22" w:type="dxa"/>
            <w:vMerge w:val="continue"/>
            <w:tcBorders>
              <w:left w:val="nil"/>
              <w:bottom w:val="single" w:color="auto" w:sz="12" w:space="0"/>
              <w:right w:val="single" w:color="auto" w:sz="4" w:space="0"/>
            </w:tcBorders>
            <w:vAlign w:val="center"/>
          </w:tcPr>
          <w:p w14:paraId="04F28CCC">
            <w:pPr>
              <w:widowControl/>
              <w:spacing w:line="240" w:lineRule="auto"/>
              <w:jc w:val="center"/>
              <w:rPr>
                <w:rFonts w:hint="default" w:ascii="Times New Roman" w:hAnsi="Times New Roman" w:cs="Times New Roman"/>
                <w:color w:val="auto"/>
                <w:sz w:val="21"/>
                <w:szCs w:val="21"/>
                <w:highlight w:val="none"/>
              </w:rPr>
            </w:pPr>
          </w:p>
        </w:tc>
        <w:tc>
          <w:tcPr>
            <w:tcW w:w="896" w:type="dxa"/>
            <w:tcBorders>
              <w:bottom w:val="single" w:color="auto" w:sz="12" w:space="0"/>
            </w:tcBorders>
            <w:vAlign w:val="center"/>
          </w:tcPr>
          <w:p w14:paraId="1C0222E8">
            <w:pPr>
              <w:widowControl/>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其他项目</w:t>
            </w:r>
          </w:p>
        </w:tc>
        <w:tc>
          <w:tcPr>
            <w:tcW w:w="1807" w:type="dxa"/>
            <w:tcBorders>
              <w:top w:val="single" w:color="auto" w:sz="4" w:space="0"/>
              <w:bottom w:val="single" w:color="auto" w:sz="12" w:space="0"/>
            </w:tcBorders>
            <w:vAlign w:val="center"/>
          </w:tcPr>
          <w:p w14:paraId="469B537D">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二噁英</w:t>
            </w:r>
          </w:p>
        </w:tc>
        <w:tc>
          <w:tcPr>
            <w:tcW w:w="3568" w:type="dxa"/>
            <w:tcBorders>
              <w:top w:val="single" w:color="auto" w:sz="4" w:space="0"/>
              <w:bottom w:val="single" w:color="auto" w:sz="12" w:space="0"/>
            </w:tcBorders>
            <w:vAlign w:val="center"/>
          </w:tcPr>
          <w:p w14:paraId="0588B2A7">
            <w:pPr>
              <w:widowControl/>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土壤和沉积物 二噁英类的测定 同位素稀释高分辨气相 色谱-高分辨率质谱法</w:t>
            </w:r>
          </w:p>
        </w:tc>
        <w:tc>
          <w:tcPr>
            <w:tcW w:w="1476" w:type="dxa"/>
            <w:tcBorders>
              <w:top w:val="single" w:color="auto" w:sz="4" w:space="0"/>
              <w:bottom w:val="single" w:color="auto" w:sz="12" w:space="0"/>
            </w:tcBorders>
            <w:vAlign w:val="center"/>
          </w:tcPr>
          <w:p w14:paraId="45BE0F81">
            <w:pPr>
              <w:widowControl/>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HJ 77.4-2008</w:t>
            </w:r>
          </w:p>
        </w:tc>
        <w:tc>
          <w:tcPr>
            <w:tcW w:w="1429" w:type="dxa"/>
            <w:tcBorders>
              <w:top w:val="single" w:color="auto" w:sz="4" w:space="0"/>
              <w:bottom w:val="single" w:color="auto" w:sz="12" w:space="0"/>
              <w:right w:val="nil"/>
            </w:tcBorders>
            <w:vAlign w:val="center"/>
          </w:tcPr>
          <w:p w14:paraId="0A89BA20">
            <w:pPr>
              <w:overflowPunct w:val="0"/>
              <w:autoSpaceDE w:val="0"/>
              <w:autoSpaceDN w:val="0"/>
              <w:adjustRightInd w:val="0"/>
              <w:spacing w:line="240" w:lineRule="auto"/>
              <w:jc w:val="center"/>
              <w:textAlignment w:val="baseline"/>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vertAlign w:val="superscript"/>
              </w:rPr>
              <w:t>②</w:t>
            </w:r>
          </w:p>
        </w:tc>
      </w:tr>
    </w:tbl>
    <w:p w14:paraId="100B703A">
      <w:pPr>
        <w:keepNext w:val="0"/>
        <w:keepLines w:val="0"/>
        <w:pageBreakBefore w:val="0"/>
        <w:widowControl w:val="0"/>
        <w:kinsoku/>
        <w:wordWrap/>
        <w:overflowPunct/>
        <w:topLinePunct w:val="0"/>
        <w:autoSpaceDN/>
        <w:bidi w:val="0"/>
        <w:adjustRightInd w:val="0"/>
        <w:snapToGrid w:val="0"/>
        <w:spacing w:line="240" w:lineRule="auto"/>
        <w:textAlignment w:val="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注：①检出限均为检测单位给出的报告限，下同；</w:t>
      </w:r>
    </w:p>
    <w:p w14:paraId="7EA534C3">
      <w:pPr>
        <w:pStyle w:val="2"/>
        <w:keepNext w:val="0"/>
        <w:keepLines w:val="0"/>
        <w:pageBreakBefore w:val="0"/>
        <w:widowControl w:val="0"/>
        <w:kinsoku/>
        <w:wordWrap/>
        <w:overflowPunct/>
        <w:topLinePunct w:val="0"/>
        <w:autoSpaceDE w:val="0"/>
        <w:autoSpaceDN/>
        <w:bidi w:val="0"/>
        <w:adjustRightInd w:val="0"/>
        <w:snapToGrid w:val="0"/>
        <w:spacing w:after="0" w:line="240" w:lineRule="auto"/>
        <w:ind w:firstLine="361" w:firstLineChars="200"/>
        <w:textAlignment w:val="auto"/>
        <w:rPr>
          <w:rFonts w:hint="default" w:ascii="Times New Roman" w:hAnsi="Times New Roman" w:cs="Times New Roman"/>
          <w:color w:val="auto"/>
          <w:highlight w:val="none"/>
        </w:rPr>
      </w:pPr>
      <w:r>
        <w:rPr>
          <w:rFonts w:hint="default" w:ascii="Times New Roman" w:hAnsi="Times New Roman" w:cs="Times New Roman"/>
          <w:b/>
          <w:bCs/>
          <w:color w:val="auto"/>
          <w:sz w:val="18"/>
          <w:szCs w:val="18"/>
          <w:highlight w:val="none"/>
        </w:rPr>
        <w:t>②“/”代表方法未给出检出限。根据“HJ77.4-2008”二噁英为一类物质的总称，单项指标有多种同分异构体，故其进行评价时应计算参考总毒性当量，故不给出检出限。</w:t>
      </w:r>
    </w:p>
    <w:p w14:paraId="68CFE8BB">
      <w:pPr>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表4-4-2  地下水监测分析方法及检出限汇总</w:t>
      </w:r>
    </w:p>
    <w:tbl>
      <w:tblPr>
        <w:tblStyle w:val="21"/>
        <w:tblW w:w="961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038"/>
        <w:gridCol w:w="1407"/>
        <w:gridCol w:w="4163"/>
        <w:gridCol w:w="1782"/>
        <w:gridCol w:w="1222"/>
      </w:tblGrid>
      <w:tr w14:paraId="192506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blHeader/>
          <w:jc w:val="center"/>
        </w:trPr>
        <w:tc>
          <w:tcPr>
            <w:tcW w:w="1038" w:type="dxa"/>
            <w:tcBorders>
              <w:bottom w:val="single" w:color="auto" w:sz="12" w:space="0"/>
            </w:tcBorders>
            <w:shd w:val="clear" w:color="auto" w:fill="auto"/>
            <w:tcMar>
              <w:top w:w="15" w:type="dxa"/>
              <w:left w:w="15" w:type="dxa"/>
              <w:right w:w="15" w:type="dxa"/>
            </w:tcMar>
            <w:vAlign w:val="center"/>
          </w:tcPr>
          <w:p w14:paraId="59FAC942">
            <w:pPr>
              <w:widowControl/>
              <w:spacing w:line="240" w:lineRule="auto"/>
              <w:jc w:val="center"/>
              <w:textAlignment w:val="top"/>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样品类型</w:t>
            </w:r>
          </w:p>
        </w:tc>
        <w:tc>
          <w:tcPr>
            <w:tcW w:w="1407" w:type="dxa"/>
            <w:tcBorders>
              <w:bottom w:val="single" w:color="auto" w:sz="12" w:space="0"/>
            </w:tcBorders>
            <w:shd w:val="clear" w:color="auto" w:fill="auto"/>
            <w:tcMar>
              <w:top w:w="15" w:type="dxa"/>
              <w:left w:w="15" w:type="dxa"/>
              <w:right w:w="15" w:type="dxa"/>
            </w:tcMar>
            <w:vAlign w:val="center"/>
          </w:tcPr>
          <w:p w14:paraId="653FDC11">
            <w:pPr>
              <w:widowControl/>
              <w:spacing w:line="240" w:lineRule="auto"/>
              <w:jc w:val="center"/>
              <w:textAlignment w:val="top"/>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检测项目</w:t>
            </w:r>
          </w:p>
        </w:tc>
        <w:tc>
          <w:tcPr>
            <w:tcW w:w="4163" w:type="dxa"/>
            <w:tcBorders>
              <w:bottom w:val="single" w:color="auto" w:sz="12" w:space="0"/>
            </w:tcBorders>
            <w:shd w:val="clear" w:color="auto" w:fill="auto"/>
            <w:tcMar>
              <w:top w:w="15" w:type="dxa"/>
              <w:left w:w="15" w:type="dxa"/>
              <w:right w:w="15" w:type="dxa"/>
            </w:tcMar>
            <w:vAlign w:val="center"/>
          </w:tcPr>
          <w:p w14:paraId="5A261CFB">
            <w:pPr>
              <w:widowControl/>
              <w:spacing w:line="240" w:lineRule="auto"/>
              <w:jc w:val="center"/>
              <w:textAlignment w:val="top"/>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分析方法及依据</w:t>
            </w:r>
          </w:p>
        </w:tc>
        <w:tc>
          <w:tcPr>
            <w:tcW w:w="1782" w:type="dxa"/>
            <w:tcBorders>
              <w:bottom w:val="single" w:color="auto" w:sz="12" w:space="0"/>
            </w:tcBorders>
            <w:shd w:val="clear" w:color="auto" w:fill="auto"/>
            <w:noWrap/>
            <w:tcMar>
              <w:top w:w="15" w:type="dxa"/>
              <w:left w:w="15" w:type="dxa"/>
              <w:right w:w="15" w:type="dxa"/>
            </w:tcMar>
            <w:vAlign w:val="center"/>
          </w:tcPr>
          <w:p w14:paraId="00468EE1">
            <w:pPr>
              <w:widowControl/>
              <w:spacing w:line="240" w:lineRule="auto"/>
              <w:jc w:val="center"/>
              <w:textAlignment w:val="top"/>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标准编号</w:t>
            </w:r>
          </w:p>
        </w:tc>
        <w:tc>
          <w:tcPr>
            <w:tcW w:w="1222" w:type="dxa"/>
            <w:tcBorders>
              <w:bottom w:val="single" w:color="auto" w:sz="12" w:space="0"/>
            </w:tcBorders>
            <w:shd w:val="clear" w:color="auto" w:fill="auto"/>
            <w:tcMar>
              <w:top w:w="15" w:type="dxa"/>
              <w:left w:w="15" w:type="dxa"/>
              <w:right w:w="15" w:type="dxa"/>
            </w:tcMar>
            <w:vAlign w:val="center"/>
          </w:tcPr>
          <w:p w14:paraId="54F10523">
            <w:pPr>
              <w:widowControl/>
              <w:spacing w:line="240" w:lineRule="auto"/>
              <w:jc w:val="center"/>
              <w:textAlignment w:val="top"/>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检出限</w:t>
            </w:r>
          </w:p>
        </w:tc>
      </w:tr>
      <w:tr w14:paraId="27782A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restart"/>
            <w:tcBorders>
              <w:top w:val="single" w:color="auto" w:sz="12" w:space="0"/>
              <w:tl2br w:val="nil"/>
              <w:tr2bl w:val="nil"/>
            </w:tcBorders>
            <w:shd w:val="clear" w:color="auto" w:fill="auto"/>
            <w:tcMar>
              <w:top w:w="15" w:type="dxa"/>
              <w:left w:w="15" w:type="dxa"/>
              <w:right w:w="15" w:type="dxa"/>
            </w:tcMar>
            <w:vAlign w:val="center"/>
          </w:tcPr>
          <w:p w14:paraId="6EC9BDE3">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地下水</w:t>
            </w:r>
          </w:p>
        </w:tc>
        <w:tc>
          <w:tcPr>
            <w:tcW w:w="1407" w:type="dxa"/>
            <w:tcBorders>
              <w:top w:val="single" w:color="auto" w:sz="12" w:space="0"/>
              <w:tl2br w:val="nil"/>
              <w:tr2bl w:val="nil"/>
            </w:tcBorders>
            <w:shd w:val="clear" w:color="auto" w:fill="auto"/>
            <w:tcMar>
              <w:top w:w="15" w:type="dxa"/>
              <w:left w:w="15" w:type="dxa"/>
              <w:right w:w="15" w:type="dxa"/>
            </w:tcMar>
            <w:vAlign w:val="center"/>
          </w:tcPr>
          <w:p w14:paraId="647460BF">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pH值</w:t>
            </w:r>
          </w:p>
        </w:tc>
        <w:tc>
          <w:tcPr>
            <w:tcW w:w="4163" w:type="dxa"/>
            <w:tcBorders>
              <w:top w:val="single" w:color="auto" w:sz="12" w:space="0"/>
              <w:tl2br w:val="nil"/>
              <w:tr2bl w:val="nil"/>
            </w:tcBorders>
            <w:shd w:val="clear" w:color="auto" w:fill="auto"/>
            <w:tcMar>
              <w:top w:w="15" w:type="dxa"/>
              <w:left w:w="15" w:type="dxa"/>
              <w:right w:w="15" w:type="dxa"/>
            </w:tcMar>
            <w:vAlign w:val="center"/>
          </w:tcPr>
          <w:p w14:paraId="377A0FC3">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水质 pH 值的测定 玻璃电极法</w:t>
            </w:r>
          </w:p>
        </w:tc>
        <w:tc>
          <w:tcPr>
            <w:tcW w:w="1782" w:type="dxa"/>
            <w:tcBorders>
              <w:top w:val="single" w:color="auto" w:sz="12" w:space="0"/>
              <w:tl2br w:val="nil"/>
              <w:tr2bl w:val="nil"/>
            </w:tcBorders>
            <w:shd w:val="clear" w:color="auto" w:fill="auto"/>
            <w:noWrap/>
            <w:tcMar>
              <w:top w:w="15" w:type="dxa"/>
              <w:left w:w="15" w:type="dxa"/>
              <w:right w:w="15" w:type="dxa"/>
            </w:tcMar>
            <w:vAlign w:val="center"/>
          </w:tcPr>
          <w:p w14:paraId="7ADDD4F0">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GB 6920-1986</w:t>
            </w:r>
          </w:p>
        </w:tc>
        <w:tc>
          <w:tcPr>
            <w:tcW w:w="1222" w:type="dxa"/>
            <w:tcBorders>
              <w:top w:val="single" w:color="auto" w:sz="12" w:space="0"/>
              <w:tl2br w:val="nil"/>
              <w:tr2bl w:val="nil"/>
            </w:tcBorders>
            <w:shd w:val="clear" w:color="auto" w:fill="auto"/>
            <w:tcMar>
              <w:top w:w="15" w:type="dxa"/>
              <w:left w:w="15" w:type="dxa"/>
              <w:right w:w="15" w:type="dxa"/>
            </w:tcMar>
            <w:vAlign w:val="center"/>
          </w:tcPr>
          <w:p w14:paraId="72B59F71">
            <w:pPr>
              <w:widowControl/>
              <w:spacing w:line="240" w:lineRule="auto"/>
              <w:jc w:val="center"/>
              <w:textAlignment w:val="top"/>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0"/>
                <w:sz w:val="21"/>
                <w:szCs w:val="21"/>
                <w:highlight w:val="none"/>
                <w:lang w:bidi="ar"/>
              </w:rPr>
              <w:t>/</w:t>
            </w:r>
            <w:r>
              <w:rPr>
                <w:rFonts w:hint="eastAsia" w:cs="Times New Roman"/>
                <w:color w:val="auto"/>
                <w:kern w:val="0"/>
                <w:sz w:val="21"/>
                <w:szCs w:val="21"/>
                <w:highlight w:val="none"/>
                <w:vertAlign w:val="superscript"/>
                <w:lang w:val="en-US" w:eastAsia="zh-CN" w:bidi="ar"/>
              </w:rPr>
              <w:t>①</w:t>
            </w:r>
          </w:p>
        </w:tc>
      </w:tr>
      <w:tr w14:paraId="157AE3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3A71CDF0">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7730C652">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总硬度</w:t>
            </w:r>
          </w:p>
        </w:tc>
        <w:tc>
          <w:tcPr>
            <w:tcW w:w="4163" w:type="dxa"/>
            <w:tcBorders>
              <w:tl2br w:val="nil"/>
              <w:tr2bl w:val="nil"/>
            </w:tcBorders>
            <w:shd w:val="clear" w:color="auto" w:fill="auto"/>
            <w:tcMar>
              <w:top w:w="15" w:type="dxa"/>
              <w:left w:w="15" w:type="dxa"/>
              <w:right w:w="15" w:type="dxa"/>
            </w:tcMar>
            <w:vAlign w:val="center"/>
          </w:tcPr>
          <w:p w14:paraId="7BEA316D">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生活饮用水标准检验方法 感官性状</w:t>
            </w:r>
            <w:r>
              <w:rPr>
                <w:rFonts w:hint="default" w:ascii="Times New Roman" w:hAnsi="Times New Roman" w:cs="Times New Roman"/>
                <w:color w:val="auto"/>
                <w:kern w:val="0"/>
                <w:sz w:val="21"/>
                <w:szCs w:val="21"/>
                <w:highlight w:val="none"/>
                <w:lang w:bidi="ar"/>
              </w:rPr>
              <w:br w:type="textWrapping"/>
            </w:r>
            <w:r>
              <w:rPr>
                <w:rFonts w:hint="default" w:ascii="Times New Roman" w:hAnsi="Times New Roman" w:cs="Times New Roman"/>
                <w:color w:val="auto"/>
                <w:kern w:val="0"/>
                <w:sz w:val="21"/>
                <w:szCs w:val="21"/>
                <w:highlight w:val="none"/>
                <w:lang w:bidi="ar"/>
              </w:rPr>
              <w:t>和物理指标 乙二胺四乙酸二钠滴定法</w:t>
            </w:r>
          </w:p>
        </w:tc>
        <w:tc>
          <w:tcPr>
            <w:tcW w:w="1782" w:type="dxa"/>
            <w:tcBorders>
              <w:tl2br w:val="nil"/>
              <w:tr2bl w:val="nil"/>
            </w:tcBorders>
            <w:shd w:val="clear" w:color="auto" w:fill="auto"/>
            <w:noWrap/>
            <w:tcMar>
              <w:top w:w="15" w:type="dxa"/>
              <w:left w:w="15" w:type="dxa"/>
              <w:right w:w="15" w:type="dxa"/>
            </w:tcMar>
            <w:vAlign w:val="center"/>
          </w:tcPr>
          <w:p w14:paraId="1945294D">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GB/T 5750.4-2006</w:t>
            </w:r>
          </w:p>
        </w:tc>
        <w:tc>
          <w:tcPr>
            <w:tcW w:w="1222" w:type="dxa"/>
            <w:tcBorders>
              <w:tl2br w:val="nil"/>
              <w:tr2bl w:val="nil"/>
            </w:tcBorders>
            <w:shd w:val="clear" w:color="auto" w:fill="auto"/>
            <w:tcMar>
              <w:top w:w="15" w:type="dxa"/>
              <w:left w:w="15" w:type="dxa"/>
              <w:right w:w="15" w:type="dxa"/>
            </w:tcMar>
            <w:vAlign w:val="center"/>
          </w:tcPr>
          <w:p w14:paraId="47081D3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1.0mg/L</w:t>
            </w:r>
          </w:p>
        </w:tc>
      </w:tr>
      <w:tr w14:paraId="0FBB66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763B588D">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60ED0D03">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溶解性总固体</w:t>
            </w:r>
          </w:p>
        </w:tc>
        <w:tc>
          <w:tcPr>
            <w:tcW w:w="4163" w:type="dxa"/>
            <w:tcBorders>
              <w:tl2br w:val="nil"/>
              <w:tr2bl w:val="nil"/>
            </w:tcBorders>
            <w:shd w:val="clear" w:color="auto" w:fill="auto"/>
            <w:tcMar>
              <w:top w:w="15" w:type="dxa"/>
              <w:left w:w="15" w:type="dxa"/>
              <w:right w:w="15" w:type="dxa"/>
            </w:tcMar>
            <w:vAlign w:val="center"/>
          </w:tcPr>
          <w:p w14:paraId="118A2B46">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生活饮用水标准检验方法 感观性状</w:t>
            </w:r>
            <w:r>
              <w:rPr>
                <w:rFonts w:hint="default" w:ascii="Times New Roman" w:hAnsi="Times New Roman" w:cs="Times New Roman"/>
                <w:color w:val="auto"/>
                <w:kern w:val="0"/>
                <w:sz w:val="21"/>
                <w:szCs w:val="21"/>
                <w:highlight w:val="none"/>
                <w:lang w:bidi="ar"/>
              </w:rPr>
              <w:br w:type="textWrapping"/>
            </w:r>
            <w:r>
              <w:rPr>
                <w:rFonts w:hint="default" w:ascii="Times New Roman" w:hAnsi="Times New Roman" w:cs="Times New Roman"/>
                <w:color w:val="auto"/>
                <w:kern w:val="0"/>
                <w:sz w:val="21"/>
                <w:szCs w:val="21"/>
                <w:highlight w:val="none"/>
                <w:lang w:bidi="ar"/>
              </w:rPr>
              <w:t>和物理指标 称量法 称量法</w:t>
            </w:r>
          </w:p>
        </w:tc>
        <w:tc>
          <w:tcPr>
            <w:tcW w:w="1782" w:type="dxa"/>
            <w:tcBorders>
              <w:tl2br w:val="nil"/>
              <w:tr2bl w:val="nil"/>
            </w:tcBorders>
            <w:shd w:val="clear" w:color="auto" w:fill="auto"/>
            <w:noWrap/>
            <w:tcMar>
              <w:top w:w="15" w:type="dxa"/>
              <w:left w:w="15" w:type="dxa"/>
              <w:right w:w="15" w:type="dxa"/>
            </w:tcMar>
            <w:vAlign w:val="center"/>
          </w:tcPr>
          <w:p w14:paraId="3542F2DB">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GB/T 5750.4-2006</w:t>
            </w:r>
          </w:p>
        </w:tc>
        <w:tc>
          <w:tcPr>
            <w:tcW w:w="1222" w:type="dxa"/>
            <w:tcBorders>
              <w:tl2br w:val="nil"/>
              <w:tr2bl w:val="nil"/>
            </w:tcBorders>
            <w:shd w:val="clear" w:color="auto" w:fill="auto"/>
            <w:tcMar>
              <w:top w:w="15" w:type="dxa"/>
              <w:left w:w="15" w:type="dxa"/>
              <w:right w:w="15" w:type="dxa"/>
            </w:tcMar>
            <w:vAlign w:val="center"/>
          </w:tcPr>
          <w:p w14:paraId="55CDF6D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w:t>
            </w:r>
          </w:p>
        </w:tc>
      </w:tr>
      <w:tr w14:paraId="1728DD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66ED9DCA">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740788AB">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耗氧量</w:t>
            </w:r>
          </w:p>
        </w:tc>
        <w:tc>
          <w:tcPr>
            <w:tcW w:w="4163" w:type="dxa"/>
            <w:tcBorders>
              <w:tl2br w:val="nil"/>
              <w:tr2bl w:val="nil"/>
            </w:tcBorders>
            <w:shd w:val="clear" w:color="auto" w:fill="auto"/>
            <w:tcMar>
              <w:top w:w="15" w:type="dxa"/>
              <w:left w:w="15" w:type="dxa"/>
              <w:right w:w="15" w:type="dxa"/>
            </w:tcMar>
            <w:vAlign w:val="center"/>
          </w:tcPr>
          <w:p w14:paraId="1FDCFEB2">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水质 耗氧量的测定</w:t>
            </w:r>
          </w:p>
        </w:tc>
        <w:tc>
          <w:tcPr>
            <w:tcW w:w="1782" w:type="dxa"/>
            <w:tcBorders>
              <w:tl2br w:val="nil"/>
              <w:tr2bl w:val="nil"/>
            </w:tcBorders>
            <w:shd w:val="clear" w:color="auto" w:fill="auto"/>
            <w:noWrap/>
            <w:tcMar>
              <w:top w:w="15" w:type="dxa"/>
              <w:left w:w="15" w:type="dxa"/>
              <w:right w:w="15" w:type="dxa"/>
            </w:tcMar>
            <w:vAlign w:val="center"/>
          </w:tcPr>
          <w:p w14:paraId="72278D49">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GB 11892-1989</w:t>
            </w:r>
          </w:p>
        </w:tc>
        <w:tc>
          <w:tcPr>
            <w:tcW w:w="1222" w:type="dxa"/>
            <w:tcBorders>
              <w:tl2br w:val="nil"/>
              <w:tr2bl w:val="nil"/>
            </w:tcBorders>
            <w:shd w:val="clear" w:color="auto" w:fill="auto"/>
            <w:tcMar>
              <w:top w:w="15" w:type="dxa"/>
              <w:left w:w="15" w:type="dxa"/>
              <w:right w:w="15" w:type="dxa"/>
            </w:tcMar>
            <w:vAlign w:val="center"/>
          </w:tcPr>
          <w:p w14:paraId="3DAEE217">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0.125mg/L</w:t>
            </w:r>
          </w:p>
        </w:tc>
      </w:tr>
      <w:tr w14:paraId="0B4F00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0A0A0025">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0B7EAE41">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硫酸盐</w:t>
            </w:r>
          </w:p>
        </w:tc>
        <w:tc>
          <w:tcPr>
            <w:tcW w:w="4163" w:type="dxa"/>
            <w:vMerge w:val="restart"/>
            <w:tcBorders>
              <w:tl2br w:val="nil"/>
              <w:tr2bl w:val="nil"/>
            </w:tcBorders>
            <w:shd w:val="clear" w:color="auto" w:fill="auto"/>
            <w:tcMar>
              <w:top w:w="15" w:type="dxa"/>
              <w:left w:w="15" w:type="dxa"/>
              <w:right w:w="15" w:type="dxa"/>
            </w:tcMar>
            <w:vAlign w:val="center"/>
          </w:tcPr>
          <w:p w14:paraId="7A1B0B0F">
            <w:pPr>
              <w:widowControl/>
              <w:spacing w:line="240" w:lineRule="auto"/>
              <w:jc w:val="center"/>
              <w:textAlignment w:val="bottom"/>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水质 </w:t>
            </w:r>
            <w:r>
              <w:rPr>
                <w:rStyle w:val="61"/>
                <w:rFonts w:hint="default" w:ascii="Times New Roman" w:hAnsi="Times New Roman" w:cs="Times New Roman"/>
                <w:color w:val="auto"/>
                <w:sz w:val="21"/>
                <w:szCs w:val="21"/>
                <w:highlight w:val="none"/>
                <w:lang w:bidi="ar"/>
              </w:rPr>
              <w:t>无机阴离子（</w:t>
            </w:r>
            <w:r>
              <w:rPr>
                <w:rFonts w:hint="default" w:ascii="Times New Roman" w:hAnsi="Times New Roman" w:cs="Times New Roman"/>
                <w:color w:val="auto"/>
                <w:kern w:val="0"/>
                <w:sz w:val="21"/>
                <w:szCs w:val="21"/>
                <w:highlight w:val="none"/>
                <w:lang w:bidi="ar"/>
              </w:rPr>
              <w:t>F</w:t>
            </w:r>
            <w:r>
              <w:rPr>
                <w:rFonts w:hint="default" w:ascii="Times New Roman" w:hAnsi="Times New Roman" w:cs="Times New Roman"/>
                <w:color w:val="auto"/>
                <w:kern w:val="0"/>
                <w:sz w:val="21"/>
                <w:szCs w:val="21"/>
                <w:highlight w:val="none"/>
                <w:vertAlign w:val="superscript"/>
                <w:lang w:bidi="ar"/>
              </w:rPr>
              <w:t>-</w:t>
            </w:r>
            <w:r>
              <w:rPr>
                <w:rStyle w:val="61"/>
                <w:rFonts w:hint="default" w:ascii="Times New Roman" w:hAnsi="Times New Roman" w:cs="Times New Roman"/>
                <w:color w:val="auto"/>
                <w:sz w:val="21"/>
                <w:szCs w:val="21"/>
                <w:highlight w:val="none"/>
                <w:lang w:bidi="ar"/>
              </w:rPr>
              <w:t>、</w:t>
            </w:r>
            <w:r>
              <w:rPr>
                <w:rFonts w:hint="default" w:ascii="Times New Roman" w:hAnsi="Times New Roman" w:cs="Times New Roman"/>
                <w:color w:val="auto"/>
                <w:kern w:val="0"/>
                <w:sz w:val="21"/>
                <w:szCs w:val="21"/>
                <w:highlight w:val="none"/>
                <w:lang w:bidi="ar"/>
              </w:rPr>
              <w:t>Cl</w:t>
            </w:r>
            <w:r>
              <w:rPr>
                <w:rFonts w:hint="default" w:ascii="Times New Roman" w:hAnsi="Times New Roman" w:cs="Times New Roman"/>
                <w:color w:val="auto"/>
                <w:kern w:val="0"/>
                <w:sz w:val="21"/>
                <w:szCs w:val="21"/>
                <w:highlight w:val="none"/>
                <w:vertAlign w:val="superscript"/>
                <w:lang w:bidi="ar"/>
              </w:rPr>
              <w:t>-</w:t>
            </w:r>
            <w:r>
              <w:rPr>
                <w:rStyle w:val="61"/>
                <w:rFonts w:hint="default" w:ascii="Times New Roman" w:hAnsi="Times New Roman" w:cs="Times New Roman"/>
                <w:color w:val="auto"/>
                <w:sz w:val="21"/>
                <w:szCs w:val="21"/>
                <w:highlight w:val="none"/>
                <w:lang w:bidi="ar"/>
              </w:rPr>
              <w:t>、</w:t>
            </w:r>
            <w:r>
              <w:rPr>
                <w:rFonts w:hint="default" w:ascii="Times New Roman" w:hAnsi="Times New Roman" w:cs="Times New Roman"/>
                <w:color w:val="auto"/>
                <w:kern w:val="0"/>
                <w:sz w:val="21"/>
                <w:szCs w:val="21"/>
                <w:highlight w:val="none"/>
                <w:lang w:bidi="ar"/>
              </w:rPr>
              <w:t>Br</w:t>
            </w:r>
            <w:r>
              <w:rPr>
                <w:rFonts w:hint="default" w:ascii="Times New Roman" w:hAnsi="Times New Roman" w:cs="Times New Roman"/>
                <w:color w:val="auto"/>
                <w:kern w:val="0"/>
                <w:sz w:val="21"/>
                <w:szCs w:val="21"/>
                <w:highlight w:val="none"/>
                <w:vertAlign w:val="superscript"/>
                <w:lang w:bidi="ar"/>
              </w:rPr>
              <w:t>-</w:t>
            </w:r>
            <w:r>
              <w:rPr>
                <w:rStyle w:val="61"/>
                <w:rFonts w:hint="default" w:ascii="Times New Roman" w:hAnsi="Times New Roman" w:cs="Times New Roman"/>
                <w:color w:val="auto"/>
                <w:sz w:val="21"/>
                <w:szCs w:val="21"/>
                <w:highlight w:val="none"/>
                <w:lang w:bidi="ar"/>
              </w:rPr>
              <w:t>、</w:t>
            </w:r>
            <w:r>
              <w:rPr>
                <w:rFonts w:hint="default" w:ascii="Times New Roman" w:hAnsi="Times New Roman" w:cs="Times New Roman"/>
                <w:color w:val="auto"/>
                <w:kern w:val="0"/>
                <w:sz w:val="21"/>
                <w:szCs w:val="21"/>
                <w:highlight w:val="none"/>
                <w:lang w:bidi="ar"/>
              </w:rPr>
              <w:t>NO</w:t>
            </w:r>
            <w:r>
              <w:rPr>
                <w:rFonts w:hint="default" w:ascii="Times New Roman" w:hAnsi="Times New Roman" w:cs="Times New Roman"/>
                <w:color w:val="auto"/>
                <w:kern w:val="0"/>
                <w:sz w:val="21"/>
                <w:szCs w:val="21"/>
                <w:highlight w:val="none"/>
                <w:vertAlign w:val="subscript"/>
                <w:lang w:bidi="ar"/>
              </w:rPr>
              <w:t>2</w:t>
            </w:r>
            <w:r>
              <w:rPr>
                <w:rFonts w:hint="default" w:ascii="Times New Roman" w:hAnsi="Times New Roman" w:cs="Times New Roman"/>
                <w:color w:val="auto"/>
                <w:kern w:val="0"/>
                <w:sz w:val="21"/>
                <w:szCs w:val="21"/>
                <w:highlight w:val="none"/>
                <w:vertAlign w:val="superscript"/>
                <w:lang w:bidi="ar"/>
              </w:rPr>
              <w:t>-</w:t>
            </w:r>
            <w:r>
              <w:rPr>
                <w:rStyle w:val="61"/>
                <w:rFonts w:hint="default" w:ascii="Times New Roman" w:hAnsi="Times New Roman" w:cs="Times New Roman"/>
                <w:color w:val="auto"/>
                <w:sz w:val="21"/>
                <w:szCs w:val="21"/>
                <w:highlight w:val="none"/>
                <w:lang w:bidi="ar"/>
              </w:rPr>
              <w:t>、</w:t>
            </w:r>
            <w:r>
              <w:rPr>
                <w:rFonts w:hint="default" w:ascii="Times New Roman" w:hAnsi="Times New Roman" w:cs="Times New Roman"/>
                <w:color w:val="auto"/>
                <w:kern w:val="0"/>
                <w:sz w:val="21"/>
                <w:szCs w:val="21"/>
                <w:highlight w:val="none"/>
                <w:lang w:bidi="ar"/>
              </w:rPr>
              <w:t>NO</w:t>
            </w:r>
            <w:r>
              <w:rPr>
                <w:rFonts w:hint="default" w:ascii="Times New Roman" w:hAnsi="Times New Roman" w:cs="Times New Roman"/>
                <w:color w:val="auto"/>
                <w:kern w:val="0"/>
                <w:sz w:val="21"/>
                <w:szCs w:val="21"/>
                <w:highlight w:val="none"/>
                <w:vertAlign w:val="subscript"/>
                <w:lang w:bidi="ar"/>
              </w:rPr>
              <w:t>3</w:t>
            </w:r>
            <w:r>
              <w:rPr>
                <w:rFonts w:hint="default" w:ascii="Times New Roman" w:hAnsi="Times New Roman" w:cs="Times New Roman"/>
                <w:color w:val="auto"/>
                <w:kern w:val="0"/>
                <w:sz w:val="21"/>
                <w:szCs w:val="21"/>
                <w:highlight w:val="none"/>
                <w:vertAlign w:val="superscript"/>
                <w:lang w:bidi="ar"/>
              </w:rPr>
              <w:t>-</w:t>
            </w:r>
            <w:r>
              <w:rPr>
                <w:rStyle w:val="61"/>
                <w:rFonts w:hint="default" w:ascii="Times New Roman" w:hAnsi="Times New Roman" w:cs="Times New Roman"/>
                <w:color w:val="auto"/>
                <w:sz w:val="21"/>
                <w:szCs w:val="21"/>
                <w:highlight w:val="none"/>
                <w:lang w:bidi="ar"/>
              </w:rPr>
              <w:t>、</w:t>
            </w:r>
            <w:r>
              <w:rPr>
                <w:rFonts w:hint="default" w:ascii="Times New Roman" w:hAnsi="Times New Roman" w:cs="Times New Roman"/>
                <w:color w:val="auto"/>
                <w:kern w:val="0"/>
                <w:sz w:val="21"/>
                <w:szCs w:val="21"/>
                <w:highlight w:val="none"/>
                <w:lang w:bidi="ar"/>
              </w:rPr>
              <w:t>PO</w:t>
            </w:r>
            <w:r>
              <w:rPr>
                <w:rFonts w:hint="default" w:ascii="Times New Roman" w:hAnsi="Times New Roman" w:cs="Times New Roman"/>
                <w:color w:val="auto"/>
                <w:kern w:val="0"/>
                <w:sz w:val="21"/>
                <w:szCs w:val="21"/>
                <w:highlight w:val="none"/>
                <w:vertAlign w:val="subscript"/>
                <w:lang w:bidi="ar"/>
              </w:rPr>
              <w:t>4</w:t>
            </w:r>
            <w:r>
              <w:rPr>
                <w:rFonts w:hint="default" w:ascii="Times New Roman" w:hAnsi="Times New Roman" w:cs="Times New Roman"/>
                <w:color w:val="auto"/>
                <w:kern w:val="0"/>
                <w:sz w:val="21"/>
                <w:szCs w:val="21"/>
                <w:highlight w:val="none"/>
                <w:vertAlign w:val="superscript"/>
                <w:lang w:bidi="ar"/>
              </w:rPr>
              <w:t>3-</w:t>
            </w:r>
            <w:r>
              <w:rPr>
                <w:rStyle w:val="61"/>
                <w:rFonts w:hint="default" w:ascii="Times New Roman" w:hAnsi="Times New Roman" w:cs="Times New Roman"/>
                <w:color w:val="auto"/>
                <w:sz w:val="21"/>
                <w:szCs w:val="21"/>
                <w:highlight w:val="none"/>
                <w:lang w:bidi="ar"/>
              </w:rPr>
              <w:t>、</w:t>
            </w:r>
            <w:r>
              <w:rPr>
                <w:rFonts w:hint="default" w:ascii="Times New Roman" w:hAnsi="Times New Roman" w:cs="Times New Roman"/>
                <w:color w:val="auto"/>
                <w:kern w:val="0"/>
                <w:sz w:val="21"/>
                <w:szCs w:val="21"/>
                <w:highlight w:val="none"/>
                <w:lang w:bidi="ar"/>
              </w:rPr>
              <w:t>SO</w:t>
            </w:r>
            <w:r>
              <w:rPr>
                <w:rFonts w:hint="default" w:ascii="Times New Roman" w:hAnsi="Times New Roman" w:cs="Times New Roman"/>
                <w:color w:val="auto"/>
                <w:kern w:val="0"/>
                <w:sz w:val="21"/>
                <w:szCs w:val="21"/>
                <w:highlight w:val="none"/>
                <w:vertAlign w:val="subscript"/>
                <w:lang w:bidi="ar"/>
              </w:rPr>
              <w:t>3</w:t>
            </w:r>
            <w:r>
              <w:rPr>
                <w:rFonts w:hint="default" w:ascii="Times New Roman" w:hAnsi="Times New Roman" w:cs="Times New Roman"/>
                <w:color w:val="auto"/>
                <w:kern w:val="0"/>
                <w:sz w:val="21"/>
                <w:szCs w:val="21"/>
                <w:highlight w:val="none"/>
                <w:vertAlign w:val="superscript"/>
                <w:lang w:bidi="ar"/>
              </w:rPr>
              <w:t>2-</w:t>
            </w:r>
            <w:r>
              <w:rPr>
                <w:rStyle w:val="61"/>
                <w:rFonts w:hint="default" w:ascii="Times New Roman" w:hAnsi="Times New Roman" w:cs="Times New Roman"/>
                <w:color w:val="auto"/>
                <w:sz w:val="21"/>
                <w:szCs w:val="21"/>
                <w:highlight w:val="none"/>
                <w:lang w:bidi="ar"/>
              </w:rPr>
              <w:t>、</w:t>
            </w:r>
            <w:r>
              <w:rPr>
                <w:rFonts w:hint="default" w:ascii="Times New Roman" w:hAnsi="Times New Roman" w:cs="Times New Roman"/>
                <w:color w:val="auto"/>
                <w:kern w:val="0"/>
                <w:sz w:val="21"/>
                <w:szCs w:val="21"/>
                <w:highlight w:val="none"/>
                <w:lang w:bidi="ar"/>
              </w:rPr>
              <w:t>SO</w:t>
            </w:r>
            <w:r>
              <w:rPr>
                <w:rFonts w:hint="default" w:ascii="Times New Roman" w:hAnsi="Times New Roman" w:cs="Times New Roman"/>
                <w:color w:val="auto"/>
                <w:kern w:val="0"/>
                <w:sz w:val="21"/>
                <w:szCs w:val="21"/>
                <w:highlight w:val="none"/>
                <w:vertAlign w:val="subscript"/>
                <w:lang w:bidi="ar"/>
              </w:rPr>
              <w:t>4</w:t>
            </w:r>
            <w:r>
              <w:rPr>
                <w:rFonts w:hint="default" w:ascii="Times New Roman" w:hAnsi="Times New Roman" w:cs="Times New Roman"/>
                <w:color w:val="auto"/>
                <w:kern w:val="0"/>
                <w:sz w:val="21"/>
                <w:szCs w:val="21"/>
                <w:highlight w:val="none"/>
                <w:vertAlign w:val="superscript"/>
                <w:lang w:bidi="ar"/>
              </w:rPr>
              <w:t>2-</w:t>
            </w:r>
            <w:r>
              <w:rPr>
                <w:rStyle w:val="61"/>
                <w:rFonts w:hint="default" w:ascii="Times New Roman" w:hAnsi="Times New Roman" w:cs="Times New Roman"/>
                <w:color w:val="auto"/>
                <w:sz w:val="21"/>
                <w:szCs w:val="21"/>
                <w:highlight w:val="none"/>
                <w:lang w:bidi="ar"/>
              </w:rPr>
              <w:t>）的测定离子色谱法</w:t>
            </w:r>
          </w:p>
        </w:tc>
        <w:tc>
          <w:tcPr>
            <w:tcW w:w="1782" w:type="dxa"/>
            <w:vMerge w:val="restart"/>
            <w:tcBorders>
              <w:tl2br w:val="nil"/>
              <w:tr2bl w:val="nil"/>
            </w:tcBorders>
            <w:shd w:val="clear" w:color="auto" w:fill="auto"/>
            <w:noWrap/>
            <w:tcMar>
              <w:top w:w="15" w:type="dxa"/>
              <w:left w:w="15" w:type="dxa"/>
              <w:right w:w="15" w:type="dxa"/>
            </w:tcMar>
            <w:vAlign w:val="center"/>
          </w:tcPr>
          <w:p w14:paraId="3E8C0F94">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HJ 84-2016</w:t>
            </w:r>
          </w:p>
        </w:tc>
        <w:tc>
          <w:tcPr>
            <w:tcW w:w="1222" w:type="dxa"/>
            <w:tcBorders>
              <w:tl2br w:val="nil"/>
              <w:tr2bl w:val="nil"/>
            </w:tcBorders>
            <w:shd w:val="clear" w:color="auto" w:fill="auto"/>
            <w:tcMar>
              <w:top w:w="15" w:type="dxa"/>
              <w:left w:w="15" w:type="dxa"/>
              <w:right w:w="15" w:type="dxa"/>
            </w:tcMar>
            <w:vAlign w:val="center"/>
          </w:tcPr>
          <w:p w14:paraId="60ACF7A5">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0.018mg/L</w:t>
            </w:r>
          </w:p>
        </w:tc>
      </w:tr>
      <w:tr w14:paraId="49FE95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669D8147">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1A1D9DC4">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硝酸盐</w:t>
            </w:r>
            <w:r>
              <w:rPr>
                <w:rFonts w:hint="default" w:ascii="Times New Roman" w:hAnsi="Times New Roman" w:cs="Times New Roman"/>
                <w:color w:val="auto"/>
                <w:kern w:val="0"/>
                <w:sz w:val="21"/>
                <w:szCs w:val="21"/>
                <w:highlight w:val="none"/>
                <w:lang w:bidi="ar"/>
              </w:rPr>
              <w:br w:type="textWrapping"/>
            </w:r>
            <w:r>
              <w:rPr>
                <w:rFonts w:hint="default" w:ascii="Times New Roman" w:hAnsi="Times New Roman" w:cs="Times New Roman"/>
                <w:color w:val="auto"/>
                <w:kern w:val="0"/>
                <w:sz w:val="21"/>
                <w:szCs w:val="21"/>
                <w:highlight w:val="none"/>
                <w:lang w:bidi="ar"/>
              </w:rPr>
              <w:t>(以氮计)</w:t>
            </w:r>
          </w:p>
        </w:tc>
        <w:tc>
          <w:tcPr>
            <w:tcW w:w="4163" w:type="dxa"/>
            <w:vMerge w:val="continue"/>
            <w:tcBorders>
              <w:tl2br w:val="nil"/>
              <w:tr2bl w:val="nil"/>
            </w:tcBorders>
            <w:shd w:val="clear" w:color="auto" w:fill="auto"/>
            <w:tcMar>
              <w:top w:w="15" w:type="dxa"/>
              <w:left w:w="15" w:type="dxa"/>
              <w:right w:w="15" w:type="dxa"/>
            </w:tcMar>
            <w:vAlign w:val="center"/>
          </w:tcPr>
          <w:p w14:paraId="0C4D8736">
            <w:pPr>
              <w:spacing w:line="240" w:lineRule="auto"/>
              <w:jc w:val="center"/>
              <w:rPr>
                <w:rFonts w:hint="default" w:ascii="Times New Roman" w:hAnsi="Times New Roman" w:cs="Times New Roman"/>
                <w:color w:val="auto"/>
                <w:sz w:val="21"/>
                <w:szCs w:val="21"/>
                <w:highlight w:val="none"/>
              </w:rPr>
            </w:pPr>
          </w:p>
        </w:tc>
        <w:tc>
          <w:tcPr>
            <w:tcW w:w="1782" w:type="dxa"/>
            <w:vMerge w:val="continue"/>
            <w:tcBorders>
              <w:tl2br w:val="nil"/>
              <w:tr2bl w:val="nil"/>
            </w:tcBorders>
            <w:shd w:val="clear" w:color="auto" w:fill="auto"/>
            <w:noWrap/>
            <w:tcMar>
              <w:top w:w="15" w:type="dxa"/>
              <w:left w:w="15" w:type="dxa"/>
              <w:right w:w="15" w:type="dxa"/>
            </w:tcMar>
            <w:vAlign w:val="center"/>
          </w:tcPr>
          <w:p w14:paraId="33D8A14D">
            <w:pPr>
              <w:spacing w:line="240" w:lineRule="auto"/>
              <w:jc w:val="center"/>
              <w:rPr>
                <w:rFonts w:hint="default" w:ascii="Times New Roman" w:hAnsi="Times New Roman" w:cs="Times New Roman"/>
                <w:color w:val="auto"/>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3CBD44D3">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0.004mg/L</w:t>
            </w:r>
          </w:p>
        </w:tc>
      </w:tr>
      <w:tr w14:paraId="5ED525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73697133">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41844CD0">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氯化物</w:t>
            </w:r>
          </w:p>
        </w:tc>
        <w:tc>
          <w:tcPr>
            <w:tcW w:w="4163" w:type="dxa"/>
            <w:vMerge w:val="continue"/>
            <w:tcBorders>
              <w:tl2br w:val="nil"/>
              <w:tr2bl w:val="nil"/>
            </w:tcBorders>
            <w:shd w:val="clear" w:color="auto" w:fill="auto"/>
            <w:tcMar>
              <w:top w:w="15" w:type="dxa"/>
              <w:left w:w="15" w:type="dxa"/>
              <w:right w:w="15" w:type="dxa"/>
            </w:tcMar>
            <w:vAlign w:val="center"/>
          </w:tcPr>
          <w:p w14:paraId="619364E4">
            <w:pPr>
              <w:spacing w:line="240" w:lineRule="auto"/>
              <w:jc w:val="center"/>
              <w:rPr>
                <w:rFonts w:hint="default" w:ascii="Times New Roman" w:hAnsi="Times New Roman" w:cs="Times New Roman"/>
                <w:color w:val="auto"/>
                <w:sz w:val="21"/>
                <w:szCs w:val="21"/>
                <w:highlight w:val="none"/>
              </w:rPr>
            </w:pPr>
          </w:p>
        </w:tc>
        <w:tc>
          <w:tcPr>
            <w:tcW w:w="1782" w:type="dxa"/>
            <w:vMerge w:val="continue"/>
            <w:tcBorders>
              <w:tl2br w:val="nil"/>
              <w:tr2bl w:val="nil"/>
            </w:tcBorders>
            <w:shd w:val="clear" w:color="auto" w:fill="auto"/>
            <w:noWrap/>
            <w:tcMar>
              <w:top w:w="15" w:type="dxa"/>
              <w:left w:w="15" w:type="dxa"/>
              <w:right w:w="15" w:type="dxa"/>
            </w:tcMar>
            <w:vAlign w:val="center"/>
          </w:tcPr>
          <w:p w14:paraId="77E2ECE3">
            <w:pPr>
              <w:spacing w:line="240" w:lineRule="auto"/>
              <w:jc w:val="center"/>
              <w:rPr>
                <w:rFonts w:hint="default" w:ascii="Times New Roman" w:hAnsi="Times New Roman" w:cs="Times New Roman"/>
                <w:color w:val="auto"/>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59EA71A6">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0.007mg/L</w:t>
            </w:r>
          </w:p>
        </w:tc>
      </w:tr>
      <w:tr w14:paraId="53A488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74EC8A93">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7425D258">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氟化物</w:t>
            </w:r>
          </w:p>
        </w:tc>
        <w:tc>
          <w:tcPr>
            <w:tcW w:w="4163" w:type="dxa"/>
            <w:vMerge w:val="continue"/>
            <w:tcBorders>
              <w:tl2br w:val="nil"/>
              <w:tr2bl w:val="nil"/>
            </w:tcBorders>
            <w:shd w:val="clear" w:color="auto" w:fill="auto"/>
            <w:tcMar>
              <w:top w:w="15" w:type="dxa"/>
              <w:left w:w="15" w:type="dxa"/>
              <w:right w:w="15" w:type="dxa"/>
            </w:tcMar>
            <w:vAlign w:val="center"/>
          </w:tcPr>
          <w:p w14:paraId="721653B5">
            <w:pPr>
              <w:spacing w:line="240" w:lineRule="auto"/>
              <w:jc w:val="center"/>
              <w:rPr>
                <w:rFonts w:hint="default" w:ascii="Times New Roman" w:hAnsi="Times New Roman" w:cs="Times New Roman"/>
                <w:color w:val="auto"/>
                <w:sz w:val="21"/>
                <w:szCs w:val="21"/>
                <w:highlight w:val="none"/>
              </w:rPr>
            </w:pPr>
          </w:p>
        </w:tc>
        <w:tc>
          <w:tcPr>
            <w:tcW w:w="1782" w:type="dxa"/>
            <w:vMerge w:val="continue"/>
            <w:tcBorders>
              <w:tl2br w:val="nil"/>
              <w:tr2bl w:val="nil"/>
            </w:tcBorders>
            <w:shd w:val="clear" w:color="auto" w:fill="auto"/>
            <w:noWrap/>
            <w:tcMar>
              <w:top w:w="15" w:type="dxa"/>
              <w:left w:w="15" w:type="dxa"/>
              <w:right w:w="15" w:type="dxa"/>
            </w:tcMar>
            <w:vAlign w:val="center"/>
          </w:tcPr>
          <w:p w14:paraId="4C66DC7D">
            <w:pPr>
              <w:spacing w:line="240" w:lineRule="auto"/>
              <w:jc w:val="center"/>
              <w:rPr>
                <w:rFonts w:hint="default" w:ascii="Times New Roman" w:hAnsi="Times New Roman" w:cs="Times New Roman"/>
                <w:color w:val="auto"/>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738AB087">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0.006mg/L</w:t>
            </w:r>
          </w:p>
        </w:tc>
      </w:tr>
      <w:tr w14:paraId="6F9F96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3D21485C">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3036C2D9">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挥发酚</w:t>
            </w:r>
          </w:p>
        </w:tc>
        <w:tc>
          <w:tcPr>
            <w:tcW w:w="4163" w:type="dxa"/>
            <w:tcBorders>
              <w:tl2br w:val="nil"/>
              <w:tr2bl w:val="nil"/>
            </w:tcBorders>
            <w:shd w:val="clear" w:color="auto" w:fill="auto"/>
            <w:tcMar>
              <w:top w:w="15" w:type="dxa"/>
              <w:left w:w="15" w:type="dxa"/>
              <w:right w:w="15" w:type="dxa"/>
            </w:tcMar>
            <w:vAlign w:val="center"/>
          </w:tcPr>
          <w:p w14:paraId="14606D64">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水质 挥发酚的测定 4-氨基安替比林分光光度法</w:t>
            </w:r>
          </w:p>
        </w:tc>
        <w:tc>
          <w:tcPr>
            <w:tcW w:w="1782" w:type="dxa"/>
            <w:tcBorders>
              <w:tl2br w:val="nil"/>
              <w:tr2bl w:val="nil"/>
            </w:tcBorders>
            <w:shd w:val="clear" w:color="auto" w:fill="auto"/>
            <w:noWrap/>
            <w:tcMar>
              <w:top w:w="15" w:type="dxa"/>
              <w:left w:w="15" w:type="dxa"/>
              <w:right w:w="15" w:type="dxa"/>
            </w:tcMar>
            <w:vAlign w:val="center"/>
          </w:tcPr>
          <w:p w14:paraId="57072776">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HJ 503-2009</w:t>
            </w:r>
          </w:p>
        </w:tc>
        <w:tc>
          <w:tcPr>
            <w:tcW w:w="1222" w:type="dxa"/>
            <w:tcBorders>
              <w:tl2br w:val="nil"/>
              <w:tr2bl w:val="nil"/>
            </w:tcBorders>
            <w:shd w:val="clear" w:color="auto" w:fill="auto"/>
            <w:tcMar>
              <w:top w:w="15" w:type="dxa"/>
              <w:left w:w="15" w:type="dxa"/>
              <w:right w:w="15" w:type="dxa"/>
            </w:tcMar>
            <w:vAlign w:val="center"/>
          </w:tcPr>
          <w:p w14:paraId="74E8BCA6">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0.0003mg/L</w:t>
            </w:r>
          </w:p>
        </w:tc>
      </w:tr>
      <w:tr w14:paraId="69CEE0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491266C6">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68819256">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阴离子表</w:t>
            </w:r>
            <w:r>
              <w:rPr>
                <w:rFonts w:hint="default" w:ascii="Times New Roman" w:hAnsi="Times New Roman" w:cs="Times New Roman"/>
                <w:color w:val="auto"/>
                <w:kern w:val="0"/>
                <w:sz w:val="21"/>
                <w:szCs w:val="21"/>
                <w:highlight w:val="none"/>
                <w:lang w:bidi="ar"/>
              </w:rPr>
              <w:br w:type="textWrapping"/>
            </w:r>
            <w:r>
              <w:rPr>
                <w:rFonts w:hint="default" w:ascii="Times New Roman" w:hAnsi="Times New Roman" w:cs="Times New Roman"/>
                <w:color w:val="auto"/>
                <w:kern w:val="0"/>
                <w:sz w:val="21"/>
                <w:szCs w:val="21"/>
                <w:highlight w:val="none"/>
                <w:lang w:bidi="ar"/>
              </w:rPr>
              <w:t>面活性剂</w:t>
            </w:r>
          </w:p>
        </w:tc>
        <w:tc>
          <w:tcPr>
            <w:tcW w:w="4163" w:type="dxa"/>
            <w:tcBorders>
              <w:tl2br w:val="nil"/>
              <w:tr2bl w:val="nil"/>
            </w:tcBorders>
            <w:shd w:val="clear" w:color="auto" w:fill="auto"/>
            <w:tcMar>
              <w:top w:w="15" w:type="dxa"/>
              <w:left w:w="15" w:type="dxa"/>
              <w:right w:w="15" w:type="dxa"/>
            </w:tcMar>
            <w:vAlign w:val="center"/>
          </w:tcPr>
          <w:p w14:paraId="2089250F">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水质 阴离子表面活性剂的测定</w:t>
            </w:r>
            <w:r>
              <w:rPr>
                <w:rFonts w:hint="default" w:ascii="Times New Roman" w:hAnsi="Times New Roman" w:cs="Times New Roman"/>
                <w:color w:val="auto"/>
                <w:kern w:val="0"/>
                <w:sz w:val="21"/>
                <w:szCs w:val="21"/>
                <w:highlight w:val="none"/>
                <w:lang w:bidi="ar"/>
              </w:rPr>
              <w:br w:type="textWrapping"/>
            </w:r>
            <w:r>
              <w:rPr>
                <w:rFonts w:hint="default" w:ascii="Times New Roman" w:hAnsi="Times New Roman" w:cs="Times New Roman"/>
                <w:color w:val="auto"/>
                <w:kern w:val="0"/>
                <w:sz w:val="21"/>
                <w:szCs w:val="21"/>
                <w:highlight w:val="none"/>
                <w:lang w:bidi="ar"/>
              </w:rPr>
              <w:t>亚甲蓝分光光度法</w:t>
            </w:r>
          </w:p>
        </w:tc>
        <w:tc>
          <w:tcPr>
            <w:tcW w:w="1782" w:type="dxa"/>
            <w:tcBorders>
              <w:tl2br w:val="nil"/>
              <w:tr2bl w:val="nil"/>
            </w:tcBorders>
            <w:shd w:val="clear" w:color="auto" w:fill="auto"/>
            <w:noWrap/>
            <w:tcMar>
              <w:top w:w="15" w:type="dxa"/>
              <w:left w:w="15" w:type="dxa"/>
              <w:right w:w="15" w:type="dxa"/>
            </w:tcMar>
            <w:vAlign w:val="center"/>
          </w:tcPr>
          <w:p w14:paraId="6BBAB7EA">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GB 7494-1987</w:t>
            </w:r>
          </w:p>
        </w:tc>
        <w:tc>
          <w:tcPr>
            <w:tcW w:w="1222" w:type="dxa"/>
            <w:tcBorders>
              <w:tl2br w:val="nil"/>
              <w:tr2bl w:val="nil"/>
            </w:tcBorders>
            <w:shd w:val="clear" w:color="auto" w:fill="auto"/>
            <w:tcMar>
              <w:top w:w="15" w:type="dxa"/>
              <w:left w:w="15" w:type="dxa"/>
              <w:right w:w="15" w:type="dxa"/>
            </w:tcMar>
            <w:vAlign w:val="center"/>
          </w:tcPr>
          <w:p w14:paraId="2DB1D82C">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0.05mg/L</w:t>
            </w:r>
          </w:p>
        </w:tc>
      </w:tr>
      <w:tr w14:paraId="3C6DE1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34876C66">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19B08207">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氨氮</w:t>
            </w:r>
          </w:p>
        </w:tc>
        <w:tc>
          <w:tcPr>
            <w:tcW w:w="4163" w:type="dxa"/>
            <w:tcBorders>
              <w:tl2br w:val="nil"/>
              <w:tr2bl w:val="nil"/>
            </w:tcBorders>
            <w:shd w:val="clear" w:color="auto" w:fill="auto"/>
            <w:tcMar>
              <w:top w:w="15" w:type="dxa"/>
              <w:left w:w="15" w:type="dxa"/>
              <w:right w:w="15" w:type="dxa"/>
            </w:tcMar>
            <w:vAlign w:val="center"/>
          </w:tcPr>
          <w:p w14:paraId="391445CB">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生活饮用水标准检验方法 无机非金</w:t>
            </w:r>
            <w:r>
              <w:rPr>
                <w:rFonts w:hint="default" w:ascii="Times New Roman" w:hAnsi="Times New Roman" w:cs="Times New Roman"/>
                <w:color w:val="auto"/>
                <w:kern w:val="0"/>
                <w:sz w:val="21"/>
                <w:szCs w:val="21"/>
                <w:highlight w:val="none"/>
                <w:lang w:bidi="ar"/>
              </w:rPr>
              <w:br w:type="textWrapping"/>
            </w:r>
            <w:r>
              <w:rPr>
                <w:rFonts w:hint="default" w:ascii="Times New Roman" w:hAnsi="Times New Roman" w:cs="Times New Roman"/>
                <w:color w:val="auto"/>
                <w:kern w:val="0"/>
                <w:sz w:val="21"/>
                <w:szCs w:val="21"/>
                <w:highlight w:val="none"/>
                <w:lang w:bidi="ar"/>
              </w:rPr>
              <w:t>属指标 纳氏试剂分光光度法</w:t>
            </w:r>
          </w:p>
        </w:tc>
        <w:tc>
          <w:tcPr>
            <w:tcW w:w="1782" w:type="dxa"/>
            <w:tcBorders>
              <w:tl2br w:val="nil"/>
              <w:tr2bl w:val="nil"/>
            </w:tcBorders>
            <w:shd w:val="clear" w:color="auto" w:fill="auto"/>
            <w:noWrap/>
            <w:tcMar>
              <w:top w:w="15" w:type="dxa"/>
              <w:left w:w="15" w:type="dxa"/>
              <w:right w:w="15" w:type="dxa"/>
            </w:tcMar>
            <w:vAlign w:val="center"/>
          </w:tcPr>
          <w:p w14:paraId="7E128AD1">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GB/T 5750.5-2006</w:t>
            </w:r>
          </w:p>
        </w:tc>
        <w:tc>
          <w:tcPr>
            <w:tcW w:w="1222" w:type="dxa"/>
            <w:tcBorders>
              <w:tl2br w:val="nil"/>
              <w:tr2bl w:val="nil"/>
            </w:tcBorders>
            <w:shd w:val="clear" w:color="auto" w:fill="auto"/>
            <w:tcMar>
              <w:top w:w="15" w:type="dxa"/>
              <w:left w:w="15" w:type="dxa"/>
              <w:right w:w="15" w:type="dxa"/>
            </w:tcMar>
            <w:vAlign w:val="center"/>
          </w:tcPr>
          <w:p w14:paraId="100BC45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0.02mg/L</w:t>
            </w:r>
          </w:p>
        </w:tc>
      </w:tr>
      <w:tr w14:paraId="555348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3CA36251">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7536968C">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硫化物</w:t>
            </w:r>
          </w:p>
        </w:tc>
        <w:tc>
          <w:tcPr>
            <w:tcW w:w="4163" w:type="dxa"/>
            <w:tcBorders>
              <w:tl2br w:val="nil"/>
              <w:tr2bl w:val="nil"/>
            </w:tcBorders>
            <w:shd w:val="clear" w:color="auto" w:fill="auto"/>
            <w:tcMar>
              <w:top w:w="15" w:type="dxa"/>
              <w:left w:w="15" w:type="dxa"/>
              <w:right w:w="15" w:type="dxa"/>
            </w:tcMar>
            <w:vAlign w:val="center"/>
          </w:tcPr>
          <w:p w14:paraId="1F0A9079">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水质 硫化物的测定 亚甲基蓝分光光度法</w:t>
            </w:r>
          </w:p>
        </w:tc>
        <w:tc>
          <w:tcPr>
            <w:tcW w:w="1782" w:type="dxa"/>
            <w:tcBorders>
              <w:tl2br w:val="nil"/>
              <w:tr2bl w:val="nil"/>
            </w:tcBorders>
            <w:shd w:val="clear" w:color="auto" w:fill="auto"/>
            <w:noWrap/>
            <w:tcMar>
              <w:top w:w="15" w:type="dxa"/>
              <w:left w:w="15" w:type="dxa"/>
              <w:right w:w="15" w:type="dxa"/>
            </w:tcMar>
            <w:vAlign w:val="center"/>
          </w:tcPr>
          <w:p w14:paraId="4C879A31">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GB/T 16489-1996</w:t>
            </w:r>
          </w:p>
        </w:tc>
        <w:tc>
          <w:tcPr>
            <w:tcW w:w="1222" w:type="dxa"/>
            <w:tcBorders>
              <w:tl2br w:val="nil"/>
              <w:tr2bl w:val="nil"/>
            </w:tcBorders>
            <w:shd w:val="clear" w:color="auto" w:fill="auto"/>
            <w:tcMar>
              <w:top w:w="15" w:type="dxa"/>
              <w:left w:w="15" w:type="dxa"/>
              <w:right w:w="15" w:type="dxa"/>
            </w:tcMar>
            <w:vAlign w:val="center"/>
          </w:tcPr>
          <w:p w14:paraId="2DFD7144">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0.005mg/L</w:t>
            </w:r>
          </w:p>
        </w:tc>
      </w:tr>
      <w:tr w14:paraId="0FBE95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01F70071">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498059DB">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亚硝酸盐氮</w:t>
            </w:r>
          </w:p>
        </w:tc>
        <w:tc>
          <w:tcPr>
            <w:tcW w:w="4163" w:type="dxa"/>
            <w:tcBorders>
              <w:tl2br w:val="nil"/>
              <w:tr2bl w:val="nil"/>
            </w:tcBorders>
            <w:shd w:val="clear" w:color="auto" w:fill="auto"/>
            <w:tcMar>
              <w:top w:w="15" w:type="dxa"/>
              <w:left w:w="15" w:type="dxa"/>
              <w:right w:w="15" w:type="dxa"/>
            </w:tcMar>
            <w:vAlign w:val="center"/>
          </w:tcPr>
          <w:p w14:paraId="05D4C852">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 xml:space="preserve">生活饮用水标准检验方法 </w:t>
            </w:r>
          </w:p>
          <w:p w14:paraId="3FBABD5C">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无机非金属指标 重氮偶合分光光度法</w:t>
            </w:r>
          </w:p>
        </w:tc>
        <w:tc>
          <w:tcPr>
            <w:tcW w:w="1782" w:type="dxa"/>
            <w:tcBorders>
              <w:tl2br w:val="nil"/>
              <w:tr2bl w:val="nil"/>
            </w:tcBorders>
            <w:shd w:val="clear" w:color="auto" w:fill="auto"/>
            <w:tcMar>
              <w:top w:w="15" w:type="dxa"/>
              <w:left w:w="15" w:type="dxa"/>
              <w:right w:w="15" w:type="dxa"/>
            </w:tcMar>
            <w:vAlign w:val="center"/>
          </w:tcPr>
          <w:p w14:paraId="179D3BB0">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GB/T 5750.5-2006</w:t>
            </w:r>
          </w:p>
        </w:tc>
        <w:tc>
          <w:tcPr>
            <w:tcW w:w="1222" w:type="dxa"/>
            <w:tcBorders>
              <w:tl2br w:val="nil"/>
              <w:tr2bl w:val="nil"/>
            </w:tcBorders>
            <w:shd w:val="clear" w:color="auto" w:fill="auto"/>
            <w:tcMar>
              <w:top w:w="15" w:type="dxa"/>
              <w:left w:w="15" w:type="dxa"/>
              <w:right w:w="15" w:type="dxa"/>
            </w:tcMar>
            <w:vAlign w:val="center"/>
          </w:tcPr>
          <w:p w14:paraId="0126E8D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0.001mg/L</w:t>
            </w:r>
          </w:p>
        </w:tc>
      </w:tr>
      <w:tr w14:paraId="632391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36F1376D">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2E9AE076">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氰化物</w:t>
            </w:r>
          </w:p>
        </w:tc>
        <w:tc>
          <w:tcPr>
            <w:tcW w:w="4163" w:type="dxa"/>
            <w:tcBorders>
              <w:tl2br w:val="nil"/>
              <w:tr2bl w:val="nil"/>
            </w:tcBorders>
            <w:shd w:val="clear" w:color="auto" w:fill="auto"/>
            <w:tcMar>
              <w:top w:w="15" w:type="dxa"/>
              <w:left w:w="15" w:type="dxa"/>
              <w:right w:w="15" w:type="dxa"/>
            </w:tcMar>
            <w:vAlign w:val="center"/>
          </w:tcPr>
          <w:p w14:paraId="1604358F">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 xml:space="preserve">生活饮用水标准检验方法 </w:t>
            </w:r>
          </w:p>
          <w:p w14:paraId="41138D71">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无机非金属指标 异烟酸-吡唑酮分光光度法</w:t>
            </w:r>
          </w:p>
        </w:tc>
        <w:tc>
          <w:tcPr>
            <w:tcW w:w="1782" w:type="dxa"/>
            <w:tcBorders>
              <w:tl2br w:val="nil"/>
              <w:tr2bl w:val="nil"/>
            </w:tcBorders>
            <w:shd w:val="clear" w:color="auto" w:fill="auto"/>
            <w:tcMar>
              <w:top w:w="15" w:type="dxa"/>
              <w:left w:w="15" w:type="dxa"/>
              <w:right w:w="15" w:type="dxa"/>
            </w:tcMar>
            <w:vAlign w:val="center"/>
          </w:tcPr>
          <w:p w14:paraId="08EFB325">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GB/T 5750.5-2006</w:t>
            </w:r>
          </w:p>
        </w:tc>
        <w:tc>
          <w:tcPr>
            <w:tcW w:w="1222" w:type="dxa"/>
            <w:tcBorders>
              <w:tl2br w:val="nil"/>
              <w:tr2bl w:val="nil"/>
            </w:tcBorders>
            <w:shd w:val="clear" w:color="auto" w:fill="auto"/>
            <w:tcMar>
              <w:top w:w="15" w:type="dxa"/>
              <w:left w:w="15" w:type="dxa"/>
              <w:right w:w="15" w:type="dxa"/>
            </w:tcMar>
            <w:vAlign w:val="center"/>
          </w:tcPr>
          <w:p w14:paraId="43B98D9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0.002mg/L</w:t>
            </w:r>
          </w:p>
        </w:tc>
      </w:tr>
      <w:tr w14:paraId="2CB29B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0CEB3728">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27490AC6">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铁</w:t>
            </w:r>
          </w:p>
        </w:tc>
        <w:tc>
          <w:tcPr>
            <w:tcW w:w="4163" w:type="dxa"/>
            <w:vMerge w:val="restart"/>
            <w:tcBorders>
              <w:tl2br w:val="nil"/>
              <w:tr2bl w:val="nil"/>
            </w:tcBorders>
            <w:shd w:val="clear" w:color="auto" w:fill="auto"/>
            <w:tcMar>
              <w:top w:w="15" w:type="dxa"/>
              <w:left w:w="15" w:type="dxa"/>
              <w:right w:w="15" w:type="dxa"/>
            </w:tcMar>
            <w:vAlign w:val="center"/>
          </w:tcPr>
          <w:p w14:paraId="732766D5">
            <w:pPr>
              <w:widowControl/>
              <w:spacing w:line="240" w:lineRule="auto"/>
              <w:jc w:val="center"/>
              <w:textAlignment w:val="bottom"/>
              <w:rPr>
                <w:rStyle w:val="61"/>
                <w:rFonts w:hint="default" w:ascii="Times New Roman" w:hAnsi="Times New Roman" w:cs="Times New Roman"/>
                <w:color w:val="auto"/>
                <w:sz w:val="21"/>
                <w:szCs w:val="21"/>
                <w:highlight w:val="none"/>
                <w:lang w:bidi="ar"/>
              </w:rPr>
            </w:pPr>
            <w:r>
              <w:rPr>
                <w:rFonts w:hint="default" w:ascii="Times New Roman" w:hAnsi="Times New Roman" w:cs="Times New Roman"/>
                <w:color w:val="auto"/>
                <w:kern w:val="0"/>
                <w:sz w:val="21"/>
                <w:szCs w:val="21"/>
                <w:highlight w:val="none"/>
                <w:lang w:bidi="ar"/>
              </w:rPr>
              <w:t xml:space="preserve">生活饮用水标准检验方法 </w:t>
            </w:r>
            <w:r>
              <w:rPr>
                <w:rStyle w:val="61"/>
                <w:rFonts w:hint="default" w:ascii="Times New Roman" w:hAnsi="Times New Roman" w:cs="Times New Roman"/>
                <w:color w:val="auto"/>
                <w:sz w:val="21"/>
                <w:szCs w:val="21"/>
                <w:highlight w:val="none"/>
                <w:lang w:bidi="ar"/>
              </w:rPr>
              <w:t>金属指标</w:t>
            </w:r>
          </w:p>
          <w:p w14:paraId="79B0B471">
            <w:pPr>
              <w:widowControl/>
              <w:spacing w:line="240" w:lineRule="auto"/>
              <w:jc w:val="center"/>
              <w:textAlignment w:val="bottom"/>
              <w:rPr>
                <w:rFonts w:hint="default" w:ascii="Times New Roman" w:hAnsi="Times New Roman" w:cs="Times New Roman"/>
                <w:color w:val="auto"/>
                <w:sz w:val="21"/>
                <w:szCs w:val="21"/>
                <w:highlight w:val="none"/>
              </w:rPr>
            </w:pPr>
            <w:r>
              <w:rPr>
                <w:rStyle w:val="61"/>
                <w:rFonts w:hint="default" w:ascii="Times New Roman" w:hAnsi="Times New Roman" w:cs="Times New Roman"/>
                <w:color w:val="auto"/>
                <w:sz w:val="21"/>
                <w:szCs w:val="21"/>
                <w:highlight w:val="none"/>
                <w:lang w:bidi="ar"/>
              </w:rPr>
              <w:t>电感耦合等离子体发射光谱法</w:t>
            </w:r>
          </w:p>
        </w:tc>
        <w:tc>
          <w:tcPr>
            <w:tcW w:w="1782" w:type="dxa"/>
            <w:vMerge w:val="restart"/>
            <w:tcBorders>
              <w:tl2br w:val="nil"/>
              <w:tr2bl w:val="nil"/>
            </w:tcBorders>
            <w:shd w:val="clear" w:color="auto" w:fill="auto"/>
            <w:tcMar>
              <w:top w:w="15" w:type="dxa"/>
              <w:left w:w="15" w:type="dxa"/>
              <w:right w:w="15" w:type="dxa"/>
            </w:tcMar>
            <w:vAlign w:val="center"/>
          </w:tcPr>
          <w:p w14:paraId="7690A2AB">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GB/T 5750.6-2006</w:t>
            </w:r>
          </w:p>
        </w:tc>
        <w:tc>
          <w:tcPr>
            <w:tcW w:w="1222" w:type="dxa"/>
            <w:tcBorders>
              <w:tl2br w:val="nil"/>
              <w:tr2bl w:val="nil"/>
            </w:tcBorders>
            <w:shd w:val="clear" w:color="auto" w:fill="auto"/>
            <w:tcMar>
              <w:top w:w="15" w:type="dxa"/>
              <w:left w:w="15" w:type="dxa"/>
              <w:right w:w="15" w:type="dxa"/>
            </w:tcMar>
            <w:vAlign w:val="center"/>
          </w:tcPr>
          <w:p w14:paraId="61FDCEC7">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0.0045mg/L</w:t>
            </w:r>
          </w:p>
        </w:tc>
      </w:tr>
      <w:tr w14:paraId="44FF92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64B52410">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7674ADA2">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锰</w:t>
            </w:r>
          </w:p>
        </w:tc>
        <w:tc>
          <w:tcPr>
            <w:tcW w:w="4163" w:type="dxa"/>
            <w:vMerge w:val="continue"/>
            <w:tcBorders>
              <w:tl2br w:val="nil"/>
              <w:tr2bl w:val="nil"/>
            </w:tcBorders>
            <w:shd w:val="clear" w:color="auto" w:fill="auto"/>
            <w:tcMar>
              <w:top w:w="15" w:type="dxa"/>
              <w:left w:w="15" w:type="dxa"/>
              <w:right w:w="15" w:type="dxa"/>
            </w:tcMar>
            <w:vAlign w:val="center"/>
          </w:tcPr>
          <w:p w14:paraId="32D58574">
            <w:pPr>
              <w:spacing w:line="240" w:lineRule="auto"/>
              <w:jc w:val="center"/>
              <w:rPr>
                <w:rFonts w:hint="default" w:ascii="Times New Roman" w:hAnsi="Times New Roman" w:cs="Times New Roman"/>
                <w:color w:val="auto"/>
                <w:sz w:val="21"/>
                <w:szCs w:val="21"/>
                <w:highlight w:val="none"/>
              </w:rPr>
            </w:pPr>
          </w:p>
        </w:tc>
        <w:tc>
          <w:tcPr>
            <w:tcW w:w="1782" w:type="dxa"/>
            <w:vMerge w:val="continue"/>
            <w:tcBorders>
              <w:tl2br w:val="nil"/>
              <w:tr2bl w:val="nil"/>
            </w:tcBorders>
            <w:shd w:val="clear" w:color="auto" w:fill="auto"/>
            <w:tcMar>
              <w:top w:w="15" w:type="dxa"/>
              <w:left w:w="15" w:type="dxa"/>
              <w:right w:w="15" w:type="dxa"/>
            </w:tcMar>
            <w:vAlign w:val="center"/>
          </w:tcPr>
          <w:p w14:paraId="77C7A2EF">
            <w:pPr>
              <w:spacing w:line="240" w:lineRule="auto"/>
              <w:jc w:val="center"/>
              <w:rPr>
                <w:rFonts w:hint="default" w:ascii="Times New Roman" w:hAnsi="Times New Roman" w:cs="Times New Roman"/>
                <w:color w:val="auto"/>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6CB767FE">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0.0005mg/L</w:t>
            </w:r>
          </w:p>
        </w:tc>
      </w:tr>
      <w:tr w14:paraId="6F9A48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3CF7FB11">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4F76D0F2">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铜</w:t>
            </w:r>
          </w:p>
        </w:tc>
        <w:tc>
          <w:tcPr>
            <w:tcW w:w="4163" w:type="dxa"/>
            <w:vMerge w:val="continue"/>
            <w:tcBorders>
              <w:tl2br w:val="nil"/>
              <w:tr2bl w:val="nil"/>
            </w:tcBorders>
            <w:shd w:val="clear" w:color="auto" w:fill="auto"/>
            <w:tcMar>
              <w:top w:w="15" w:type="dxa"/>
              <w:left w:w="15" w:type="dxa"/>
              <w:right w:w="15" w:type="dxa"/>
            </w:tcMar>
            <w:vAlign w:val="center"/>
          </w:tcPr>
          <w:p w14:paraId="27D9446A">
            <w:pPr>
              <w:spacing w:line="240" w:lineRule="auto"/>
              <w:jc w:val="center"/>
              <w:rPr>
                <w:rFonts w:hint="default" w:ascii="Times New Roman" w:hAnsi="Times New Roman" w:cs="Times New Roman"/>
                <w:color w:val="auto"/>
                <w:sz w:val="21"/>
                <w:szCs w:val="21"/>
                <w:highlight w:val="none"/>
              </w:rPr>
            </w:pPr>
          </w:p>
        </w:tc>
        <w:tc>
          <w:tcPr>
            <w:tcW w:w="1782" w:type="dxa"/>
            <w:vMerge w:val="continue"/>
            <w:tcBorders>
              <w:tl2br w:val="nil"/>
              <w:tr2bl w:val="nil"/>
            </w:tcBorders>
            <w:shd w:val="clear" w:color="auto" w:fill="auto"/>
            <w:tcMar>
              <w:top w:w="15" w:type="dxa"/>
              <w:left w:w="15" w:type="dxa"/>
              <w:right w:w="15" w:type="dxa"/>
            </w:tcMar>
            <w:vAlign w:val="center"/>
          </w:tcPr>
          <w:p w14:paraId="76525979">
            <w:pPr>
              <w:spacing w:line="240" w:lineRule="auto"/>
              <w:jc w:val="center"/>
              <w:rPr>
                <w:rFonts w:hint="default" w:ascii="Times New Roman" w:hAnsi="Times New Roman" w:cs="Times New Roman"/>
                <w:color w:val="auto"/>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490A6311">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0.009mg/L</w:t>
            </w:r>
          </w:p>
        </w:tc>
      </w:tr>
      <w:tr w14:paraId="4C0323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45A22D97">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235CD29D">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铝</w:t>
            </w:r>
          </w:p>
        </w:tc>
        <w:tc>
          <w:tcPr>
            <w:tcW w:w="4163" w:type="dxa"/>
            <w:vMerge w:val="continue"/>
            <w:tcBorders>
              <w:tl2br w:val="nil"/>
              <w:tr2bl w:val="nil"/>
            </w:tcBorders>
            <w:shd w:val="clear" w:color="auto" w:fill="auto"/>
            <w:tcMar>
              <w:top w:w="15" w:type="dxa"/>
              <w:left w:w="15" w:type="dxa"/>
              <w:right w:w="15" w:type="dxa"/>
            </w:tcMar>
            <w:vAlign w:val="center"/>
          </w:tcPr>
          <w:p w14:paraId="1BA691AC">
            <w:pPr>
              <w:spacing w:line="240" w:lineRule="auto"/>
              <w:jc w:val="center"/>
              <w:rPr>
                <w:rFonts w:hint="default" w:ascii="Times New Roman" w:hAnsi="Times New Roman" w:cs="Times New Roman"/>
                <w:color w:val="auto"/>
                <w:sz w:val="21"/>
                <w:szCs w:val="21"/>
                <w:highlight w:val="none"/>
              </w:rPr>
            </w:pPr>
          </w:p>
        </w:tc>
        <w:tc>
          <w:tcPr>
            <w:tcW w:w="1782" w:type="dxa"/>
            <w:vMerge w:val="continue"/>
            <w:tcBorders>
              <w:tl2br w:val="nil"/>
              <w:tr2bl w:val="nil"/>
            </w:tcBorders>
            <w:shd w:val="clear" w:color="auto" w:fill="auto"/>
            <w:tcMar>
              <w:top w:w="15" w:type="dxa"/>
              <w:left w:w="15" w:type="dxa"/>
              <w:right w:w="15" w:type="dxa"/>
            </w:tcMar>
            <w:vAlign w:val="center"/>
          </w:tcPr>
          <w:p w14:paraId="0B67393E">
            <w:pPr>
              <w:spacing w:line="240" w:lineRule="auto"/>
              <w:jc w:val="center"/>
              <w:rPr>
                <w:rFonts w:hint="default" w:ascii="Times New Roman" w:hAnsi="Times New Roman" w:cs="Times New Roman"/>
                <w:color w:val="auto"/>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4D82F655">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0.040mg/L</w:t>
            </w:r>
          </w:p>
        </w:tc>
      </w:tr>
      <w:tr w14:paraId="6AF3D2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61D7622E">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0C27DD4B">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钠</w:t>
            </w:r>
          </w:p>
        </w:tc>
        <w:tc>
          <w:tcPr>
            <w:tcW w:w="4163" w:type="dxa"/>
            <w:vMerge w:val="continue"/>
            <w:tcBorders>
              <w:tl2br w:val="nil"/>
              <w:tr2bl w:val="nil"/>
            </w:tcBorders>
            <w:shd w:val="clear" w:color="auto" w:fill="auto"/>
            <w:tcMar>
              <w:top w:w="15" w:type="dxa"/>
              <w:left w:w="15" w:type="dxa"/>
              <w:right w:w="15" w:type="dxa"/>
            </w:tcMar>
            <w:vAlign w:val="center"/>
          </w:tcPr>
          <w:p w14:paraId="26B25B6B">
            <w:pPr>
              <w:spacing w:line="240" w:lineRule="auto"/>
              <w:jc w:val="center"/>
              <w:rPr>
                <w:rFonts w:hint="default" w:ascii="Times New Roman" w:hAnsi="Times New Roman" w:cs="Times New Roman"/>
                <w:color w:val="auto"/>
                <w:sz w:val="21"/>
                <w:szCs w:val="21"/>
                <w:highlight w:val="none"/>
              </w:rPr>
            </w:pPr>
          </w:p>
        </w:tc>
        <w:tc>
          <w:tcPr>
            <w:tcW w:w="1782" w:type="dxa"/>
            <w:vMerge w:val="continue"/>
            <w:tcBorders>
              <w:tl2br w:val="nil"/>
              <w:tr2bl w:val="nil"/>
            </w:tcBorders>
            <w:shd w:val="clear" w:color="auto" w:fill="auto"/>
            <w:tcMar>
              <w:top w:w="15" w:type="dxa"/>
              <w:left w:w="15" w:type="dxa"/>
              <w:right w:w="15" w:type="dxa"/>
            </w:tcMar>
            <w:vAlign w:val="center"/>
          </w:tcPr>
          <w:p w14:paraId="17C3CB66">
            <w:pPr>
              <w:spacing w:line="240" w:lineRule="auto"/>
              <w:jc w:val="center"/>
              <w:rPr>
                <w:rFonts w:hint="default" w:ascii="Times New Roman" w:hAnsi="Times New Roman" w:cs="Times New Roman"/>
                <w:color w:val="auto"/>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64347918">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0.005mg/L</w:t>
            </w:r>
          </w:p>
        </w:tc>
      </w:tr>
      <w:tr w14:paraId="36092C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55CE1544">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1E46DBE9">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锌</w:t>
            </w:r>
          </w:p>
        </w:tc>
        <w:tc>
          <w:tcPr>
            <w:tcW w:w="4163" w:type="dxa"/>
            <w:vMerge w:val="continue"/>
            <w:tcBorders>
              <w:tl2br w:val="nil"/>
              <w:tr2bl w:val="nil"/>
            </w:tcBorders>
            <w:shd w:val="clear" w:color="auto" w:fill="auto"/>
            <w:tcMar>
              <w:top w:w="15" w:type="dxa"/>
              <w:left w:w="15" w:type="dxa"/>
              <w:right w:w="15" w:type="dxa"/>
            </w:tcMar>
            <w:vAlign w:val="center"/>
          </w:tcPr>
          <w:p w14:paraId="49D9A5B1">
            <w:pPr>
              <w:spacing w:line="240" w:lineRule="auto"/>
              <w:jc w:val="center"/>
              <w:rPr>
                <w:rFonts w:hint="default" w:ascii="Times New Roman" w:hAnsi="Times New Roman" w:cs="Times New Roman"/>
                <w:color w:val="auto"/>
                <w:sz w:val="21"/>
                <w:szCs w:val="21"/>
                <w:highlight w:val="none"/>
              </w:rPr>
            </w:pPr>
          </w:p>
        </w:tc>
        <w:tc>
          <w:tcPr>
            <w:tcW w:w="1782" w:type="dxa"/>
            <w:vMerge w:val="continue"/>
            <w:tcBorders>
              <w:tl2br w:val="nil"/>
              <w:tr2bl w:val="nil"/>
            </w:tcBorders>
            <w:shd w:val="clear" w:color="auto" w:fill="auto"/>
            <w:tcMar>
              <w:top w:w="15" w:type="dxa"/>
              <w:left w:w="15" w:type="dxa"/>
              <w:right w:w="15" w:type="dxa"/>
            </w:tcMar>
            <w:vAlign w:val="center"/>
          </w:tcPr>
          <w:p w14:paraId="0715DA1B">
            <w:pPr>
              <w:spacing w:line="240" w:lineRule="auto"/>
              <w:jc w:val="center"/>
              <w:rPr>
                <w:rFonts w:hint="default" w:ascii="Times New Roman" w:hAnsi="Times New Roman" w:cs="Times New Roman"/>
                <w:color w:val="auto"/>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57CAFD3E">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0.001mg/L</w:t>
            </w:r>
          </w:p>
        </w:tc>
      </w:tr>
      <w:tr w14:paraId="7325B0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0FB19CAC">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732203D0">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铬</w:t>
            </w:r>
          </w:p>
        </w:tc>
        <w:tc>
          <w:tcPr>
            <w:tcW w:w="4163" w:type="dxa"/>
            <w:vMerge w:val="continue"/>
            <w:tcBorders>
              <w:tl2br w:val="nil"/>
              <w:tr2bl w:val="nil"/>
            </w:tcBorders>
            <w:shd w:val="clear" w:color="auto" w:fill="auto"/>
            <w:tcMar>
              <w:top w:w="15" w:type="dxa"/>
              <w:left w:w="15" w:type="dxa"/>
              <w:right w:w="15" w:type="dxa"/>
            </w:tcMar>
            <w:vAlign w:val="center"/>
          </w:tcPr>
          <w:p w14:paraId="655FABD5">
            <w:pPr>
              <w:spacing w:line="240" w:lineRule="auto"/>
              <w:jc w:val="center"/>
              <w:rPr>
                <w:rFonts w:hint="default" w:ascii="Times New Roman" w:hAnsi="Times New Roman" w:cs="Times New Roman"/>
                <w:color w:val="auto"/>
                <w:sz w:val="21"/>
                <w:szCs w:val="21"/>
                <w:highlight w:val="none"/>
              </w:rPr>
            </w:pPr>
          </w:p>
        </w:tc>
        <w:tc>
          <w:tcPr>
            <w:tcW w:w="1782" w:type="dxa"/>
            <w:vMerge w:val="continue"/>
            <w:tcBorders>
              <w:tl2br w:val="nil"/>
              <w:tr2bl w:val="nil"/>
            </w:tcBorders>
            <w:shd w:val="clear" w:color="auto" w:fill="auto"/>
            <w:tcMar>
              <w:top w:w="15" w:type="dxa"/>
              <w:left w:w="15" w:type="dxa"/>
              <w:right w:w="15" w:type="dxa"/>
            </w:tcMar>
            <w:vAlign w:val="center"/>
          </w:tcPr>
          <w:p w14:paraId="0F0F3EF4">
            <w:pPr>
              <w:spacing w:line="240" w:lineRule="auto"/>
              <w:jc w:val="center"/>
              <w:rPr>
                <w:rFonts w:hint="default" w:ascii="Times New Roman" w:hAnsi="Times New Roman" w:cs="Times New Roman"/>
                <w:color w:val="auto"/>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0D2E58C4">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0.019mg/L</w:t>
            </w:r>
          </w:p>
        </w:tc>
      </w:tr>
      <w:tr w14:paraId="6976FC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28C2205A">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0D1F37C9">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汞</w:t>
            </w:r>
          </w:p>
        </w:tc>
        <w:tc>
          <w:tcPr>
            <w:tcW w:w="4163" w:type="dxa"/>
            <w:vMerge w:val="restart"/>
            <w:tcBorders>
              <w:tl2br w:val="nil"/>
              <w:tr2bl w:val="nil"/>
            </w:tcBorders>
            <w:shd w:val="clear" w:color="auto" w:fill="auto"/>
            <w:tcMar>
              <w:top w:w="15" w:type="dxa"/>
              <w:left w:w="15" w:type="dxa"/>
              <w:right w:w="15" w:type="dxa"/>
            </w:tcMar>
            <w:vAlign w:val="center"/>
          </w:tcPr>
          <w:p w14:paraId="49DEE4F6">
            <w:pPr>
              <w:widowControl/>
              <w:spacing w:line="240" w:lineRule="auto"/>
              <w:jc w:val="center"/>
              <w:textAlignment w:val="bottom"/>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 xml:space="preserve">水质 </w:t>
            </w:r>
            <w:r>
              <w:rPr>
                <w:rStyle w:val="61"/>
                <w:rFonts w:hint="default" w:ascii="Times New Roman" w:hAnsi="Times New Roman" w:cs="Times New Roman"/>
                <w:color w:val="auto"/>
                <w:sz w:val="21"/>
                <w:szCs w:val="21"/>
                <w:highlight w:val="none"/>
                <w:lang w:bidi="ar"/>
              </w:rPr>
              <w:t>汞、砷、硒、铋和锑的测定</w:t>
            </w:r>
            <w:r>
              <w:rPr>
                <w:rFonts w:hint="default" w:ascii="Times New Roman" w:hAnsi="Times New Roman" w:cs="Times New Roman"/>
                <w:color w:val="auto"/>
                <w:kern w:val="0"/>
                <w:sz w:val="21"/>
                <w:szCs w:val="21"/>
                <w:highlight w:val="none"/>
                <w:lang w:bidi="ar"/>
              </w:rPr>
              <w:t xml:space="preserve"> </w:t>
            </w:r>
          </w:p>
          <w:p w14:paraId="00A7F32B">
            <w:pPr>
              <w:widowControl/>
              <w:spacing w:line="240" w:lineRule="auto"/>
              <w:jc w:val="center"/>
              <w:textAlignment w:val="bottom"/>
              <w:rPr>
                <w:rFonts w:hint="default" w:ascii="Times New Roman" w:hAnsi="Times New Roman" w:cs="Times New Roman"/>
                <w:color w:val="auto"/>
                <w:sz w:val="21"/>
                <w:szCs w:val="21"/>
                <w:highlight w:val="none"/>
              </w:rPr>
            </w:pPr>
            <w:r>
              <w:rPr>
                <w:rStyle w:val="61"/>
                <w:rFonts w:hint="default" w:ascii="Times New Roman" w:hAnsi="Times New Roman" w:cs="Times New Roman"/>
                <w:color w:val="auto"/>
                <w:sz w:val="21"/>
                <w:szCs w:val="21"/>
                <w:highlight w:val="none"/>
                <w:lang w:bidi="ar"/>
              </w:rPr>
              <w:t>原子荧光法</w:t>
            </w:r>
          </w:p>
        </w:tc>
        <w:tc>
          <w:tcPr>
            <w:tcW w:w="1782" w:type="dxa"/>
            <w:vMerge w:val="restart"/>
            <w:tcBorders>
              <w:tl2br w:val="nil"/>
              <w:tr2bl w:val="nil"/>
            </w:tcBorders>
            <w:shd w:val="clear" w:color="auto" w:fill="auto"/>
            <w:noWrap/>
            <w:tcMar>
              <w:top w:w="15" w:type="dxa"/>
              <w:left w:w="15" w:type="dxa"/>
              <w:right w:w="15" w:type="dxa"/>
            </w:tcMar>
            <w:vAlign w:val="center"/>
          </w:tcPr>
          <w:p w14:paraId="04E12BF5">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HJ 694-2014</w:t>
            </w:r>
          </w:p>
        </w:tc>
        <w:tc>
          <w:tcPr>
            <w:tcW w:w="1222" w:type="dxa"/>
            <w:tcBorders>
              <w:tl2br w:val="nil"/>
              <w:tr2bl w:val="nil"/>
            </w:tcBorders>
            <w:shd w:val="clear" w:color="auto" w:fill="auto"/>
            <w:tcMar>
              <w:top w:w="15" w:type="dxa"/>
              <w:left w:w="15" w:type="dxa"/>
              <w:right w:w="15" w:type="dxa"/>
            </w:tcMar>
            <w:vAlign w:val="center"/>
          </w:tcPr>
          <w:p w14:paraId="19849C5F">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0.00004mg/L</w:t>
            </w:r>
          </w:p>
        </w:tc>
      </w:tr>
      <w:tr w14:paraId="07BF15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66FC1D0C">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2FEB6D30">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砷</w:t>
            </w:r>
          </w:p>
        </w:tc>
        <w:tc>
          <w:tcPr>
            <w:tcW w:w="4163" w:type="dxa"/>
            <w:vMerge w:val="continue"/>
            <w:tcBorders>
              <w:tl2br w:val="nil"/>
              <w:tr2bl w:val="nil"/>
            </w:tcBorders>
            <w:shd w:val="clear" w:color="auto" w:fill="auto"/>
            <w:tcMar>
              <w:top w:w="15" w:type="dxa"/>
              <w:left w:w="15" w:type="dxa"/>
              <w:right w:w="15" w:type="dxa"/>
            </w:tcMar>
            <w:vAlign w:val="center"/>
          </w:tcPr>
          <w:p w14:paraId="543A470D">
            <w:pPr>
              <w:spacing w:line="240" w:lineRule="auto"/>
              <w:jc w:val="center"/>
              <w:rPr>
                <w:rFonts w:hint="default" w:ascii="Times New Roman" w:hAnsi="Times New Roman" w:cs="Times New Roman"/>
                <w:color w:val="auto"/>
                <w:sz w:val="21"/>
                <w:szCs w:val="21"/>
                <w:highlight w:val="none"/>
              </w:rPr>
            </w:pPr>
          </w:p>
        </w:tc>
        <w:tc>
          <w:tcPr>
            <w:tcW w:w="1782" w:type="dxa"/>
            <w:vMerge w:val="continue"/>
            <w:tcBorders>
              <w:tl2br w:val="nil"/>
              <w:tr2bl w:val="nil"/>
            </w:tcBorders>
            <w:shd w:val="clear" w:color="auto" w:fill="auto"/>
            <w:noWrap/>
            <w:tcMar>
              <w:top w:w="15" w:type="dxa"/>
              <w:left w:w="15" w:type="dxa"/>
              <w:right w:w="15" w:type="dxa"/>
            </w:tcMar>
            <w:vAlign w:val="center"/>
          </w:tcPr>
          <w:p w14:paraId="1C625418">
            <w:pPr>
              <w:spacing w:line="240" w:lineRule="auto"/>
              <w:jc w:val="center"/>
              <w:rPr>
                <w:rFonts w:hint="default" w:ascii="Times New Roman" w:hAnsi="Times New Roman" w:cs="Times New Roman"/>
                <w:color w:val="auto"/>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6ED94D0E">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0.0003mg/L</w:t>
            </w:r>
          </w:p>
        </w:tc>
      </w:tr>
      <w:tr w14:paraId="462F96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2388D2FC">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37F4DE98">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硒</w:t>
            </w:r>
          </w:p>
        </w:tc>
        <w:tc>
          <w:tcPr>
            <w:tcW w:w="4163" w:type="dxa"/>
            <w:vMerge w:val="continue"/>
            <w:tcBorders>
              <w:tl2br w:val="nil"/>
              <w:tr2bl w:val="nil"/>
            </w:tcBorders>
            <w:shd w:val="clear" w:color="auto" w:fill="auto"/>
            <w:tcMar>
              <w:top w:w="15" w:type="dxa"/>
              <w:left w:w="15" w:type="dxa"/>
              <w:right w:w="15" w:type="dxa"/>
            </w:tcMar>
            <w:vAlign w:val="center"/>
          </w:tcPr>
          <w:p w14:paraId="30C88DA3">
            <w:pPr>
              <w:spacing w:line="240" w:lineRule="auto"/>
              <w:jc w:val="center"/>
              <w:rPr>
                <w:rFonts w:hint="default" w:ascii="Times New Roman" w:hAnsi="Times New Roman" w:cs="Times New Roman"/>
                <w:color w:val="auto"/>
                <w:sz w:val="21"/>
                <w:szCs w:val="21"/>
                <w:highlight w:val="none"/>
              </w:rPr>
            </w:pPr>
          </w:p>
        </w:tc>
        <w:tc>
          <w:tcPr>
            <w:tcW w:w="1782" w:type="dxa"/>
            <w:vMerge w:val="continue"/>
            <w:tcBorders>
              <w:tl2br w:val="nil"/>
              <w:tr2bl w:val="nil"/>
            </w:tcBorders>
            <w:shd w:val="clear" w:color="auto" w:fill="auto"/>
            <w:noWrap/>
            <w:tcMar>
              <w:top w:w="15" w:type="dxa"/>
              <w:left w:w="15" w:type="dxa"/>
              <w:right w:w="15" w:type="dxa"/>
            </w:tcMar>
            <w:vAlign w:val="center"/>
          </w:tcPr>
          <w:p w14:paraId="597A8C25">
            <w:pPr>
              <w:spacing w:line="240" w:lineRule="auto"/>
              <w:jc w:val="center"/>
              <w:rPr>
                <w:rFonts w:hint="default" w:ascii="Times New Roman" w:hAnsi="Times New Roman" w:cs="Times New Roman"/>
                <w:color w:val="auto"/>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258A2DFE">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0.0004mg/L</w:t>
            </w:r>
          </w:p>
        </w:tc>
      </w:tr>
      <w:tr w14:paraId="6809D6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1DCAA973">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5656634A">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铅</w:t>
            </w:r>
          </w:p>
        </w:tc>
        <w:tc>
          <w:tcPr>
            <w:tcW w:w="4163" w:type="dxa"/>
            <w:tcBorders>
              <w:tl2br w:val="nil"/>
              <w:tr2bl w:val="nil"/>
            </w:tcBorders>
            <w:shd w:val="clear" w:color="auto" w:fill="auto"/>
            <w:tcMar>
              <w:top w:w="15" w:type="dxa"/>
              <w:left w:w="15" w:type="dxa"/>
              <w:right w:w="15" w:type="dxa"/>
            </w:tcMar>
            <w:vAlign w:val="center"/>
          </w:tcPr>
          <w:p w14:paraId="54255439">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生活饮用水标准检验方法 金属指标</w:t>
            </w:r>
            <w:r>
              <w:rPr>
                <w:rFonts w:hint="default" w:ascii="Times New Roman" w:hAnsi="Times New Roman" w:cs="Times New Roman"/>
                <w:color w:val="auto"/>
                <w:kern w:val="0"/>
                <w:sz w:val="21"/>
                <w:szCs w:val="21"/>
                <w:highlight w:val="none"/>
                <w:lang w:bidi="ar"/>
              </w:rPr>
              <w:br w:type="textWrapping"/>
            </w:r>
            <w:r>
              <w:rPr>
                <w:rFonts w:hint="default" w:ascii="Times New Roman" w:hAnsi="Times New Roman" w:cs="Times New Roman"/>
                <w:color w:val="auto"/>
                <w:kern w:val="0"/>
                <w:sz w:val="21"/>
                <w:szCs w:val="21"/>
                <w:highlight w:val="none"/>
                <w:lang w:bidi="ar"/>
              </w:rPr>
              <w:t>无火焰原子吸收分光光度法</w:t>
            </w:r>
          </w:p>
        </w:tc>
        <w:tc>
          <w:tcPr>
            <w:tcW w:w="1782" w:type="dxa"/>
            <w:tcBorders>
              <w:tl2br w:val="nil"/>
              <w:tr2bl w:val="nil"/>
            </w:tcBorders>
            <w:shd w:val="clear" w:color="auto" w:fill="auto"/>
            <w:noWrap/>
            <w:tcMar>
              <w:top w:w="15" w:type="dxa"/>
              <w:left w:w="15" w:type="dxa"/>
              <w:right w:w="15" w:type="dxa"/>
            </w:tcMar>
            <w:vAlign w:val="center"/>
          </w:tcPr>
          <w:p w14:paraId="2ED62C8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GB/T 5750.6-2006</w:t>
            </w:r>
          </w:p>
        </w:tc>
        <w:tc>
          <w:tcPr>
            <w:tcW w:w="1222" w:type="dxa"/>
            <w:tcBorders>
              <w:tl2br w:val="nil"/>
              <w:tr2bl w:val="nil"/>
            </w:tcBorders>
            <w:shd w:val="clear" w:color="auto" w:fill="auto"/>
            <w:tcMar>
              <w:top w:w="15" w:type="dxa"/>
              <w:left w:w="15" w:type="dxa"/>
              <w:right w:w="15" w:type="dxa"/>
            </w:tcMar>
            <w:vAlign w:val="center"/>
          </w:tcPr>
          <w:p w14:paraId="770D2F72">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0.0025mg/L</w:t>
            </w:r>
          </w:p>
        </w:tc>
      </w:tr>
      <w:tr w14:paraId="19E560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7DE895A4">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238FA8C4">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镉</w:t>
            </w:r>
          </w:p>
        </w:tc>
        <w:tc>
          <w:tcPr>
            <w:tcW w:w="4163" w:type="dxa"/>
            <w:tcBorders>
              <w:tl2br w:val="nil"/>
              <w:tr2bl w:val="nil"/>
            </w:tcBorders>
            <w:shd w:val="clear" w:color="auto" w:fill="auto"/>
            <w:tcMar>
              <w:top w:w="15" w:type="dxa"/>
              <w:left w:w="15" w:type="dxa"/>
              <w:right w:w="15" w:type="dxa"/>
            </w:tcMar>
            <w:vAlign w:val="center"/>
          </w:tcPr>
          <w:p w14:paraId="68A426A2">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生活饮用水标准检验方法 金属指标</w:t>
            </w:r>
            <w:r>
              <w:rPr>
                <w:rFonts w:hint="default" w:ascii="Times New Roman" w:hAnsi="Times New Roman" w:cs="Times New Roman"/>
                <w:color w:val="auto"/>
                <w:kern w:val="0"/>
                <w:sz w:val="21"/>
                <w:szCs w:val="21"/>
                <w:highlight w:val="none"/>
                <w:lang w:bidi="ar"/>
              </w:rPr>
              <w:br w:type="textWrapping"/>
            </w:r>
            <w:r>
              <w:rPr>
                <w:rFonts w:hint="default" w:ascii="Times New Roman" w:hAnsi="Times New Roman" w:cs="Times New Roman"/>
                <w:color w:val="auto"/>
                <w:kern w:val="0"/>
                <w:sz w:val="21"/>
                <w:szCs w:val="21"/>
                <w:highlight w:val="none"/>
                <w:lang w:bidi="ar"/>
              </w:rPr>
              <w:t>无火焰原子吸收分光光度法</w:t>
            </w:r>
          </w:p>
        </w:tc>
        <w:tc>
          <w:tcPr>
            <w:tcW w:w="1782" w:type="dxa"/>
            <w:tcBorders>
              <w:tl2br w:val="nil"/>
              <w:tr2bl w:val="nil"/>
            </w:tcBorders>
            <w:shd w:val="clear" w:color="auto" w:fill="auto"/>
            <w:tcMar>
              <w:top w:w="15" w:type="dxa"/>
              <w:left w:w="15" w:type="dxa"/>
              <w:right w:w="15" w:type="dxa"/>
            </w:tcMar>
            <w:vAlign w:val="center"/>
          </w:tcPr>
          <w:p w14:paraId="6AE96026">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GB/T 5750.6-2006</w:t>
            </w:r>
          </w:p>
        </w:tc>
        <w:tc>
          <w:tcPr>
            <w:tcW w:w="1222" w:type="dxa"/>
            <w:tcBorders>
              <w:tl2br w:val="nil"/>
              <w:tr2bl w:val="nil"/>
            </w:tcBorders>
            <w:shd w:val="clear" w:color="auto" w:fill="auto"/>
            <w:tcMar>
              <w:top w:w="15" w:type="dxa"/>
              <w:left w:w="15" w:type="dxa"/>
              <w:right w:w="15" w:type="dxa"/>
            </w:tcMar>
            <w:vAlign w:val="center"/>
          </w:tcPr>
          <w:p w14:paraId="072F4A77">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0.0005mg/L</w:t>
            </w:r>
          </w:p>
        </w:tc>
      </w:tr>
      <w:tr w14:paraId="662F2A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3D9FC4DB">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32D8B336">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铬（六价）</w:t>
            </w:r>
          </w:p>
        </w:tc>
        <w:tc>
          <w:tcPr>
            <w:tcW w:w="4163" w:type="dxa"/>
            <w:tcBorders>
              <w:tl2br w:val="nil"/>
              <w:tr2bl w:val="nil"/>
            </w:tcBorders>
            <w:shd w:val="clear" w:color="auto" w:fill="auto"/>
            <w:tcMar>
              <w:top w:w="15" w:type="dxa"/>
              <w:left w:w="15" w:type="dxa"/>
              <w:right w:w="15" w:type="dxa"/>
            </w:tcMar>
            <w:vAlign w:val="center"/>
          </w:tcPr>
          <w:p w14:paraId="7E229CA0">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生活饮用水标准检验方法 金属指标</w:t>
            </w:r>
            <w:r>
              <w:rPr>
                <w:rFonts w:hint="default" w:ascii="Times New Roman" w:hAnsi="Times New Roman" w:cs="Times New Roman"/>
                <w:color w:val="auto"/>
                <w:kern w:val="0"/>
                <w:sz w:val="21"/>
                <w:szCs w:val="21"/>
                <w:highlight w:val="none"/>
                <w:lang w:bidi="ar"/>
              </w:rPr>
              <w:br w:type="textWrapping"/>
            </w:r>
            <w:r>
              <w:rPr>
                <w:rFonts w:hint="default" w:ascii="Times New Roman" w:hAnsi="Times New Roman" w:cs="Times New Roman"/>
                <w:color w:val="auto"/>
                <w:kern w:val="0"/>
                <w:sz w:val="21"/>
                <w:szCs w:val="21"/>
                <w:highlight w:val="none"/>
                <w:lang w:bidi="ar"/>
              </w:rPr>
              <w:t>二苯碳酰二肼分光光度法</w:t>
            </w:r>
          </w:p>
        </w:tc>
        <w:tc>
          <w:tcPr>
            <w:tcW w:w="1782" w:type="dxa"/>
            <w:tcBorders>
              <w:tl2br w:val="nil"/>
              <w:tr2bl w:val="nil"/>
            </w:tcBorders>
            <w:shd w:val="clear" w:color="auto" w:fill="auto"/>
            <w:noWrap/>
            <w:tcMar>
              <w:top w:w="15" w:type="dxa"/>
              <w:left w:w="15" w:type="dxa"/>
              <w:right w:w="15" w:type="dxa"/>
            </w:tcMar>
            <w:vAlign w:val="center"/>
          </w:tcPr>
          <w:p w14:paraId="7D9557E6">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GB/T 5750.6-2006</w:t>
            </w:r>
          </w:p>
        </w:tc>
        <w:tc>
          <w:tcPr>
            <w:tcW w:w="1222" w:type="dxa"/>
            <w:tcBorders>
              <w:tl2br w:val="nil"/>
              <w:tr2bl w:val="nil"/>
            </w:tcBorders>
            <w:shd w:val="clear" w:color="auto" w:fill="auto"/>
            <w:tcMar>
              <w:top w:w="15" w:type="dxa"/>
              <w:left w:w="15" w:type="dxa"/>
              <w:right w:w="15" w:type="dxa"/>
            </w:tcMar>
            <w:vAlign w:val="center"/>
          </w:tcPr>
          <w:p w14:paraId="6F5BEC1E">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0.004mg/L</w:t>
            </w:r>
          </w:p>
        </w:tc>
      </w:tr>
      <w:tr w14:paraId="5D79BB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13E7B25A">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25678294">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石油类</w:t>
            </w:r>
          </w:p>
        </w:tc>
        <w:tc>
          <w:tcPr>
            <w:tcW w:w="4163" w:type="dxa"/>
            <w:tcBorders>
              <w:tl2br w:val="nil"/>
              <w:tr2bl w:val="nil"/>
            </w:tcBorders>
            <w:shd w:val="clear" w:color="auto" w:fill="auto"/>
            <w:tcMar>
              <w:top w:w="15" w:type="dxa"/>
              <w:left w:w="15" w:type="dxa"/>
              <w:right w:w="15" w:type="dxa"/>
            </w:tcMar>
            <w:vAlign w:val="center"/>
          </w:tcPr>
          <w:p w14:paraId="3CAC573D">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水质 石油类的测定 紫外分光光度法</w:t>
            </w:r>
          </w:p>
        </w:tc>
        <w:tc>
          <w:tcPr>
            <w:tcW w:w="1782" w:type="dxa"/>
            <w:tcBorders>
              <w:tl2br w:val="nil"/>
              <w:tr2bl w:val="nil"/>
            </w:tcBorders>
            <w:shd w:val="clear" w:color="auto" w:fill="auto"/>
            <w:noWrap/>
            <w:tcMar>
              <w:top w:w="15" w:type="dxa"/>
              <w:left w:w="15" w:type="dxa"/>
              <w:right w:w="15" w:type="dxa"/>
            </w:tcMar>
            <w:vAlign w:val="center"/>
          </w:tcPr>
          <w:p w14:paraId="41FFF9AA">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HJ 970-2018</w:t>
            </w:r>
          </w:p>
        </w:tc>
        <w:tc>
          <w:tcPr>
            <w:tcW w:w="1222" w:type="dxa"/>
            <w:tcBorders>
              <w:tl2br w:val="nil"/>
              <w:tr2bl w:val="nil"/>
            </w:tcBorders>
            <w:shd w:val="clear" w:color="auto" w:fill="auto"/>
            <w:tcMar>
              <w:top w:w="15" w:type="dxa"/>
              <w:left w:w="15" w:type="dxa"/>
              <w:right w:w="15" w:type="dxa"/>
            </w:tcMar>
            <w:vAlign w:val="center"/>
          </w:tcPr>
          <w:p w14:paraId="76F100FC">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0.01mg/L</w:t>
            </w:r>
          </w:p>
        </w:tc>
      </w:tr>
      <w:tr w14:paraId="2C81E2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055956AB">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6CE7EB9E">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氯仿</w:t>
            </w:r>
            <w:r>
              <w:rPr>
                <w:rFonts w:hint="default" w:ascii="Times New Roman" w:hAnsi="Times New Roman" w:cs="Times New Roman"/>
                <w:color w:val="auto"/>
                <w:kern w:val="0"/>
                <w:sz w:val="21"/>
                <w:szCs w:val="21"/>
                <w:highlight w:val="none"/>
                <w:lang w:bidi="ar"/>
              </w:rPr>
              <w:br w:type="textWrapping"/>
            </w:r>
            <w:r>
              <w:rPr>
                <w:rFonts w:hint="default" w:ascii="Times New Roman" w:hAnsi="Times New Roman" w:cs="Times New Roman"/>
                <w:color w:val="auto"/>
                <w:kern w:val="0"/>
                <w:sz w:val="21"/>
                <w:szCs w:val="21"/>
                <w:highlight w:val="none"/>
                <w:lang w:bidi="ar"/>
              </w:rPr>
              <w:t>（氯仿）</w:t>
            </w:r>
          </w:p>
        </w:tc>
        <w:tc>
          <w:tcPr>
            <w:tcW w:w="4163" w:type="dxa"/>
            <w:vMerge w:val="restart"/>
            <w:tcBorders>
              <w:tl2br w:val="nil"/>
              <w:tr2bl w:val="nil"/>
            </w:tcBorders>
            <w:shd w:val="clear" w:color="auto" w:fill="auto"/>
            <w:tcMar>
              <w:top w:w="15" w:type="dxa"/>
              <w:left w:w="15" w:type="dxa"/>
              <w:right w:w="15" w:type="dxa"/>
            </w:tcMar>
            <w:vAlign w:val="center"/>
          </w:tcPr>
          <w:p w14:paraId="54720287">
            <w:pPr>
              <w:widowControl/>
              <w:spacing w:line="240" w:lineRule="auto"/>
              <w:jc w:val="center"/>
              <w:textAlignment w:val="bottom"/>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 xml:space="preserve">水质 </w:t>
            </w:r>
            <w:r>
              <w:rPr>
                <w:rStyle w:val="61"/>
                <w:rFonts w:hint="default" w:ascii="Times New Roman" w:hAnsi="Times New Roman" w:cs="Times New Roman"/>
                <w:color w:val="auto"/>
                <w:sz w:val="21"/>
                <w:szCs w:val="21"/>
                <w:highlight w:val="none"/>
                <w:lang w:bidi="ar"/>
              </w:rPr>
              <w:t>挥发性有机物的测定</w:t>
            </w:r>
          </w:p>
          <w:p w14:paraId="0F67A519">
            <w:pPr>
              <w:widowControl/>
              <w:spacing w:line="240" w:lineRule="auto"/>
              <w:jc w:val="center"/>
              <w:textAlignment w:val="bottom"/>
              <w:rPr>
                <w:rFonts w:hint="default" w:ascii="Times New Roman" w:hAnsi="Times New Roman" w:cs="Times New Roman"/>
                <w:color w:val="auto"/>
                <w:sz w:val="21"/>
                <w:szCs w:val="21"/>
                <w:highlight w:val="none"/>
              </w:rPr>
            </w:pPr>
            <w:r>
              <w:rPr>
                <w:rStyle w:val="61"/>
                <w:rFonts w:hint="default" w:ascii="Times New Roman" w:hAnsi="Times New Roman" w:cs="Times New Roman"/>
                <w:color w:val="auto"/>
                <w:sz w:val="21"/>
                <w:szCs w:val="21"/>
                <w:highlight w:val="none"/>
                <w:lang w:bidi="ar"/>
              </w:rPr>
              <w:t>吹扫捕集</w:t>
            </w:r>
            <w:r>
              <w:rPr>
                <w:rFonts w:hint="default" w:ascii="Times New Roman" w:hAnsi="Times New Roman" w:cs="Times New Roman"/>
                <w:color w:val="auto"/>
                <w:kern w:val="0"/>
                <w:sz w:val="21"/>
                <w:szCs w:val="21"/>
                <w:highlight w:val="none"/>
                <w:lang w:bidi="ar"/>
              </w:rPr>
              <w:t xml:space="preserve">/ </w:t>
            </w:r>
            <w:r>
              <w:rPr>
                <w:rStyle w:val="61"/>
                <w:rFonts w:hint="default" w:ascii="Times New Roman" w:hAnsi="Times New Roman" w:cs="Times New Roman"/>
                <w:color w:val="auto"/>
                <w:sz w:val="21"/>
                <w:szCs w:val="21"/>
                <w:highlight w:val="none"/>
                <w:lang w:bidi="ar"/>
              </w:rPr>
              <w:t>气相色谱</w:t>
            </w:r>
            <w:r>
              <w:rPr>
                <w:rFonts w:hint="default" w:ascii="Times New Roman" w:hAnsi="Times New Roman" w:cs="Times New Roman"/>
                <w:color w:val="auto"/>
                <w:kern w:val="0"/>
                <w:sz w:val="21"/>
                <w:szCs w:val="21"/>
                <w:highlight w:val="none"/>
                <w:lang w:bidi="ar"/>
              </w:rPr>
              <w:t>-</w:t>
            </w:r>
            <w:r>
              <w:rPr>
                <w:rStyle w:val="61"/>
                <w:rFonts w:hint="default" w:ascii="Times New Roman" w:hAnsi="Times New Roman" w:cs="Times New Roman"/>
                <w:color w:val="auto"/>
                <w:sz w:val="21"/>
                <w:szCs w:val="21"/>
                <w:highlight w:val="none"/>
                <w:lang w:bidi="ar"/>
              </w:rPr>
              <w:t>质谱法</w:t>
            </w:r>
          </w:p>
        </w:tc>
        <w:tc>
          <w:tcPr>
            <w:tcW w:w="1782" w:type="dxa"/>
            <w:vMerge w:val="restart"/>
            <w:tcBorders>
              <w:tl2br w:val="nil"/>
              <w:tr2bl w:val="nil"/>
            </w:tcBorders>
            <w:shd w:val="clear" w:color="auto" w:fill="auto"/>
            <w:noWrap/>
            <w:tcMar>
              <w:top w:w="15" w:type="dxa"/>
              <w:left w:w="15" w:type="dxa"/>
              <w:right w:w="15" w:type="dxa"/>
            </w:tcMar>
            <w:vAlign w:val="center"/>
          </w:tcPr>
          <w:p w14:paraId="29C8EA93">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HJ 639-2012</w:t>
            </w:r>
          </w:p>
        </w:tc>
        <w:tc>
          <w:tcPr>
            <w:tcW w:w="1222" w:type="dxa"/>
            <w:tcBorders>
              <w:tl2br w:val="nil"/>
              <w:tr2bl w:val="nil"/>
            </w:tcBorders>
            <w:shd w:val="clear" w:color="auto" w:fill="auto"/>
            <w:tcMar>
              <w:top w:w="15" w:type="dxa"/>
              <w:left w:w="15" w:type="dxa"/>
              <w:right w:w="15" w:type="dxa"/>
            </w:tcMar>
            <w:vAlign w:val="center"/>
          </w:tcPr>
          <w:p w14:paraId="02470D02">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0.0014mg/L</w:t>
            </w:r>
          </w:p>
        </w:tc>
      </w:tr>
      <w:tr w14:paraId="4904F6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5C5B19C1">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07A632F6">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四氯化碳</w:t>
            </w:r>
          </w:p>
        </w:tc>
        <w:tc>
          <w:tcPr>
            <w:tcW w:w="4163" w:type="dxa"/>
            <w:vMerge w:val="continue"/>
            <w:tcBorders>
              <w:tl2br w:val="nil"/>
              <w:tr2bl w:val="nil"/>
            </w:tcBorders>
            <w:shd w:val="clear" w:color="auto" w:fill="auto"/>
            <w:tcMar>
              <w:top w:w="15" w:type="dxa"/>
              <w:left w:w="15" w:type="dxa"/>
              <w:right w:w="15" w:type="dxa"/>
            </w:tcMar>
            <w:vAlign w:val="center"/>
          </w:tcPr>
          <w:p w14:paraId="412FB8B7">
            <w:pPr>
              <w:spacing w:line="240" w:lineRule="auto"/>
              <w:jc w:val="center"/>
              <w:rPr>
                <w:rFonts w:hint="default" w:ascii="Times New Roman" w:hAnsi="Times New Roman" w:cs="Times New Roman"/>
                <w:color w:val="auto"/>
                <w:sz w:val="21"/>
                <w:szCs w:val="21"/>
                <w:highlight w:val="none"/>
              </w:rPr>
            </w:pPr>
          </w:p>
        </w:tc>
        <w:tc>
          <w:tcPr>
            <w:tcW w:w="1782" w:type="dxa"/>
            <w:vMerge w:val="continue"/>
            <w:tcBorders>
              <w:tl2br w:val="nil"/>
              <w:tr2bl w:val="nil"/>
            </w:tcBorders>
            <w:shd w:val="clear" w:color="auto" w:fill="auto"/>
            <w:noWrap/>
            <w:tcMar>
              <w:top w:w="15" w:type="dxa"/>
              <w:left w:w="15" w:type="dxa"/>
              <w:right w:w="15" w:type="dxa"/>
            </w:tcMar>
            <w:vAlign w:val="center"/>
          </w:tcPr>
          <w:p w14:paraId="46C2D4EA">
            <w:pPr>
              <w:spacing w:line="240" w:lineRule="auto"/>
              <w:jc w:val="center"/>
              <w:rPr>
                <w:rFonts w:hint="default" w:ascii="Times New Roman" w:hAnsi="Times New Roman" w:cs="Times New Roman"/>
                <w:color w:val="auto"/>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2852480C">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0.0015mg/L</w:t>
            </w:r>
          </w:p>
        </w:tc>
      </w:tr>
      <w:tr w14:paraId="66C084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3EA5749E">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7ECF6BB6">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苯</w:t>
            </w:r>
          </w:p>
        </w:tc>
        <w:tc>
          <w:tcPr>
            <w:tcW w:w="4163" w:type="dxa"/>
            <w:vMerge w:val="continue"/>
            <w:tcBorders>
              <w:tl2br w:val="nil"/>
              <w:tr2bl w:val="nil"/>
            </w:tcBorders>
            <w:shd w:val="clear" w:color="auto" w:fill="auto"/>
            <w:tcMar>
              <w:top w:w="15" w:type="dxa"/>
              <w:left w:w="15" w:type="dxa"/>
              <w:right w:w="15" w:type="dxa"/>
            </w:tcMar>
            <w:vAlign w:val="center"/>
          </w:tcPr>
          <w:p w14:paraId="5CAD1996">
            <w:pPr>
              <w:spacing w:line="240" w:lineRule="auto"/>
              <w:jc w:val="center"/>
              <w:rPr>
                <w:rFonts w:hint="default" w:ascii="Times New Roman" w:hAnsi="Times New Roman" w:cs="Times New Roman"/>
                <w:color w:val="auto"/>
                <w:sz w:val="21"/>
                <w:szCs w:val="21"/>
                <w:highlight w:val="none"/>
              </w:rPr>
            </w:pPr>
          </w:p>
        </w:tc>
        <w:tc>
          <w:tcPr>
            <w:tcW w:w="1782" w:type="dxa"/>
            <w:vMerge w:val="continue"/>
            <w:tcBorders>
              <w:tl2br w:val="nil"/>
              <w:tr2bl w:val="nil"/>
            </w:tcBorders>
            <w:shd w:val="clear" w:color="auto" w:fill="auto"/>
            <w:noWrap/>
            <w:tcMar>
              <w:top w:w="15" w:type="dxa"/>
              <w:left w:w="15" w:type="dxa"/>
              <w:right w:w="15" w:type="dxa"/>
            </w:tcMar>
            <w:vAlign w:val="center"/>
          </w:tcPr>
          <w:p w14:paraId="5D51D754">
            <w:pPr>
              <w:spacing w:line="240" w:lineRule="auto"/>
              <w:jc w:val="center"/>
              <w:rPr>
                <w:rFonts w:hint="default" w:ascii="Times New Roman" w:hAnsi="Times New Roman" w:cs="Times New Roman"/>
                <w:color w:val="auto"/>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3B1ACB5B">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0.0014mg/L</w:t>
            </w:r>
          </w:p>
        </w:tc>
      </w:tr>
      <w:tr w14:paraId="7A4189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1038" w:type="dxa"/>
            <w:vMerge w:val="continue"/>
            <w:tcBorders>
              <w:tl2br w:val="nil"/>
              <w:tr2bl w:val="nil"/>
            </w:tcBorders>
            <w:shd w:val="clear" w:color="auto" w:fill="auto"/>
            <w:tcMar>
              <w:top w:w="15" w:type="dxa"/>
              <w:left w:w="15" w:type="dxa"/>
              <w:right w:w="15" w:type="dxa"/>
            </w:tcMar>
            <w:vAlign w:val="center"/>
          </w:tcPr>
          <w:p w14:paraId="03E04146">
            <w:pPr>
              <w:spacing w:line="240" w:lineRule="auto"/>
              <w:jc w:val="center"/>
              <w:rPr>
                <w:rFonts w:hint="default" w:ascii="Times New Roman" w:hAnsi="Times New Roman" w:cs="Times New Roman"/>
                <w:color w:val="auto"/>
                <w:sz w:val="21"/>
                <w:szCs w:val="21"/>
                <w:highlight w:val="none"/>
              </w:rPr>
            </w:pPr>
          </w:p>
        </w:tc>
        <w:tc>
          <w:tcPr>
            <w:tcW w:w="1407" w:type="dxa"/>
            <w:tcBorders>
              <w:tl2br w:val="nil"/>
              <w:tr2bl w:val="nil"/>
            </w:tcBorders>
            <w:shd w:val="clear" w:color="auto" w:fill="auto"/>
            <w:tcMar>
              <w:top w:w="15" w:type="dxa"/>
              <w:left w:w="15" w:type="dxa"/>
              <w:right w:w="15" w:type="dxa"/>
            </w:tcMar>
            <w:vAlign w:val="center"/>
          </w:tcPr>
          <w:p w14:paraId="03A74DFE">
            <w:pPr>
              <w:widowControl/>
              <w:spacing w:line="240" w:lineRule="auto"/>
              <w:jc w:val="center"/>
              <w:textAlignment w:val="top"/>
              <w:rPr>
                <w:rFonts w:hint="default" w:ascii="Times New Roman" w:hAnsi="Times New Roman" w:eastAsia="����" w:cs="Times New Roman"/>
                <w:color w:val="auto"/>
                <w:sz w:val="21"/>
                <w:szCs w:val="21"/>
                <w:highlight w:val="none"/>
              </w:rPr>
            </w:pPr>
            <w:r>
              <w:rPr>
                <w:rFonts w:hint="default" w:ascii="Times New Roman" w:hAnsi="Times New Roman" w:cs="Times New Roman"/>
                <w:color w:val="auto"/>
                <w:kern w:val="0"/>
                <w:sz w:val="21"/>
                <w:szCs w:val="21"/>
                <w:highlight w:val="none"/>
                <w:lang w:bidi="ar"/>
              </w:rPr>
              <w:t>甲苯</w:t>
            </w:r>
          </w:p>
        </w:tc>
        <w:tc>
          <w:tcPr>
            <w:tcW w:w="4163" w:type="dxa"/>
            <w:vMerge w:val="continue"/>
            <w:tcBorders>
              <w:tl2br w:val="nil"/>
              <w:tr2bl w:val="nil"/>
            </w:tcBorders>
            <w:shd w:val="clear" w:color="auto" w:fill="auto"/>
            <w:tcMar>
              <w:top w:w="15" w:type="dxa"/>
              <w:left w:w="15" w:type="dxa"/>
              <w:right w:w="15" w:type="dxa"/>
            </w:tcMar>
            <w:vAlign w:val="center"/>
          </w:tcPr>
          <w:p w14:paraId="40A7E225">
            <w:pPr>
              <w:spacing w:line="240" w:lineRule="auto"/>
              <w:jc w:val="center"/>
              <w:rPr>
                <w:rFonts w:hint="default" w:ascii="Times New Roman" w:hAnsi="Times New Roman" w:cs="Times New Roman"/>
                <w:color w:val="auto"/>
                <w:sz w:val="21"/>
                <w:szCs w:val="21"/>
                <w:highlight w:val="none"/>
              </w:rPr>
            </w:pPr>
          </w:p>
        </w:tc>
        <w:tc>
          <w:tcPr>
            <w:tcW w:w="1782" w:type="dxa"/>
            <w:vMerge w:val="continue"/>
            <w:tcBorders>
              <w:tl2br w:val="nil"/>
              <w:tr2bl w:val="nil"/>
            </w:tcBorders>
            <w:shd w:val="clear" w:color="auto" w:fill="auto"/>
            <w:noWrap/>
            <w:tcMar>
              <w:top w:w="15" w:type="dxa"/>
              <w:left w:w="15" w:type="dxa"/>
              <w:right w:w="15" w:type="dxa"/>
            </w:tcMar>
            <w:vAlign w:val="center"/>
          </w:tcPr>
          <w:p w14:paraId="3D782086">
            <w:pPr>
              <w:spacing w:line="240" w:lineRule="auto"/>
              <w:jc w:val="center"/>
              <w:rPr>
                <w:rFonts w:hint="default" w:ascii="Times New Roman" w:hAnsi="Times New Roman" w:cs="Times New Roman"/>
                <w:color w:val="auto"/>
                <w:sz w:val="21"/>
                <w:szCs w:val="21"/>
                <w:highlight w:val="none"/>
              </w:rPr>
            </w:pPr>
          </w:p>
        </w:tc>
        <w:tc>
          <w:tcPr>
            <w:tcW w:w="1222" w:type="dxa"/>
            <w:tcBorders>
              <w:tl2br w:val="nil"/>
              <w:tr2bl w:val="nil"/>
            </w:tcBorders>
            <w:shd w:val="clear" w:color="auto" w:fill="auto"/>
            <w:tcMar>
              <w:top w:w="15" w:type="dxa"/>
              <w:left w:w="15" w:type="dxa"/>
              <w:right w:w="15" w:type="dxa"/>
            </w:tcMar>
            <w:vAlign w:val="center"/>
          </w:tcPr>
          <w:p w14:paraId="1AC75FFF">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0.0014mg/L</w:t>
            </w:r>
          </w:p>
        </w:tc>
      </w:tr>
    </w:tbl>
    <w:p w14:paraId="5765E0BF">
      <w:pPr>
        <w:pStyle w:val="2"/>
        <w:keepNext w:val="0"/>
        <w:keepLines w:val="0"/>
        <w:spacing w:after="0" w:line="240" w:lineRule="auto"/>
        <w:ind w:firstLine="420"/>
        <w:rPr>
          <w:rFonts w:hint="default" w:ascii="Times New Roman" w:hAnsi="Times New Roman" w:cs="Times New Roman"/>
          <w:highlight w:val="none"/>
        </w:rPr>
      </w:pPr>
      <w:bookmarkStart w:id="32" w:name="_Toc18428"/>
      <w:r>
        <w:rPr>
          <w:rFonts w:hint="eastAsia" w:cs="Times New Roman"/>
          <w:b/>
          <w:bCs/>
          <w:color w:val="auto"/>
          <w:sz w:val="18"/>
          <w:szCs w:val="18"/>
          <w:highlight w:val="none"/>
          <w:lang w:val="en-US" w:eastAsia="zh-CN"/>
        </w:rPr>
        <w:t>注：</w:t>
      </w:r>
      <w:r>
        <w:rPr>
          <w:rFonts w:hint="eastAsia" w:cs="Times New Roman"/>
          <w:b/>
          <w:bCs/>
          <w:color w:val="auto"/>
          <w:sz w:val="18"/>
          <w:szCs w:val="18"/>
          <w:highlight w:val="none"/>
          <w:lang w:eastAsia="zh-CN"/>
        </w:rPr>
        <w:t>①</w:t>
      </w:r>
      <w:r>
        <w:rPr>
          <w:rFonts w:hint="default" w:ascii="Times New Roman" w:hAnsi="Times New Roman" w:cs="Times New Roman"/>
          <w:b/>
          <w:bCs/>
          <w:color w:val="auto"/>
          <w:sz w:val="18"/>
          <w:szCs w:val="18"/>
          <w:highlight w:val="none"/>
          <w:lang w:eastAsia="zh-CN"/>
        </w:rPr>
        <w:t>“</w:t>
      </w:r>
      <w:r>
        <w:rPr>
          <w:rFonts w:hint="default" w:ascii="Times New Roman" w:hAnsi="Times New Roman" w:cs="Times New Roman"/>
          <w:b/>
          <w:bCs/>
          <w:color w:val="auto"/>
          <w:sz w:val="18"/>
          <w:szCs w:val="18"/>
          <w:highlight w:val="none"/>
          <w:lang w:val="en-US" w:eastAsia="zh-CN"/>
        </w:rPr>
        <w:t>/</w:t>
      </w:r>
      <w:r>
        <w:rPr>
          <w:rFonts w:hint="default" w:ascii="Times New Roman" w:hAnsi="Times New Roman" w:cs="Times New Roman"/>
          <w:b/>
          <w:bCs/>
          <w:color w:val="auto"/>
          <w:sz w:val="18"/>
          <w:szCs w:val="18"/>
          <w:highlight w:val="none"/>
          <w:lang w:eastAsia="zh-CN"/>
        </w:rPr>
        <w:t>”代表方法未给出检出限</w:t>
      </w:r>
      <w:r>
        <w:rPr>
          <w:rFonts w:hint="eastAsia" w:cs="Times New Roman"/>
          <w:b/>
          <w:bCs/>
          <w:color w:val="auto"/>
          <w:sz w:val="18"/>
          <w:szCs w:val="18"/>
          <w:highlight w:val="none"/>
          <w:lang w:eastAsia="zh-CN"/>
        </w:rPr>
        <w:t>。</w:t>
      </w:r>
    </w:p>
    <w:p w14:paraId="643ECC8C">
      <w:pPr>
        <w:pStyle w:val="4"/>
        <w:tabs>
          <w:tab w:val="left" w:leader="dot" w:pos="0"/>
          <w:tab w:val="clear"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现场质量控制</w:t>
      </w:r>
      <w:bookmarkEnd w:id="32"/>
    </w:p>
    <w:p w14:paraId="6F1ECBBC">
      <w:pPr>
        <w:pStyle w:val="5"/>
        <w:tabs>
          <w:tab w:val="clear" w:pos="851"/>
        </w:tabs>
        <w:rPr>
          <w:rFonts w:hint="default" w:ascii="Times New Roman" w:hAnsi="Times New Roman" w:cs="Times New Roman"/>
          <w:color w:val="auto"/>
          <w:highlight w:val="none"/>
        </w:rPr>
      </w:pPr>
      <w:r>
        <w:rPr>
          <w:rFonts w:hint="default" w:ascii="Times New Roman" w:hAnsi="Times New Roman" w:cs="Times New Roman"/>
          <w:color w:val="auto"/>
          <w:highlight w:val="none"/>
        </w:rPr>
        <w:t>现场运输空白</w:t>
      </w:r>
    </w:p>
    <w:p w14:paraId="54F66083">
      <w:pPr>
        <w:ind w:left="1" w:firstLine="480" w:firstLineChars="200"/>
        <w:rPr>
          <w:rFonts w:hint="default" w:ascii="Times New Roman" w:hAnsi="Times New Roman" w:cs="Times New Roman"/>
          <w:snapToGrid w:val="0"/>
          <w:color w:val="auto"/>
          <w:kern w:val="0"/>
          <w:highlight w:val="none"/>
        </w:rPr>
      </w:pPr>
      <w:r>
        <w:rPr>
          <w:rFonts w:hint="default" w:ascii="Times New Roman" w:hAnsi="Times New Roman" w:cs="Times New Roman"/>
          <w:snapToGrid w:val="0"/>
          <w:color w:val="auto"/>
          <w:kern w:val="0"/>
          <w:highlight w:val="none"/>
        </w:rPr>
        <w:t>按照《</w:t>
      </w:r>
      <w:r>
        <w:rPr>
          <w:rFonts w:hint="eastAsia" w:cs="Times New Roman"/>
          <w:snapToGrid w:val="0"/>
          <w:color w:val="auto"/>
          <w:kern w:val="0"/>
          <w:highlight w:val="none"/>
          <w:lang w:eastAsia="zh-CN"/>
        </w:rPr>
        <w:t>地块</w:t>
      </w:r>
      <w:r>
        <w:rPr>
          <w:rFonts w:hint="default" w:ascii="Times New Roman" w:hAnsi="Times New Roman" w:cs="Times New Roman"/>
          <w:snapToGrid w:val="0"/>
          <w:color w:val="auto"/>
          <w:kern w:val="0"/>
          <w:highlight w:val="none"/>
        </w:rPr>
        <w:t>土壤和地下水中挥发性有机物采样技术导则》（HJ1019-2019）相关要求，采集了1个运输空白样（TB），运输空白样品的27项挥发性有机物的检测结果均低于检出限（检测数据详见报告编号为BJ20A0769和BJ20A0709检测报告），表明待测样品运输过程中未引入污染。</w:t>
      </w:r>
    </w:p>
    <w:p w14:paraId="6CC0E74D">
      <w:pPr>
        <w:pStyle w:val="5"/>
        <w:tabs>
          <w:tab w:val="clear" w:pos="851"/>
        </w:tabs>
        <w:spacing w:after="0"/>
        <w:rPr>
          <w:rFonts w:hint="default" w:ascii="Times New Roman" w:hAnsi="Times New Roman" w:cs="Times New Roman"/>
          <w:snapToGrid w:val="0"/>
          <w:color w:val="auto"/>
          <w:kern w:val="0"/>
          <w:highlight w:val="none"/>
        </w:rPr>
      </w:pPr>
      <w:r>
        <w:rPr>
          <w:rFonts w:hint="default" w:ascii="Times New Roman" w:hAnsi="Times New Roman" w:cs="Times New Roman"/>
          <w:color w:val="auto"/>
          <w:highlight w:val="none"/>
        </w:rPr>
        <w:t>土壤平行盲样质量控制</w:t>
      </w:r>
    </w:p>
    <w:p w14:paraId="57F924F7">
      <w:pPr>
        <w:ind w:left="1" w:firstLine="480" w:firstLineChars="200"/>
        <w:rPr>
          <w:rFonts w:hint="default" w:ascii="Times New Roman" w:hAnsi="Times New Roman" w:cs="Times New Roman"/>
          <w:color w:val="auto"/>
          <w:highlight w:val="none"/>
        </w:rPr>
      </w:pPr>
      <w:r>
        <w:rPr>
          <w:rFonts w:hint="default" w:ascii="Times New Roman" w:hAnsi="Times New Roman" w:cs="Times New Roman"/>
          <w:snapToGrid w:val="0"/>
          <w:color w:val="auto"/>
          <w:kern w:val="0"/>
          <w:highlight w:val="none"/>
        </w:rPr>
        <w:t>样品现场采集过程中，采集了1个土壤平行盲样（QC-6）送往苏伊士环境检测技术（上海）有限公司北京分公司和</w:t>
      </w:r>
      <w:r>
        <w:rPr>
          <w:rFonts w:hint="default" w:ascii="Times New Roman" w:hAnsi="Times New Roman" w:cs="Times New Roman"/>
          <w:color w:val="auto"/>
          <w:highlight w:val="none"/>
        </w:rPr>
        <w:t>武汉仲联诚鉴检测技术有限公司</w:t>
      </w:r>
      <w:r>
        <w:rPr>
          <w:rFonts w:hint="default" w:ascii="Times New Roman" w:hAnsi="Times New Roman" w:cs="Times New Roman"/>
          <w:snapToGrid w:val="0"/>
          <w:color w:val="auto"/>
          <w:kern w:val="0"/>
          <w:highlight w:val="none"/>
        </w:rPr>
        <w:t>进行检测。</w:t>
      </w:r>
      <w:r>
        <w:rPr>
          <w:rFonts w:hint="default" w:ascii="Times New Roman" w:hAnsi="Times New Roman" w:cs="Times New Roman"/>
          <w:color w:val="auto"/>
          <w:highlight w:val="none"/>
        </w:rPr>
        <w:t>本次土壤</w:t>
      </w:r>
      <w:r>
        <w:rPr>
          <w:rFonts w:hint="default" w:ascii="Times New Roman" w:hAnsi="Times New Roman" w:cs="Times New Roman"/>
          <w:snapToGrid w:val="0"/>
          <w:color w:val="auto"/>
          <w:kern w:val="0"/>
          <w:highlight w:val="none"/>
        </w:rPr>
        <w:t>平行盲样（QC-6）</w:t>
      </w:r>
      <w:r>
        <w:rPr>
          <w:rFonts w:hint="default" w:ascii="Times New Roman" w:hAnsi="Times New Roman" w:cs="Times New Roman"/>
          <w:color w:val="auto"/>
          <w:highlight w:val="none"/>
        </w:rPr>
        <w:t>与对应土壤样品XM-2-200测试项目中重金属铬（六价）、有机污染物指标均未检出，因此不进行相对偏差的分析；</w:t>
      </w:r>
      <w:r>
        <w:rPr>
          <w:rFonts w:hint="default" w:ascii="Times New Roman" w:hAnsi="Times New Roman" w:cs="Times New Roman"/>
          <w:snapToGrid w:val="0"/>
          <w:color w:val="auto"/>
          <w:kern w:val="0"/>
          <w:highlight w:val="none"/>
        </w:rPr>
        <w:t>平行盲样（QC-6）</w:t>
      </w:r>
      <w:r>
        <w:rPr>
          <w:rFonts w:hint="default" w:ascii="Times New Roman" w:hAnsi="Times New Roman" w:cs="Times New Roman"/>
          <w:color w:val="auto"/>
          <w:highlight w:val="none"/>
        </w:rPr>
        <w:t>与对应土壤样品XM-2-200指标石油烃（C</w:t>
      </w:r>
      <w:r>
        <w:rPr>
          <w:rFonts w:hint="default" w:ascii="Times New Roman" w:hAnsi="Times New Roman" w:cs="Times New Roman"/>
          <w:color w:val="auto"/>
          <w:highlight w:val="none"/>
          <w:vertAlign w:val="subscript"/>
        </w:rPr>
        <w:t>10</w:t>
      </w:r>
      <w:r>
        <w:rPr>
          <w:rFonts w:hint="default" w:ascii="Times New Roman" w:hAnsi="Times New Roman" w:cs="Times New Roman"/>
          <w:color w:val="auto"/>
          <w:highlight w:val="none"/>
        </w:rPr>
        <w:t>-C</w:t>
      </w:r>
      <w:r>
        <w:rPr>
          <w:rFonts w:hint="default" w:ascii="Times New Roman" w:hAnsi="Times New Roman" w:cs="Times New Roman"/>
          <w:color w:val="auto"/>
          <w:highlight w:val="none"/>
          <w:vertAlign w:val="subscript"/>
        </w:rPr>
        <w:t>40</w:t>
      </w:r>
      <w:r>
        <w:rPr>
          <w:rFonts w:hint="default" w:ascii="Times New Roman" w:hAnsi="Times New Roman" w:cs="Times New Roman"/>
          <w:color w:val="auto"/>
          <w:highlight w:val="none"/>
        </w:rPr>
        <w:t>）均未检出，因此也不进行相对偏差分析。可检出指标的相对偏差在0%~6.67%，在允许范围内，具体质控结果见表4-5-1。</w:t>
      </w:r>
    </w:p>
    <w:p w14:paraId="08FB6C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黑体" w:cs="Times New Roman"/>
          <w:b/>
          <w:bCs/>
          <w:color w:val="auto"/>
          <w:highlight w:val="none"/>
        </w:rPr>
      </w:pPr>
      <w:r>
        <w:rPr>
          <w:rFonts w:hint="default" w:ascii="Times New Roman" w:hAnsi="Times New Roman" w:eastAsia="黑体" w:cs="Times New Roman"/>
          <w:b/>
          <w:bCs/>
          <w:color w:val="auto"/>
          <w:highlight w:val="none"/>
        </w:rPr>
        <w:t>表4-5-1 土壤平行盲样质控结果分析</w:t>
      </w:r>
      <w:r>
        <w:rPr>
          <w:rFonts w:hint="default" w:ascii="Times New Roman" w:hAnsi="Times New Roman" w:eastAsia="黑体" w:cs="Times New Roman"/>
          <w:b/>
          <w:bCs/>
          <w:color w:val="auto"/>
          <w:sz w:val="24"/>
          <w:highlight w:val="none"/>
          <w:lang w:eastAsia="zh-CN"/>
        </w:rPr>
        <w:t>（</w:t>
      </w:r>
      <w:r>
        <w:rPr>
          <w:rFonts w:hint="default" w:ascii="Times New Roman" w:hAnsi="Times New Roman" w:eastAsia="黑体" w:cs="Times New Roman"/>
          <w:b/>
          <w:bCs/>
          <w:color w:val="auto"/>
          <w:sz w:val="24"/>
          <w:highlight w:val="none"/>
          <w:lang w:val="en-US" w:eastAsia="zh-CN"/>
        </w:rPr>
        <w:t>QC-</w:t>
      </w:r>
      <w:r>
        <w:rPr>
          <w:rFonts w:hint="eastAsia" w:eastAsia="黑体" w:cs="Times New Roman"/>
          <w:b/>
          <w:bCs/>
          <w:color w:val="auto"/>
          <w:sz w:val="24"/>
          <w:highlight w:val="none"/>
          <w:lang w:val="en-US" w:eastAsia="zh-CN"/>
        </w:rPr>
        <w:t>6</w:t>
      </w:r>
      <w:r>
        <w:rPr>
          <w:rFonts w:hint="default" w:ascii="Times New Roman" w:hAnsi="Times New Roman" w:eastAsia="黑体" w:cs="Times New Roman"/>
          <w:b/>
          <w:bCs/>
          <w:color w:val="auto"/>
          <w:sz w:val="24"/>
          <w:highlight w:val="none"/>
          <w:lang w:eastAsia="zh-CN"/>
        </w:rPr>
        <w:t>）</w:t>
      </w:r>
    </w:p>
    <w:tbl>
      <w:tblPr>
        <w:tblStyle w:val="21"/>
        <w:tblW w:w="961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080"/>
        <w:gridCol w:w="1845"/>
        <w:gridCol w:w="980"/>
        <w:gridCol w:w="1730"/>
        <w:gridCol w:w="1817"/>
        <w:gridCol w:w="1080"/>
        <w:gridCol w:w="1080"/>
      </w:tblGrid>
      <w:tr w14:paraId="58212D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tblHeader/>
          <w:jc w:val="center"/>
        </w:trPr>
        <w:tc>
          <w:tcPr>
            <w:tcW w:w="1080" w:type="dxa"/>
            <w:vMerge w:val="restart"/>
            <w:tcBorders>
              <w:bottom w:val="single" w:color="auto" w:sz="4" w:space="0"/>
            </w:tcBorders>
            <w:shd w:val="clear" w:color="auto" w:fill="auto"/>
            <w:noWrap/>
            <w:tcMar>
              <w:top w:w="15" w:type="dxa"/>
              <w:left w:w="15" w:type="dxa"/>
              <w:right w:w="15" w:type="dxa"/>
            </w:tcMar>
            <w:vAlign w:val="center"/>
          </w:tcPr>
          <w:p w14:paraId="4293D480">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样品类型</w:t>
            </w:r>
          </w:p>
        </w:tc>
        <w:tc>
          <w:tcPr>
            <w:tcW w:w="1845" w:type="dxa"/>
            <w:vMerge w:val="restart"/>
            <w:tcBorders>
              <w:bottom w:val="single" w:color="auto" w:sz="4" w:space="0"/>
            </w:tcBorders>
            <w:shd w:val="clear" w:color="auto" w:fill="auto"/>
            <w:noWrap/>
            <w:tcMar>
              <w:top w:w="15" w:type="dxa"/>
              <w:left w:w="15" w:type="dxa"/>
              <w:right w:w="15" w:type="dxa"/>
            </w:tcMar>
            <w:vAlign w:val="center"/>
          </w:tcPr>
          <w:p w14:paraId="689740DD">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监测项目</w:t>
            </w:r>
          </w:p>
        </w:tc>
        <w:tc>
          <w:tcPr>
            <w:tcW w:w="2710" w:type="dxa"/>
            <w:gridSpan w:val="2"/>
            <w:tcBorders>
              <w:bottom w:val="single" w:color="auto" w:sz="4" w:space="0"/>
            </w:tcBorders>
            <w:shd w:val="clear" w:color="auto" w:fill="auto"/>
            <w:noWrap/>
            <w:tcMar>
              <w:top w:w="15" w:type="dxa"/>
              <w:left w:w="15" w:type="dxa"/>
              <w:right w:w="15" w:type="dxa"/>
            </w:tcMar>
            <w:vAlign w:val="center"/>
          </w:tcPr>
          <w:p w14:paraId="38E55675">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测试结果</w:t>
            </w:r>
          </w:p>
        </w:tc>
        <w:tc>
          <w:tcPr>
            <w:tcW w:w="1817" w:type="dxa"/>
            <w:vMerge w:val="restart"/>
            <w:tcBorders>
              <w:bottom w:val="single" w:color="auto" w:sz="4" w:space="0"/>
            </w:tcBorders>
            <w:shd w:val="clear" w:color="auto" w:fill="auto"/>
            <w:noWrap/>
            <w:tcMar>
              <w:top w:w="15" w:type="dxa"/>
              <w:left w:w="15" w:type="dxa"/>
              <w:right w:w="15" w:type="dxa"/>
            </w:tcMar>
            <w:vAlign w:val="center"/>
          </w:tcPr>
          <w:p w14:paraId="6AC6EC44">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相对偏差</w:t>
            </w:r>
          </w:p>
        </w:tc>
        <w:tc>
          <w:tcPr>
            <w:tcW w:w="1080" w:type="dxa"/>
            <w:vMerge w:val="restart"/>
            <w:tcBorders>
              <w:bottom w:val="single" w:color="auto" w:sz="4" w:space="0"/>
            </w:tcBorders>
            <w:shd w:val="clear" w:color="auto" w:fill="auto"/>
            <w:noWrap/>
            <w:tcMar>
              <w:top w:w="15" w:type="dxa"/>
              <w:left w:w="15" w:type="dxa"/>
              <w:right w:w="15" w:type="dxa"/>
            </w:tcMar>
            <w:vAlign w:val="center"/>
          </w:tcPr>
          <w:p w14:paraId="61BD8381">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质控要求</w:t>
            </w:r>
            <w:r>
              <w:rPr>
                <w:rFonts w:hint="default" w:ascii="Times New Roman" w:hAnsi="Times New Roman" w:cs="Times New Roman"/>
                <w:b/>
                <w:bCs/>
                <w:color w:val="auto"/>
                <w:sz w:val="21"/>
                <w:szCs w:val="21"/>
                <w:highlight w:val="none"/>
                <w:vertAlign w:val="superscript"/>
              </w:rPr>
              <w:t>①</w:t>
            </w:r>
          </w:p>
        </w:tc>
        <w:tc>
          <w:tcPr>
            <w:tcW w:w="1080" w:type="dxa"/>
            <w:vMerge w:val="restart"/>
            <w:tcBorders>
              <w:bottom w:val="single" w:color="auto" w:sz="4" w:space="0"/>
            </w:tcBorders>
            <w:shd w:val="clear" w:color="auto" w:fill="auto"/>
            <w:noWrap/>
            <w:tcMar>
              <w:top w:w="15" w:type="dxa"/>
              <w:left w:w="15" w:type="dxa"/>
              <w:right w:w="15" w:type="dxa"/>
            </w:tcMar>
            <w:vAlign w:val="center"/>
          </w:tcPr>
          <w:p w14:paraId="264DC01C">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结果判定</w:t>
            </w:r>
          </w:p>
        </w:tc>
      </w:tr>
      <w:tr w14:paraId="5A3880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tblHeader/>
          <w:jc w:val="center"/>
        </w:trPr>
        <w:tc>
          <w:tcPr>
            <w:tcW w:w="1080" w:type="dxa"/>
            <w:vMerge w:val="continue"/>
            <w:tcBorders>
              <w:top w:val="single" w:color="auto" w:sz="4" w:space="0"/>
              <w:bottom w:val="single" w:color="auto" w:sz="12" w:space="0"/>
            </w:tcBorders>
            <w:shd w:val="clear" w:color="auto" w:fill="auto"/>
            <w:noWrap/>
            <w:tcMar>
              <w:top w:w="15" w:type="dxa"/>
              <w:left w:w="15" w:type="dxa"/>
              <w:right w:w="15" w:type="dxa"/>
            </w:tcMar>
            <w:vAlign w:val="center"/>
          </w:tcPr>
          <w:p w14:paraId="44F600BD">
            <w:pPr>
              <w:spacing w:line="240" w:lineRule="auto"/>
              <w:jc w:val="center"/>
              <w:rPr>
                <w:rFonts w:hint="default" w:ascii="Times New Roman" w:hAnsi="Times New Roman" w:cs="Times New Roman"/>
                <w:color w:val="auto"/>
                <w:sz w:val="21"/>
                <w:szCs w:val="21"/>
                <w:highlight w:val="none"/>
              </w:rPr>
            </w:pPr>
          </w:p>
        </w:tc>
        <w:tc>
          <w:tcPr>
            <w:tcW w:w="1845" w:type="dxa"/>
            <w:vMerge w:val="continue"/>
            <w:tcBorders>
              <w:top w:val="single" w:color="auto" w:sz="4" w:space="0"/>
              <w:bottom w:val="single" w:color="auto" w:sz="12" w:space="0"/>
            </w:tcBorders>
            <w:shd w:val="clear" w:color="auto" w:fill="auto"/>
            <w:noWrap/>
            <w:tcMar>
              <w:top w:w="15" w:type="dxa"/>
              <w:left w:w="15" w:type="dxa"/>
              <w:right w:w="15" w:type="dxa"/>
            </w:tcMar>
            <w:vAlign w:val="center"/>
          </w:tcPr>
          <w:p w14:paraId="10E9BC37">
            <w:pPr>
              <w:spacing w:line="240" w:lineRule="auto"/>
              <w:jc w:val="center"/>
              <w:rPr>
                <w:rFonts w:hint="default" w:ascii="Times New Roman" w:hAnsi="Times New Roman" w:cs="Times New Roman"/>
                <w:color w:val="auto"/>
                <w:sz w:val="21"/>
                <w:szCs w:val="21"/>
                <w:highlight w:val="none"/>
              </w:rPr>
            </w:pPr>
          </w:p>
        </w:tc>
        <w:tc>
          <w:tcPr>
            <w:tcW w:w="980" w:type="dxa"/>
            <w:tcBorders>
              <w:top w:val="single" w:color="auto" w:sz="4" w:space="0"/>
              <w:bottom w:val="single" w:color="auto" w:sz="12" w:space="0"/>
            </w:tcBorders>
            <w:shd w:val="clear" w:color="auto" w:fill="auto"/>
            <w:noWrap/>
            <w:tcMar>
              <w:top w:w="15" w:type="dxa"/>
              <w:left w:w="15" w:type="dxa"/>
              <w:right w:w="15" w:type="dxa"/>
            </w:tcMar>
            <w:vAlign w:val="center"/>
          </w:tcPr>
          <w:p w14:paraId="790B7CC1">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QC-6</w:t>
            </w:r>
          </w:p>
        </w:tc>
        <w:tc>
          <w:tcPr>
            <w:tcW w:w="1730" w:type="dxa"/>
            <w:tcBorders>
              <w:top w:val="single" w:color="auto" w:sz="4" w:space="0"/>
              <w:bottom w:val="single" w:color="auto" w:sz="12" w:space="0"/>
            </w:tcBorders>
            <w:shd w:val="clear" w:color="auto" w:fill="auto"/>
            <w:noWrap/>
            <w:tcMar>
              <w:top w:w="15" w:type="dxa"/>
              <w:left w:w="15" w:type="dxa"/>
              <w:right w:w="15" w:type="dxa"/>
            </w:tcMar>
            <w:vAlign w:val="center"/>
          </w:tcPr>
          <w:p w14:paraId="71F447CF">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XM-2-200</w:t>
            </w:r>
          </w:p>
        </w:tc>
        <w:tc>
          <w:tcPr>
            <w:tcW w:w="1817" w:type="dxa"/>
            <w:vMerge w:val="continue"/>
            <w:tcBorders>
              <w:top w:val="single" w:color="auto" w:sz="4" w:space="0"/>
              <w:bottom w:val="single" w:color="auto" w:sz="12" w:space="0"/>
              <w:tl2br w:val="nil"/>
              <w:tr2bl w:val="nil"/>
            </w:tcBorders>
            <w:shd w:val="clear" w:color="auto" w:fill="auto"/>
            <w:noWrap/>
            <w:tcMar>
              <w:top w:w="15" w:type="dxa"/>
              <w:left w:w="15" w:type="dxa"/>
              <w:right w:w="15" w:type="dxa"/>
            </w:tcMar>
            <w:vAlign w:val="center"/>
          </w:tcPr>
          <w:p w14:paraId="58DB8011">
            <w:pPr>
              <w:spacing w:line="240" w:lineRule="auto"/>
              <w:jc w:val="center"/>
              <w:rPr>
                <w:rFonts w:hint="default" w:ascii="Times New Roman" w:hAnsi="Times New Roman" w:cs="Times New Roman"/>
                <w:color w:val="auto"/>
                <w:sz w:val="21"/>
                <w:szCs w:val="21"/>
                <w:highlight w:val="none"/>
              </w:rPr>
            </w:pPr>
          </w:p>
        </w:tc>
        <w:tc>
          <w:tcPr>
            <w:tcW w:w="1080" w:type="dxa"/>
            <w:vMerge w:val="continue"/>
            <w:tcBorders>
              <w:top w:val="single" w:color="auto" w:sz="4" w:space="0"/>
              <w:bottom w:val="single" w:color="auto" w:sz="12" w:space="0"/>
              <w:tl2br w:val="nil"/>
              <w:tr2bl w:val="nil"/>
            </w:tcBorders>
            <w:shd w:val="clear" w:color="auto" w:fill="auto"/>
            <w:noWrap/>
            <w:tcMar>
              <w:top w:w="15" w:type="dxa"/>
              <w:left w:w="15" w:type="dxa"/>
              <w:right w:w="15" w:type="dxa"/>
            </w:tcMar>
            <w:vAlign w:val="center"/>
          </w:tcPr>
          <w:p w14:paraId="1DD0F5D5">
            <w:pPr>
              <w:spacing w:line="240" w:lineRule="auto"/>
              <w:jc w:val="center"/>
              <w:rPr>
                <w:rFonts w:hint="default" w:ascii="Times New Roman" w:hAnsi="Times New Roman" w:cs="Times New Roman"/>
                <w:color w:val="auto"/>
                <w:sz w:val="21"/>
                <w:szCs w:val="21"/>
                <w:highlight w:val="none"/>
              </w:rPr>
            </w:pPr>
          </w:p>
        </w:tc>
        <w:tc>
          <w:tcPr>
            <w:tcW w:w="1080" w:type="dxa"/>
            <w:vMerge w:val="continue"/>
            <w:tcBorders>
              <w:top w:val="single" w:color="auto" w:sz="4" w:space="0"/>
              <w:bottom w:val="single" w:color="auto" w:sz="12" w:space="0"/>
              <w:tl2br w:val="nil"/>
              <w:tr2bl w:val="nil"/>
            </w:tcBorders>
            <w:shd w:val="clear" w:color="auto" w:fill="auto"/>
            <w:noWrap/>
            <w:tcMar>
              <w:top w:w="15" w:type="dxa"/>
              <w:left w:w="15" w:type="dxa"/>
              <w:right w:w="15" w:type="dxa"/>
            </w:tcMar>
            <w:vAlign w:val="center"/>
          </w:tcPr>
          <w:p w14:paraId="3C665A21">
            <w:pPr>
              <w:spacing w:line="240" w:lineRule="auto"/>
              <w:jc w:val="center"/>
              <w:rPr>
                <w:rFonts w:hint="default" w:ascii="Times New Roman" w:hAnsi="Times New Roman" w:cs="Times New Roman"/>
                <w:color w:val="auto"/>
                <w:sz w:val="21"/>
                <w:szCs w:val="21"/>
                <w:highlight w:val="none"/>
              </w:rPr>
            </w:pPr>
          </w:p>
        </w:tc>
      </w:tr>
      <w:tr w14:paraId="7AC8F0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restart"/>
            <w:tcBorders>
              <w:top w:val="single" w:color="auto" w:sz="12" w:space="0"/>
              <w:tl2br w:val="nil"/>
              <w:tr2bl w:val="nil"/>
            </w:tcBorders>
            <w:shd w:val="clear" w:color="auto" w:fill="auto"/>
            <w:noWrap/>
            <w:tcMar>
              <w:top w:w="15" w:type="dxa"/>
              <w:left w:w="15" w:type="dxa"/>
              <w:right w:w="15" w:type="dxa"/>
            </w:tcMar>
            <w:vAlign w:val="center"/>
          </w:tcPr>
          <w:p w14:paraId="5558D75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土壤</w:t>
            </w:r>
          </w:p>
        </w:tc>
        <w:tc>
          <w:tcPr>
            <w:tcW w:w="1845" w:type="dxa"/>
            <w:tcBorders>
              <w:top w:val="single" w:color="auto" w:sz="12" w:space="0"/>
            </w:tcBorders>
            <w:shd w:val="clear" w:color="auto" w:fill="auto"/>
            <w:noWrap/>
            <w:tcMar>
              <w:top w:w="15" w:type="dxa"/>
              <w:left w:w="15" w:type="dxa"/>
              <w:right w:w="15" w:type="dxa"/>
            </w:tcMar>
            <w:vAlign w:val="center"/>
          </w:tcPr>
          <w:p w14:paraId="768C818F">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水分</w:t>
            </w:r>
            <w:r>
              <w:rPr>
                <w:rStyle w:val="63"/>
                <w:rFonts w:hint="default" w:ascii="Times New Roman" w:hAnsi="Times New Roman" w:cs="Times New Roman"/>
                <w:color w:val="auto"/>
                <w:sz w:val="21"/>
                <w:szCs w:val="21"/>
                <w:highlight w:val="none"/>
                <w:lang w:bidi="ar"/>
              </w:rPr>
              <w:t>(</w:t>
            </w:r>
            <w:r>
              <w:rPr>
                <w:rStyle w:val="62"/>
                <w:rFonts w:hint="default" w:ascii="Times New Roman" w:hAnsi="Times New Roman" w:cs="Times New Roman"/>
                <w:color w:val="auto"/>
                <w:sz w:val="21"/>
                <w:szCs w:val="21"/>
                <w:highlight w:val="none"/>
                <w:lang w:bidi="ar"/>
              </w:rPr>
              <w:t>以干基计</w:t>
            </w:r>
            <w:r>
              <w:rPr>
                <w:rStyle w:val="63"/>
                <w:rFonts w:hint="default" w:ascii="Times New Roman" w:hAnsi="Times New Roman" w:cs="Times New Roman"/>
                <w:color w:val="auto"/>
                <w:sz w:val="21"/>
                <w:szCs w:val="21"/>
                <w:highlight w:val="none"/>
                <w:lang w:bidi="ar"/>
              </w:rPr>
              <w:t>)</w:t>
            </w:r>
          </w:p>
        </w:tc>
        <w:tc>
          <w:tcPr>
            <w:tcW w:w="980" w:type="dxa"/>
            <w:tcBorders>
              <w:top w:val="single" w:color="auto" w:sz="12" w:space="0"/>
            </w:tcBorders>
            <w:shd w:val="clear" w:color="auto" w:fill="auto"/>
            <w:noWrap/>
            <w:tcMar>
              <w:top w:w="15" w:type="dxa"/>
              <w:left w:w="15" w:type="dxa"/>
              <w:right w:w="15" w:type="dxa"/>
            </w:tcMar>
            <w:vAlign w:val="bottom"/>
          </w:tcPr>
          <w:p w14:paraId="3064464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29.0</w:t>
            </w:r>
          </w:p>
        </w:tc>
        <w:tc>
          <w:tcPr>
            <w:tcW w:w="1730" w:type="dxa"/>
            <w:tcBorders>
              <w:top w:val="single" w:color="auto" w:sz="12" w:space="0"/>
            </w:tcBorders>
            <w:shd w:val="clear" w:color="auto" w:fill="auto"/>
            <w:noWrap/>
            <w:tcMar>
              <w:top w:w="15" w:type="dxa"/>
              <w:left w:w="15" w:type="dxa"/>
              <w:right w:w="15" w:type="dxa"/>
            </w:tcMar>
            <w:vAlign w:val="bottom"/>
          </w:tcPr>
          <w:p w14:paraId="531BD9D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30.1</w:t>
            </w:r>
          </w:p>
        </w:tc>
        <w:tc>
          <w:tcPr>
            <w:tcW w:w="1817" w:type="dxa"/>
            <w:tcBorders>
              <w:top w:val="single" w:color="auto" w:sz="12" w:space="0"/>
            </w:tcBorders>
            <w:shd w:val="clear" w:color="auto" w:fill="auto"/>
            <w:noWrap/>
            <w:tcMar>
              <w:top w:w="15" w:type="dxa"/>
              <w:left w:w="15" w:type="dxa"/>
              <w:right w:w="15" w:type="dxa"/>
            </w:tcMar>
            <w:vAlign w:val="bottom"/>
          </w:tcPr>
          <w:p w14:paraId="609C47B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1.86%</w:t>
            </w:r>
          </w:p>
        </w:tc>
        <w:tc>
          <w:tcPr>
            <w:tcW w:w="1080" w:type="dxa"/>
            <w:tcBorders>
              <w:top w:val="single" w:color="auto" w:sz="12" w:space="0"/>
            </w:tcBorders>
            <w:shd w:val="clear" w:color="auto" w:fill="auto"/>
            <w:noWrap/>
            <w:tcMar>
              <w:top w:w="15" w:type="dxa"/>
              <w:left w:w="15" w:type="dxa"/>
              <w:right w:w="15" w:type="dxa"/>
            </w:tcMar>
            <w:vAlign w:val="center"/>
          </w:tcPr>
          <w:p w14:paraId="29187C5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w:t>
            </w:r>
          </w:p>
        </w:tc>
        <w:tc>
          <w:tcPr>
            <w:tcW w:w="1080" w:type="dxa"/>
            <w:tcBorders>
              <w:top w:val="single" w:color="auto" w:sz="12" w:space="0"/>
            </w:tcBorders>
            <w:shd w:val="clear" w:color="auto" w:fill="auto"/>
            <w:noWrap/>
            <w:tcMar>
              <w:top w:w="15" w:type="dxa"/>
              <w:left w:w="15" w:type="dxa"/>
              <w:right w:w="15" w:type="dxa"/>
            </w:tcMar>
            <w:vAlign w:val="center"/>
          </w:tcPr>
          <w:p w14:paraId="0EAB69A3">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合格</w:t>
            </w:r>
          </w:p>
        </w:tc>
      </w:tr>
      <w:tr w14:paraId="469295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28A71279">
            <w:pPr>
              <w:spacing w:line="240" w:lineRule="auto"/>
              <w:jc w:val="center"/>
              <w:rPr>
                <w:rFonts w:hint="default" w:ascii="Times New Roman" w:hAnsi="Times New Roman" w:cs="Times New Roman"/>
                <w:color w:val="auto"/>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09CFD9A6">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总氟化物</w:t>
            </w:r>
          </w:p>
        </w:tc>
        <w:tc>
          <w:tcPr>
            <w:tcW w:w="980" w:type="dxa"/>
            <w:tcBorders>
              <w:tl2br w:val="nil"/>
              <w:tr2bl w:val="nil"/>
            </w:tcBorders>
            <w:shd w:val="clear" w:color="auto" w:fill="auto"/>
            <w:noWrap/>
            <w:tcMar>
              <w:top w:w="15" w:type="dxa"/>
              <w:left w:w="15" w:type="dxa"/>
              <w:right w:w="15" w:type="dxa"/>
            </w:tcMar>
            <w:vAlign w:val="bottom"/>
          </w:tcPr>
          <w:p w14:paraId="7BB0044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610</w:t>
            </w:r>
          </w:p>
        </w:tc>
        <w:tc>
          <w:tcPr>
            <w:tcW w:w="1730" w:type="dxa"/>
            <w:tcBorders>
              <w:tl2br w:val="nil"/>
              <w:tr2bl w:val="nil"/>
            </w:tcBorders>
            <w:shd w:val="clear" w:color="auto" w:fill="auto"/>
            <w:noWrap/>
            <w:tcMar>
              <w:top w:w="15" w:type="dxa"/>
              <w:left w:w="15" w:type="dxa"/>
              <w:right w:w="15" w:type="dxa"/>
            </w:tcMar>
            <w:vAlign w:val="bottom"/>
          </w:tcPr>
          <w:p w14:paraId="256A324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648</w:t>
            </w:r>
          </w:p>
        </w:tc>
        <w:tc>
          <w:tcPr>
            <w:tcW w:w="1817" w:type="dxa"/>
            <w:tcBorders>
              <w:tl2br w:val="nil"/>
              <w:tr2bl w:val="nil"/>
            </w:tcBorders>
            <w:shd w:val="clear" w:color="auto" w:fill="auto"/>
            <w:noWrap/>
            <w:tcMar>
              <w:top w:w="15" w:type="dxa"/>
              <w:left w:w="15" w:type="dxa"/>
              <w:right w:w="15" w:type="dxa"/>
            </w:tcMar>
            <w:vAlign w:val="bottom"/>
          </w:tcPr>
          <w:p w14:paraId="0BFC253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3.02%</w:t>
            </w:r>
          </w:p>
        </w:tc>
        <w:tc>
          <w:tcPr>
            <w:tcW w:w="1080" w:type="dxa"/>
            <w:tcBorders>
              <w:tl2br w:val="nil"/>
              <w:tr2bl w:val="nil"/>
            </w:tcBorders>
            <w:shd w:val="clear" w:color="auto" w:fill="auto"/>
            <w:noWrap/>
            <w:tcMar>
              <w:top w:w="15" w:type="dxa"/>
              <w:left w:w="15" w:type="dxa"/>
              <w:right w:w="15" w:type="dxa"/>
            </w:tcMar>
            <w:vAlign w:val="center"/>
          </w:tcPr>
          <w:p w14:paraId="37D78B7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45B9A041">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合格</w:t>
            </w:r>
          </w:p>
        </w:tc>
      </w:tr>
      <w:tr w14:paraId="5E73A6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5471D0FD">
            <w:pPr>
              <w:spacing w:line="240" w:lineRule="auto"/>
              <w:jc w:val="center"/>
              <w:rPr>
                <w:rFonts w:hint="default" w:ascii="Times New Roman" w:hAnsi="Times New Roman" w:cs="Times New Roman"/>
                <w:color w:val="auto"/>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3CDE58CC">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铅</w:t>
            </w:r>
          </w:p>
        </w:tc>
        <w:tc>
          <w:tcPr>
            <w:tcW w:w="980" w:type="dxa"/>
            <w:tcBorders>
              <w:tl2br w:val="nil"/>
              <w:tr2bl w:val="nil"/>
            </w:tcBorders>
            <w:shd w:val="clear" w:color="auto" w:fill="auto"/>
            <w:noWrap/>
            <w:tcMar>
              <w:top w:w="15" w:type="dxa"/>
              <w:left w:w="15" w:type="dxa"/>
              <w:right w:w="15" w:type="dxa"/>
            </w:tcMar>
            <w:vAlign w:val="bottom"/>
          </w:tcPr>
          <w:p w14:paraId="6C784C9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29.5</w:t>
            </w:r>
          </w:p>
        </w:tc>
        <w:tc>
          <w:tcPr>
            <w:tcW w:w="1730" w:type="dxa"/>
            <w:tcBorders>
              <w:tl2br w:val="nil"/>
              <w:tr2bl w:val="nil"/>
            </w:tcBorders>
            <w:shd w:val="clear" w:color="auto" w:fill="auto"/>
            <w:noWrap/>
            <w:tcMar>
              <w:top w:w="15" w:type="dxa"/>
              <w:left w:w="15" w:type="dxa"/>
              <w:right w:w="15" w:type="dxa"/>
            </w:tcMar>
            <w:vAlign w:val="bottom"/>
          </w:tcPr>
          <w:p w14:paraId="3F4712D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28.0</w:t>
            </w:r>
          </w:p>
        </w:tc>
        <w:tc>
          <w:tcPr>
            <w:tcW w:w="1817" w:type="dxa"/>
            <w:tcBorders>
              <w:tl2br w:val="nil"/>
              <w:tr2bl w:val="nil"/>
            </w:tcBorders>
            <w:shd w:val="clear" w:color="auto" w:fill="auto"/>
            <w:noWrap/>
            <w:tcMar>
              <w:top w:w="15" w:type="dxa"/>
              <w:left w:w="15" w:type="dxa"/>
              <w:right w:w="15" w:type="dxa"/>
            </w:tcMar>
            <w:vAlign w:val="bottom"/>
          </w:tcPr>
          <w:p w14:paraId="2615D24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2.61%</w:t>
            </w:r>
          </w:p>
        </w:tc>
        <w:tc>
          <w:tcPr>
            <w:tcW w:w="1080" w:type="dxa"/>
            <w:tcBorders>
              <w:tl2br w:val="nil"/>
              <w:tr2bl w:val="nil"/>
            </w:tcBorders>
            <w:shd w:val="clear" w:color="auto" w:fill="auto"/>
            <w:noWrap/>
            <w:tcMar>
              <w:top w:w="15" w:type="dxa"/>
              <w:left w:w="15" w:type="dxa"/>
              <w:right w:w="15" w:type="dxa"/>
            </w:tcMar>
            <w:vAlign w:val="center"/>
          </w:tcPr>
          <w:p w14:paraId="7FCD2B3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≤30%</w:t>
            </w:r>
          </w:p>
        </w:tc>
        <w:tc>
          <w:tcPr>
            <w:tcW w:w="1080" w:type="dxa"/>
            <w:tcBorders>
              <w:tl2br w:val="nil"/>
              <w:tr2bl w:val="nil"/>
            </w:tcBorders>
            <w:shd w:val="clear" w:color="auto" w:fill="auto"/>
            <w:noWrap/>
            <w:tcMar>
              <w:top w:w="15" w:type="dxa"/>
              <w:left w:w="15" w:type="dxa"/>
              <w:right w:w="15" w:type="dxa"/>
            </w:tcMar>
            <w:vAlign w:val="center"/>
          </w:tcPr>
          <w:p w14:paraId="4C06BA11">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合格</w:t>
            </w:r>
          </w:p>
        </w:tc>
      </w:tr>
      <w:tr w14:paraId="6549A9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7B7FCDAA">
            <w:pPr>
              <w:spacing w:line="240" w:lineRule="auto"/>
              <w:jc w:val="center"/>
              <w:rPr>
                <w:rFonts w:hint="default" w:ascii="Times New Roman" w:hAnsi="Times New Roman" w:cs="Times New Roman"/>
                <w:color w:val="auto"/>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73370309">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汞</w:t>
            </w:r>
          </w:p>
        </w:tc>
        <w:tc>
          <w:tcPr>
            <w:tcW w:w="980" w:type="dxa"/>
            <w:tcBorders>
              <w:tl2br w:val="nil"/>
              <w:tr2bl w:val="nil"/>
            </w:tcBorders>
            <w:shd w:val="clear" w:color="auto" w:fill="auto"/>
            <w:noWrap/>
            <w:tcMar>
              <w:top w:w="15" w:type="dxa"/>
              <w:left w:w="15" w:type="dxa"/>
              <w:right w:w="15" w:type="dxa"/>
            </w:tcMar>
            <w:vAlign w:val="bottom"/>
          </w:tcPr>
          <w:p w14:paraId="12D3C91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0.13</w:t>
            </w:r>
          </w:p>
        </w:tc>
        <w:tc>
          <w:tcPr>
            <w:tcW w:w="1730" w:type="dxa"/>
            <w:tcBorders>
              <w:tl2br w:val="nil"/>
              <w:tr2bl w:val="nil"/>
            </w:tcBorders>
            <w:shd w:val="clear" w:color="auto" w:fill="auto"/>
            <w:noWrap/>
            <w:tcMar>
              <w:top w:w="15" w:type="dxa"/>
              <w:left w:w="15" w:type="dxa"/>
              <w:right w:w="15" w:type="dxa"/>
            </w:tcMar>
            <w:vAlign w:val="bottom"/>
          </w:tcPr>
          <w:p w14:paraId="05CB25D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0.14</w:t>
            </w:r>
          </w:p>
        </w:tc>
        <w:tc>
          <w:tcPr>
            <w:tcW w:w="1817" w:type="dxa"/>
            <w:tcBorders>
              <w:tl2br w:val="nil"/>
              <w:tr2bl w:val="nil"/>
            </w:tcBorders>
            <w:shd w:val="clear" w:color="auto" w:fill="auto"/>
            <w:noWrap/>
            <w:tcMar>
              <w:top w:w="15" w:type="dxa"/>
              <w:left w:w="15" w:type="dxa"/>
              <w:right w:w="15" w:type="dxa"/>
            </w:tcMar>
            <w:vAlign w:val="bottom"/>
          </w:tcPr>
          <w:p w14:paraId="56CF05E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3.70%</w:t>
            </w:r>
          </w:p>
        </w:tc>
        <w:tc>
          <w:tcPr>
            <w:tcW w:w="1080" w:type="dxa"/>
            <w:tcBorders>
              <w:tl2br w:val="nil"/>
              <w:tr2bl w:val="nil"/>
            </w:tcBorders>
            <w:shd w:val="clear" w:color="auto" w:fill="auto"/>
            <w:noWrap/>
            <w:tcMar>
              <w:top w:w="15" w:type="dxa"/>
              <w:left w:w="15" w:type="dxa"/>
              <w:right w:w="15" w:type="dxa"/>
            </w:tcMar>
            <w:vAlign w:val="center"/>
          </w:tcPr>
          <w:p w14:paraId="1291218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≤35%</w:t>
            </w:r>
          </w:p>
        </w:tc>
        <w:tc>
          <w:tcPr>
            <w:tcW w:w="1080" w:type="dxa"/>
            <w:tcBorders>
              <w:tl2br w:val="nil"/>
              <w:tr2bl w:val="nil"/>
            </w:tcBorders>
            <w:shd w:val="clear" w:color="auto" w:fill="auto"/>
            <w:noWrap/>
            <w:tcMar>
              <w:top w:w="15" w:type="dxa"/>
              <w:left w:w="15" w:type="dxa"/>
              <w:right w:w="15" w:type="dxa"/>
            </w:tcMar>
            <w:vAlign w:val="center"/>
          </w:tcPr>
          <w:p w14:paraId="3CBD132C">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合格</w:t>
            </w:r>
          </w:p>
        </w:tc>
      </w:tr>
      <w:tr w14:paraId="3E586E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7F594B80">
            <w:pPr>
              <w:spacing w:line="240" w:lineRule="auto"/>
              <w:jc w:val="center"/>
              <w:rPr>
                <w:rFonts w:hint="default" w:ascii="Times New Roman" w:hAnsi="Times New Roman" w:cs="Times New Roman"/>
                <w:color w:val="auto"/>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39604F60">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钴</w:t>
            </w:r>
          </w:p>
        </w:tc>
        <w:tc>
          <w:tcPr>
            <w:tcW w:w="980" w:type="dxa"/>
            <w:tcBorders>
              <w:tl2br w:val="nil"/>
              <w:tr2bl w:val="nil"/>
            </w:tcBorders>
            <w:shd w:val="clear" w:color="auto" w:fill="auto"/>
            <w:noWrap/>
            <w:tcMar>
              <w:top w:w="15" w:type="dxa"/>
              <w:left w:w="15" w:type="dxa"/>
              <w:right w:w="15" w:type="dxa"/>
            </w:tcMar>
            <w:vAlign w:val="bottom"/>
          </w:tcPr>
          <w:p w14:paraId="0284730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15.1</w:t>
            </w:r>
          </w:p>
        </w:tc>
        <w:tc>
          <w:tcPr>
            <w:tcW w:w="1730" w:type="dxa"/>
            <w:tcBorders>
              <w:tl2br w:val="nil"/>
              <w:tr2bl w:val="nil"/>
            </w:tcBorders>
            <w:shd w:val="clear" w:color="auto" w:fill="auto"/>
            <w:noWrap/>
            <w:tcMar>
              <w:top w:w="15" w:type="dxa"/>
              <w:left w:w="15" w:type="dxa"/>
              <w:right w:w="15" w:type="dxa"/>
            </w:tcMar>
            <w:vAlign w:val="bottom"/>
          </w:tcPr>
          <w:p w14:paraId="02CE6A6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14.8</w:t>
            </w:r>
          </w:p>
        </w:tc>
        <w:tc>
          <w:tcPr>
            <w:tcW w:w="1817" w:type="dxa"/>
            <w:tcBorders>
              <w:tl2br w:val="nil"/>
              <w:tr2bl w:val="nil"/>
            </w:tcBorders>
            <w:shd w:val="clear" w:color="auto" w:fill="auto"/>
            <w:noWrap/>
            <w:tcMar>
              <w:top w:w="15" w:type="dxa"/>
              <w:left w:w="15" w:type="dxa"/>
              <w:right w:w="15" w:type="dxa"/>
            </w:tcMar>
            <w:vAlign w:val="bottom"/>
          </w:tcPr>
          <w:p w14:paraId="019331C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1.00%</w:t>
            </w:r>
          </w:p>
        </w:tc>
        <w:tc>
          <w:tcPr>
            <w:tcW w:w="1080" w:type="dxa"/>
            <w:tcBorders>
              <w:tl2br w:val="nil"/>
              <w:tr2bl w:val="nil"/>
            </w:tcBorders>
            <w:shd w:val="clear" w:color="auto" w:fill="auto"/>
            <w:noWrap/>
            <w:tcMar>
              <w:top w:w="15" w:type="dxa"/>
              <w:left w:w="15" w:type="dxa"/>
              <w:right w:w="15" w:type="dxa"/>
            </w:tcMar>
            <w:vAlign w:val="center"/>
          </w:tcPr>
          <w:p w14:paraId="04F3568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≤30%</w:t>
            </w:r>
          </w:p>
        </w:tc>
        <w:tc>
          <w:tcPr>
            <w:tcW w:w="1080" w:type="dxa"/>
            <w:tcBorders>
              <w:tl2br w:val="nil"/>
              <w:tr2bl w:val="nil"/>
            </w:tcBorders>
            <w:shd w:val="clear" w:color="auto" w:fill="auto"/>
            <w:noWrap/>
            <w:tcMar>
              <w:top w:w="15" w:type="dxa"/>
              <w:left w:w="15" w:type="dxa"/>
              <w:right w:w="15" w:type="dxa"/>
            </w:tcMar>
            <w:vAlign w:val="center"/>
          </w:tcPr>
          <w:p w14:paraId="12EA4340">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合格</w:t>
            </w:r>
          </w:p>
        </w:tc>
      </w:tr>
      <w:tr w14:paraId="2085DD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248E2083">
            <w:pPr>
              <w:spacing w:line="240" w:lineRule="auto"/>
              <w:jc w:val="center"/>
              <w:rPr>
                <w:rFonts w:hint="default" w:ascii="Times New Roman" w:hAnsi="Times New Roman" w:cs="Times New Roman"/>
                <w:color w:val="auto"/>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45A0E233">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镉</w:t>
            </w:r>
          </w:p>
        </w:tc>
        <w:tc>
          <w:tcPr>
            <w:tcW w:w="980" w:type="dxa"/>
            <w:tcBorders>
              <w:tl2br w:val="nil"/>
              <w:tr2bl w:val="nil"/>
            </w:tcBorders>
            <w:shd w:val="clear" w:color="auto" w:fill="auto"/>
            <w:noWrap/>
            <w:tcMar>
              <w:top w:w="15" w:type="dxa"/>
              <w:left w:w="15" w:type="dxa"/>
              <w:right w:w="15" w:type="dxa"/>
            </w:tcMar>
            <w:vAlign w:val="bottom"/>
          </w:tcPr>
          <w:p w14:paraId="14BDB21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0.08</w:t>
            </w:r>
          </w:p>
        </w:tc>
        <w:tc>
          <w:tcPr>
            <w:tcW w:w="1730" w:type="dxa"/>
            <w:tcBorders>
              <w:tl2br w:val="nil"/>
              <w:tr2bl w:val="nil"/>
            </w:tcBorders>
            <w:shd w:val="clear" w:color="auto" w:fill="auto"/>
            <w:noWrap/>
            <w:tcMar>
              <w:top w:w="15" w:type="dxa"/>
              <w:left w:w="15" w:type="dxa"/>
              <w:right w:w="15" w:type="dxa"/>
            </w:tcMar>
            <w:vAlign w:val="bottom"/>
          </w:tcPr>
          <w:p w14:paraId="5F6E5A1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0.07</w:t>
            </w:r>
          </w:p>
        </w:tc>
        <w:tc>
          <w:tcPr>
            <w:tcW w:w="1817" w:type="dxa"/>
            <w:tcBorders>
              <w:tl2br w:val="nil"/>
              <w:tr2bl w:val="nil"/>
            </w:tcBorders>
            <w:shd w:val="clear" w:color="auto" w:fill="auto"/>
            <w:noWrap/>
            <w:tcMar>
              <w:top w:w="15" w:type="dxa"/>
              <w:left w:w="15" w:type="dxa"/>
              <w:right w:w="15" w:type="dxa"/>
            </w:tcMar>
            <w:vAlign w:val="bottom"/>
          </w:tcPr>
          <w:p w14:paraId="3A077E8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6.67%</w:t>
            </w:r>
          </w:p>
        </w:tc>
        <w:tc>
          <w:tcPr>
            <w:tcW w:w="1080" w:type="dxa"/>
            <w:tcBorders>
              <w:tl2br w:val="nil"/>
              <w:tr2bl w:val="nil"/>
            </w:tcBorders>
            <w:shd w:val="clear" w:color="auto" w:fill="auto"/>
            <w:noWrap/>
            <w:tcMar>
              <w:top w:w="15" w:type="dxa"/>
              <w:left w:w="15" w:type="dxa"/>
              <w:right w:w="15" w:type="dxa"/>
            </w:tcMar>
            <w:vAlign w:val="center"/>
          </w:tcPr>
          <w:p w14:paraId="10844E2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≤35%</w:t>
            </w:r>
          </w:p>
        </w:tc>
        <w:tc>
          <w:tcPr>
            <w:tcW w:w="1080" w:type="dxa"/>
            <w:tcBorders>
              <w:tl2br w:val="nil"/>
              <w:tr2bl w:val="nil"/>
            </w:tcBorders>
            <w:shd w:val="clear" w:color="auto" w:fill="auto"/>
            <w:noWrap/>
            <w:tcMar>
              <w:top w:w="15" w:type="dxa"/>
              <w:left w:w="15" w:type="dxa"/>
              <w:right w:w="15" w:type="dxa"/>
            </w:tcMar>
            <w:vAlign w:val="center"/>
          </w:tcPr>
          <w:p w14:paraId="23A02D87">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合格</w:t>
            </w:r>
          </w:p>
        </w:tc>
      </w:tr>
      <w:tr w14:paraId="54F1F0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7442D144">
            <w:pPr>
              <w:spacing w:line="240" w:lineRule="auto"/>
              <w:jc w:val="center"/>
              <w:rPr>
                <w:rFonts w:hint="default" w:ascii="Times New Roman" w:hAnsi="Times New Roman" w:cs="Times New Roman"/>
                <w:color w:val="auto"/>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611349FA">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铜</w:t>
            </w:r>
          </w:p>
        </w:tc>
        <w:tc>
          <w:tcPr>
            <w:tcW w:w="980" w:type="dxa"/>
            <w:tcBorders>
              <w:tl2br w:val="nil"/>
              <w:tr2bl w:val="nil"/>
            </w:tcBorders>
            <w:shd w:val="clear" w:color="auto" w:fill="auto"/>
            <w:noWrap/>
            <w:tcMar>
              <w:top w:w="15" w:type="dxa"/>
              <w:left w:w="15" w:type="dxa"/>
              <w:right w:w="15" w:type="dxa"/>
            </w:tcMar>
            <w:vAlign w:val="bottom"/>
          </w:tcPr>
          <w:p w14:paraId="4B04BFA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42</w:t>
            </w:r>
          </w:p>
        </w:tc>
        <w:tc>
          <w:tcPr>
            <w:tcW w:w="1730" w:type="dxa"/>
            <w:tcBorders>
              <w:tl2br w:val="nil"/>
              <w:tr2bl w:val="nil"/>
            </w:tcBorders>
            <w:shd w:val="clear" w:color="auto" w:fill="auto"/>
            <w:noWrap/>
            <w:tcMar>
              <w:top w:w="15" w:type="dxa"/>
              <w:left w:w="15" w:type="dxa"/>
              <w:right w:w="15" w:type="dxa"/>
            </w:tcMar>
            <w:vAlign w:val="bottom"/>
          </w:tcPr>
          <w:p w14:paraId="2D15894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45</w:t>
            </w:r>
          </w:p>
        </w:tc>
        <w:tc>
          <w:tcPr>
            <w:tcW w:w="1817" w:type="dxa"/>
            <w:tcBorders>
              <w:tl2br w:val="nil"/>
              <w:tr2bl w:val="nil"/>
            </w:tcBorders>
            <w:shd w:val="clear" w:color="auto" w:fill="auto"/>
            <w:noWrap/>
            <w:tcMar>
              <w:top w:w="15" w:type="dxa"/>
              <w:left w:w="15" w:type="dxa"/>
              <w:right w:w="15" w:type="dxa"/>
            </w:tcMar>
            <w:vAlign w:val="bottom"/>
          </w:tcPr>
          <w:p w14:paraId="754089F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3.45%</w:t>
            </w:r>
          </w:p>
        </w:tc>
        <w:tc>
          <w:tcPr>
            <w:tcW w:w="1080" w:type="dxa"/>
            <w:tcBorders>
              <w:tl2br w:val="nil"/>
              <w:tr2bl w:val="nil"/>
            </w:tcBorders>
            <w:shd w:val="clear" w:color="auto" w:fill="auto"/>
            <w:noWrap/>
            <w:tcMar>
              <w:top w:w="15" w:type="dxa"/>
              <w:left w:w="15" w:type="dxa"/>
              <w:right w:w="15" w:type="dxa"/>
            </w:tcMar>
            <w:vAlign w:val="center"/>
          </w:tcPr>
          <w:p w14:paraId="6BC3889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1E718EAC">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合格</w:t>
            </w:r>
          </w:p>
        </w:tc>
      </w:tr>
      <w:tr w14:paraId="66954B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65149EC5">
            <w:pPr>
              <w:spacing w:line="240" w:lineRule="auto"/>
              <w:jc w:val="center"/>
              <w:rPr>
                <w:rFonts w:hint="default" w:ascii="Times New Roman" w:hAnsi="Times New Roman" w:cs="Times New Roman"/>
                <w:color w:val="auto"/>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6D211C50">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镍</w:t>
            </w:r>
          </w:p>
        </w:tc>
        <w:tc>
          <w:tcPr>
            <w:tcW w:w="980" w:type="dxa"/>
            <w:tcBorders>
              <w:tl2br w:val="nil"/>
              <w:tr2bl w:val="nil"/>
            </w:tcBorders>
            <w:shd w:val="clear" w:color="auto" w:fill="auto"/>
            <w:noWrap/>
            <w:tcMar>
              <w:top w:w="15" w:type="dxa"/>
              <w:left w:w="15" w:type="dxa"/>
              <w:right w:w="15" w:type="dxa"/>
            </w:tcMar>
            <w:vAlign w:val="bottom"/>
          </w:tcPr>
          <w:p w14:paraId="167F2FF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55</w:t>
            </w:r>
          </w:p>
        </w:tc>
        <w:tc>
          <w:tcPr>
            <w:tcW w:w="1730" w:type="dxa"/>
            <w:tcBorders>
              <w:tl2br w:val="nil"/>
              <w:tr2bl w:val="nil"/>
            </w:tcBorders>
            <w:shd w:val="clear" w:color="auto" w:fill="auto"/>
            <w:noWrap/>
            <w:tcMar>
              <w:top w:w="15" w:type="dxa"/>
              <w:left w:w="15" w:type="dxa"/>
              <w:right w:w="15" w:type="dxa"/>
            </w:tcMar>
            <w:vAlign w:val="bottom"/>
          </w:tcPr>
          <w:p w14:paraId="5F0EEAC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56</w:t>
            </w:r>
          </w:p>
        </w:tc>
        <w:tc>
          <w:tcPr>
            <w:tcW w:w="1817" w:type="dxa"/>
            <w:tcBorders>
              <w:tl2br w:val="nil"/>
              <w:tr2bl w:val="nil"/>
            </w:tcBorders>
            <w:shd w:val="clear" w:color="auto" w:fill="auto"/>
            <w:noWrap/>
            <w:tcMar>
              <w:top w:w="15" w:type="dxa"/>
              <w:left w:w="15" w:type="dxa"/>
              <w:right w:w="15" w:type="dxa"/>
            </w:tcMar>
            <w:vAlign w:val="bottom"/>
          </w:tcPr>
          <w:p w14:paraId="7AFC6EB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0.90%</w:t>
            </w:r>
          </w:p>
        </w:tc>
        <w:tc>
          <w:tcPr>
            <w:tcW w:w="1080" w:type="dxa"/>
            <w:tcBorders>
              <w:tl2br w:val="nil"/>
              <w:tr2bl w:val="nil"/>
            </w:tcBorders>
            <w:shd w:val="clear" w:color="auto" w:fill="auto"/>
            <w:noWrap/>
            <w:tcMar>
              <w:top w:w="15" w:type="dxa"/>
              <w:left w:w="15" w:type="dxa"/>
              <w:right w:w="15" w:type="dxa"/>
            </w:tcMar>
            <w:vAlign w:val="center"/>
          </w:tcPr>
          <w:p w14:paraId="5AD1FA5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40F9EA4A">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合格</w:t>
            </w:r>
          </w:p>
        </w:tc>
      </w:tr>
      <w:tr w14:paraId="0CA934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6ED6995C">
            <w:pPr>
              <w:spacing w:line="240" w:lineRule="auto"/>
              <w:jc w:val="center"/>
              <w:rPr>
                <w:rFonts w:hint="default" w:ascii="Times New Roman" w:hAnsi="Times New Roman" w:cs="Times New Roman"/>
                <w:color w:val="auto"/>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213D5586">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铬</w:t>
            </w:r>
          </w:p>
        </w:tc>
        <w:tc>
          <w:tcPr>
            <w:tcW w:w="980" w:type="dxa"/>
            <w:tcBorders>
              <w:tl2br w:val="nil"/>
              <w:tr2bl w:val="nil"/>
            </w:tcBorders>
            <w:shd w:val="clear" w:color="auto" w:fill="auto"/>
            <w:noWrap/>
            <w:tcMar>
              <w:top w:w="15" w:type="dxa"/>
              <w:left w:w="15" w:type="dxa"/>
              <w:right w:w="15" w:type="dxa"/>
            </w:tcMar>
            <w:vAlign w:val="bottom"/>
          </w:tcPr>
          <w:p w14:paraId="78A1FBB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92</w:t>
            </w:r>
          </w:p>
        </w:tc>
        <w:tc>
          <w:tcPr>
            <w:tcW w:w="1730" w:type="dxa"/>
            <w:tcBorders>
              <w:tl2br w:val="nil"/>
              <w:tr2bl w:val="nil"/>
            </w:tcBorders>
            <w:shd w:val="clear" w:color="auto" w:fill="auto"/>
            <w:noWrap/>
            <w:tcMar>
              <w:top w:w="15" w:type="dxa"/>
              <w:left w:w="15" w:type="dxa"/>
              <w:right w:w="15" w:type="dxa"/>
            </w:tcMar>
            <w:vAlign w:val="bottom"/>
          </w:tcPr>
          <w:p w14:paraId="6ED9FD3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92</w:t>
            </w:r>
          </w:p>
        </w:tc>
        <w:tc>
          <w:tcPr>
            <w:tcW w:w="1817" w:type="dxa"/>
            <w:tcBorders>
              <w:tl2br w:val="nil"/>
              <w:tr2bl w:val="nil"/>
            </w:tcBorders>
            <w:shd w:val="clear" w:color="auto" w:fill="auto"/>
            <w:noWrap/>
            <w:tcMar>
              <w:top w:w="15" w:type="dxa"/>
              <w:left w:w="15" w:type="dxa"/>
              <w:right w:w="15" w:type="dxa"/>
            </w:tcMar>
            <w:vAlign w:val="bottom"/>
          </w:tcPr>
          <w:p w14:paraId="6F3FFBE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w:t>
            </w:r>
          </w:p>
        </w:tc>
        <w:tc>
          <w:tcPr>
            <w:tcW w:w="1080" w:type="dxa"/>
            <w:tcBorders>
              <w:tl2br w:val="nil"/>
              <w:tr2bl w:val="nil"/>
            </w:tcBorders>
            <w:shd w:val="clear" w:color="auto" w:fill="auto"/>
            <w:noWrap/>
            <w:tcMar>
              <w:top w:w="15" w:type="dxa"/>
              <w:left w:w="15" w:type="dxa"/>
              <w:right w:w="15" w:type="dxa"/>
            </w:tcMar>
            <w:vAlign w:val="center"/>
          </w:tcPr>
          <w:p w14:paraId="3A55515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48C1AE7D">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合格</w:t>
            </w:r>
          </w:p>
        </w:tc>
      </w:tr>
      <w:tr w14:paraId="76C545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40621B3E">
            <w:pPr>
              <w:spacing w:line="240" w:lineRule="auto"/>
              <w:jc w:val="center"/>
              <w:rPr>
                <w:rFonts w:hint="default" w:ascii="Times New Roman" w:hAnsi="Times New Roman" w:cs="Times New Roman"/>
                <w:color w:val="auto"/>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0BB4305D">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锌</w:t>
            </w:r>
          </w:p>
        </w:tc>
        <w:tc>
          <w:tcPr>
            <w:tcW w:w="980" w:type="dxa"/>
            <w:tcBorders>
              <w:tl2br w:val="nil"/>
              <w:tr2bl w:val="nil"/>
            </w:tcBorders>
            <w:shd w:val="clear" w:color="auto" w:fill="auto"/>
            <w:noWrap/>
            <w:tcMar>
              <w:top w:w="15" w:type="dxa"/>
              <w:left w:w="15" w:type="dxa"/>
              <w:right w:w="15" w:type="dxa"/>
            </w:tcMar>
            <w:vAlign w:val="bottom"/>
          </w:tcPr>
          <w:p w14:paraId="3691C9C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106</w:t>
            </w:r>
          </w:p>
        </w:tc>
        <w:tc>
          <w:tcPr>
            <w:tcW w:w="1730" w:type="dxa"/>
            <w:tcBorders>
              <w:tl2br w:val="nil"/>
              <w:tr2bl w:val="nil"/>
            </w:tcBorders>
            <w:shd w:val="clear" w:color="auto" w:fill="auto"/>
            <w:noWrap/>
            <w:tcMar>
              <w:top w:w="15" w:type="dxa"/>
              <w:left w:w="15" w:type="dxa"/>
              <w:right w:w="15" w:type="dxa"/>
            </w:tcMar>
            <w:vAlign w:val="bottom"/>
          </w:tcPr>
          <w:p w14:paraId="46353D7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105</w:t>
            </w:r>
          </w:p>
        </w:tc>
        <w:tc>
          <w:tcPr>
            <w:tcW w:w="1817" w:type="dxa"/>
            <w:tcBorders>
              <w:tl2br w:val="nil"/>
              <w:tr2bl w:val="nil"/>
            </w:tcBorders>
            <w:shd w:val="clear" w:color="auto" w:fill="auto"/>
            <w:noWrap/>
            <w:tcMar>
              <w:top w:w="15" w:type="dxa"/>
              <w:left w:w="15" w:type="dxa"/>
              <w:right w:w="15" w:type="dxa"/>
            </w:tcMar>
            <w:vAlign w:val="bottom"/>
          </w:tcPr>
          <w:p w14:paraId="52EB993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0.47%</w:t>
            </w:r>
          </w:p>
        </w:tc>
        <w:tc>
          <w:tcPr>
            <w:tcW w:w="1080" w:type="dxa"/>
            <w:tcBorders>
              <w:tl2br w:val="nil"/>
              <w:tr2bl w:val="nil"/>
            </w:tcBorders>
            <w:shd w:val="clear" w:color="auto" w:fill="auto"/>
            <w:noWrap/>
            <w:tcMar>
              <w:top w:w="15" w:type="dxa"/>
              <w:left w:w="15" w:type="dxa"/>
              <w:right w:w="15" w:type="dxa"/>
            </w:tcMar>
            <w:vAlign w:val="center"/>
          </w:tcPr>
          <w:p w14:paraId="0886797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2F00B249">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合格</w:t>
            </w:r>
          </w:p>
        </w:tc>
      </w:tr>
      <w:tr w14:paraId="7638FC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31174EEE">
            <w:pPr>
              <w:spacing w:line="240" w:lineRule="auto"/>
              <w:jc w:val="center"/>
              <w:rPr>
                <w:rFonts w:hint="default" w:ascii="Times New Roman" w:hAnsi="Times New Roman" w:cs="Times New Roman"/>
                <w:color w:val="auto"/>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79B8A754">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砷</w:t>
            </w:r>
          </w:p>
        </w:tc>
        <w:tc>
          <w:tcPr>
            <w:tcW w:w="980" w:type="dxa"/>
            <w:tcBorders>
              <w:tl2br w:val="nil"/>
              <w:tr2bl w:val="nil"/>
            </w:tcBorders>
            <w:shd w:val="clear" w:color="auto" w:fill="auto"/>
            <w:noWrap/>
            <w:tcMar>
              <w:top w:w="15" w:type="dxa"/>
              <w:left w:w="15" w:type="dxa"/>
              <w:right w:w="15" w:type="dxa"/>
            </w:tcMar>
            <w:vAlign w:val="bottom"/>
          </w:tcPr>
          <w:p w14:paraId="4F96DDD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11.4</w:t>
            </w:r>
          </w:p>
        </w:tc>
        <w:tc>
          <w:tcPr>
            <w:tcW w:w="1730" w:type="dxa"/>
            <w:tcBorders>
              <w:tl2br w:val="nil"/>
              <w:tr2bl w:val="nil"/>
            </w:tcBorders>
            <w:shd w:val="clear" w:color="auto" w:fill="auto"/>
            <w:noWrap/>
            <w:tcMar>
              <w:top w:w="15" w:type="dxa"/>
              <w:left w:w="15" w:type="dxa"/>
              <w:right w:w="15" w:type="dxa"/>
            </w:tcMar>
            <w:vAlign w:val="bottom"/>
          </w:tcPr>
          <w:p w14:paraId="25000EB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11.5</w:t>
            </w:r>
          </w:p>
        </w:tc>
        <w:tc>
          <w:tcPr>
            <w:tcW w:w="1817" w:type="dxa"/>
            <w:tcBorders>
              <w:tl2br w:val="nil"/>
              <w:tr2bl w:val="nil"/>
            </w:tcBorders>
            <w:shd w:val="clear" w:color="auto" w:fill="auto"/>
            <w:noWrap/>
            <w:tcMar>
              <w:top w:w="15" w:type="dxa"/>
              <w:left w:w="15" w:type="dxa"/>
              <w:right w:w="15" w:type="dxa"/>
            </w:tcMar>
            <w:vAlign w:val="bottom"/>
          </w:tcPr>
          <w:p w14:paraId="384E63F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0.44%</w:t>
            </w:r>
          </w:p>
        </w:tc>
        <w:tc>
          <w:tcPr>
            <w:tcW w:w="1080" w:type="dxa"/>
            <w:tcBorders>
              <w:tl2br w:val="nil"/>
              <w:tr2bl w:val="nil"/>
            </w:tcBorders>
            <w:shd w:val="clear" w:color="auto" w:fill="auto"/>
            <w:noWrap/>
            <w:tcMar>
              <w:top w:w="15" w:type="dxa"/>
              <w:left w:w="15" w:type="dxa"/>
              <w:right w:w="15" w:type="dxa"/>
            </w:tcMar>
            <w:vAlign w:val="center"/>
          </w:tcPr>
          <w:p w14:paraId="00DF107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≤30%</w:t>
            </w:r>
          </w:p>
        </w:tc>
        <w:tc>
          <w:tcPr>
            <w:tcW w:w="1080" w:type="dxa"/>
            <w:tcBorders>
              <w:tl2br w:val="nil"/>
              <w:tr2bl w:val="nil"/>
            </w:tcBorders>
            <w:shd w:val="clear" w:color="auto" w:fill="auto"/>
            <w:noWrap/>
            <w:tcMar>
              <w:top w:w="15" w:type="dxa"/>
              <w:left w:w="15" w:type="dxa"/>
              <w:right w:w="15" w:type="dxa"/>
            </w:tcMar>
            <w:vAlign w:val="center"/>
          </w:tcPr>
          <w:p w14:paraId="11EC363D">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合格</w:t>
            </w:r>
          </w:p>
        </w:tc>
      </w:tr>
      <w:tr w14:paraId="2D71E8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54DE536D">
            <w:pPr>
              <w:spacing w:line="240" w:lineRule="auto"/>
              <w:jc w:val="center"/>
              <w:rPr>
                <w:rFonts w:hint="default" w:ascii="Times New Roman" w:hAnsi="Times New Roman" w:cs="Times New Roman"/>
                <w:color w:val="auto"/>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0F7E308C">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钼</w:t>
            </w:r>
          </w:p>
        </w:tc>
        <w:tc>
          <w:tcPr>
            <w:tcW w:w="980" w:type="dxa"/>
            <w:tcBorders>
              <w:tl2br w:val="nil"/>
              <w:tr2bl w:val="nil"/>
            </w:tcBorders>
            <w:shd w:val="clear" w:color="auto" w:fill="auto"/>
            <w:noWrap/>
            <w:tcMar>
              <w:top w:w="15" w:type="dxa"/>
              <w:left w:w="15" w:type="dxa"/>
              <w:right w:w="15" w:type="dxa"/>
            </w:tcMar>
            <w:vAlign w:val="bottom"/>
          </w:tcPr>
          <w:p w14:paraId="0F66C3F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w:t>
            </w:r>
          </w:p>
        </w:tc>
        <w:tc>
          <w:tcPr>
            <w:tcW w:w="1730" w:type="dxa"/>
            <w:tcBorders>
              <w:tl2br w:val="nil"/>
              <w:tr2bl w:val="nil"/>
            </w:tcBorders>
            <w:shd w:val="clear" w:color="auto" w:fill="auto"/>
            <w:noWrap/>
            <w:tcMar>
              <w:top w:w="15" w:type="dxa"/>
              <w:left w:w="15" w:type="dxa"/>
              <w:right w:w="15" w:type="dxa"/>
            </w:tcMar>
            <w:vAlign w:val="bottom"/>
          </w:tcPr>
          <w:p w14:paraId="5157289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w:t>
            </w:r>
          </w:p>
        </w:tc>
        <w:tc>
          <w:tcPr>
            <w:tcW w:w="1817" w:type="dxa"/>
            <w:tcBorders>
              <w:tl2br w:val="nil"/>
              <w:tr2bl w:val="nil"/>
            </w:tcBorders>
            <w:shd w:val="clear" w:color="auto" w:fill="auto"/>
            <w:noWrap/>
            <w:tcMar>
              <w:top w:w="15" w:type="dxa"/>
              <w:left w:w="15" w:type="dxa"/>
              <w:right w:w="15" w:type="dxa"/>
            </w:tcMar>
            <w:vAlign w:val="bottom"/>
          </w:tcPr>
          <w:p w14:paraId="2F3B66D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w:t>
            </w:r>
          </w:p>
        </w:tc>
        <w:tc>
          <w:tcPr>
            <w:tcW w:w="1080" w:type="dxa"/>
            <w:tcBorders>
              <w:tl2br w:val="nil"/>
              <w:tr2bl w:val="nil"/>
            </w:tcBorders>
            <w:shd w:val="clear" w:color="auto" w:fill="auto"/>
            <w:noWrap/>
            <w:tcMar>
              <w:top w:w="15" w:type="dxa"/>
              <w:left w:w="15" w:type="dxa"/>
              <w:right w:w="15" w:type="dxa"/>
            </w:tcMar>
            <w:vAlign w:val="center"/>
          </w:tcPr>
          <w:p w14:paraId="1F183CB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w:t>
            </w:r>
          </w:p>
        </w:tc>
        <w:tc>
          <w:tcPr>
            <w:tcW w:w="1080" w:type="dxa"/>
            <w:tcBorders>
              <w:tl2br w:val="nil"/>
              <w:tr2bl w:val="nil"/>
            </w:tcBorders>
            <w:shd w:val="clear" w:color="auto" w:fill="auto"/>
            <w:noWrap/>
            <w:tcMar>
              <w:top w:w="15" w:type="dxa"/>
              <w:left w:w="15" w:type="dxa"/>
              <w:right w:w="15" w:type="dxa"/>
            </w:tcMar>
            <w:vAlign w:val="center"/>
          </w:tcPr>
          <w:p w14:paraId="528F6C27">
            <w:pPr>
              <w:widowControl/>
              <w:spacing w:line="240" w:lineRule="auto"/>
              <w:jc w:val="center"/>
              <w:textAlignment w:val="center"/>
              <w:rPr>
                <w:rStyle w:val="62"/>
                <w:rFonts w:hint="default" w:ascii="Times New Roman" w:hAnsi="Times New Roman" w:cs="Times New Roman"/>
                <w:color w:val="auto"/>
                <w:sz w:val="21"/>
                <w:szCs w:val="21"/>
                <w:highlight w:val="none"/>
                <w:lang w:bidi="ar"/>
              </w:rPr>
            </w:pPr>
            <w:r>
              <w:rPr>
                <w:rStyle w:val="62"/>
                <w:rFonts w:hint="default" w:ascii="Times New Roman" w:hAnsi="Times New Roman" w:cs="Times New Roman"/>
                <w:color w:val="auto"/>
                <w:sz w:val="21"/>
                <w:szCs w:val="21"/>
                <w:highlight w:val="none"/>
                <w:lang w:bidi="ar"/>
              </w:rPr>
              <w:t>合格</w:t>
            </w:r>
          </w:p>
        </w:tc>
      </w:tr>
      <w:tr w14:paraId="5419F9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7" w:hRule="atLeast"/>
          <w:jc w:val="center"/>
        </w:trPr>
        <w:tc>
          <w:tcPr>
            <w:tcW w:w="1080" w:type="dxa"/>
            <w:vMerge w:val="continue"/>
            <w:tcBorders>
              <w:tl2br w:val="nil"/>
              <w:tr2bl w:val="nil"/>
            </w:tcBorders>
            <w:shd w:val="clear" w:color="auto" w:fill="auto"/>
            <w:noWrap/>
            <w:tcMar>
              <w:top w:w="15" w:type="dxa"/>
              <w:left w:w="15" w:type="dxa"/>
              <w:right w:w="15" w:type="dxa"/>
            </w:tcMar>
            <w:vAlign w:val="center"/>
          </w:tcPr>
          <w:p w14:paraId="185972CB">
            <w:pPr>
              <w:spacing w:line="240" w:lineRule="auto"/>
              <w:jc w:val="center"/>
              <w:rPr>
                <w:rFonts w:hint="default" w:ascii="Times New Roman" w:hAnsi="Times New Roman" w:cs="Times New Roman"/>
                <w:color w:val="auto"/>
                <w:sz w:val="21"/>
                <w:szCs w:val="21"/>
                <w:highlight w:val="none"/>
              </w:rPr>
            </w:pPr>
          </w:p>
        </w:tc>
        <w:tc>
          <w:tcPr>
            <w:tcW w:w="1845" w:type="dxa"/>
            <w:tcBorders>
              <w:tl2br w:val="nil"/>
              <w:tr2bl w:val="nil"/>
            </w:tcBorders>
            <w:shd w:val="clear" w:color="auto" w:fill="auto"/>
            <w:noWrap/>
            <w:tcMar>
              <w:top w:w="15" w:type="dxa"/>
              <w:left w:w="15" w:type="dxa"/>
              <w:right w:w="15" w:type="dxa"/>
            </w:tcMar>
            <w:vAlign w:val="center"/>
          </w:tcPr>
          <w:p w14:paraId="0E696780">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锑</w:t>
            </w:r>
          </w:p>
        </w:tc>
        <w:tc>
          <w:tcPr>
            <w:tcW w:w="980" w:type="dxa"/>
            <w:tcBorders>
              <w:tl2br w:val="nil"/>
              <w:tr2bl w:val="nil"/>
            </w:tcBorders>
            <w:shd w:val="clear" w:color="auto" w:fill="auto"/>
            <w:noWrap/>
            <w:tcMar>
              <w:top w:w="15" w:type="dxa"/>
              <w:left w:w="15" w:type="dxa"/>
              <w:right w:w="15" w:type="dxa"/>
            </w:tcMar>
            <w:vAlign w:val="bottom"/>
          </w:tcPr>
          <w:p w14:paraId="15F7751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0.8</w:t>
            </w:r>
          </w:p>
        </w:tc>
        <w:tc>
          <w:tcPr>
            <w:tcW w:w="1730" w:type="dxa"/>
            <w:tcBorders>
              <w:tl2br w:val="nil"/>
              <w:tr2bl w:val="nil"/>
            </w:tcBorders>
            <w:shd w:val="clear" w:color="auto" w:fill="auto"/>
            <w:noWrap/>
            <w:tcMar>
              <w:top w:w="15" w:type="dxa"/>
              <w:left w:w="15" w:type="dxa"/>
              <w:right w:w="15" w:type="dxa"/>
            </w:tcMar>
            <w:vAlign w:val="bottom"/>
          </w:tcPr>
          <w:p w14:paraId="1896BCC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0.9</w:t>
            </w:r>
          </w:p>
        </w:tc>
        <w:tc>
          <w:tcPr>
            <w:tcW w:w="1817" w:type="dxa"/>
            <w:tcBorders>
              <w:tl2br w:val="nil"/>
              <w:tr2bl w:val="nil"/>
            </w:tcBorders>
            <w:shd w:val="clear" w:color="auto" w:fill="auto"/>
            <w:noWrap/>
            <w:tcMar>
              <w:top w:w="15" w:type="dxa"/>
              <w:left w:w="15" w:type="dxa"/>
              <w:right w:w="15" w:type="dxa"/>
            </w:tcMar>
            <w:vAlign w:val="bottom"/>
          </w:tcPr>
          <w:p w14:paraId="72BF2A4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5.88%</w:t>
            </w:r>
          </w:p>
        </w:tc>
        <w:tc>
          <w:tcPr>
            <w:tcW w:w="1080" w:type="dxa"/>
            <w:tcBorders>
              <w:tl2br w:val="nil"/>
              <w:tr2bl w:val="nil"/>
            </w:tcBorders>
            <w:shd w:val="clear" w:color="auto" w:fill="auto"/>
            <w:noWrap/>
            <w:tcMar>
              <w:top w:w="15" w:type="dxa"/>
              <w:left w:w="15" w:type="dxa"/>
              <w:right w:w="15" w:type="dxa"/>
            </w:tcMar>
            <w:vAlign w:val="center"/>
          </w:tcPr>
          <w:p w14:paraId="5B21DA6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≤30%</w:t>
            </w:r>
          </w:p>
        </w:tc>
        <w:tc>
          <w:tcPr>
            <w:tcW w:w="1080" w:type="dxa"/>
            <w:tcBorders>
              <w:tl2br w:val="nil"/>
              <w:tr2bl w:val="nil"/>
            </w:tcBorders>
            <w:shd w:val="clear" w:color="auto" w:fill="auto"/>
            <w:noWrap/>
            <w:tcMar>
              <w:top w:w="15" w:type="dxa"/>
              <w:left w:w="15" w:type="dxa"/>
              <w:right w:w="15" w:type="dxa"/>
            </w:tcMar>
            <w:vAlign w:val="center"/>
          </w:tcPr>
          <w:p w14:paraId="081ED0DB">
            <w:pPr>
              <w:widowControl/>
              <w:spacing w:line="240" w:lineRule="auto"/>
              <w:jc w:val="center"/>
              <w:textAlignment w:val="center"/>
              <w:rPr>
                <w:rFonts w:hint="default" w:ascii="Times New Roman" w:hAnsi="Times New Roman" w:cs="Times New Roman"/>
                <w:color w:val="auto"/>
                <w:sz w:val="21"/>
                <w:szCs w:val="21"/>
                <w:highlight w:val="none"/>
              </w:rPr>
            </w:pPr>
            <w:r>
              <w:rPr>
                <w:rStyle w:val="62"/>
                <w:rFonts w:hint="default" w:ascii="Times New Roman" w:hAnsi="Times New Roman" w:cs="Times New Roman"/>
                <w:color w:val="auto"/>
                <w:sz w:val="21"/>
                <w:szCs w:val="21"/>
                <w:highlight w:val="none"/>
                <w:lang w:bidi="ar"/>
              </w:rPr>
              <w:t>合格</w:t>
            </w:r>
          </w:p>
        </w:tc>
      </w:tr>
    </w:tbl>
    <w:p w14:paraId="3430A80D">
      <w:pPr>
        <w:spacing w:line="240" w:lineRule="auto"/>
        <w:rPr>
          <w:rFonts w:hint="default" w:ascii="Times New Roman" w:hAnsi="Times New Roman" w:cs="Times New Roman"/>
          <w:b/>
          <w:color w:val="auto"/>
          <w:sz w:val="18"/>
          <w:szCs w:val="18"/>
          <w:highlight w:val="none"/>
        </w:rPr>
      </w:pPr>
      <w:r>
        <w:rPr>
          <w:rFonts w:hint="default" w:ascii="Times New Roman" w:hAnsi="Times New Roman" w:cs="Times New Roman"/>
          <w:b/>
          <w:color w:val="auto"/>
          <w:sz w:val="18"/>
          <w:szCs w:val="18"/>
          <w:highlight w:val="none"/>
        </w:rPr>
        <w:t>注：①其中：“铜、铬、镍、锌”质控要求按照“HJ 491-2019”确定；</w:t>
      </w:r>
    </w:p>
    <w:p w14:paraId="557943C6">
      <w:pPr>
        <w:spacing w:line="240" w:lineRule="auto"/>
        <w:ind w:firstLine="361" w:firstLineChars="200"/>
        <w:rPr>
          <w:rFonts w:hint="default" w:ascii="Times New Roman" w:hAnsi="Times New Roman" w:cs="Times New Roman"/>
          <w:b/>
          <w:color w:val="auto"/>
          <w:sz w:val="18"/>
          <w:szCs w:val="18"/>
          <w:highlight w:val="none"/>
        </w:rPr>
      </w:pPr>
      <w:r>
        <w:rPr>
          <w:rFonts w:hint="default" w:ascii="Times New Roman" w:hAnsi="Times New Roman" w:cs="Times New Roman"/>
          <w:b/>
          <w:color w:val="auto"/>
          <w:sz w:val="18"/>
          <w:szCs w:val="18"/>
          <w:highlight w:val="none"/>
        </w:rPr>
        <w:t>“砷、钴、锑、钼”质控要求按照“HJ 803-2016”确定；</w:t>
      </w:r>
    </w:p>
    <w:p w14:paraId="07B7B93E">
      <w:pPr>
        <w:spacing w:line="240" w:lineRule="auto"/>
        <w:ind w:firstLine="361" w:firstLineChars="200"/>
        <w:rPr>
          <w:rFonts w:hint="default" w:ascii="Times New Roman" w:hAnsi="Times New Roman" w:cs="Times New Roman"/>
          <w:b/>
          <w:color w:val="auto"/>
          <w:sz w:val="18"/>
          <w:szCs w:val="18"/>
          <w:highlight w:val="none"/>
        </w:rPr>
      </w:pPr>
      <w:r>
        <w:rPr>
          <w:rFonts w:hint="default" w:ascii="Times New Roman" w:hAnsi="Times New Roman" w:cs="Times New Roman"/>
          <w:b/>
          <w:color w:val="auto"/>
          <w:sz w:val="18"/>
          <w:szCs w:val="18"/>
          <w:highlight w:val="none"/>
        </w:rPr>
        <w:t>“总氟化物”质控要求按照“H873-2017”确定；</w:t>
      </w:r>
    </w:p>
    <w:p w14:paraId="3ED3539C">
      <w:pPr>
        <w:spacing w:line="240" w:lineRule="auto"/>
        <w:ind w:firstLine="361" w:firstLineChars="200"/>
        <w:rPr>
          <w:rFonts w:hint="default" w:ascii="Times New Roman" w:hAnsi="Times New Roman" w:cs="Times New Roman"/>
          <w:b/>
          <w:color w:val="auto"/>
          <w:sz w:val="18"/>
          <w:szCs w:val="18"/>
          <w:highlight w:val="none"/>
        </w:rPr>
      </w:pPr>
      <w:r>
        <w:rPr>
          <w:rFonts w:hint="default" w:ascii="Times New Roman" w:hAnsi="Times New Roman" w:cs="Times New Roman"/>
          <w:b/>
          <w:color w:val="auto"/>
          <w:sz w:val="18"/>
          <w:szCs w:val="18"/>
          <w:highlight w:val="none"/>
        </w:rPr>
        <w:t>其余标准中未做规定的指标质控要求依据测试结果数据范围按照“HJ/T166-2004”确定。</w:t>
      </w:r>
    </w:p>
    <w:p w14:paraId="49C5AD67">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地下水平行样质量控制</w:t>
      </w:r>
    </w:p>
    <w:p w14:paraId="136EB355">
      <w:pPr>
        <w:ind w:left="1" w:firstLine="480" w:firstLineChars="200"/>
        <w:rPr>
          <w:rFonts w:hint="default" w:ascii="Times New Roman" w:hAnsi="Times New Roman" w:cs="Times New Roman"/>
          <w:snapToGrid w:val="0"/>
          <w:color w:val="000000"/>
          <w:kern w:val="0"/>
          <w:highlight w:val="none"/>
        </w:rPr>
      </w:pPr>
      <w:r>
        <w:rPr>
          <w:rFonts w:hint="default" w:ascii="Times New Roman" w:hAnsi="Times New Roman" w:cs="Times New Roman"/>
          <w:snapToGrid w:val="0"/>
          <w:color w:val="000000"/>
          <w:kern w:val="0"/>
          <w:highlight w:val="none"/>
        </w:rPr>
        <w:t>样品现场采集过程中，五个工业园区（即</w:t>
      </w:r>
      <w:r>
        <w:rPr>
          <w:rFonts w:hint="default" w:ascii="Times New Roman" w:hAnsi="Times New Roman" w:eastAsia="宋体" w:cs="Times New Roman"/>
          <w:color w:val="auto"/>
          <w:sz w:val="24"/>
          <w:szCs w:val="24"/>
          <w:highlight w:val="none"/>
        </w:rPr>
        <w:t>华容创业园、三江港经济区、城东产业园（鄂城新区）、鄂州经济开发区、花湖开发区</w:t>
      </w:r>
      <w:r>
        <w:rPr>
          <w:rFonts w:hint="default" w:ascii="Times New Roman" w:hAnsi="Times New Roman" w:cs="Times New Roman"/>
          <w:snapToGrid w:val="0"/>
          <w:color w:val="000000"/>
          <w:kern w:val="0"/>
          <w:highlight w:val="none"/>
        </w:rPr>
        <w:t>）共10个地下水点位均于2020年10月28日同批次采集和送检。根据《地下水环境监测技术规范（HJT 164-2004）》要求，采集了1个地下水平行样。因此，本报告地下水平行样质量控制引用《鄂州市工业园区周边土壤质量调查评估报告（2020年）——鄂州经济开发区》中内容。</w:t>
      </w:r>
    </w:p>
    <w:p w14:paraId="0A0F3E82">
      <w:pPr>
        <w:ind w:left="1" w:firstLine="480" w:firstLineChars="200"/>
        <w:rPr>
          <w:rFonts w:hint="default" w:ascii="Times New Roman" w:hAnsi="Times New Roman" w:cs="Times New Roman"/>
          <w:color w:val="auto"/>
          <w:highlight w:val="none"/>
        </w:rPr>
      </w:pPr>
      <w:r>
        <w:rPr>
          <w:color w:val="000000"/>
          <w:highlight w:val="none"/>
        </w:rPr>
        <w:t>本次地下水</w:t>
      </w:r>
      <w:r>
        <w:rPr>
          <w:rFonts w:hint="eastAsia"/>
          <w:color w:val="000000"/>
          <w:highlight w:val="none"/>
          <w:lang w:eastAsia="zh-CN"/>
        </w:rPr>
        <w:t>样品</w:t>
      </w:r>
      <w:r>
        <w:rPr>
          <w:color w:val="000000"/>
          <w:highlight w:val="none"/>
        </w:rPr>
        <w:t>测试项目中未检出</w:t>
      </w:r>
      <w:r>
        <w:rPr>
          <w:rFonts w:hint="eastAsia"/>
          <w:color w:val="000000"/>
          <w:highlight w:val="none"/>
          <w:lang w:eastAsia="zh-CN"/>
        </w:rPr>
        <w:t>因子</w:t>
      </w:r>
      <w:r>
        <w:rPr>
          <w:color w:val="000000"/>
          <w:highlight w:val="none"/>
        </w:rPr>
        <w:t>包括：</w:t>
      </w:r>
      <w:r>
        <w:rPr>
          <w:rFonts w:hint="default" w:ascii="Times New Roman" w:hAnsi="Times New Roman" w:cs="Times New Roman"/>
          <w:color w:val="auto"/>
          <w:highlight w:val="none"/>
        </w:rPr>
        <w:t>铜、铝、锌、铬（总）、汞、砷、硒、铅、镉、铬（六价）、氰化物、挥发酚、硫化物、氯仿、四氯化碳、苯、甲苯，因此以上指标不进行相对偏差的分析。可检出指标的相对偏差在0%~5.88%，在允许范围内，具体质控结果见表4-5-</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w:t>
      </w:r>
    </w:p>
    <w:p w14:paraId="2A54B112">
      <w:pPr>
        <w:spacing w:line="240" w:lineRule="auto"/>
        <w:jc w:val="center"/>
        <w:rPr>
          <w:rFonts w:hint="default" w:ascii="Times New Roman" w:hAnsi="Times New Roman" w:cs="Times New Roman"/>
          <w:color w:val="auto"/>
          <w:highlight w:val="none"/>
        </w:rPr>
      </w:pPr>
      <w:r>
        <w:rPr>
          <w:rFonts w:hint="default" w:ascii="Times New Roman" w:hAnsi="Times New Roman" w:eastAsia="黑体" w:cs="Times New Roman"/>
          <w:b/>
          <w:bCs/>
          <w:color w:val="auto"/>
          <w:highlight w:val="none"/>
        </w:rPr>
        <w:t>表4-5-</w:t>
      </w:r>
      <w:r>
        <w:rPr>
          <w:rFonts w:hint="default" w:ascii="Times New Roman" w:hAnsi="Times New Roman" w:eastAsia="黑体" w:cs="Times New Roman"/>
          <w:b/>
          <w:bCs/>
          <w:color w:val="auto"/>
          <w:highlight w:val="none"/>
          <w:lang w:val="en-US" w:eastAsia="zh-CN"/>
        </w:rPr>
        <w:t>2</w:t>
      </w:r>
      <w:r>
        <w:rPr>
          <w:rFonts w:hint="default" w:ascii="Times New Roman" w:hAnsi="Times New Roman" w:eastAsia="黑体" w:cs="Times New Roman"/>
          <w:b/>
          <w:bCs/>
          <w:color w:val="auto"/>
          <w:highlight w:val="none"/>
        </w:rPr>
        <w:t xml:space="preserve"> 地下水平行盲样质控结果分析</w:t>
      </w:r>
    </w:p>
    <w:tbl>
      <w:tblPr>
        <w:tblStyle w:val="21"/>
        <w:tblW w:w="9612"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080"/>
        <w:gridCol w:w="2035"/>
        <w:gridCol w:w="1411"/>
        <w:gridCol w:w="1411"/>
        <w:gridCol w:w="1515"/>
        <w:gridCol w:w="1080"/>
        <w:gridCol w:w="1080"/>
      </w:tblGrid>
      <w:tr w14:paraId="7892B0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restart"/>
            <w:tcBorders>
              <w:bottom w:val="single" w:color="auto" w:sz="12" w:space="0"/>
            </w:tcBorders>
            <w:shd w:val="clear" w:color="auto" w:fill="auto"/>
            <w:noWrap/>
            <w:tcMar>
              <w:top w:w="15" w:type="dxa"/>
              <w:left w:w="15" w:type="dxa"/>
              <w:right w:w="15" w:type="dxa"/>
            </w:tcMar>
            <w:vAlign w:val="center"/>
          </w:tcPr>
          <w:p w14:paraId="6DC902BE">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样品类型</w:t>
            </w:r>
          </w:p>
        </w:tc>
        <w:tc>
          <w:tcPr>
            <w:tcW w:w="2035" w:type="dxa"/>
            <w:vMerge w:val="restart"/>
            <w:tcBorders>
              <w:bottom w:val="single" w:color="auto" w:sz="12" w:space="0"/>
            </w:tcBorders>
            <w:shd w:val="clear" w:color="auto" w:fill="auto"/>
            <w:noWrap/>
            <w:tcMar>
              <w:top w:w="15" w:type="dxa"/>
              <w:left w:w="15" w:type="dxa"/>
              <w:right w:w="15" w:type="dxa"/>
            </w:tcMar>
            <w:vAlign w:val="center"/>
          </w:tcPr>
          <w:p w14:paraId="1F76B920">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监测项目</w:t>
            </w:r>
          </w:p>
        </w:tc>
        <w:tc>
          <w:tcPr>
            <w:tcW w:w="2822" w:type="dxa"/>
            <w:gridSpan w:val="2"/>
            <w:tcBorders>
              <w:bottom w:val="single" w:color="auto" w:sz="4" w:space="0"/>
            </w:tcBorders>
            <w:shd w:val="clear" w:color="auto" w:fill="auto"/>
            <w:noWrap/>
            <w:tcMar>
              <w:top w:w="15" w:type="dxa"/>
              <w:left w:w="15" w:type="dxa"/>
              <w:right w:w="15" w:type="dxa"/>
            </w:tcMar>
            <w:vAlign w:val="center"/>
          </w:tcPr>
          <w:p w14:paraId="5E85CFF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b/>
                <w:bCs/>
                <w:color w:val="auto"/>
                <w:kern w:val="0"/>
                <w:sz w:val="21"/>
                <w:szCs w:val="21"/>
                <w:highlight w:val="none"/>
                <w:lang w:bidi="ar"/>
              </w:rPr>
              <w:t>监测结果</w:t>
            </w:r>
          </w:p>
        </w:tc>
        <w:tc>
          <w:tcPr>
            <w:tcW w:w="1515" w:type="dxa"/>
            <w:vMerge w:val="restart"/>
            <w:tcBorders>
              <w:bottom w:val="single" w:color="auto" w:sz="12" w:space="0"/>
            </w:tcBorders>
            <w:shd w:val="clear" w:color="auto" w:fill="auto"/>
            <w:noWrap/>
            <w:tcMar>
              <w:top w:w="15" w:type="dxa"/>
              <w:left w:w="15" w:type="dxa"/>
              <w:right w:w="15" w:type="dxa"/>
            </w:tcMar>
            <w:vAlign w:val="center"/>
          </w:tcPr>
          <w:p w14:paraId="070DB410">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相对偏差</w:t>
            </w:r>
          </w:p>
        </w:tc>
        <w:tc>
          <w:tcPr>
            <w:tcW w:w="1080" w:type="dxa"/>
            <w:vMerge w:val="restart"/>
            <w:tcBorders>
              <w:bottom w:val="single" w:color="auto" w:sz="12" w:space="0"/>
            </w:tcBorders>
            <w:shd w:val="clear" w:color="auto" w:fill="auto"/>
            <w:noWrap/>
            <w:tcMar>
              <w:top w:w="15" w:type="dxa"/>
              <w:left w:w="15" w:type="dxa"/>
              <w:right w:w="15" w:type="dxa"/>
            </w:tcMar>
            <w:vAlign w:val="center"/>
          </w:tcPr>
          <w:p w14:paraId="1ED96335">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质控要求</w:t>
            </w:r>
            <w:r>
              <w:rPr>
                <w:rFonts w:hint="default" w:ascii="Times New Roman" w:hAnsi="Times New Roman" w:cs="Times New Roman"/>
                <w:b/>
                <w:color w:val="auto"/>
                <w:kern w:val="0"/>
                <w:sz w:val="21"/>
                <w:szCs w:val="21"/>
                <w:highlight w:val="none"/>
                <w:vertAlign w:val="superscript"/>
                <w:lang w:bidi="ar"/>
              </w:rPr>
              <w:t>①</w:t>
            </w:r>
          </w:p>
        </w:tc>
        <w:tc>
          <w:tcPr>
            <w:tcW w:w="1080" w:type="dxa"/>
            <w:vMerge w:val="restart"/>
            <w:tcBorders>
              <w:bottom w:val="single" w:color="auto" w:sz="12" w:space="0"/>
            </w:tcBorders>
            <w:shd w:val="clear" w:color="auto" w:fill="auto"/>
            <w:noWrap/>
            <w:tcMar>
              <w:top w:w="15" w:type="dxa"/>
              <w:left w:w="15" w:type="dxa"/>
              <w:right w:w="15" w:type="dxa"/>
            </w:tcMar>
            <w:vAlign w:val="center"/>
          </w:tcPr>
          <w:p w14:paraId="7CC2F79F">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结果判定</w:t>
            </w:r>
          </w:p>
        </w:tc>
      </w:tr>
      <w:tr w14:paraId="73F3E1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op w:val="single" w:color="auto" w:sz="12" w:space="0"/>
              <w:bottom w:val="single" w:color="auto" w:sz="12" w:space="0"/>
              <w:tl2br w:val="nil"/>
              <w:tr2bl w:val="nil"/>
            </w:tcBorders>
            <w:shd w:val="clear" w:color="auto" w:fill="auto"/>
            <w:noWrap/>
            <w:tcMar>
              <w:top w:w="15" w:type="dxa"/>
              <w:left w:w="15" w:type="dxa"/>
              <w:right w:w="15" w:type="dxa"/>
            </w:tcMar>
            <w:vAlign w:val="center"/>
          </w:tcPr>
          <w:p w14:paraId="6AC3C2CB">
            <w:pPr>
              <w:spacing w:line="240" w:lineRule="auto"/>
              <w:jc w:val="center"/>
              <w:rPr>
                <w:rFonts w:hint="default" w:ascii="Times New Roman" w:hAnsi="Times New Roman" w:cs="Times New Roman"/>
                <w:b/>
                <w:color w:val="auto"/>
                <w:sz w:val="21"/>
                <w:szCs w:val="21"/>
                <w:highlight w:val="none"/>
              </w:rPr>
            </w:pPr>
          </w:p>
        </w:tc>
        <w:tc>
          <w:tcPr>
            <w:tcW w:w="2035" w:type="dxa"/>
            <w:vMerge w:val="continue"/>
            <w:tcBorders>
              <w:top w:val="single" w:color="auto" w:sz="12" w:space="0"/>
              <w:bottom w:val="single" w:color="auto" w:sz="12" w:space="0"/>
              <w:tl2br w:val="nil"/>
              <w:tr2bl w:val="nil"/>
            </w:tcBorders>
            <w:shd w:val="clear" w:color="auto" w:fill="auto"/>
            <w:noWrap/>
            <w:tcMar>
              <w:top w:w="15" w:type="dxa"/>
              <w:left w:w="15" w:type="dxa"/>
              <w:right w:w="15" w:type="dxa"/>
            </w:tcMar>
            <w:vAlign w:val="center"/>
          </w:tcPr>
          <w:p w14:paraId="77B97DC6">
            <w:pPr>
              <w:spacing w:line="240" w:lineRule="auto"/>
              <w:jc w:val="center"/>
              <w:rPr>
                <w:rFonts w:hint="default" w:ascii="Times New Roman" w:hAnsi="Times New Roman" w:cs="Times New Roman"/>
                <w:b/>
                <w:color w:val="auto"/>
                <w:sz w:val="21"/>
                <w:szCs w:val="21"/>
                <w:highlight w:val="none"/>
              </w:rPr>
            </w:pPr>
          </w:p>
        </w:tc>
        <w:tc>
          <w:tcPr>
            <w:tcW w:w="1411" w:type="dxa"/>
            <w:tcBorders>
              <w:top w:val="single" w:color="auto" w:sz="4" w:space="0"/>
              <w:bottom w:val="single" w:color="auto" w:sz="12" w:space="0"/>
            </w:tcBorders>
            <w:shd w:val="clear" w:color="auto" w:fill="auto"/>
            <w:noWrap/>
            <w:tcMar>
              <w:top w:w="15" w:type="dxa"/>
              <w:left w:w="15" w:type="dxa"/>
              <w:right w:w="15" w:type="dxa"/>
            </w:tcMar>
            <w:vAlign w:val="center"/>
          </w:tcPr>
          <w:p w14:paraId="36C9F341">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EJK-W2</w:t>
            </w:r>
          </w:p>
        </w:tc>
        <w:tc>
          <w:tcPr>
            <w:tcW w:w="1411" w:type="dxa"/>
            <w:tcBorders>
              <w:top w:val="single" w:color="auto" w:sz="4" w:space="0"/>
              <w:bottom w:val="single" w:color="auto" w:sz="12" w:space="0"/>
            </w:tcBorders>
            <w:shd w:val="clear" w:color="auto" w:fill="auto"/>
            <w:noWrap/>
            <w:tcMar>
              <w:top w:w="15" w:type="dxa"/>
              <w:left w:w="15" w:type="dxa"/>
              <w:right w:w="15" w:type="dxa"/>
            </w:tcMar>
            <w:vAlign w:val="center"/>
          </w:tcPr>
          <w:p w14:paraId="5164A4B8">
            <w:pPr>
              <w:widowControl/>
              <w:spacing w:line="240" w:lineRule="auto"/>
              <w:jc w:val="center"/>
              <w:textAlignment w:val="center"/>
              <w:rPr>
                <w:rFonts w:hint="default" w:ascii="Times New Roman" w:hAnsi="Times New Roman" w:eastAsia="宋体" w:cs="Times New Roman"/>
                <w:b/>
                <w:color w:val="auto"/>
                <w:kern w:val="0"/>
                <w:sz w:val="21"/>
                <w:szCs w:val="21"/>
                <w:highlight w:val="none"/>
                <w:lang w:val="en-US" w:eastAsia="zh-CN" w:bidi="ar"/>
              </w:rPr>
            </w:pPr>
            <w:r>
              <w:rPr>
                <w:rFonts w:hint="default" w:ascii="Times New Roman" w:hAnsi="Times New Roman" w:cs="Times New Roman"/>
                <w:b/>
                <w:color w:val="auto"/>
                <w:kern w:val="0"/>
                <w:sz w:val="21"/>
                <w:szCs w:val="21"/>
                <w:highlight w:val="none"/>
                <w:lang w:bidi="ar"/>
              </w:rPr>
              <w:t>EJK-W2</w:t>
            </w:r>
            <w:r>
              <w:rPr>
                <w:rFonts w:hint="default" w:ascii="Times New Roman" w:hAnsi="Times New Roman" w:cs="Times New Roman"/>
                <w:b/>
                <w:color w:val="auto"/>
                <w:kern w:val="0"/>
                <w:sz w:val="21"/>
                <w:szCs w:val="21"/>
                <w:highlight w:val="none"/>
                <w:lang w:val="en-US" w:eastAsia="zh-CN" w:bidi="ar"/>
              </w:rPr>
              <w:t>-px</w:t>
            </w:r>
          </w:p>
        </w:tc>
        <w:tc>
          <w:tcPr>
            <w:tcW w:w="1515" w:type="dxa"/>
            <w:vMerge w:val="continue"/>
            <w:tcBorders>
              <w:top w:val="single" w:color="auto" w:sz="12" w:space="0"/>
              <w:bottom w:val="single" w:color="auto" w:sz="12" w:space="0"/>
              <w:tl2br w:val="nil"/>
              <w:tr2bl w:val="nil"/>
            </w:tcBorders>
            <w:shd w:val="clear" w:color="auto" w:fill="auto"/>
            <w:noWrap/>
            <w:tcMar>
              <w:top w:w="15" w:type="dxa"/>
              <w:left w:w="15" w:type="dxa"/>
              <w:right w:w="15" w:type="dxa"/>
            </w:tcMar>
            <w:vAlign w:val="center"/>
          </w:tcPr>
          <w:p w14:paraId="34D94E72">
            <w:pPr>
              <w:spacing w:line="240" w:lineRule="auto"/>
              <w:jc w:val="center"/>
              <w:rPr>
                <w:rFonts w:hint="default" w:ascii="Times New Roman" w:hAnsi="Times New Roman" w:cs="Times New Roman"/>
                <w:b/>
                <w:color w:val="auto"/>
                <w:sz w:val="21"/>
                <w:szCs w:val="21"/>
                <w:highlight w:val="none"/>
              </w:rPr>
            </w:pPr>
          </w:p>
        </w:tc>
        <w:tc>
          <w:tcPr>
            <w:tcW w:w="1080" w:type="dxa"/>
            <w:vMerge w:val="continue"/>
            <w:tcBorders>
              <w:top w:val="single" w:color="auto" w:sz="12" w:space="0"/>
              <w:bottom w:val="single" w:color="auto" w:sz="12" w:space="0"/>
              <w:tl2br w:val="nil"/>
              <w:tr2bl w:val="nil"/>
            </w:tcBorders>
            <w:shd w:val="clear" w:color="auto" w:fill="auto"/>
            <w:noWrap/>
            <w:tcMar>
              <w:top w:w="15" w:type="dxa"/>
              <w:left w:w="15" w:type="dxa"/>
              <w:right w:w="15" w:type="dxa"/>
            </w:tcMar>
            <w:vAlign w:val="center"/>
          </w:tcPr>
          <w:p w14:paraId="1B412FC7">
            <w:pPr>
              <w:spacing w:line="240" w:lineRule="auto"/>
              <w:jc w:val="center"/>
              <w:rPr>
                <w:rFonts w:hint="default" w:ascii="Times New Roman" w:hAnsi="Times New Roman" w:cs="Times New Roman"/>
                <w:b/>
                <w:color w:val="auto"/>
                <w:sz w:val="21"/>
                <w:szCs w:val="21"/>
                <w:highlight w:val="none"/>
              </w:rPr>
            </w:pPr>
          </w:p>
        </w:tc>
        <w:tc>
          <w:tcPr>
            <w:tcW w:w="1080" w:type="dxa"/>
            <w:vMerge w:val="continue"/>
            <w:tcBorders>
              <w:top w:val="single" w:color="auto" w:sz="12" w:space="0"/>
              <w:bottom w:val="single" w:color="auto" w:sz="12" w:space="0"/>
              <w:tl2br w:val="nil"/>
              <w:tr2bl w:val="nil"/>
            </w:tcBorders>
            <w:shd w:val="clear" w:color="auto" w:fill="auto"/>
            <w:noWrap/>
            <w:tcMar>
              <w:top w:w="15" w:type="dxa"/>
              <w:left w:w="15" w:type="dxa"/>
              <w:right w:w="15" w:type="dxa"/>
            </w:tcMar>
            <w:vAlign w:val="center"/>
          </w:tcPr>
          <w:p w14:paraId="7D45C911">
            <w:pPr>
              <w:spacing w:line="240" w:lineRule="auto"/>
              <w:jc w:val="center"/>
              <w:rPr>
                <w:rFonts w:hint="default" w:ascii="Times New Roman" w:hAnsi="Times New Roman" w:cs="Times New Roman"/>
                <w:b/>
                <w:color w:val="auto"/>
                <w:sz w:val="21"/>
                <w:szCs w:val="21"/>
                <w:highlight w:val="none"/>
              </w:rPr>
            </w:pPr>
          </w:p>
        </w:tc>
      </w:tr>
      <w:tr w14:paraId="25757E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restart"/>
            <w:tcBorders>
              <w:top w:val="single" w:color="auto" w:sz="12" w:space="0"/>
            </w:tcBorders>
            <w:shd w:val="clear" w:color="auto" w:fill="auto"/>
            <w:noWrap/>
            <w:tcMar>
              <w:top w:w="15" w:type="dxa"/>
              <w:left w:w="15" w:type="dxa"/>
              <w:right w:w="15" w:type="dxa"/>
            </w:tcMar>
            <w:vAlign w:val="center"/>
          </w:tcPr>
          <w:p w14:paraId="74CC0EB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地下水</w:t>
            </w:r>
          </w:p>
        </w:tc>
        <w:tc>
          <w:tcPr>
            <w:tcW w:w="2035" w:type="dxa"/>
            <w:tcBorders>
              <w:top w:val="single" w:color="auto" w:sz="12" w:space="0"/>
            </w:tcBorders>
            <w:shd w:val="clear" w:color="auto" w:fill="auto"/>
            <w:noWrap/>
            <w:tcMar>
              <w:top w:w="15" w:type="dxa"/>
              <w:left w:w="15" w:type="dxa"/>
              <w:right w:w="15" w:type="dxa"/>
            </w:tcMar>
            <w:vAlign w:val="center"/>
          </w:tcPr>
          <w:p w14:paraId="5E2184B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总硬度</w:t>
            </w:r>
          </w:p>
        </w:tc>
        <w:tc>
          <w:tcPr>
            <w:tcW w:w="1411" w:type="dxa"/>
            <w:tcBorders>
              <w:top w:val="single" w:color="auto" w:sz="12" w:space="0"/>
            </w:tcBorders>
            <w:shd w:val="clear" w:color="auto" w:fill="auto"/>
            <w:noWrap/>
            <w:tcMar>
              <w:top w:w="15" w:type="dxa"/>
              <w:left w:w="15" w:type="dxa"/>
              <w:right w:w="15" w:type="dxa"/>
            </w:tcMar>
            <w:vAlign w:val="center"/>
          </w:tcPr>
          <w:p w14:paraId="377A694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671</w:t>
            </w:r>
          </w:p>
        </w:tc>
        <w:tc>
          <w:tcPr>
            <w:tcW w:w="1411" w:type="dxa"/>
            <w:tcBorders>
              <w:top w:val="single" w:color="auto" w:sz="12" w:space="0"/>
            </w:tcBorders>
            <w:shd w:val="clear" w:color="auto" w:fill="auto"/>
            <w:noWrap/>
            <w:tcMar>
              <w:top w:w="15" w:type="dxa"/>
              <w:left w:w="15" w:type="dxa"/>
              <w:right w:w="15" w:type="dxa"/>
            </w:tcMar>
            <w:vAlign w:val="center"/>
          </w:tcPr>
          <w:p w14:paraId="31E212E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676</w:t>
            </w:r>
          </w:p>
        </w:tc>
        <w:tc>
          <w:tcPr>
            <w:tcW w:w="1515" w:type="dxa"/>
            <w:tcBorders>
              <w:top w:val="single" w:color="auto" w:sz="12" w:space="0"/>
            </w:tcBorders>
            <w:shd w:val="clear" w:color="auto" w:fill="auto"/>
            <w:noWrap/>
            <w:tcMar>
              <w:top w:w="15" w:type="dxa"/>
              <w:left w:w="15" w:type="dxa"/>
              <w:right w:w="15" w:type="dxa"/>
            </w:tcMar>
            <w:vAlign w:val="center"/>
          </w:tcPr>
          <w:p w14:paraId="05DB630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0.37%</w:t>
            </w:r>
          </w:p>
        </w:tc>
        <w:tc>
          <w:tcPr>
            <w:tcW w:w="1080" w:type="dxa"/>
            <w:tcBorders>
              <w:top w:val="single" w:color="auto" w:sz="12" w:space="0"/>
            </w:tcBorders>
            <w:shd w:val="clear" w:color="auto" w:fill="auto"/>
            <w:noWrap/>
            <w:tcMar>
              <w:top w:w="15" w:type="dxa"/>
              <w:left w:w="15" w:type="dxa"/>
              <w:right w:w="15" w:type="dxa"/>
            </w:tcMar>
            <w:vAlign w:val="center"/>
          </w:tcPr>
          <w:p w14:paraId="2435911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1080" w:type="dxa"/>
            <w:tcBorders>
              <w:top w:val="single" w:color="auto" w:sz="12" w:space="0"/>
            </w:tcBorders>
            <w:shd w:val="clear" w:color="auto" w:fill="auto"/>
            <w:noWrap/>
            <w:tcMar>
              <w:top w:w="15" w:type="dxa"/>
              <w:left w:w="15" w:type="dxa"/>
              <w:right w:w="15" w:type="dxa"/>
            </w:tcMar>
            <w:vAlign w:val="center"/>
          </w:tcPr>
          <w:p w14:paraId="25ED9D1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合格</w:t>
            </w:r>
          </w:p>
        </w:tc>
      </w:tr>
      <w:tr w14:paraId="753BB3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6FC7135C">
            <w:pPr>
              <w:spacing w:line="240" w:lineRule="auto"/>
              <w:jc w:val="center"/>
              <w:rPr>
                <w:rFonts w:hint="default" w:ascii="Times New Roman" w:hAnsi="Times New Roman" w:cs="Times New Roman"/>
                <w:color w:val="auto"/>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02FC0D1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溶解性总固体</w:t>
            </w:r>
          </w:p>
        </w:tc>
        <w:tc>
          <w:tcPr>
            <w:tcW w:w="1411" w:type="dxa"/>
            <w:tcBorders>
              <w:tl2br w:val="nil"/>
              <w:tr2bl w:val="nil"/>
            </w:tcBorders>
            <w:shd w:val="clear" w:color="auto" w:fill="auto"/>
            <w:noWrap/>
            <w:tcMar>
              <w:top w:w="15" w:type="dxa"/>
              <w:left w:w="15" w:type="dxa"/>
              <w:right w:w="15" w:type="dxa"/>
            </w:tcMar>
            <w:vAlign w:val="center"/>
          </w:tcPr>
          <w:p w14:paraId="2757862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908</w:t>
            </w:r>
          </w:p>
        </w:tc>
        <w:tc>
          <w:tcPr>
            <w:tcW w:w="1411" w:type="dxa"/>
            <w:tcBorders>
              <w:tl2br w:val="nil"/>
              <w:tr2bl w:val="nil"/>
            </w:tcBorders>
            <w:shd w:val="clear" w:color="auto" w:fill="auto"/>
            <w:noWrap/>
            <w:tcMar>
              <w:top w:w="15" w:type="dxa"/>
              <w:left w:w="15" w:type="dxa"/>
              <w:right w:w="15" w:type="dxa"/>
            </w:tcMar>
            <w:vAlign w:val="center"/>
          </w:tcPr>
          <w:p w14:paraId="65125FB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903</w:t>
            </w:r>
          </w:p>
        </w:tc>
        <w:tc>
          <w:tcPr>
            <w:tcW w:w="1515" w:type="dxa"/>
            <w:tcBorders>
              <w:tl2br w:val="nil"/>
              <w:tr2bl w:val="nil"/>
            </w:tcBorders>
            <w:shd w:val="clear" w:color="auto" w:fill="auto"/>
            <w:noWrap/>
            <w:tcMar>
              <w:top w:w="15" w:type="dxa"/>
              <w:left w:w="15" w:type="dxa"/>
              <w:right w:w="15" w:type="dxa"/>
            </w:tcMar>
            <w:vAlign w:val="center"/>
          </w:tcPr>
          <w:p w14:paraId="43E0C7F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0.28%</w:t>
            </w:r>
          </w:p>
        </w:tc>
        <w:tc>
          <w:tcPr>
            <w:tcW w:w="1080" w:type="dxa"/>
            <w:tcBorders>
              <w:tl2br w:val="nil"/>
              <w:tr2bl w:val="nil"/>
            </w:tcBorders>
            <w:shd w:val="clear" w:color="auto" w:fill="auto"/>
            <w:noWrap/>
            <w:tcMar>
              <w:top w:w="15" w:type="dxa"/>
              <w:left w:w="15" w:type="dxa"/>
              <w:right w:w="15" w:type="dxa"/>
            </w:tcMar>
            <w:vAlign w:val="center"/>
          </w:tcPr>
          <w:p w14:paraId="09F8428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1080" w:type="dxa"/>
            <w:tcBorders>
              <w:tl2br w:val="nil"/>
              <w:tr2bl w:val="nil"/>
            </w:tcBorders>
            <w:shd w:val="clear" w:color="auto" w:fill="auto"/>
            <w:noWrap/>
            <w:tcMar>
              <w:top w:w="15" w:type="dxa"/>
              <w:left w:w="15" w:type="dxa"/>
              <w:right w:w="15" w:type="dxa"/>
            </w:tcMar>
            <w:vAlign w:val="center"/>
          </w:tcPr>
          <w:p w14:paraId="1EE26BD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合格</w:t>
            </w:r>
          </w:p>
        </w:tc>
      </w:tr>
      <w:tr w14:paraId="1053E8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0D0838D5">
            <w:pPr>
              <w:spacing w:line="240" w:lineRule="auto"/>
              <w:jc w:val="center"/>
              <w:rPr>
                <w:rFonts w:hint="default" w:ascii="Times New Roman" w:hAnsi="Times New Roman" w:cs="Times New Roman"/>
                <w:color w:val="auto"/>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51A8867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耗氧量</w:t>
            </w:r>
          </w:p>
        </w:tc>
        <w:tc>
          <w:tcPr>
            <w:tcW w:w="1411" w:type="dxa"/>
            <w:tcBorders>
              <w:tl2br w:val="nil"/>
              <w:tr2bl w:val="nil"/>
            </w:tcBorders>
            <w:shd w:val="clear" w:color="auto" w:fill="auto"/>
            <w:noWrap/>
            <w:tcMar>
              <w:top w:w="15" w:type="dxa"/>
              <w:left w:w="15" w:type="dxa"/>
              <w:right w:w="15" w:type="dxa"/>
            </w:tcMar>
            <w:vAlign w:val="center"/>
          </w:tcPr>
          <w:p w14:paraId="5444072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4.62</w:t>
            </w:r>
          </w:p>
        </w:tc>
        <w:tc>
          <w:tcPr>
            <w:tcW w:w="1411" w:type="dxa"/>
            <w:tcBorders>
              <w:tl2br w:val="nil"/>
              <w:tr2bl w:val="nil"/>
            </w:tcBorders>
            <w:shd w:val="clear" w:color="auto" w:fill="auto"/>
            <w:noWrap/>
            <w:tcMar>
              <w:top w:w="15" w:type="dxa"/>
              <w:left w:w="15" w:type="dxa"/>
              <w:right w:w="15" w:type="dxa"/>
            </w:tcMar>
            <w:vAlign w:val="center"/>
          </w:tcPr>
          <w:p w14:paraId="0FE3948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4.7</w:t>
            </w:r>
          </w:p>
        </w:tc>
        <w:tc>
          <w:tcPr>
            <w:tcW w:w="1515" w:type="dxa"/>
            <w:tcBorders>
              <w:tl2br w:val="nil"/>
              <w:tr2bl w:val="nil"/>
            </w:tcBorders>
            <w:shd w:val="clear" w:color="auto" w:fill="auto"/>
            <w:noWrap/>
            <w:tcMar>
              <w:top w:w="15" w:type="dxa"/>
              <w:left w:w="15" w:type="dxa"/>
              <w:right w:w="15" w:type="dxa"/>
            </w:tcMar>
            <w:vAlign w:val="center"/>
          </w:tcPr>
          <w:p w14:paraId="2AC7FBB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0.86%</w:t>
            </w:r>
          </w:p>
        </w:tc>
        <w:tc>
          <w:tcPr>
            <w:tcW w:w="1080" w:type="dxa"/>
            <w:tcBorders>
              <w:tl2br w:val="nil"/>
              <w:tr2bl w:val="nil"/>
            </w:tcBorders>
            <w:shd w:val="clear" w:color="auto" w:fill="auto"/>
            <w:noWrap/>
            <w:tcMar>
              <w:top w:w="15" w:type="dxa"/>
              <w:left w:w="15" w:type="dxa"/>
              <w:right w:w="15" w:type="dxa"/>
            </w:tcMar>
            <w:vAlign w:val="center"/>
          </w:tcPr>
          <w:p w14:paraId="6089BF8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1080" w:type="dxa"/>
            <w:tcBorders>
              <w:tl2br w:val="nil"/>
              <w:tr2bl w:val="nil"/>
            </w:tcBorders>
            <w:shd w:val="clear" w:color="auto" w:fill="auto"/>
            <w:noWrap/>
            <w:tcMar>
              <w:top w:w="15" w:type="dxa"/>
              <w:left w:w="15" w:type="dxa"/>
              <w:right w:w="15" w:type="dxa"/>
            </w:tcMar>
            <w:vAlign w:val="center"/>
          </w:tcPr>
          <w:p w14:paraId="111A07A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合格</w:t>
            </w:r>
          </w:p>
        </w:tc>
      </w:tr>
      <w:tr w14:paraId="0A7C13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35DFA038">
            <w:pPr>
              <w:spacing w:line="240" w:lineRule="auto"/>
              <w:jc w:val="center"/>
              <w:rPr>
                <w:rFonts w:hint="default" w:ascii="Times New Roman" w:hAnsi="Times New Roman" w:cs="Times New Roman"/>
                <w:color w:val="auto"/>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4B2E020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硫酸盐</w:t>
            </w:r>
          </w:p>
        </w:tc>
        <w:tc>
          <w:tcPr>
            <w:tcW w:w="1411" w:type="dxa"/>
            <w:tcBorders>
              <w:tl2br w:val="nil"/>
              <w:tr2bl w:val="nil"/>
            </w:tcBorders>
            <w:shd w:val="clear" w:color="auto" w:fill="auto"/>
            <w:noWrap/>
            <w:tcMar>
              <w:top w:w="15" w:type="dxa"/>
              <w:left w:w="15" w:type="dxa"/>
              <w:right w:w="15" w:type="dxa"/>
            </w:tcMar>
            <w:vAlign w:val="center"/>
          </w:tcPr>
          <w:p w14:paraId="4ED9C51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1.22</w:t>
            </w:r>
          </w:p>
        </w:tc>
        <w:tc>
          <w:tcPr>
            <w:tcW w:w="1411" w:type="dxa"/>
            <w:tcBorders>
              <w:tl2br w:val="nil"/>
              <w:tr2bl w:val="nil"/>
            </w:tcBorders>
            <w:shd w:val="clear" w:color="auto" w:fill="auto"/>
            <w:noWrap/>
            <w:tcMar>
              <w:top w:w="15" w:type="dxa"/>
              <w:left w:w="15" w:type="dxa"/>
              <w:right w:w="15" w:type="dxa"/>
            </w:tcMar>
            <w:vAlign w:val="center"/>
          </w:tcPr>
          <w:p w14:paraId="2C05B52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1.22</w:t>
            </w:r>
          </w:p>
        </w:tc>
        <w:tc>
          <w:tcPr>
            <w:tcW w:w="1515" w:type="dxa"/>
            <w:tcBorders>
              <w:tl2br w:val="nil"/>
              <w:tr2bl w:val="nil"/>
            </w:tcBorders>
            <w:shd w:val="clear" w:color="auto" w:fill="auto"/>
            <w:noWrap/>
            <w:tcMar>
              <w:top w:w="15" w:type="dxa"/>
              <w:left w:w="15" w:type="dxa"/>
              <w:right w:w="15" w:type="dxa"/>
            </w:tcMar>
            <w:vAlign w:val="center"/>
          </w:tcPr>
          <w:p w14:paraId="40DF08E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w:t>
            </w:r>
          </w:p>
        </w:tc>
        <w:tc>
          <w:tcPr>
            <w:tcW w:w="1080" w:type="dxa"/>
            <w:tcBorders>
              <w:tl2br w:val="nil"/>
              <w:tr2bl w:val="nil"/>
            </w:tcBorders>
            <w:shd w:val="clear" w:color="auto" w:fill="auto"/>
            <w:noWrap/>
            <w:tcMar>
              <w:top w:w="15" w:type="dxa"/>
              <w:left w:w="15" w:type="dxa"/>
              <w:right w:w="15" w:type="dxa"/>
            </w:tcMar>
            <w:vAlign w:val="center"/>
          </w:tcPr>
          <w:p w14:paraId="53ABF18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1080" w:type="dxa"/>
            <w:tcBorders>
              <w:tl2br w:val="nil"/>
              <w:tr2bl w:val="nil"/>
            </w:tcBorders>
            <w:shd w:val="clear" w:color="auto" w:fill="auto"/>
            <w:noWrap/>
            <w:tcMar>
              <w:top w:w="15" w:type="dxa"/>
              <w:left w:w="15" w:type="dxa"/>
              <w:right w:w="15" w:type="dxa"/>
            </w:tcMar>
            <w:vAlign w:val="center"/>
          </w:tcPr>
          <w:p w14:paraId="66F7555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合格</w:t>
            </w:r>
          </w:p>
        </w:tc>
      </w:tr>
      <w:tr w14:paraId="2618AD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343F3B8A">
            <w:pPr>
              <w:spacing w:line="240" w:lineRule="auto"/>
              <w:jc w:val="center"/>
              <w:rPr>
                <w:rFonts w:hint="default" w:ascii="Times New Roman" w:hAnsi="Times New Roman" w:cs="Times New Roman"/>
                <w:color w:val="auto"/>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34395ED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硝酸盐(以氮计)</w:t>
            </w:r>
          </w:p>
        </w:tc>
        <w:tc>
          <w:tcPr>
            <w:tcW w:w="1411" w:type="dxa"/>
            <w:tcBorders>
              <w:tl2br w:val="nil"/>
              <w:tr2bl w:val="nil"/>
            </w:tcBorders>
            <w:shd w:val="clear" w:color="auto" w:fill="auto"/>
            <w:noWrap/>
            <w:tcMar>
              <w:top w:w="15" w:type="dxa"/>
              <w:left w:w="15" w:type="dxa"/>
              <w:right w:w="15" w:type="dxa"/>
            </w:tcMar>
            <w:vAlign w:val="center"/>
          </w:tcPr>
          <w:p w14:paraId="0DD75EC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0.78</w:t>
            </w:r>
          </w:p>
        </w:tc>
        <w:tc>
          <w:tcPr>
            <w:tcW w:w="1411" w:type="dxa"/>
            <w:tcBorders>
              <w:tl2br w:val="nil"/>
              <w:tr2bl w:val="nil"/>
            </w:tcBorders>
            <w:shd w:val="clear" w:color="auto" w:fill="auto"/>
            <w:noWrap/>
            <w:tcMar>
              <w:top w:w="15" w:type="dxa"/>
              <w:left w:w="15" w:type="dxa"/>
              <w:right w:w="15" w:type="dxa"/>
            </w:tcMar>
            <w:vAlign w:val="center"/>
          </w:tcPr>
          <w:p w14:paraId="045D69B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0.813</w:t>
            </w:r>
          </w:p>
        </w:tc>
        <w:tc>
          <w:tcPr>
            <w:tcW w:w="1515" w:type="dxa"/>
            <w:tcBorders>
              <w:tl2br w:val="nil"/>
              <w:tr2bl w:val="nil"/>
            </w:tcBorders>
            <w:shd w:val="clear" w:color="auto" w:fill="auto"/>
            <w:noWrap/>
            <w:tcMar>
              <w:top w:w="15" w:type="dxa"/>
              <w:left w:w="15" w:type="dxa"/>
              <w:right w:w="15" w:type="dxa"/>
            </w:tcMar>
            <w:vAlign w:val="center"/>
          </w:tcPr>
          <w:p w14:paraId="2AED6BE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2.07%</w:t>
            </w:r>
          </w:p>
        </w:tc>
        <w:tc>
          <w:tcPr>
            <w:tcW w:w="1080" w:type="dxa"/>
            <w:tcBorders>
              <w:tl2br w:val="nil"/>
              <w:tr2bl w:val="nil"/>
            </w:tcBorders>
            <w:shd w:val="clear" w:color="auto" w:fill="auto"/>
            <w:noWrap/>
            <w:tcMar>
              <w:top w:w="15" w:type="dxa"/>
              <w:left w:w="15" w:type="dxa"/>
              <w:right w:w="15" w:type="dxa"/>
            </w:tcMar>
            <w:vAlign w:val="center"/>
          </w:tcPr>
          <w:p w14:paraId="37AF0BB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1080" w:type="dxa"/>
            <w:tcBorders>
              <w:tl2br w:val="nil"/>
              <w:tr2bl w:val="nil"/>
            </w:tcBorders>
            <w:shd w:val="clear" w:color="auto" w:fill="auto"/>
            <w:noWrap/>
            <w:tcMar>
              <w:top w:w="15" w:type="dxa"/>
              <w:left w:w="15" w:type="dxa"/>
              <w:right w:w="15" w:type="dxa"/>
            </w:tcMar>
            <w:vAlign w:val="center"/>
          </w:tcPr>
          <w:p w14:paraId="00AD781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合格</w:t>
            </w:r>
          </w:p>
        </w:tc>
      </w:tr>
      <w:tr w14:paraId="4374D1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26FA3A6D">
            <w:pPr>
              <w:spacing w:line="240" w:lineRule="auto"/>
              <w:jc w:val="center"/>
              <w:rPr>
                <w:rFonts w:hint="default" w:ascii="Times New Roman" w:hAnsi="Times New Roman" w:cs="Times New Roman"/>
                <w:color w:val="auto"/>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6D0DFFF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氯化物</w:t>
            </w:r>
          </w:p>
        </w:tc>
        <w:tc>
          <w:tcPr>
            <w:tcW w:w="1411" w:type="dxa"/>
            <w:tcBorders>
              <w:tl2br w:val="nil"/>
              <w:tr2bl w:val="nil"/>
            </w:tcBorders>
            <w:shd w:val="clear" w:color="auto" w:fill="auto"/>
            <w:noWrap/>
            <w:tcMar>
              <w:top w:w="15" w:type="dxa"/>
              <w:left w:w="15" w:type="dxa"/>
              <w:right w:w="15" w:type="dxa"/>
            </w:tcMar>
            <w:vAlign w:val="center"/>
          </w:tcPr>
          <w:p w14:paraId="5C18D41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13.2</w:t>
            </w:r>
          </w:p>
        </w:tc>
        <w:tc>
          <w:tcPr>
            <w:tcW w:w="1411" w:type="dxa"/>
            <w:tcBorders>
              <w:tl2br w:val="nil"/>
              <w:tr2bl w:val="nil"/>
            </w:tcBorders>
            <w:shd w:val="clear" w:color="auto" w:fill="auto"/>
            <w:noWrap/>
            <w:tcMar>
              <w:top w:w="15" w:type="dxa"/>
              <w:left w:w="15" w:type="dxa"/>
              <w:right w:w="15" w:type="dxa"/>
            </w:tcMar>
            <w:vAlign w:val="center"/>
          </w:tcPr>
          <w:p w14:paraId="6FB9410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13.3</w:t>
            </w:r>
          </w:p>
        </w:tc>
        <w:tc>
          <w:tcPr>
            <w:tcW w:w="1515" w:type="dxa"/>
            <w:tcBorders>
              <w:tl2br w:val="nil"/>
              <w:tr2bl w:val="nil"/>
            </w:tcBorders>
            <w:shd w:val="clear" w:color="auto" w:fill="auto"/>
            <w:noWrap/>
            <w:tcMar>
              <w:top w:w="15" w:type="dxa"/>
              <w:left w:w="15" w:type="dxa"/>
              <w:right w:w="15" w:type="dxa"/>
            </w:tcMar>
            <w:vAlign w:val="center"/>
          </w:tcPr>
          <w:p w14:paraId="6727D77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0.38%</w:t>
            </w:r>
          </w:p>
        </w:tc>
        <w:tc>
          <w:tcPr>
            <w:tcW w:w="1080" w:type="dxa"/>
            <w:tcBorders>
              <w:tl2br w:val="nil"/>
              <w:tr2bl w:val="nil"/>
            </w:tcBorders>
            <w:shd w:val="clear" w:color="auto" w:fill="auto"/>
            <w:noWrap/>
            <w:tcMar>
              <w:top w:w="15" w:type="dxa"/>
              <w:left w:w="15" w:type="dxa"/>
              <w:right w:w="15" w:type="dxa"/>
            </w:tcMar>
            <w:vAlign w:val="center"/>
          </w:tcPr>
          <w:p w14:paraId="1E1982E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1080" w:type="dxa"/>
            <w:tcBorders>
              <w:tl2br w:val="nil"/>
              <w:tr2bl w:val="nil"/>
            </w:tcBorders>
            <w:shd w:val="clear" w:color="auto" w:fill="auto"/>
            <w:noWrap/>
            <w:tcMar>
              <w:top w:w="15" w:type="dxa"/>
              <w:left w:w="15" w:type="dxa"/>
              <w:right w:w="15" w:type="dxa"/>
            </w:tcMar>
            <w:vAlign w:val="center"/>
          </w:tcPr>
          <w:p w14:paraId="3B7F946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合格</w:t>
            </w:r>
          </w:p>
        </w:tc>
      </w:tr>
      <w:tr w14:paraId="0E332C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69A8926A">
            <w:pPr>
              <w:spacing w:line="240" w:lineRule="auto"/>
              <w:jc w:val="center"/>
              <w:rPr>
                <w:rFonts w:hint="default" w:ascii="Times New Roman" w:hAnsi="Times New Roman" w:cs="Times New Roman"/>
                <w:color w:val="auto"/>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65C75ED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总氟化物</w:t>
            </w:r>
          </w:p>
        </w:tc>
        <w:tc>
          <w:tcPr>
            <w:tcW w:w="1411" w:type="dxa"/>
            <w:tcBorders>
              <w:tl2br w:val="nil"/>
              <w:tr2bl w:val="nil"/>
            </w:tcBorders>
            <w:shd w:val="clear" w:color="auto" w:fill="auto"/>
            <w:noWrap/>
            <w:tcMar>
              <w:top w:w="15" w:type="dxa"/>
              <w:left w:w="15" w:type="dxa"/>
              <w:right w:w="15" w:type="dxa"/>
            </w:tcMar>
            <w:vAlign w:val="center"/>
          </w:tcPr>
          <w:p w14:paraId="4CAC91B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0.166</w:t>
            </w:r>
          </w:p>
        </w:tc>
        <w:tc>
          <w:tcPr>
            <w:tcW w:w="1411" w:type="dxa"/>
            <w:tcBorders>
              <w:tl2br w:val="nil"/>
              <w:tr2bl w:val="nil"/>
            </w:tcBorders>
            <w:shd w:val="clear" w:color="auto" w:fill="auto"/>
            <w:noWrap/>
            <w:tcMar>
              <w:top w:w="15" w:type="dxa"/>
              <w:left w:w="15" w:type="dxa"/>
              <w:right w:w="15" w:type="dxa"/>
            </w:tcMar>
            <w:vAlign w:val="center"/>
          </w:tcPr>
          <w:p w14:paraId="0F707C3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0.168</w:t>
            </w:r>
          </w:p>
        </w:tc>
        <w:tc>
          <w:tcPr>
            <w:tcW w:w="1515" w:type="dxa"/>
            <w:tcBorders>
              <w:tl2br w:val="nil"/>
              <w:tr2bl w:val="nil"/>
            </w:tcBorders>
            <w:shd w:val="clear" w:color="auto" w:fill="auto"/>
            <w:noWrap/>
            <w:tcMar>
              <w:top w:w="15" w:type="dxa"/>
              <w:left w:w="15" w:type="dxa"/>
              <w:right w:w="15" w:type="dxa"/>
            </w:tcMar>
            <w:vAlign w:val="center"/>
          </w:tcPr>
          <w:p w14:paraId="21DD4BF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0.60%</w:t>
            </w:r>
          </w:p>
        </w:tc>
        <w:tc>
          <w:tcPr>
            <w:tcW w:w="1080" w:type="dxa"/>
            <w:tcBorders>
              <w:tl2br w:val="nil"/>
              <w:tr2bl w:val="nil"/>
            </w:tcBorders>
            <w:shd w:val="clear" w:color="auto" w:fill="auto"/>
            <w:noWrap/>
            <w:tcMar>
              <w:top w:w="15" w:type="dxa"/>
              <w:left w:w="15" w:type="dxa"/>
              <w:right w:w="15" w:type="dxa"/>
            </w:tcMar>
            <w:vAlign w:val="center"/>
          </w:tcPr>
          <w:p w14:paraId="5B90FF2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1080" w:type="dxa"/>
            <w:tcBorders>
              <w:tl2br w:val="nil"/>
              <w:tr2bl w:val="nil"/>
            </w:tcBorders>
            <w:shd w:val="clear" w:color="auto" w:fill="auto"/>
            <w:noWrap/>
            <w:tcMar>
              <w:top w:w="15" w:type="dxa"/>
              <w:left w:w="15" w:type="dxa"/>
              <w:right w:w="15" w:type="dxa"/>
            </w:tcMar>
            <w:vAlign w:val="center"/>
          </w:tcPr>
          <w:p w14:paraId="1C4E5B5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合格</w:t>
            </w:r>
          </w:p>
        </w:tc>
      </w:tr>
      <w:tr w14:paraId="670203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4A34D8F5">
            <w:pPr>
              <w:spacing w:line="240" w:lineRule="auto"/>
              <w:jc w:val="center"/>
              <w:rPr>
                <w:rFonts w:hint="default" w:ascii="Times New Roman" w:hAnsi="Times New Roman" w:cs="Times New Roman"/>
                <w:color w:val="auto"/>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040CC81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阴离子表面活性剂</w:t>
            </w:r>
          </w:p>
        </w:tc>
        <w:tc>
          <w:tcPr>
            <w:tcW w:w="1411" w:type="dxa"/>
            <w:tcBorders>
              <w:tl2br w:val="nil"/>
              <w:tr2bl w:val="nil"/>
            </w:tcBorders>
            <w:shd w:val="clear" w:color="auto" w:fill="auto"/>
            <w:noWrap/>
            <w:tcMar>
              <w:top w:w="15" w:type="dxa"/>
              <w:left w:w="15" w:type="dxa"/>
              <w:right w:w="15" w:type="dxa"/>
            </w:tcMar>
            <w:vAlign w:val="center"/>
          </w:tcPr>
          <w:p w14:paraId="3D0241E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0.056</w:t>
            </w:r>
          </w:p>
        </w:tc>
        <w:tc>
          <w:tcPr>
            <w:tcW w:w="1411" w:type="dxa"/>
            <w:tcBorders>
              <w:tl2br w:val="nil"/>
              <w:tr2bl w:val="nil"/>
            </w:tcBorders>
            <w:shd w:val="clear" w:color="auto" w:fill="auto"/>
            <w:noWrap/>
            <w:tcMar>
              <w:top w:w="15" w:type="dxa"/>
              <w:left w:w="15" w:type="dxa"/>
              <w:right w:w="15" w:type="dxa"/>
            </w:tcMar>
            <w:vAlign w:val="center"/>
          </w:tcPr>
          <w:p w14:paraId="134C434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0.058</w:t>
            </w:r>
          </w:p>
        </w:tc>
        <w:tc>
          <w:tcPr>
            <w:tcW w:w="1515" w:type="dxa"/>
            <w:tcBorders>
              <w:tl2br w:val="nil"/>
              <w:tr2bl w:val="nil"/>
            </w:tcBorders>
            <w:shd w:val="clear" w:color="auto" w:fill="auto"/>
            <w:noWrap/>
            <w:tcMar>
              <w:top w:w="15" w:type="dxa"/>
              <w:left w:w="15" w:type="dxa"/>
              <w:right w:w="15" w:type="dxa"/>
            </w:tcMar>
            <w:vAlign w:val="center"/>
          </w:tcPr>
          <w:p w14:paraId="1CA016D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1.75%</w:t>
            </w:r>
          </w:p>
        </w:tc>
        <w:tc>
          <w:tcPr>
            <w:tcW w:w="1080" w:type="dxa"/>
            <w:tcBorders>
              <w:tl2br w:val="nil"/>
              <w:tr2bl w:val="nil"/>
            </w:tcBorders>
            <w:shd w:val="clear" w:color="auto" w:fill="auto"/>
            <w:noWrap/>
            <w:tcMar>
              <w:top w:w="15" w:type="dxa"/>
              <w:left w:w="15" w:type="dxa"/>
              <w:right w:w="15" w:type="dxa"/>
            </w:tcMar>
            <w:vAlign w:val="center"/>
          </w:tcPr>
          <w:p w14:paraId="2CF9442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56308D1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合格</w:t>
            </w:r>
          </w:p>
        </w:tc>
      </w:tr>
      <w:tr w14:paraId="760971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57E52CD3">
            <w:pPr>
              <w:spacing w:line="240" w:lineRule="auto"/>
              <w:jc w:val="center"/>
              <w:rPr>
                <w:rFonts w:hint="default" w:ascii="Times New Roman" w:hAnsi="Times New Roman" w:cs="Times New Roman"/>
                <w:color w:val="auto"/>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2A40AF4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氨氮</w:t>
            </w:r>
          </w:p>
        </w:tc>
        <w:tc>
          <w:tcPr>
            <w:tcW w:w="1411" w:type="dxa"/>
            <w:tcBorders>
              <w:tl2br w:val="nil"/>
              <w:tr2bl w:val="nil"/>
            </w:tcBorders>
            <w:shd w:val="clear" w:color="auto" w:fill="auto"/>
            <w:noWrap/>
            <w:tcMar>
              <w:top w:w="15" w:type="dxa"/>
              <w:left w:w="15" w:type="dxa"/>
              <w:right w:w="15" w:type="dxa"/>
            </w:tcMar>
            <w:vAlign w:val="center"/>
          </w:tcPr>
          <w:p w14:paraId="4D68F15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0.08</w:t>
            </w:r>
          </w:p>
        </w:tc>
        <w:tc>
          <w:tcPr>
            <w:tcW w:w="1411" w:type="dxa"/>
            <w:tcBorders>
              <w:tl2br w:val="nil"/>
              <w:tr2bl w:val="nil"/>
            </w:tcBorders>
            <w:shd w:val="clear" w:color="auto" w:fill="auto"/>
            <w:noWrap/>
            <w:tcMar>
              <w:top w:w="15" w:type="dxa"/>
              <w:left w:w="15" w:type="dxa"/>
              <w:right w:w="15" w:type="dxa"/>
            </w:tcMar>
            <w:vAlign w:val="center"/>
          </w:tcPr>
          <w:p w14:paraId="0F08DDF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0.09</w:t>
            </w:r>
          </w:p>
        </w:tc>
        <w:tc>
          <w:tcPr>
            <w:tcW w:w="1515" w:type="dxa"/>
            <w:tcBorders>
              <w:tl2br w:val="nil"/>
              <w:tr2bl w:val="nil"/>
            </w:tcBorders>
            <w:shd w:val="clear" w:color="auto" w:fill="auto"/>
            <w:noWrap/>
            <w:tcMar>
              <w:top w:w="15" w:type="dxa"/>
              <w:left w:w="15" w:type="dxa"/>
              <w:right w:w="15" w:type="dxa"/>
            </w:tcMar>
            <w:vAlign w:val="center"/>
          </w:tcPr>
          <w:p w14:paraId="43C9284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5.88%</w:t>
            </w:r>
          </w:p>
        </w:tc>
        <w:tc>
          <w:tcPr>
            <w:tcW w:w="1080" w:type="dxa"/>
            <w:tcBorders>
              <w:tl2br w:val="nil"/>
              <w:tr2bl w:val="nil"/>
            </w:tcBorders>
            <w:shd w:val="clear" w:color="auto" w:fill="auto"/>
            <w:noWrap/>
            <w:tcMar>
              <w:top w:w="15" w:type="dxa"/>
              <w:left w:w="15" w:type="dxa"/>
              <w:right w:w="15" w:type="dxa"/>
            </w:tcMar>
            <w:vAlign w:val="center"/>
          </w:tcPr>
          <w:p w14:paraId="717500B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23D2ABC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合格</w:t>
            </w:r>
          </w:p>
        </w:tc>
      </w:tr>
      <w:tr w14:paraId="55614C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576926A1">
            <w:pPr>
              <w:spacing w:line="240" w:lineRule="auto"/>
              <w:jc w:val="center"/>
              <w:rPr>
                <w:rFonts w:hint="default" w:ascii="Times New Roman" w:hAnsi="Times New Roman" w:cs="Times New Roman"/>
                <w:color w:val="auto"/>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4F4D616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亚硝酸盐氮</w:t>
            </w:r>
          </w:p>
        </w:tc>
        <w:tc>
          <w:tcPr>
            <w:tcW w:w="1411" w:type="dxa"/>
            <w:tcBorders>
              <w:tl2br w:val="nil"/>
              <w:tr2bl w:val="nil"/>
            </w:tcBorders>
            <w:shd w:val="clear" w:color="auto" w:fill="auto"/>
            <w:noWrap/>
            <w:tcMar>
              <w:top w:w="15" w:type="dxa"/>
              <w:left w:w="15" w:type="dxa"/>
              <w:right w:w="15" w:type="dxa"/>
            </w:tcMar>
            <w:vAlign w:val="center"/>
          </w:tcPr>
          <w:p w14:paraId="3D2D9B5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0.001</w:t>
            </w:r>
          </w:p>
        </w:tc>
        <w:tc>
          <w:tcPr>
            <w:tcW w:w="1411" w:type="dxa"/>
            <w:tcBorders>
              <w:tl2br w:val="nil"/>
              <w:tr2bl w:val="nil"/>
            </w:tcBorders>
            <w:shd w:val="clear" w:color="auto" w:fill="auto"/>
            <w:noWrap/>
            <w:tcMar>
              <w:top w:w="15" w:type="dxa"/>
              <w:left w:w="15" w:type="dxa"/>
              <w:right w:w="15" w:type="dxa"/>
            </w:tcMar>
            <w:vAlign w:val="center"/>
          </w:tcPr>
          <w:p w14:paraId="0473566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0.001</w:t>
            </w:r>
          </w:p>
        </w:tc>
        <w:tc>
          <w:tcPr>
            <w:tcW w:w="1515" w:type="dxa"/>
            <w:tcBorders>
              <w:tl2br w:val="nil"/>
              <w:tr2bl w:val="nil"/>
            </w:tcBorders>
            <w:shd w:val="clear" w:color="auto" w:fill="auto"/>
            <w:noWrap/>
            <w:tcMar>
              <w:top w:w="15" w:type="dxa"/>
              <w:left w:w="15" w:type="dxa"/>
              <w:right w:w="15" w:type="dxa"/>
            </w:tcMar>
            <w:vAlign w:val="center"/>
          </w:tcPr>
          <w:p w14:paraId="3A9D657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w:t>
            </w:r>
          </w:p>
        </w:tc>
        <w:tc>
          <w:tcPr>
            <w:tcW w:w="1080" w:type="dxa"/>
            <w:tcBorders>
              <w:tl2br w:val="nil"/>
              <w:tr2bl w:val="nil"/>
            </w:tcBorders>
            <w:shd w:val="clear" w:color="auto" w:fill="auto"/>
            <w:noWrap/>
            <w:tcMar>
              <w:top w:w="15" w:type="dxa"/>
              <w:left w:w="15" w:type="dxa"/>
              <w:right w:w="15" w:type="dxa"/>
            </w:tcMar>
            <w:vAlign w:val="center"/>
          </w:tcPr>
          <w:p w14:paraId="1C6AB62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493A438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合格</w:t>
            </w:r>
          </w:p>
        </w:tc>
      </w:tr>
      <w:tr w14:paraId="7F46D4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13B05F60">
            <w:pPr>
              <w:spacing w:line="240" w:lineRule="auto"/>
              <w:jc w:val="center"/>
              <w:rPr>
                <w:rFonts w:hint="default" w:ascii="Times New Roman" w:hAnsi="Times New Roman" w:cs="Times New Roman"/>
                <w:color w:val="auto"/>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6060858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铁</w:t>
            </w:r>
          </w:p>
        </w:tc>
        <w:tc>
          <w:tcPr>
            <w:tcW w:w="1411" w:type="dxa"/>
            <w:tcBorders>
              <w:tl2br w:val="nil"/>
              <w:tr2bl w:val="nil"/>
            </w:tcBorders>
            <w:shd w:val="clear" w:color="auto" w:fill="auto"/>
            <w:noWrap/>
            <w:tcMar>
              <w:top w:w="15" w:type="dxa"/>
              <w:left w:w="15" w:type="dxa"/>
              <w:right w:w="15" w:type="dxa"/>
            </w:tcMar>
            <w:vAlign w:val="center"/>
          </w:tcPr>
          <w:p w14:paraId="0ACB961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0.061</w:t>
            </w:r>
          </w:p>
        </w:tc>
        <w:tc>
          <w:tcPr>
            <w:tcW w:w="1411" w:type="dxa"/>
            <w:tcBorders>
              <w:tl2br w:val="nil"/>
              <w:tr2bl w:val="nil"/>
            </w:tcBorders>
            <w:shd w:val="clear" w:color="auto" w:fill="auto"/>
            <w:noWrap/>
            <w:tcMar>
              <w:top w:w="15" w:type="dxa"/>
              <w:left w:w="15" w:type="dxa"/>
              <w:right w:w="15" w:type="dxa"/>
            </w:tcMar>
            <w:vAlign w:val="center"/>
          </w:tcPr>
          <w:p w14:paraId="6CA204F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0.06</w:t>
            </w:r>
          </w:p>
        </w:tc>
        <w:tc>
          <w:tcPr>
            <w:tcW w:w="1515" w:type="dxa"/>
            <w:tcBorders>
              <w:tl2br w:val="nil"/>
              <w:tr2bl w:val="nil"/>
            </w:tcBorders>
            <w:shd w:val="clear" w:color="auto" w:fill="auto"/>
            <w:noWrap/>
            <w:tcMar>
              <w:top w:w="15" w:type="dxa"/>
              <w:left w:w="15" w:type="dxa"/>
              <w:right w:w="15" w:type="dxa"/>
            </w:tcMar>
            <w:vAlign w:val="center"/>
          </w:tcPr>
          <w:p w14:paraId="31FC4F7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0.83%</w:t>
            </w:r>
          </w:p>
        </w:tc>
        <w:tc>
          <w:tcPr>
            <w:tcW w:w="1080" w:type="dxa"/>
            <w:tcBorders>
              <w:tl2br w:val="nil"/>
              <w:tr2bl w:val="nil"/>
            </w:tcBorders>
            <w:shd w:val="clear" w:color="auto" w:fill="auto"/>
            <w:noWrap/>
            <w:tcMar>
              <w:top w:w="15" w:type="dxa"/>
              <w:left w:w="15" w:type="dxa"/>
              <w:right w:w="15" w:type="dxa"/>
            </w:tcMar>
            <w:vAlign w:val="center"/>
          </w:tcPr>
          <w:p w14:paraId="0C233A5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≤15%</w:t>
            </w:r>
          </w:p>
        </w:tc>
        <w:tc>
          <w:tcPr>
            <w:tcW w:w="1080" w:type="dxa"/>
            <w:tcBorders>
              <w:tl2br w:val="nil"/>
              <w:tr2bl w:val="nil"/>
            </w:tcBorders>
            <w:shd w:val="clear" w:color="auto" w:fill="auto"/>
            <w:noWrap/>
            <w:tcMar>
              <w:top w:w="15" w:type="dxa"/>
              <w:left w:w="15" w:type="dxa"/>
              <w:right w:w="15" w:type="dxa"/>
            </w:tcMar>
            <w:vAlign w:val="center"/>
          </w:tcPr>
          <w:p w14:paraId="33B38E0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合格</w:t>
            </w:r>
          </w:p>
        </w:tc>
      </w:tr>
      <w:tr w14:paraId="1661EA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7D11D354">
            <w:pPr>
              <w:spacing w:line="240" w:lineRule="auto"/>
              <w:jc w:val="center"/>
              <w:rPr>
                <w:rFonts w:hint="default" w:ascii="Times New Roman" w:hAnsi="Times New Roman" w:cs="Times New Roman"/>
                <w:color w:val="auto"/>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33C4873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锰</w:t>
            </w:r>
          </w:p>
        </w:tc>
        <w:tc>
          <w:tcPr>
            <w:tcW w:w="1411" w:type="dxa"/>
            <w:tcBorders>
              <w:tl2br w:val="nil"/>
              <w:tr2bl w:val="nil"/>
            </w:tcBorders>
            <w:shd w:val="clear" w:color="auto" w:fill="auto"/>
            <w:noWrap/>
            <w:tcMar>
              <w:top w:w="15" w:type="dxa"/>
              <w:left w:w="15" w:type="dxa"/>
              <w:right w:w="15" w:type="dxa"/>
            </w:tcMar>
            <w:vAlign w:val="center"/>
          </w:tcPr>
          <w:p w14:paraId="59B344A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1.84</w:t>
            </w:r>
          </w:p>
        </w:tc>
        <w:tc>
          <w:tcPr>
            <w:tcW w:w="1411" w:type="dxa"/>
            <w:tcBorders>
              <w:tl2br w:val="nil"/>
              <w:tr2bl w:val="nil"/>
            </w:tcBorders>
            <w:shd w:val="clear" w:color="auto" w:fill="auto"/>
            <w:noWrap/>
            <w:tcMar>
              <w:top w:w="15" w:type="dxa"/>
              <w:left w:w="15" w:type="dxa"/>
              <w:right w:w="15" w:type="dxa"/>
            </w:tcMar>
            <w:vAlign w:val="center"/>
          </w:tcPr>
          <w:p w14:paraId="0F3AC4B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1.85</w:t>
            </w:r>
          </w:p>
        </w:tc>
        <w:tc>
          <w:tcPr>
            <w:tcW w:w="1515" w:type="dxa"/>
            <w:tcBorders>
              <w:tl2br w:val="nil"/>
              <w:tr2bl w:val="nil"/>
            </w:tcBorders>
            <w:shd w:val="clear" w:color="auto" w:fill="auto"/>
            <w:noWrap/>
            <w:tcMar>
              <w:top w:w="15" w:type="dxa"/>
              <w:left w:w="15" w:type="dxa"/>
              <w:right w:w="15" w:type="dxa"/>
            </w:tcMar>
            <w:vAlign w:val="center"/>
          </w:tcPr>
          <w:p w14:paraId="1863285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0.27%</w:t>
            </w:r>
          </w:p>
        </w:tc>
        <w:tc>
          <w:tcPr>
            <w:tcW w:w="1080" w:type="dxa"/>
            <w:tcBorders>
              <w:tl2br w:val="nil"/>
              <w:tr2bl w:val="nil"/>
            </w:tcBorders>
            <w:shd w:val="clear" w:color="auto" w:fill="auto"/>
            <w:noWrap/>
            <w:tcMar>
              <w:top w:w="15" w:type="dxa"/>
              <w:left w:w="15" w:type="dxa"/>
              <w:right w:w="15" w:type="dxa"/>
            </w:tcMar>
            <w:vAlign w:val="center"/>
          </w:tcPr>
          <w:p w14:paraId="434CF2B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1080" w:type="dxa"/>
            <w:tcBorders>
              <w:tl2br w:val="nil"/>
              <w:tr2bl w:val="nil"/>
            </w:tcBorders>
            <w:shd w:val="clear" w:color="auto" w:fill="auto"/>
            <w:noWrap/>
            <w:tcMar>
              <w:top w:w="15" w:type="dxa"/>
              <w:left w:w="15" w:type="dxa"/>
              <w:right w:w="15" w:type="dxa"/>
            </w:tcMar>
            <w:vAlign w:val="center"/>
          </w:tcPr>
          <w:p w14:paraId="788EDF9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合格</w:t>
            </w:r>
          </w:p>
        </w:tc>
      </w:tr>
      <w:tr w14:paraId="48EF04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28325C41">
            <w:pPr>
              <w:spacing w:line="240" w:lineRule="auto"/>
              <w:jc w:val="center"/>
              <w:rPr>
                <w:rFonts w:hint="default" w:ascii="Times New Roman" w:hAnsi="Times New Roman" w:cs="Times New Roman"/>
                <w:color w:val="auto"/>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08D56E1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钠</w:t>
            </w:r>
          </w:p>
        </w:tc>
        <w:tc>
          <w:tcPr>
            <w:tcW w:w="1411" w:type="dxa"/>
            <w:tcBorders>
              <w:tl2br w:val="nil"/>
              <w:tr2bl w:val="nil"/>
            </w:tcBorders>
            <w:shd w:val="clear" w:color="auto" w:fill="auto"/>
            <w:noWrap/>
            <w:tcMar>
              <w:top w:w="15" w:type="dxa"/>
              <w:left w:w="15" w:type="dxa"/>
              <w:right w:w="15" w:type="dxa"/>
            </w:tcMar>
            <w:vAlign w:val="center"/>
          </w:tcPr>
          <w:p w14:paraId="6782387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49.4</w:t>
            </w:r>
          </w:p>
        </w:tc>
        <w:tc>
          <w:tcPr>
            <w:tcW w:w="1411" w:type="dxa"/>
            <w:tcBorders>
              <w:tl2br w:val="nil"/>
              <w:tr2bl w:val="nil"/>
            </w:tcBorders>
            <w:shd w:val="clear" w:color="auto" w:fill="auto"/>
            <w:noWrap/>
            <w:tcMar>
              <w:top w:w="15" w:type="dxa"/>
              <w:left w:w="15" w:type="dxa"/>
              <w:right w:w="15" w:type="dxa"/>
            </w:tcMar>
            <w:vAlign w:val="center"/>
          </w:tcPr>
          <w:p w14:paraId="56E180D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49.1</w:t>
            </w:r>
          </w:p>
        </w:tc>
        <w:tc>
          <w:tcPr>
            <w:tcW w:w="1515" w:type="dxa"/>
            <w:tcBorders>
              <w:tl2br w:val="nil"/>
              <w:tr2bl w:val="nil"/>
            </w:tcBorders>
            <w:shd w:val="clear" w:color="auto" w:fill="auto"/>
            <w:noWrap/>
            <w:tcMar>
              <w:top w:w="15" w:type="dxa"/>
              <w:left w:w="15" w:type="dxa"/>
              <w:right w:w="15" w:type="dxa"/>
            </w:tcMar>
            <w:vAlign w:val="center"/>
          </w:tcPr>
          <w:p w14:paraId="32AECF6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0.30%</w:t>
            </w:r>
          </w:p>
        </w:tc>
        <w:tc>
          <w:tcPr>
            <w:tcW w:w="1080" w:type="dxa"/>
            <w:tcBorders>
              <w:tl2br w:val="nil"/>
              <w:tr2bl w:val="nil"/>
            </w:tcBorders>
            <w:shd w:val="clear" w:color="auto" w:fill="auto"/>
            <w:noWrap/>
            <w:tcMar>
              <w:top w:w="15" w:type="dxa"/>
              <w:left w:w="15" w:type="dxa"/>
              <w:right w:w="15" w:type="dxa"/>
            </w:tcMar>
            <w:vAlign w:val="center"/>
          </w:tcPr>
          <w:p w14:paraId="67005B3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1080" w:type="dxa"/>
            <w:tcBorders>
              <w:tl2br w:val="nil"/>
              <w:tr2bl w:val="nil"/>
            </w:tcBorders>
            <w:shd w:val="clear" w:color="auto" w:fill="auto"/>
            <w:noWrap/>
            <w:tcMar>
              <w:top w:w="15" w:type="dxa"/>
              <w:left w:w="15" w:type="dxa"/>
              <w:right w:w="15" w:type="dxa"/>
            </w:tcMar>
            <w:vAlign w:val="center"/>
          </w:tcPr>
          <w:p w14:paraId="3AA690E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合格</w:t>
            </w:r>
          </w:p>
        </w:tc>
      </w:tr>
      <w:tr w14:paraId="1B5D00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2F3B2712">
            <w:pPr>
              <w:spacing w:line="240" w:lineRule="auto"/>
              <w:jc w:val="center"/>
              <w:rPr>
                <w:rFonts w:hint="default" w:ascii="Times New Roman" w:hAnsi="Times New Roman" w:cs="Times New Roman"/>
                <w:color w:val="auto"/>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4AF65D1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砷</w:t>
            </w:r>
          </w:p>
        </w:tc>
        <w:tc>
          <w:tcPr>
            <w:tcW w:w="1411" w:type="dxa"/>
            <w:tcBorders>
              <w:tl2br w:val="nil"/>
              <w:tr2bl w:val="nil"/>
            </w:tcBorders>
            <w:shd w:val="clear" w:color="auto" w:fill="auto"/>
            <w:noWrap/>
            <w:tcMar>
              <w:top w:w="15" w:type="dxa"/>
              <w:left w:w="15" w:type="dxa"/>
              <w:right w:w="15" w:type="dxa"/>
            </w:tcMar>
            <w:vAlign w:val="center"/>
          </w:tcPr>
          <w:p w14:paraId="18716C5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0.0232</w:t>
            </w:r>
          </w:p>
        </w:tc>
        <w:tc>
          <w:tcPr>
            <w:tcW w:w="1411" w:type="dxa"/>
            <w:tcBorders>
              <w:tl2br w:val="nil"/>
              <w:tr2bl w:val="nil"/>
            </w:tcBorders>
            <w:shd w:val="clear" w:color="auto" w:fill="auto"/>
            <w:noWrap/>
            <w:tcMar>
              <w:top w:w="15" w:type="dxa"/>
              <w:left w:w="15" w:type="dxa"/>
              <w:right w:w="15" w:type="dxa"/>
            </w:tcMar>
            <w:vAlign w:val="center"/>
          </w:tcPr>
          <w:p w14:paraId="6B3B202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0.0242</w:t>
            </w:r>
          </w:p>
        </w:tc>
        <w:tc>
          <w:tcPr>
            <w:tcW w:w="1515" w:type="dxa"/>
            <w:tcBorders>
              <w:tl2br w:val="nil"/>
              <w:tr2bl w:val="nil"/>
            </w:tcBorders>
            <w:shd w:val="clear" w:color="auto" w:fill="auto"/>
            <w:noWrap/>
            <w:tcMar>
              <w:top w:w="15" w:type="dxa"/>
              <w:left w:w="15" w:type="dxa"/>
              <w:right w:w="15" w:type="dxa"/>
            </w:tcMar>
            <w:vAlign w:val="center"/>
          </w:tcPr>
          <w:p w14:paraId="4415A88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2.11%</w:t>
            </w:r>
          </w:p>
        </w:tc>
        <w:tc>
          <w:tcPr>
            <w:tcW w:w="1080" w:type="dxa"/>
            <w:tcBorders>
              <w:tl2br w:val="nil"/>
              <w:tr2bl w:val="nil"/>
            </w:tcBorders>
            <w:shd w:val="clear" w:color="auto" w:fill="auto"/>
            <w:noWrap/>
            <w:tcMar>
              <w:top w:w="15" w:type="dxa"/>
              <w:left w:w="15" w:type="dxa"/>
              <w:right w:w="15" w:type="dxa"/>
            </w:tcMar>
            <w:vAlign w:val="center"/>
          </w:tcPr>
          <w:p w14:paraId="5237423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1ACCB9A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合格</w:t>
            </w:r>
          </w:p>
        </w:tc>
      </w:tr>
      <w:tr w14:paraId="0B8A24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trPr>
        <w:tc>
          <w:tcPr>
            <w:tcW w:w="1080" w:type="dxa"/>
            <w:vMerge w:val="continue"/>
            <w:tcBorders>
              <w:tl2br w:val="nil"/>
              <w:tr2bl w:val="nil"/>
            </w:tcBorders>
            <w:shd w:val="clear" w:color="auto" w:fill="auto"/>
            <w:noWrap/>
            <w:tcMar>
              <w:top w:w="15" w:type="dxa"/>
              <w:left w:w="15" w:type="dxa"/>
              <w:right w:w="15" w:type="dxa"/>
            </w:tcMar>
            <w:vAlign w:val="center"/>
          </w:tcPr>
          <w:p w14:paraId="7E679509">
            <w:pPr>
              <w:spacing w:line="240" w:lineRule="auto"/>
              <w:jc w:val="center"/>
              <w:rPr>
                <w:rFonts w:hint="default" w:ascii="Times New Roman" w:hAnsi="Times New Roman" w:cs="Times New Roman"/>
                <w:color w:val="auto"/>
                <w:sz w:val="21"/>
                <w:szCs w:val="21"/>
                <w:highlight w:val="none"/>
              </w:rPr>
            </w:pPr>
          </w:p>
        </w:tc>
        <w:tc>
          <w:tcPr>
            <w:tcW w:w="2035" w:type="dxa"/>
            <w:tcBorders>
              <w:tl2br w:val="nil"/>
              <w:tr2bl w:val="nil"/>
            </w:tcBorders>
            <w:shd w:val="clear" w:color="auto" w:fill="auto"/>
            <w:noWrap/>
            <w:tcMar>
              <w:top w:w="15" w:type="dxa"/>
              <w:left w:w="15" w:type="dxa"/>
              <w:right w:w="15" w:type="dxa"/>
            </w:tcMar>
            <w:vAlign w:val="center"/>
          </w:tcPr>
          <w:p w14:paraId="238DD95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石油类</w:t>
            </w:r>
          </w:p>
        </w:tc>
        <w:tc>
          <w:tcPr>
            <w:tcW w:w="1411" w:type="dxa"/>
            <w:tcBorders>
              <w:tl2br w:val="nil"/>
              <w:tr2bl w:val="nil"/>
            </w:tcBorders>
            <w:shd w:val="clear" w:color="auto" w:fill="auto"/>
            <w:noWrap/>
            <w:tcMar>
              <w:top w:w="15" w:type="dxa"/>
              <w:left w:w="15" w:type="dxa"/>
              <w:right w:w="15" w:type="dxa"/>
            </w:tcMar>
            <w:vAlign w:val="center"/>
          </w:tcPr>
          <w:p w14:paraId="4A60AD0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0.03</w:t>
            </w:r>
          </w:p>
        </w:tc>
        <w:tc>
          <w:tcPr>
            <w:tcW w:w="1411" w:type="dxa"/>
            <w:tcBorders>
              <w:tl2br w:val="nil"/>
              <w:tr2bl w:val="nil"/>
            </w:tcBorders>
            <w:shd w:val="clear" w:color="auto" w:fill="auto"/>
            <w:noWrap/>
            <w:tcMar>
              <w:top w:w="15" w:type="dxa"/>
              <w:left w:w="15" w:type="dxa"/>
              <w:right w:w="15" w:type="dxa"/>
            </w:tcMar>
            <w:vAlign w:val="center"/>
          </w:tcPr>
          <w:p w14:paraId="3A58168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0.03</w:t>
            </w:r>
          </w:p>
        </w:tc>
        <w:tc>
          <w:tcPr>
            <w:tcW w:w="1515" w:type="dxa"/>
            <w:tcBorders>
              <w:tl2br w:val="nil"/>
              <w:tr2bl w:val="nil"/>
            </w:tcBorders>
            <w:shd w:val="clear" w:color="auto" w:fill="auto"/>
            <w:noWrap/>
            <w:tcMar>
              <w:top w:w="15" w:type="dxa"/>
              <w:left w:w="15" w:type="dxa"/>
              <w:right w:w="15" w:type="dxa"/>
            </w:tcMar>
            <w:vAlign w:val="center"/>
          </w:tcPr>
          <w:p w14:paraId="7961256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0.00%</w:t>
            </w:r>
          </w:p>
        </w:tc>
        <w:tc>
          <w:tcPr>
            <w:tcW w:w="1080" w:type="dxa"/>
            <w:tcBorders>
              <w:tl2br w:val="nil"/>
              <w:tr2bl w:val="nil"/>
            </w:tcBorders>
            <w:shd w:val="clear" w:color="auto" w:fill="auto"/>
            <w:noWrap/>
            <w:tcMar>
              <w:top w:w="15" w:type="dxa"/>
              <w:left w:w="15" w:type="dxa"/>
              <w:right w:w="15" w:type="dxa"/>
            </w:tcMar>
            <w:vAlign w:val="center"/>
          </w:tcPr>
          <w:p w14:paraId="794722F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w:t>
            </w:r>
          </w:p>
        </w:tc>
        <w:tc>
          <w:tcPr>
            <w:tcW w:w="1080" w:type="dxa"/>
            <w:tcBorders>
              <w:tl2br w:val="nil"/>
              <w:tr2bl w:val="nil"/>
            </w:tcBorders>
            <w:shd w:val="clear" w:color="auto" w:fill="auto"/>
            <w:noWrap/>
            <w:tcMar>
              <w:top w:w="15" w:type="dxa"/>
              <w:left w:w="15" w:type="dxa"/>
              <w:right w:w="15" w:type="dxa"/>
            </w:tcMar>
            <w:vAlign w:val="center"/>
          </w:tcPr>
          <w:p w14:paraId="3FB9A5B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合格</w:t>
            </w:r>
          </w:p>
        </w:tc>
      </w:tr>
    </w:tbl>
    <w:p w14:paraId="09E7F1BA">
      <w:pP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注：①地下水监测项目的质控要求来源为实验室监测报告中给出的质控要求，较该指标分析测试方法规定的质控要求更严。</w:t>
      </w:r>
    </w:p>
    <w:p w14:paraId="5937D8BB">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样品的保存和运输</w:t>
      </w:r>
    </w:p>
    <w:p w14:paraId="5D657718">
      <w:pPr>
        <w:ind w:firstLine="480" w:firstLineChars="200"/>
        <w:rPr>
          <w:rFonts w:hint="default" w:ascii="Times New Roman" w:hAnsi="Times New Roman" w:cs="Times New Roman"/>
          <w:snapToGrid w:val="0"/>
          <w:color w:val="auto"/>
          <w:kern w:val="0"/>
          <w:highlight w:val="none"/>
        </w:rPr>
      </w:pPr>
      <w:r>
        <w:rPr>
          <w:rFonts w:hint="default" w:ascii="Times New Roman" w:hAnsi="Times New Roman" w:cs="Times New Roman"/>
          <w:snapToGrid w:val="0"/>
          <w:color w:val="auto"/>
          <w:kern w:val="0"/>
          <w:highlight w:val="none"/>
        </w:rPr>
        <w:t>在土壤样品标签上注明样品编号、采样日期等信息。在样品制备完成后低温保存，并及时送至实验室分析。</w:t>
      </w:r>
    </w:p>
    <w:p w14:paraId="48B58D5B">
      <w:pPr>
        <w:ind w:firstLine="480" w:firstLineChars="200"/>
        <w:rPr>
          <w:rFonts w:hint="default" w:ascii="Times New Roman" w:hAnsi="Times New Roman" w:cs="Times New Roman"/>
          <w:snapToGrid w:val="0"/>
          <w:color w:val="auto"/>
          <w:kern w:val="0"/>
          <w:highlight w:val="none"/>
        </w:rPr>
      </w:pPr>
      <w:r>
        <w:rPr>
          <w:rFonts w:hint="default" w:ascii="Times New Roman" w:hAnsi="Times New Roman" w:cs="Times New Roman"/>
          <w:snapToGrid w:val="0"/>
          <w:color w:val="auto"/>
          <w:kern w:val="0"/>
          <w:highlight w:val="none"/>
        </w:rPr>
        <w:t>样品发货前重复核对采样记录表、样品标签等信息。样品送到实验室后，双方人员同时清点核实样品，并在样品流转单上签字确认。</w:t>
      </w:r>
    </w:p>
    <w:p w14:paraId="360019A8">
      <w:pPr>
        <w:pStyle w:val="4"/>
        <w:rPr>
          <w:rFonts w:hint="default" w:ascii="Times New Roman" w:hAnsi="Times New Roman" w:cs="Times New Roman"/>
          <w:color w:val="auto"/>
          <w:highlight w:val="none"/>
        </w:rPr>
      </w:pPr>
      <w:bookmarkStart w:id="33" w:name="_Toc12124"/>
      <w:r>
        <w:rPr>
          <w:rFonts w:hint="default" w:ascii="Times New Roman" w:hAnsi="Times New Roman" w:cs="Times New Roman"/>
          <w:color w:val="auto"/>
          <w:highlight w:val="none"/>
        </w:rPr>
        <w:t>实验室质量控制</w:t>
      </w:r>
      <w:bookmarkEnd w:id="33"/>
    </w:p>
    <w:p w14:paraId="37CA96AB">
      <w:pPr>
        <w:ind w:firstLine="480" w:firstLineChars="200"/>
        <w:rPr>
          <w:rFonts w:hint="default" w:ascii="Times New Roman" w:hAnsi="Times New Roman" w:cs="Times New Roman"/>
          <w:snapToGrid w:val="0"/>
          <w:color w:val="auto"/>
          <w:kern w:val="0"/>
          <w:highlight w:val="none"/>
        </w:rPr>
      </w:pPr>
      <w:r>
        <w:rPr>
          <w:rFonts w:hint="default" w:ascii="Times New Roman" w:hAnsi="Times New Roman" w:cs="Times New Roman"/>
          <w:snapToGrid w:val="0"/>
          <w:color w:val="auto"/>
          <w:kern w:val="0"/>
          <w:highlight w:val="none"/>
        </w:rPr>
        <w:t>项目样品分析选择拥有中国计量认证资质证书（CMA）的第三方实验室进行样品的监测，实验室拥有健全的环境监测设备以及专业的管理人员和技术人员。实验室对送入实验室的样品首先核对采样单、容器编号、包装情况、保存条件及有效期等，符合要求的样品方可开展分析监测，并按照规范采用标准流程分析样品。</w:t>
      </w:r>
    </w:p>
    <w:p w14:paraId="7C829350">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实验室样品分析质量控制主要为内部质量控制，由实验室自主实施。通过各项质控措施以及相应的质控指标体系来保证实验室分析流程质量可控，检测结果准确可靠。</w:t>
      </w:r>
    </w:p>
    <w:p w14:paraId="5D93DB4A">
      <w:pPr>
        <w:pStyle w:val="5"/>
        <w:rPr>
          <w:rFonts w:hint="default" w:ascii="Times New Roman" w:hAnsi="Times New Roman" w:cs="Times New Roman"/>
          <w:color w:val="auto"/>
          <w:highlight w:val="none"/>
        </w:rPr>
      </w:pPr>
      <w:r>
        <w:rPr>
          <w:rFonts w:hint="default" w:ascii="Times New Roman" w:hAnsi="Times New Roman" w:cs="Times New Roman"/>
          <w:color w:val="auto"/>
          <w:highlight w:val="none"/>
        </w:rPr>
        <w:t>实验室空白</w:t>
      </w:r>
    </w:p>
    <w:p w14:paraId="7A0B9449">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检测实验室对所有检测项目均进行了实验室空白样品检测分析，据质控报告</w:t>
      </w:r>
      <w:r>
        <w:rPr>
          <w:rFonts w:hint="default" w:ascii="Times New Roman" w:hAnsi="Times New Roman" w:cs="Times New Roman"/>
          <w:snapToGrid w:val="0"/>
          <w:color w:val="auto"/>
          <w:kern w:val="0"/>
          <w:highlight w:val="none"/>
        </w:rPr>
        <w:t>BJ20A0769和BJ20A0709</w:t>
      </w:r>
      <w:r>
        <w:rPr>
          <w:rFonts w:hint="default" w:ascii="Times New Roman" w:hAnsi="Times New Roman" w:cs="Times New Roman"/>
          <w:color w:val="auto"/>
          <w:highlight w:val="none"/>
        </w:rPr>
        <w:t>检测结果，实验室空白样品检测结果均低于报告检出限，表明分析过程中未引入污染物。</w:t>
      </w:r>
    </w:p>
    <w:p w14:paraId="3325DFA4">
      <w:pPr>
        <w:pStyle w:val="5"/>
        <w:rPr>
          <w:rFonts w:hint="default" w:ascii="Times New Roman" w:hAnsi="Times New Roman" w:cs="Times New Roman"/>
          <w:color w:val="auto"/>
          <w:highlight w:val="none"/>
        </w:rPr>
      </w:pPr>
      <w:r>
        <w:rPr>
          <w:rFonts w:hint="default" w:ascii="Times New Roman" w:hAnsi="Times New Roman" w:cs="Times New Roman"/>
          <w:color w:val="auto"/>
          <w:highlight w:val="none"/>
        </w:rPr>
        <w:t>精密度控制</w:t>
      </w:r>
    </w:p>
    <w:p w14:paraId="298EF0E1">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本次土壤样品检测实验室内精密度平行双样测试样品中有机污染物指标均未检出，重金属铬（六价）均未检出，因此不进行偏差分析。根据质控报告</w:t>
      </w:r>
      <w:r>
        <w:rPr>
          <w:rFonts w:hint="default" w:ascii="Times New Roman" w:hAnsi="Times New Roman" w:cs="Times New Roman"/>
          <w:snapToGrid w:val="0"/>
          <w:color w:val="auto"/>
          <w:kern w:val="0"/>
          <w:highlight w:val="none"/>
        </w:rPr>
        <w:t>BJ20A0769和BJ20A0709，土壤pH值实验室平行样相对偏差为0，</w:t>
      </w:r>
      <w:r>
        <w:rPr>
          <w:rFonts w:hint="default" w:ascii="Times New Roman" w:hAnsi="Times New Roman" w:cs="Times New Roman"/>
          <w:color w:val="auto"/>
          <w:highlight w:val="none"/>
        </w:rPr>
        <w:t>土壤重金属室内平行样相对偏差范围为 0.0%~</w:t>
      </w:r>
      <w:r>
        <w:rPr>
          <w:rFonts w:hint="default" w:ascii="Times New Roman" w:hAnsi="Times New Roman" w:cs="Times New Roman"/>
          <w:color w:val="auto"/>
          <w:highlight w:val="none"/>
          <w:lang w:val="en-US" w:eastAsia="zh-CN"/>
        </w:rPr>
        <w:t>5.6</w:t>
      </w:r>
      <w:r>
        <w:rPr>
          <w:rFonts w:hint="default" w:ascii="Times New Roman" w:hAnsi="Times New Roman" w:cs="Times New Roman"/>
          <w:color w:val="auto"/>
          <w:highlight w:val="none"/>
        </w:rPr>
        <w:t>%，石油烃（C</w:t>
      </w:r>
      <w:r>
        <w:rPr>
          <w:rFonts w:hint="default" w:ascii="Times New Roman" w:hAnsi="Times New Roman" w:cs="Times New Roman"/>
          <w:color w:val="auto"/>
          <w:highlight w:val="none"/>
          <w:vertAlign w:val="subscript"/>
        </w:rPr>
        <w:t>10</w:t>
      </w:r>
      <w:r>
        <w:rPr>
          <w:rFonts w:hint="default" w:ascii="Times New Roman" w:hAnsi="Times New Roman" w:cs="Times New Roman"/>
          <w:color w:val="auto"/>
          <w:highlight w:val="none"/>
        </w:rPr>
        <w:t>-C</w:t>
      </w:r>
      <w:r>
        <w:rPr>
          <w:rFonts w:hint="default" w:ascii="Times New Roman" w:hAnsi="Times New Roman" w:cs="Times New Roman"/>
          <w:color w:val="auto"/>
          <w:highlight w:val="none"/>
          <w:vertAlign w:val="subscript"/>
        </w:rPr>
        <w:t>40</w:t>
      </w:r>
      <w:r>
        <w:rPr>
          <w:rFonts w:hint="default" w:ascii="Times New Roman" w:hAnsi="Times New Roman" w:cs="Times New Roman"/>
          <w:color w:val="auto"/>
          <w:highlight w:val="none"/>
        </w:rPr>
        <w:t>）室内平行样相对偏差范围为5.4</w:t>
      </w:r>
      <w:r>
        <w:rPr>
          <w:rFonts w:hint="default" w:ascii="Times New Roman" w:hAnsi="Times New Roman" w:cs="Times New Roman"/>
          <w:color w:val="auto"/>
          <w:highlight w:val="none"/>
          <w:lang w:val="en-US" w:eastAsia="zh-CN"/>
        </w:rPr>
        <w:t>~17.4</w:t>
      </w:r>
      <w:r>
        <w:rPr>
          <w:rFonts w:hint="default" w:ascii="Times New Roman" w:hAnsi="Times New Roman" w:cs="Times New Roman"/>
          <w:color w:val="auto"/>
          <w:highlight w:val="none"/>
        </w:rPr>
        <w:t>%，在允许质控要求范围内，质控测试数据详见质控报告。</w:t>
      </w:r>
    </w:p>
    <w:p w14:paraId="1A833306">
      <w:pPr>
        <w:pStyle w:val="5"/>
        <w:rPr>
          <w:rFonts w:hint="default" w:ascii="Times New Roman" w:hAnsi="Times New Roman" w:cs="Times New Roman"/>
          <w:color w:val="auto"/>
          <w:highlight w:val="none"/>
        </w:rPr>
      </w:pPr>
      <w:r>
        <w:rPr>
          <w:rFonts w:hint="default" w:ascii="Times New Roman" w:hAnsi="Times New Roman" w:cs="Times New Roman"/>
          <w:color w:val="auto"/>
          <w:highlight w:val="none"/>
        </w:rPr>
        <w:t>准确度控制</w:t>
      </w:r>
    </w:p>
    <w:p w14:paraId="33129506">
      <w:pPr>
        <w:ind w:left="481"/>
        <w:rPr>
          <w:rFonts w:hint="default" w:ascii="Times New Roman" w:hAnsi="Times New Roman" w:cs="Times New Roman"/>
          <w:b/>
          <w:bCs/>
          <w:color w:val="auto"/>
          <w:kern w:val="0"/>
          <w:highlight w:val="none"/>
        </w:rPr>
      </w:pPr>
      <w:r>
        <w:rPr>
          <w:rFonts w:hint="default" w:ascii="Times New Roman" w:hAnsi="Times New Roman" w:cs="Times New Roman"/>
          <w:b/>
          <w:bCs/>
          <w:color w:val="auto"/>
          <w:kern w:val="0"/>
          <w:highlight w:val="none"/>
        </w:rPr>
        <w:t>①有证标准物质质控</w:t>
      </w:r>
    </w:p>
    <w:p w14:paraId="053349D6">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按照《土壤和沉积物 铜、锌、铅、镍、铬的测定 火焰原子吸收分光光度法》（HJ 491-2019）测试方法中质量保证与质量控制要求，检测实验室对重金属指标铬、锌、铜和镍同步测定了1个有证标准样品，有证标准样品测试结果在有证标准样品证书标准值上、下限范围内（其中铜41~45，镍34~38，铬77-85，锌89-95）；按照《土壤 水溶性氟化物和总氟化物的测定 例子选择电极法》（HJ 873-2017）测试方法中质量保证与质量控制要求，检测实验室对总氟化物同步测定了1个有证标准样品，有证标准样品测试结果在有证标准样品证书标准值上、下限范围（684-762）内，本次质控结果合格。</w:t>
      </w:r>
    </w:p>
    <w:p w14:paraId="34952892">
      <w:pPr>
        <w:ind w:firstLine="42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②土壤样品空白加标/基体加标回收质控结果</w:t>
      </w:r>
    </w:p>
    <w:p w14:paraId="1E720FA5">
      <w:pPr>
        <w:numPr>
          <w:ilvl w:val="0"/>
          <w:numId w:val="8"/>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铅、汞、隔、砷、钴、钼、锑等重金属空白加标回收率范围为87.1~106.5%，在允许加标回收范围（80%~120%）内；砷、钴、钼、锑等重金属基体加标回收率范围90.0~105.0%，在允许加标回收范围（50%~125%、70~125%）内</w:t>
      </w:r>
      <w:r>
        <w:rPr>
          <w:rFonts w:hint="eastAsia" w:cs="Times New Roman"/>
          <w:color w:val="auto"/>
          <w:highlight w:val="none"/>
          <w:lang w:eastAsia="zh-CN"/>
        </w:rPr>
        <w:t>；</w:t>
      </w:r>
    </w:p>
    <w:p w14:paraId="1B2F897E">
      <w:pPr>
        <w:numPr>
          <w:ilvl w:val="0"/>
          <w:numId w:val="8"/>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石油烃（C</w:t>
      </w:r>
      <w:r>
        <w:rPr>
          <w:rFonts w:hint="default" w:ascii="Times New Roman" w:hAnsi="Times New Roman" w:cs="Times New Roman"/>
          <w:color w:val="auto"/>
          <w:highlight w:val="none"/>
          <w:vertAlign w:val="subscript"/>
        </w:rPr>
        <w:t>10</w:t>
      </w:r>
      <w:r>
        <w:rPr>
          <w:rFonts w:hint="default" w:ascii="Times New Roman" w:hAnsi="Times New Roman" w:cs="Times New Roman"/>
          <w:color w:val="auto"/>
          <w:highlight w:val="none"/>
        </w:rPr>
        <w:t>-C</w:t>
      </w:r>
      <w:r>
        <w:rPr>
          <w:rFonts w:hint="default" w:ascii="Times New Roman" w:hAnsi="Times New Roman" w:cs="Times New Roman"/>
          <w:color w:val="auto"/>
          <w:highlight w:val="none"/>
          <w:vertAlign w:val="subscript"/>
        </w:rPr>
        <w:t>40</w:t>
      </w:r>
      <w:r>
        <w:rPr>
          <w:rFonts w:hint="default" w:ascii="Times New Roman" w:hAnsi="Times New Roman" w:cs="Times New Roman"/>
          <w:color w:val="auto"/>
          <w:highlight w:val="none"/>
        </w:rPr>
        <w:t>）空白加标回收率为91.2~98.0%，在允许加标回收范围（70%~120%）内，基体加标回收率范围为93.8~95.8%，在允许加标回收范围（50%~140%）内</w:t>
      </w:r>
      <w:r>
        <w:rPr>
          <w:rFonts w:hint="eastAsia" w:cs="Times New Roman"/>
          <w:color w:val="auto"/>
          <w:highlight w:val="none"/>
          <w:lang w:eastAsia="zh-CN"/>
        </w:rPr>
        <w:t>；</w:t>
      </w:r>
    </w:p>
    <w:p w14:paraId="1ADCE110">
      <w:pPr>
        <w:numPr>
          <w:ilvl w:val="0"/>
          <w:numId w:val="8"/>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挥发性有机物空白加标回收率范围为77.1~128.6%，在允许加标回收范围（70%~130%）内，基体加标回收率范围为70.6%~122.3%，在允许加标回收范围（70%~130%）内</w:t>
      </w:r>
      <w:r>
        <w:rPr>
          <w:rFonts w:hint="eastAsia" w:cs="Times New Roman"/>
          <w:color w:val="auto"/>
          <w:highlight w:val="none"/>
          <w:lang w:eastAsia="zh-CN"/>
        </w:rPr>
        <w:t>；</w:t>
      </w:r>
    </w:p>
    <w:p w14:paraId="69A5E884">
      <w:pPr>
        <w:numPr>
          <w:ilvl w:val="0"/>
          <w:numId w:val="8"/>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半挥发性有机物空白加标回收率为60.6%~115.6%，在允许加标回收范围（50%~130%）内，基体加标回收率为53.0%~123.0.0%，在允许加标回收范围（50%~130%）内</w:t>
      </w:r>
      <w:r>
        <w:rPr>
          <w:rFonts w:hint="eastAsia" w:cs="Times New Roman"/>
          <w:color w:val="auto"/>
          <w:highlight w:val="none"/>
          <w:lang w:eastAsia="zh-CN"/>
        </w:rPr>
        <w:t>；</w:t>
      </w:r>
    </w:p>
    <w:p w14:paraId="04EE0C94">
      <w:pPr>
        <w:numPr>
          <w:ilvl w:val="0"/>
          <w:numId w:val="8"/>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苯胺空白加标回收率为95.4%~97.5%，在允许加标回收范围（30%~100%）内。</w:t>
      </w:r>
    </w:p>
    <w:p w14:paraId="658CD9F1">
      <w:pPr>
        <w:ind w:firstLine="42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③地下水样品空白加标/基体加标回收质控结果</w:t>
      </w:r>
    </w:p>
    <w:p w14:paraId="6CF1B1B7">
      <w:pPr>
        <w:numPr>
          <w:ilvl w:val="0"/>
          <w:numId w:val="9"/>
        </w:num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氰化物的加标回收率为</w:t>
      </w:r>
      <w:r>
        <w:rPr>
          <w:rFonts w:hint="default" w:ascii="Times New Roman" w:hAnsi="Times New Roman" w:cs="Times New Roman"/>
          <w:color w:val="auto"/>
          <w:sz w:val="24"/>
          <w:highlight w:val="none"/>
          <w:lang w:val="en-US" w:eastAsia="zh-CN"/>
        </w:rPr>
        <w:t>93.8</w:t>
      </w:r>
      <w:r>
        <w:rPr>
          <w:rFonts w:hint="default" w:ascii="Times New Roman" w:hAnsi="Times New Roman" w:cs="Times New Roman"/>
          <w:color w:val="auto"/>
          <w:sz w:val="24"/>
          <w:highlight w:val="none"/>
        </w:rPr>
        <w:t>%，在允许加标回收范围（8</w:t>
      </w: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115</w:t>
      </w:r>
      <w:r>
        <w:rPr>
          <w:rFonts w:hint="default" w:ascii="Times New Roman" w:hAnsi="Times New Roman" w:cs="Times New Roman"/>
          <w:color w:val="auto"/>
          <w:sz w:val="24"/>
          <w:highlight w:val="none"/>
        </w:rPr>
        <w:t>%）内</w:t>
      </w:r>
      <w:r>
        <w:rPr>
          <w:rFonts w:hint="eastAsia" w:cs="Times New Roman"/>
          <w:color w:val="auto"/>
          <w:sz w:val="24"/>
          <w:highlight w:val="none"/>
          <w:lang w:eastAsia="zh-CN"/>
        </w:rPr>
        <w:t>；</w:t>
      </w:r>
    </w:p>
    <w:p w14:paraId="7E060516">
      <w:pPr>
        <w:numPr>
          <w:ilvl w:val="0"/>
          <w:numId w:val="9"/>
        </w:numPr>
        <w:spacing w:line="360" w:lineRule="auto"/>
        <w:ind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三氯甲烷</w:t>
      </w:r>
      <w:r>
        <w:rPr>
          <w:rFonts w:hint="default" w:ascii="Times New Roman" w:hAnsi="Times New Roman" w:cs="Times New Roman"/>
          <w:color w:val="auto"/>
          <w:sz w:val="24"/>
          <w:highlight w:val="none"/>
        </w:rPr>
        <w:t>空白加标回收率为</w:t>
      </w:r>
      <w:r>
        <w:rPr>
          <w:rFonts w:hint="default" w:ascii="Times New Roman" w:hAnsi="Times New Roman" w:cs="Times New Roman"/>
          <w:color w:val="auto"/>
          <w:sz w:val="24"/>
          <w:highlight w:val="none"/>
          <w:lang w:val="en-US" w:eastAsia="zh-CN"/>
        </w:rPr>
        <w:t>82.0%</w:t>
      </w:r>
      <w:r>
        <w:rPr>
          <w:rFonts w:hint="default" w:ascii="Times New Roman" w:hAnsi="Times New Roman" w:cs="Times New Roman"/>
          <w:color w:val="auto"/>
          <w:sz w:val="24"/>
          <w:highlight w:val="none"/>
        </w:rPr>
        <w:t>，在允许加标回收范围（</w:t>
      </w:r>
      <w:r>
        <w:rPr>
          <w:rFonts w:hint="default" w:ascii="Times New Roman" w:hAnsi="Times New Roman" w:cs="Times New Roman"/>
          <w:color w:val="auto"/>
          <w:sz w:val="24"/>
          <w:highlight w:val="none"/>
          <w:lang w:val="en-US" w:eastAsia="zh-CN"/>
        </w:rPr>
        <w:t>80</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120</w:t>
      </w:r>
      <w:r>
        <w:rPr>
          <w:rFonts w:hint="default" w:ascii="Times New Roman" w:hAnsi="Times New Roman" w:cs="Times New Roman"/>
          <w:color w:val="auto"/>
          <w:sz w:val="24"/>
          <w:highlight w:val="none"/>
        </w:rPr>
        <w:t>%）内，基体加标回收率为</w:t>
      </w:r>
      <w:r>
        <w:rPr>
          <w:rFonts w:hint="default" w:ascii="Times New Roman" w:hAnsi="Times New Roman" w:cs="Times New Roman"/>
          <w:color w:val="auto"/>
          <w:sz w:val="24"/>
          <w:highlight w:val="none"/>
          <w:lang w:val="en-US" w:eastAsia="zh-CN"/>
        </w:rPr>
        <w:t>101</w:t>
      </w:r>
      <w:r>
        <w:rPr>
          <w:rFonts w:hint="default" w:ascii="Times New Roman" w:hAnsi="Times New Roman" w:cs="Times New Roman"/>
          <w:color w:val="auto"/>
          <w:sz w:val="24"/>
          <w:highlight w:val="none"/>
        </w:rPr>
        <w:t>%，在允许加标回收范围（</w:t>
      </w:r>
      <w:r>
        <w:rPr>
          <w:rFonts w:hint="default" w:ascii="Times New Roman" w:hAnsi="Times New Roman" w:cs="Times New Roman"/>
          <w:color w:val="auto"/>
          <w:sz w:val="24"/>
          <w:highlight w:val="none"/>
          <w:lang w:val="en-US" w:eastAsia="zh-CN"/>
        </w:rPr>
        <w:t>60</w:t>
      </w:r>
      <w:r>
        <w:rPr>
          <w:rFonts w:hint="default" w:ascii="Times New Roman" w:hAnsi="Times New Roman" w:cs="Times New Roman"/>
          <w:color w:val="auto"/>
          <w:sz w:val="24"/>
          <w:highlight w:val="none"/>
        </w:rPr>
        <w:t>%~130%）内</w:t>
      </w:r>
      <w:r>
        <w:rPr>
          <w:rFonts w:hint="eastAsia" w:cs="Times New Roman"/>
          <w:color w:val="auto"/>
          <w:sz w:val="24"/>
          <w:highlight w:val="none"/>
          <w:lang w:eastAsia="zh-CN"/>
        </w:rPr>
        <w:t>；</w:t>
      </w:r>
    </w:p>
    <w:p w14:paraId="5769590E">
      <w:pPr>
        <w:numPr>
          <w:ilvl w:val="0"/>
          <w:numId w:val="9"/>
        </w:numPr>
        <w:spacing w:line="360" w:lineRule="auto"/>
        <w:ind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四氯化碳</w:t>
      </w:r>
      <w:r>
        <w:rPr>
          <w:rFonts w:hint="default" w:ascii="Times New Roman" w:hAnsi="Times New Roman" w:cs="Times New Roman"/>
          <w:color w:val="auto"/>
          <w:sz w:val="24"/>
          <w:highlight w:val="none"/>
        </w:rPr>
        <w:t>空白加标回收率为</w:t>
      </w:r>
      <w:r>
        <w:rPr>
          <w:rFonts w:hint="default" w:ascii="Times New Roman" w:hAnsi="Times New Roman" w:cs="Times New Roman"/>
          <w:color w:val="auto"/>
          <w:sz w:val="24"/>
          <w:highlight w:val="none"/>
          <w:lang w:val="en-US" w:eastAsia="zh-CN"/>
        </w:rPr>
        <w:t>85.0</w:t>
      </w:r>
      <w:r>
        <w:rPr>
          <w:rFonts w:hint="default" w:ascii="Times New Roman" w:hAnsi="Times New Roman" w:cs="Times New Roman"/>
          <w:color w:val="auto"/>
          <w:sz w:val="24"/>
          <w:highlight w:val="none"/>
        </w:rPr>
        <w:t>%，在允许加标回收范围（</w:t>
      </w:r>
      <w:r>
        <w:rPr>
          <w:rFonts w:hint="default" w:ascii="Times New Roman" w:hAnsi="Times New Roman" w:cs="Times New Roman"/>
          <w:color w:val="auto"/>
          <w:sz w:val="24"/>
          <w:highlight w:val="none"/>
          <w:lang w:val="en-US" w:eastAsia="zh-CN"/>
        </w:rPr>
        <w:t>80</w:t>
      </w:r>
      <w:r>
        <w:rPr>
          <w:rFonts w:hint="default" w:ascii="Times New Roman" w:hAnsi="Times New Roman" w:cs="Times New Roman"/>
          <w:color w:val="auto"/>
          <w:sz w:val="24"/>
          <w:highlight w:val="none"/>
        </w:rPr>
        <w:t>%~1</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0%）内，基体加标回收率为</w:t>
      </w:r>
      <w:r>
        <w:rPr>
          <w:rFonts w:hint="default" w:ascii="Times New Roman" w:hAnsi="Times New Roman" w:cs="Times New Roman"/>
          <w:color w:val="auto"/>
          <w:sz w:val="24"/>
          <w:highlight w:val="none"/>
          <w:lang w:val="en-US" w:eastAsia="zh-CN"/>
        </w:rPr>
        <w:t>93.2</w:t>
      </w:r>
      <w:r>
        <w:rPr>
          <w:rFonts w:hint="default" w:ascii="Times New Roman" w:hAnsi="Times New Roman" w:cs="Times New Roman"/>
          <w:color w:val="auto"/>
          <w:sz w:val="24"/>
          <w:highlight w:val="none"/>
        </w:rPr>
        <w:t>%，在允许加标回收范围（</w:t>
      </w:r>
      <w:r>
        <w:rPr>
          <w:rFonts w:hint="default" w:ascii="Times New Roman" w:hAnsi="Times New Roman" w:cs="Times New Roman"/>
          <w:color w:val="auto"/>
          <w:sz w:val="24"/>
          <w:highlight w:val="none"/>
          <w:lang w:val="en-US" w:eastAsia="zh-CN"/>
        </w:rPr>
        <w:t>60</w:t>
      </w:r>
      <w:r>
        <w:rPr>
          <w:rFonts w:hint="default" w:ascii="Times New Roman" w:hAnsi="Times New Roman" w:cs="Times New Roman"/>
          <w:color w:val="auto"/>
          <w:sz w:val="24"/>
          <w:highlight w:val="none"/>
        </w:rPr>
        <w:t>%~130%）内</w:t>
      </w:r>
      <w:r>
        <w:rPr>
          <w:rFonts w:hint="eastAsia" w:cs="Times New Roman"/>
          <w:color w:val="auto"/>
          <w:sz w:val="24"/>
          <w:highlight w:val="none"/>
          <w:lang w:eastAsia="zh-CN"/>
        </w:rPr>
        <w:t>；</w:t>
      </w:r>
    </w:p>
    <w:p w14:paraId="0E95DA3C">
      <w:pPr>
        <w:numPr>
          <w:ilvl w:val="0"/>
          <w:numId w:val="9"/>
        </w:numPr>
        <w:spacing w:line="360" w:lineRule="auto"/>
        <w:ind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苯</w:t>
      </w:r>
      <w:r>
        <w:rPr>
          <w:rFonts w:hint="default" w:ascii="Times New Roman" w:hAnsi="Times New Roman" w:cs="Times New Roman"/>
          <w:color w:val="auto"/>
          <w:sz w:val="24"/>
          <w:highlight w:val="none"/>
        </w:rPr>
        <w:t>空白加标回收率为</w:t>
      </w:r>
      <w:r>
        <w:rPr>
          <w:rFonts w:hint="default" w:ascii="Times New Roman" w:hAnsi="Times New Roman" w:cs="Times New Roman"/>
          <w:color w:val="auto"/>
          <w:sz w:val="24"/>
          <w:highlight w:val="none"/>
          <w:lang w:val="en-US" w:eastAsia="zh-CN"/>
        </w:rPr>
        <w:t>81.8</w:t>
      </w:r>
      <w:r>
        <w:rPr>
          <w:rFonts w:hint="default" w:ascii="Times New Roman" w:hAnsi="Times New Roman" w:cs="Times New Roman"/>
          <w:color w:val="auto"/>
          <w:sz w:val="24"/>
          <w:highlight w:val="none"/>
        </w:rPr>
        <w:t>%，在允许加标回收范围（</w:t>
      </w:r>
      <w:r>
        <w:rPr>
          <w:rFonts w:hint="default" w:ascii="Times New Roman" w:hAnsi="Times New Roman" w:cs="Times New Roman"/>
          <w:color w:val="auto"/>
          <w:sz w:val="24"/>
          <w:highlight w:val="none"/>
          <w:lang w:val="en-US" w:eastAsia="zh-CN"/>
        </w:rPr>
        <w:t>80</w:t>
      </w:r>
      <w:r>
        <w:rPr>
          <w:rFonts w:hint="default" w:ascii="Times New Roman" w:hAnsi="Times New Roman" w:cs="Times New Roman"/>
          <w:color w:val="auto"/>
          <w:sz w:val="24"/>
          <w:highlight w:val="none"/>
        </w:rPr>
        <w:t>%~1</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0%）内，基体加标回收率为</w:t>
      </w:r>
      <w:r>
        <w:rPr>
          <w:rFonts w:hint="default" w:ascii="Times New Roman" w:hAnsi="Times New Roman" w:cs="Times New Roman"/>
          <w:color w:val="auto"/>
          <w:sz w:val="24"/>
          <w:highlight w:val="none"/>
          <w:lang w:val="en-US" w:eastAsia="zh-CN"/>
        </w:rPr>
        <w:t>98.2</w:t>
      </w:r>
      <w:r>
        <w:rPr>
          <w:rFonts w:hint="default" w:ascii="Times New Roman" w:hAnsi="Times New Roman" w:cs="Times New Roman"/>
          <w:color w:val="auto"/>
          <w:sz w:val="24"/>
          <w:highlight w:val="none"/>
        </w:rPr>
        <w:t>%，在允许加标回收范围（</w:t>
      </w:r>
      <w:r>
        <w:rPr>
          <w:rFonts w:hint="default" w:ascii="Times New Roman" w:hAnsi="Times New Roman" w:cs="Times New Roman"/>
          <w:color w:val="auto"/>
          <w:sz w:val="24"/>
          <w:highlight w:val="none"/>
          <w:lang w:val="en-US" w:eastAsia="zh-CN"/>
        </w:rPr>
        <w:t>60</w:t>
      </w:r>
      <w:r>
        <w:rPr>
          <w:rFonts w:hint="default" w:ascii="Times New Roman" w:hAnsi="Times New Roman" w:cs="Times New Roman"/>
          <w:color w:val="auto"/>
          <w:sz w:val="24"/>
          <w:highlight w:val="none"/>
        </w:rPr>
        <w:t>%~130%）内</w:t>
      </w:r>
      <w:r>
        <w:rPr>
          <w:rFonts w:hint="eastAsia" w:cs="Times New Roman"/>
          <w:color w:val="auto"/>
          <w:sz w:val="24"/>
          <w:highlight w:val="none"/>
          <w:lang w:eastAsia="zh-CN"/>
        </w:rPr>
        <w:t>；</w:t>
      </w:r>
    </w:p>
    <w:p w14:paraId="0046C6A8">
      <w:pPr>
        <w:numPr>
          <w:ilvl w:val="0"/>
          <w:numId w:val="9"/>
        </w:numPr>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lang w:eastAsia="zh-CN"/>
        </w:rPr>
        <w:t>甲苯</w:t>
      </w:r>
      <w:r>
        <w:rPr>
          <w:rFonts w:hint="default" w:ascii="Times New Roman" w:hAnsi="Times New Roman" w:cs="Times New Roman"/>
          <w:color w:val="auto"/>
          <w:sz w:val="24"/>
          <w:highlight w:val="none"/>
        </w:rPr>
        <w:t>空白加标回收率为</w:t>
      </w:r>
      <w:r>
        <w:rPr>
          <w:rFonts w:hint="default" w:ascii="Times New Roman" w:hAnsi="Times New Roman" w:cs="Times New Roman"/>
          <w:color w:val="auto"/>
          <w:sz w:val="24"/>
          <w:highlight w:val="none"/>
          <w:lang w:val="en-US" w:eastAsia="zh-CN"/>
        </w:rPr>
        <w:t>82.1</w:t>
      </w:r>
      <w:r>
        <w:rPr>
          <w:rFonts w:hint="default" w:ascii="Times New Roman" w:hAnsi="Times New Roman" w:cs="Times New Roman"/>
          <w:color w:val="auto"/>
          <w:sz w:val="24"/>
          <w:highlight w:val="none"/>
        </w:rPr>
        <w:t>%，在允许加标回收范围（</w:t>
      </w:r>
      <w:r>
        <w:rPr>
          <w:rFonts w:hint="default" w:ascii="Times New Roman" w:hAnsi="Times New Roman" w:cs="Times New Roman"/>
          <w:color w:val="auto"/>
          <w:sz w:val="24"/>
          <w:highlight w:val="none"/>
          <w:lang w:val="en-US" w:eastAsia="zh-CN"/>
        </w:rPr>
        <w:t>80</w:t>
      </w:r>
      <w:r>
        <w:rPr>
          <w:rFonts w:hint="default" w:ascii="Times New Roman" w:hAnsi="Times New Roman" w:cs="Times New Roman"/>
          <w:color w:val="auto"/>
          <w:sz w:val="24"/>
          <w:highlight w:val="none"/>
        </w:rPr>
        <w:t>%~1</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0%）内，基体加标回收率为</w:t>
      </w:r>
      <w:r>
        <w:rPr>
          <w:rFonts w:hint="default" w:ascii="Times New Roman" w:hAnsi="Times New Roman" w:cs="Times New Roman"/>
          <w:color w:val="auto"/>
          <w:sz w:val="24"/>
          <w:highlight w:val="none"/>
          <w:lang w:val="en-US" w:eastAsia="zh-CN"/>
        </w:rPr>
        <w:t>106</w:t>
      </w:r>
      <w:r>
        <w:rPr>
          <w:rFonts w:hint="default" w:ascii="Times New Roman" w:hAnsi="Times New Roman" w:cs="Times New Roman"/>
          <w:color w:val="auto"/>
          <w:sz w:val="24"/>
          <w:highlight w:val="none"/>
        </w:rPr>
        <w:t>%，在允许加标回收范围（</w:t>
      </w:r>
      <w:r>
        <w:rPr>
          <w:rFonts w:hint="default" w:ascii="Times New Roman" w:hAnsi="Times New Roman" w:cs="Times New Roman"/>
          <w:color w:val="auto"/>
          <w:sz w:val="24"/>
          <w:highlight w:val="none"/>
          <w:lang w:val="en-US" w:eastAsia="zh-CN"/>
        </w:rPr>
        <w:t>60</w:t>
      </w:r>
      <w:r>
        <w:rPr>
          <w:rFonts w:hint="default" w:ascii="Times New Roman" w:hAnsi="Times New Roman" w:cs="Times New Roman"/>
          <w:color w:val="auto"/>
          <w:sz w:val="24"/>
          <w:highlight w:val="none"/>
        </w:rPr>
        <w:t>%~130%）内</w:t>
      </w:r>
      <w:r>
        <w:rPr>
          <w:rFonts w:hint="default" w:ascii="Times New Roman" w:hAnsi="Times New Roman" w:cs="Times New Roman"/>
          <w:color w:val="auto"/>
          <w:sz w:val="24"/>
          <w:highlight w:val="none"/>
          <w:lang w:eastAsia="zh-CN"/>
        </w:rPr>
        <w:t>。</w:t>
      </w:r>
    </w:p>
    <w:p w14:paraId="2CA942D5">
      <w:pPr>
        <w:ind w:left="481"/>
        <w:rPr>
          <w:rFonts w:hint="default" w:ascii="Times New Roman" w:hAnsi="Times New Roman" w:cs="Times New Roman"/>
          <w:b/>
          <w:bCs/>
          <w:color w:val="auto"/>
          <w:kern w:val="0"/>
          <w:highlight w:val="none"/>
        </w:rPr>
      </w:pPr>
      <w:r>
        <w:rPr>
          <w:rFonts w:hint="default" w:ascii="Times New Roman" w:hAnsi="Times New Roman" w:cs="Times New Roman"/>
          <w:b/>
          <w:bCs/>
          <w:color w:val="auto"/>
          <w:kern w:val="0"/>
          <w:highlight w:val="none"/>
        </w:rPr>
        <w:t>④替代物加标回收质控</w:t>
      </w:r>
    </w:p>
    <w:p w14:paraId="5CE4077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本次实验过程对每个样品及所有的质控样品均进行了替代物（Surrogate）加标检测， VOCs 替代物加标的回收率范围为80.4~118.8%，在允许范围70%~130%内，SVOCs 替代物加标的回收率范围为50.2~110.6%，在允许范围50%～130%内。本次所有控制样品检测结果的替代物加标回收率均在要求范围内，符合质控要求。</w:t>
      </w:r>
    </w:p>
    <w:p w14:paraId="24796A69">
      <w:pPr>
        <w:pStyle w:val="5"/>
        <w:rPr>
          <w:rFonts w:hint="default" w:ascii="Times New Roman" w:hAnsi="Times New Roman" w:cs="Times New Roman"/>
          <w:color w:val="auto"/>
          <w:highlight w:val="none"/>
        </w:rPr>
      </w:pPr>
      <w:r>
        <w:rPr>
          <w:rFonts w:hint="default" w:ascii="Times New Roman" w:hAnsi="Times New Roman" w:cs="Times New Roman"/>
          <w:color w:val="auto"/>
          <w:highlight w:val="none"/>
        </w:rPr>
        <w:t>实验室质控结论</w:t>
      </w:r>
    </w:p>
    <w:p w14:paraId="4C63DCD1">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kern w:val="0"/>
          <w:highlight w:val="none"/>
        </w:rPr>
        <w:t>本次质控方法空白结果均小于报告限值；本次土壤实验室内精密度平行双样测试样品中有机污染物指标均未检出、重金属铬（六价）均</w:t>
      </w:r>
      <w:r>
        <w:rPr>
          <w:rFonts w:hint="default" w:ascii="Times New Roman" w:hAnsi="Times New Roman" w:cs="Times New Roman"/>
          <w:color w:val="auto"/>
          <w:kern w:val="0"/>
          <w:highlight w:val="none"/>
          <w:lang w:val="en-US" w:eastAsia="zh-CN"/>
        </w:rPr>
        <w:t>未</w:t>
      </w:r>
      <w:r>
        <w:rPr>
          <w:rFonts w:hint="default" w:ascii="Times New Roman" w:hAnsi="Times New Roman" w:cs="Times New Roman"/>
          <w:color w:val="auto"/>
          <w:kern w:val="0"/>
          <w:highlight w:val="none"/>
        </w:rPr>
        <w:t>检出，</w:t>
      </w:r>
      <w:r>
        <w:rPr>
          <w:rFonts w:hint="default" w:ascii="Times New Roman" w:hAnsi="Times New Roman" w:cs="Times New Roman"/>
          <w:color w:val="auto"/>
          <w:highlight w:val="none"/>
        </w:rPr>
        <w:t>重金属土壤室内平行样相对偏差在允许范围内。重金属检测指标铬、锌、铜和镍有证标准样品质控结果合格；样品空白加标/基体加标回收率在允许加标回收率范围内，质控结果合格</w:t>
      </w:r>
      <w:r>
        <w:rPr>
          <w:rFonts w:hint="default" w:ascii="Times New Roman" w:hAnsi="Times New Roman" w:cs="Times New Roman"/>
          <w:color w:val="auto"/>
          <w:kern w:val="0"/>
          <w:highlight w:val="none"/>
        </w:rPr>
        <w:t>；替代物加标回收率</w:t>
      </w:r>
      <w:r>
        <w:rPr>
          <w:rFonts w:hint="default" w:ascii="Times New Roman" w:hAnsi="Times New Roman" w:cs="Times New Roman"/>
          <w:color w:val="auto"/>
          <w:highlight w:val="none"/>
        </w:rPr>
        <w:t>在允许加标回收率范围内，质控结果合格，</w:t>
      </w:r>
      <w:r>
        <w:rPr>
          <w:rFonts w:hint="default" w:ascii="Times New Roman" w:hAnsi="Times New Roman" w:cs="Times New Roman"/>
          <w:color w:val="auto"/>
          <w:kern w:val="0"/>
          <w:highlight w:val="none"/>
        </w:rPr>
        <w:t>因此，本批次测试数据质量可靠，详见附件3监测报告和附件4质控报告。</w:t>
      </w:r>
    </w:p>
    <w:p w14:paraId="7ADF2393">
      <w:pPr>
        <w:rPr>
          <w:rFonts w:hint="default" w:ascii="Times New Roman" w:hAnsi="Times New Roman" w:cs="Times New Roman"/>
          <w:color w:val="auto"/>
          <w:highlight w:val="none"/>
        </w:rPr>
        <w:sectPr>
          <w:headerReference r:id="rId19" w:type="default"/>
          <w:pgSz w:w="11849" w:h="16781"/>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p>
    <w:p w14:paraId="67BF4572">
      <w:pPr>
        <w:pStyle w:val="3"/>
        <w:numPr>
          <w:ilvl w:val="0"/>
          <w:numId w:val="1"/>
        </w:numPr>
        <w:tabs>
          <w:tab w:val="clear" w:pos="425"/>
        </w:tabs>
        <w:rPr>
          <w:rFonts w:hint="default" w:ascii="Times New Roman" w:hAnsi="Times New Roman" w:cs="Times New Roman"/>
          <w:color w:val="auto"/>
          <w:highlight w:val="none"/>
        </w:rPr>
      </w:pPr>
      <w:bookmarkStart w:id="34" w:name="_Toc23685"/>
      <w:r>
        <w:rPr>
          <w:rFonts w:hint="default" w:ascii="Times New Roman" w:hAnsi="Times New Roman" w:cs="Times New Roman"/>
          <w:color w:val="auto"/>
          <w:highlight w:val="none"/>
        </w:rPr>
        <w:t>结果与评价</w:t>
      </w:r>
      <w:bookmarkEnd w:id="34"/>
    </w:p>
    <w:p w14:paraId="1CA995AE">
      <w:pPr>
        <w:pStyle w:val="4"/>
        <w:tabs>
          <w:tab w:val="left" w:leader="dot" w:pos="0"/>
          <w:tab w:val="clear" w:pos="425"/>
        </w:tabs>
        <w:rPr>
          <w:rFonts w:hint="default" w:ascii="Times New Roman" w:hAnsi="Times New Roman" w:cs="Times New Roman"/>
          <w:color w:val="auto"/>
          <w:highlight w:val="none"/>
        </w:rPr>
      </w:pPr>
      <w:bookmarkStart w:id="35" w:name="_Toc3929"/>
      <w:bookmarkStart w:id="36" w:name="_Toc5936_WPSOffice_Level2"/>
      <w:bookmarkStart w:id="37" w:name="_Toc55399881"/>
      <w:r>
        <w:rPr>
          <w:rFonts w:hint="default" w:ascii="Times New Roman" w:hAnsi="Times New Roman" w:cs="Times New Roman"/>
          <w:color w:val="auto"/>
          <w:highlight w:val="none"/>
        </w:rPr>
        <w:t>园区环境质量参考标准</w:t>
      </w:r>
      <w:bookmarkEnd w:id="35"/>
    </w:p>
    <w:p w14:paraId="544CBB7E">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土壤</w:t>
      </w:r>
      <w:bookmarkEnd w:id="36"/>
      <w:bookmarkEnd w:id="37"/>
      <w:r>
        <w:rPr>
          <w:rFonts w:hint="default" w:ascii="Times New Roman" w:hAnsi="Times New Roman" w:cs="Times New Roman"/>
          <w:color w:val="auto"/>
          <w:highlight w:val="none"/>
        </w:rPr>
        <w:t>评价标准</w:t>
      </w:r>
    </w:p>
    <w:p w14:paraId="7E3F6DA0">
      <w:pPr>
        <w:pStyle w:val="2"/>
        <w:spacing w:after="0"/>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本</w:t>
      </w:r>
      <w:r>
        <w:rPr>
          <w:rFonts w:hint="default" w:ascii="Times New Roman" w:hAnsi="Times New Roman" w:cs="Times New Roman"/>
          <w:color w:val="auto"/>
          <w:kern w:val="0"/>
          <w:highlight w:val="none"/>
          <w:lang w:val="en-US" w:eastAsia="zh-CN"/>
        </w:rPr>
        <w:t>园区</w:t>
      </w:r>
      <w:r>
        <w:rPr>
          <w:rFonts w:hint="default" w:ascii="Times New Roman" w:hAnsi="Times New Roman" w:cs="Times New Roman"/>
          <w:color w:val="auto"/>
          <w:kern w:val="0"/>
          <w:highlight w:val="none"/>
        </w:rPr>
        <w:t>共测试60个项目，采集14个点位样品（不含</w:t>
      </w:r>
      <w:r>
        <w:rPr>
          <w:rFonts w:hint="default" w:ascii="Times New Roman" w:hAnsi="Times New Roman" w:cs="Times New Roman"/>
          <w:color w:val="auto"/>
          <w:kern w:val="0"/>
          <w:highlight w:val="none"/>
          <w:lang w:val="en-US" w:eastAsia="zh-CN"/>
        </w:rPr>
        <w:t>质控样品</w:t>
      </w:r>
      <w:r>
        <w:rPr>
          <w:rFonts w:hint="default" w:ascii="Times New Roman" w:hAnsi="Times New Roman" w:cs="Times New Roman"/>
          <w:color w:val="auto"/>
          <w:kern w:val="0"/>
          <w:highlight w:val="none"/>
        </w:rPr>
        <w:t>）。根据点位所在位置对应的建设用地或农用地土壤类型，参考《土壤环境质量 建设用地土壤污染风险管控标准（试行）（GB36600-2018）》（以下简称“GB36600”）、《土壤环境质量 农用地土壤污染风险管控标准（试行）（GB15618-2018）》（以下简称“GB15618”）进行评估，其中无法参考上述标准的测试因子采用《建设用地土壤污染风险筛选值和管制值（DB4403_T 67-2020）（深圳）》（以下简称“深圳标准”）、《建设用地土壤污染风险筛选值（DB13_T 5216-2020）》（以下简称“河北标准”）中对应的用地类型或风险评估计算值进行评估。具体原则如下：</w:t>
      </w:r>
    </w:p>
    <w:p w14:paraId="3C640490">
      <w:pPr>
        <w:pStyle w:val="2"/>
        <w:numPr>
          <w:ilvl w:val="0"/>
          <w:numId w:val="10"/>
        </w:numPr>
        <w:spacing w:after="0"/>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园区周边土壤点位根据现场踏勘结合谷歌卫片，采用现状用地类型进行评估；</w:t>
      </w:r>
    </w:p>
    <w:p w14:paraId="61AF9AA1">
      <w:pPr>
        <w:pStyle w:val="2"/>
        <w:numPr>
          <w:ilvl w:val="0"/>
          <w:numId w:val="10"/>
        </w:numPr>
        <w:spacing w:after="0"/>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已建成企业聚集区周边点位根据《鄂州市</w:t>
      </w:r>
      <w:r>
        <w:rPr>
          <w:rFonts w:hint="default" w:ascii="Times New Roman" w:hAnsi="Times New Roman" w:cs="Times New Roman"/>
          <w:color w:val="auto"/>
          <w:kern w:val="0"/>
          <w:highlight w:val="none"/>
          <w:lang w:val="en-US" w:eastAsia="zh-CN"/>
        </w:rPr>
        <w:t>城乡</w:t>
      </w:r>
      <w:r>
        <w:rPr>
          <w:rFonts w:hint="default" w:ascii="Times New Roman" w:hAnsi="Times New Roman" w:cs="Times New Roman"/>
          <w:color w:val="auto"/>
          <w:kern w:val="0"/>
          <w:highlight w:val="none"/>
        </w:rPr>
        <w:t>总体规划（2011-2020）》-</w:t>
      </w:r>
      <w:r>
        <w:rPr>
          <w:rFonts w:hint="default" w:ascii="Times New Roman" w:hAnsi="Times New Roman" w:cs="Times New Roman"/>
          <w:color w:val="auto"/>
          <w:kern w:val="0"/>
          <w:highlight w:val="none"/>
          <w:lang w:val="en-US" w:eastAsia="zh-CN"/>
        </w:rPr>
        <w:t>主城区用地布局规划图</w:t>
      </w:r>
      <w:r>
        <w:rPr>
          <w:rFonts w:hint="default" w:ascii="Times New Roman" w:hAnsi="Times New Roman" w:cs="Times New Roman"/>
          <w:color w:val="auto"/>
          <w:kern w:val="0"/>
          <w:highlight w:val="none"/>
        </w:rPr>
        <w:t>，</w:t>
      </w:r>
      <w:r>
        <w:rPr>
          <w:rFonts w:hint="default" w:ascii="Times New Roman" w:hAnsi="Times New Roman" w:cs="Times New Roman"/>
          <w:color w:val="auto"/>
          <w:kern w:val="0"/>
          <w:highlight w:val="none"/>
          <w:lang w:val="en-US" w:eastAsia="zh-CN"/>
        </w:rPr>
        <w:t>基于</w:t>
      </w:r>
      <w:r>
        <w:rPr>
          <w:rFonts w:hint="default" w:ascii="Times New Roman" w:hAnsi="Times New Roman" w:cs="Times New Roman"/>
          <w:color w:val="auto"/>
          <w:kern w:val="0"/>
          <w:highlight w:val="none"/>
        </w:rPr>
        <w:t>规划用地类型进行评估；</w:t>
      </w:r>
    </w:p>
    <w:p w14:paraId="486BD986">
      <w:pPr>
        <w:pStyle w:val="2"/>
        <w:numPr>
          <w:ilvl w:val="0"/>
          <w:numId w:val="10"/>
        </w:numPr>
        <w:spacing w:after="0"/>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对于园区周边土壤中现状用地为农用地的点位，GB15618中未涉及的因子</w:t>
      </w:r>
      <w:r>
        <w:rPr>
          <w:rFonts w:hint="default" w:ascii="Times New Roman" w:hAnsi="Times New Roman" w:cs="Times New Roman"/>
          <w:color w:val="auto"/>
          <w:kern w:val="0"/>
          <w:highlight w:val="none"/>
          <w:lang w:val="en-US" w:eastAsia="zh-CN"/>
        </w:rPr>
        <w:t>参照</w:t>
      </w:r>
      <w:r>
        <w:rPr>
          <w:rFonts w:hint="default" w:ascii="Times New Roman" w:hAnsi="Times New Roman" w:cs="Times New Roman"/>
          <w:color w:val="auto"/>
          <w:kern w:val="0"/>
          <w:highlight w:val="none"/>
        </w:rPr>
        <w:t>GB36600第一类用地筛选值进行评估。</w:t>
      </w:r>
    </w:p>
    <w:p w14:paraId="5DB11884">
      <w:pPr>
        <w:pStyle w:val="2"/>
        <w:spacing w:after="0"/>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各点位参考标准具体如下表所示。</w:t>
      </w:r>
    </w:p>
    <w:p w14:paraId="2CA7F68A">
      <w:pPr>
        <w:spacing w:line="240" w:lineRule="auto"/>
        <w:jc w:val="center"/>
        <w:rPr>
          <w:rFonts w:hint="default" w:ascii="Times New Roman" w:hAnsi="Times New Roman" w:eastAsia="黑体" w:cs="Times New Roman"/>
          <w:color w:val="auto"/>
          <w:highlight w:val="none"/>
        </w:rPr>
      </w:pPr>
      <w:r>
        <w:rPr>
          <w:rFonts w:hint="default" w:ascii="Times New Roman" w:hAnsi="Times New Roman" w:eastAsia="黑体" w:cs="Times New Roman"/>
          <w:b/>
          <w:bCs/>
          <w:color w:val="auto"/>
          <w:highlight w:val="none"/>
        </w:rPr>
        <w:t xml:space="preserve">表5-1-1 </w:t>
      </w:r>
      <w:r>
        <w:rPr>
          <w:rFonts w:hint="default" w:ascii="Times New Roman" w:hAnsi="Times New Roman" w:eastAsia="黑体" w:cs="Times New Roman"/>
          <w:b/>
          <w:bCs/>
          <w:color w:val="auto"/>
          <w:highlight w:val="none"/>
          <w:lang w:eastAsia="zh-CN"/>
        </w:rPr>
        <w:t>城东产业园（鄂城新区）</w:t>
      </w:r>
      <w:r>
        <w:rPr>
          <w:rFonts w:hint="default" w:ascii="Times New Roman" w:hAnsi="Times New Roman" w:eastAsia="黑体" w:cs="Times New Roman"/>
          <w:b/>
          <w:bCs/>
          <w:color w:val="auto"/>
          <w:highlight w:val="none"/>
        </w:rPr>
        <w:t>土壤点位参考标准一览表</w:t>
      </w:r>
    </w:p>
    <w:tbl>
      <w:tblPr>
        <w:tblStyle w:val="21"/>
        <w:tblW w:w="9612"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1155"/>
        <w:gridCol w:w="1080"/>
        <w:gridCol w:w="2640"/>
        <w:gridCol w:w="4103"/>
      </w:tblGrid>
      <w:tr w14:paraId="46BB79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tblHeader/>
          <w:jc w:val="center"/>
        </w:trPr>
        <w:tc>
          <w:tcPr>
            <w:tcW w:w="634" w:type="dxa"/>
            <w:tcBorders>
              <w:bottom w:val="single" w:color="000000" w:sz="12" w:space="0"/>
            </w:tcBorders>
            <w:shd w:val="clear" w:color="auto" w:fill="auto"/>
            <w:noWrap/>
            <w:tcMar>
              <w:top w:w="15" w:type="dxa"/>
              <w:left w:w="15" w:type="dxa"/>
              <w:right w:w="15" w:type="dxa"/>
            </w:tcMar>
            <w:vAlign w:val="center"/>
          </w:tcPr>
          <w:p w14:paraId="1B361A61">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序号</w:t>
            </w:r>
          </w:p>
        </w:tc>
        <w:tc>
          <w:tcPr>
            <w:tcW w:w="1155" w:type="dxa"/>
            <w:tcBorders>
              <w:bottom w:val="single" w:color="000000" w:sz="12" w:space="0"/>
            </w:tcBorders>
            <w:shd w:val="clear" w:color="auto" w:fill="auto"/>
            <w:noWrap/>
            <w:tcMar>
              <w:top w:w="15" w:type="dxa"/>
              <w:left w:w="15" w:type="dxa"/>
              <w:right w:w="15" w:type="dxa"/>
            </w:tcMar>
            <w:vAlign w:val="center"/>
          </w:tcPr>
          <w:p w14:paraId="539CB23B">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点位编号</w:t>
            </w:r>
          </w:p>
        </w:tc>
        <w:tc>
          <w:tcPr>
            <w:tcW w:w="1080" w:type="dxa"/>
            <w:tcBorders>
              <w:bottom w:val="single" w:color="000000" w:sz="12" w:space="0"/>
            </w:tcBorders>
            <w:shd w:val="clear" w:color="auto" w:fill="auto"/>
            <w:noWrap/>
            <w:tcMar>
              <w:top w:w="15" w:type="dxa"/>
              <w:left w:w="15" w:type="dxa"/>
              <w:right w:w="15" w:type="dxa"/>
            </w:tcMar>
            <w:vAlign w:val="center"/>
          </w:tcPr>
          <w:p w14:paraId="329877DB">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点位类型</w:t>
            </w:r>
          </w:p>
        </w:tc>
        <w:tc>
          <w:tcPr>
            <w:tcW w:w="2640" w:type="dxa"/>
            <w:tcBorders>
              <w:bottom w:val="single" w:color="000000" w:sz="12" w:space="0"/>
            </w:tcBorders>
            <w:shd w:val="clear" w:color="auto" w:fill="auto"/>
            <w:noWrap/>
            <w:tcMar>
              <w:top w:w="15" w:type="dxa"/>
              <w:left w:w="15" w:type="dxa"/>
              <w:right w:w="15" w:type="dxa"/>
            </w:tcMar>
            <w:vAlign w:val="center"/>
          </w:tcPr>
          <w:p w14:paraId="6C8A7154">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规划/现状用地类型</w:t>
            </w:r>
            <w:r>
              <w:rPr>
                <w:rFonts w:hint="default" w:ascii="Times New Roman" w:hAnsi="Times New Roman" w:cs="Times New Roman"/>
                <w:b/>
                <w:bCs/>
                <w:color w:val="auto"/>
                <w:kern w:val="0"/>
                <w:sz w:val="21"/>
                <w:szCs w:val="21"/>
                <w:highlight w:val="none"/>
                <w:vertAlign w:val="superscript"/>
                <w:lang w:val="en-US" w:eastAsia="zh-CN" w:bidi="ar"/>
              </w:rPr>
              <w:t>①</w:t>
            </w:r>
          </w:p>
        </w:tc>
        <w:tc>
          <w:tcPr>
            <w:tcW w:w="4103" w:type="dxa"/>
            <w:tcBorders>
              <w:bottom w:val="single" w:color="000000" w:sz="12" w:space="0"/>
            </w:tcBorders>
            <w:shd w:val="clear" w:color="auto" w:fill="auto"/>
            <w:noWrap/>
            <w:tcMar>
              <w:top w:w="15" w:type="dxa"/>
              <w:left w:w="15" w:type="dxa"/>
              <w:right w:w="15" w:type="dxa"/>
            </w:tcMar>
            <w:vAlign w:val="center"/>
          </w:tcPr>
          <w:p w14:paraId="6FDCDF0E">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cs="Times New Roman"/>
                <w:b/>
                <w:bCs/>
                <w:color w:val="auto"/>
                <w:kern w:val="0"/>
                <w:sz w:val="21"/>
                <w:szCs w:val="21"/>
                <w:highlight w:val="none"/>
                <w:lang w:bidi="ar"/>
              </w:rPr>
              <w:t>参考标准</w:t>
            </w:r>
            <w:r>
              <w:rPr>
                <w:rFonts w:hint="default" w:ascii="Times New Roman" w:hAnsi="Times New Roman" w:cs="Times New Roman"/>
                <w:b/>
                <w:bCs/>
                <w:color w:val="auto"/>
                <w:kern w:val="0"/>
                <w:sz w:val="21"/>
                <w:szCs w:val="21"/>
                <w:highlight w:val="none"/>
                <w:vertAlign w:val="superscript"/>
                <w:lang w:val="en-US" w:eastAsia="zh-CN" w:bidi="ar"/>
              </w:rPr>
              <w:t>②</w:t>
            </w:r>
          </w:p>
        </w:tc>
      </w:tr>
      <w:tr w14:paraId="7651083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op w:val="single" w:color="000000" w:sz="12" w:space="0"/>
              <w:tl2br w:val="nil"/>
              <w:tr2bl w:val="nil"/>
            </w:tcBorders>
            <w:shd w:val="clear" w:color="auto" w:fill="auto"/>
            <w:noWrap/>
            <w:tcMar>
              <w:top w:w="15" w:type="dxa"/>
              <w:left w:w="15" w:type="dxa"/>
              <w:right w:w="15" w:type="dxa"/>
            </w:tcMar>
            <w:vAlign w:val="center"/>
          </w:tcPr>
          <w:p w14:paraId="52020E4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w:t>
            </w:r>
          </w:p>
        </w:tc>
        <w:tc>
          <w:tcPr>
            <w:tcW w:w="1155" w:type="dxa"/>
            <w:tcBorders>
              <w:top w:val="single" w:color="000000" w:sz="12" w:space="0"/>
              <w:tl2br w:val="nil"/>
              <w:tr2bl w:val="nil"/>
            </w:tcBorders>
            <w:shd w:val="clear" w:color="auto" w:fill="auto"/>
            <w:noWrap/>
            <w:tcMar>
              <w:top w:w="15" w:type="dxa"/>
              <w:left w:w="15" w:type="dxa"/>
              <w:right w:w="15" w:type="dxa"/>
            </w:tcMar>
            <w:vAlign w:val="center"/>
          </w:tcPr>
          <w:p w14:paraId="12786ED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XM-1-75</w:t>
            </w:r>
          </w:p>
        </w:tc>
        <w:tc>
          <w:tcPr>
            <w:tcW w:w="1080" w:type="dxa"/>
            <w:vMerge w:val="restart"/>
            <w:tcBorders>
              <w:top w:val="single" w:color="000000" w:sz="12" w:space="0"/>
              <w:tl2br w:val="nil"/>
              <w:tr2bl w:val="nil"/>
            </w:tcBorders>
            <w:shd w:val="clear" w:color="auto" w:fill="auto"/>
            <w:noWrap/>
            <w:tcMar>
              <w:top w:w="15" w:type="dxa"/>
              <w:left w:w="15" w:type="dxa"/>
              <w:right w:w="15" w:type="dxa"/>
            </w:tcMar>
            <w:vAlign w:val="center"/>
          </w:tcPr>
          <w:p w14:paraId="034E4C6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园区周边点位</w:t>
            </w:r>
          </w:p>
        </w:tc>
        <w:tc>
          <w:tcPr>
            <w:tcW w:w="2640" w:type="dxa"/>
            <w:tcBorders>
              <w:top w:val="single" w:color="000000" w:sz="12" w:space="0"/>
              <w:tl2br w:val="nil"/>
              <w:tr2bl w:val="nil"/>
            </w:tcBorders>
            <w:shd w:val="clear" w:color="auto" w:fill="auto"/>
            <w:noWrap/>
            <w:tcMar>
              <w:top w:w="15" w:type="dxa"/>
              <w:left w:w="15" w:type="dxa"/>
              <w:right w:w="15" w:type="dxa"/>
            </w:tcMar>
          </w:tcPr>
          <w:p w14:paraId="59FEE8A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农用地：其它</w:t>
            </w:r>
            <w:r>
              <w:rPr>
                <w:rFonts w:hint="default" w:ascii="Times New Roman" w:hAnsi="Times New Roman" w:cs="Times New Roman"/>
                <w:color w:val="auto"/>
                <w:kern w:val="0"/>
                <w:sz w:val="21"/>
                <w:szCs w:val="21"/>
                <w:highlight w:val="none"/>
                <w:vertAlign w:val="superscript"/>
                <w:lang w:val="en-US" w:eastAsia="zh-CN" w:bidi="ar"/>
              </w:rPr>
              <w:t>③</w:t>
            </w:r>
          </w:p>
        </w:tc>
        <w:tc>
          <w:tcPr>
            <w:tcW w:w="4103" w:type="dxa"/>
            <w:tcBorders>
              <w:top w:val="single" w:color="000000" w:sz="12" w:space="0"/>
              <w:tl2br w:val="nil"/>
              <w:tr2bl w:val="nil"/>
            </w:tcBorders>
            <w:shd w:val="clear" w:color="auto" w:fill="auto"/>
            <w:noWrap/>
            <w:tcMar>
              <w:top w:w="15" w:type="dxa"/>
              <w:left w:w="15" w:type="dxa"/>
              <w:right w:w="15" w:type="dxa"/>
            </w:tcMar>
            <w:vAlign w:val="center"/>
          </w:tcPr>
          <w:p w14:paraId="5B0FE36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第一类用地筛选值</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GB15618其它</w:t>
            </w:r>
          </w:p>
        </w:tc>
      </w:tr>
      <w:tr w14:paraId="051DEF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50B6631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w:t>
            </w:r>
          </w:p>
        </w:tc>
        <w:tc>
          <w:tcPr>
            <w:tcW w:w="1155" w:type="dxa"/>
            <w:tcBorders>
              <w:tl2br w:val="nil"/>
              <w:tr2bl w:val="nil"/>
            </w:tcBorders>
            <w:shd w:val="clear" w:color="auto" w:fill="auto"/>
            <w:noWrap/>
            <w:tcMar>
              <w:top w:w="15" w:type="dxa"/>
              <w:left w:w="15" w:type="dxa"/>
              <w:right w:w="15" w:type="dxa"/>
            </w:tcMar>
            <w:vAlign w:val="center"/>
          </w:tcPr>
          <w:p w14:paraId="1A26BC1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XM -1-200</w:t>
            </w:r>
          </w:p>
        </w:tc>
        <w:tc>
          <w:tcPr>
            <w:tcW w:w="1080" w:type="dxa"/>
            <w:vMerge w:val="continue"/>
            <w:tcBorders>
              <w:tl2br w:val="nil"/>
              <w:tr2bl w:val="nil"/>
            </w:tcBorders>
            <w:shd w:val="clear" w:color="auto" w:fill="auto"/>
            <w:noWrap/>
            <w:tcMar>
              <w:top w:w="15" w:type="dxa"/>
              <w:left w:w="15" w:type="dxa"/>
              <w:right w:w="15" w:type="dxa"/>
            </w:tcMar>
            <w:vAlign w:val="center"/>
          </w:tcPr>
          <w:p w14:paraId="2012B1D5">
            <w:pPr>
              <w:widowControl/>
              <w:spacing w:line="240" w:lineRule="auto"/>
              <w:jc w:val="center"/>
              <w:textAlignment w:val="center"/>
              <w:rPr>
                <w:rFonts w:hint="default" w:ascii="Times New Roman" w:hAnsi="Times New Roman" w:cs="Times New Roman"/>
                <w:color w:val="auto"/>
                <w:sz w:val="21"/>
                <w:szCs w:val="21"/>
                <w:highlight w:val="none"/>
              </w:rPr>
            </w:pPr>
          </w:p>
        </w:tc>
        <w:tc>
          <w:tcPr>
            <w:tcW w:w="2640" w:type="dxa"/>
            <w:tcBorders>
              <w:tl2br w:val="nil"/>
              <w:tr2bl w:val="nil"/>
            </w:tcBorders>
            <w:shd w:val="clear" w:color="auto" w:fill="auto"/>
            <w:noWrap/>
            <w:tcMar>
              <w:top w:w="15" w:type="dxa"/>
              <w:left w:w="15" w:type="dxa"/>
              <w:right w:w="15" w:type="dxa"/>
            </w:tcMar>
          </w:tcPr>
          <w:p w14:paraId="2B6A9B3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农用地：其它</w:t>
            </w:r>
          </w:p>
        </w:tc>
        <w:tc>
          <w:tcPr>
            <w:tcW w:w="4103" w:type="dxa"/>
            <w:tcBorders>
              <w:tl2br w:val="nil"/>
              <w:tr2bl w:val="nil"/>
            </w:tcBorders>
            <w:shd w:val="clear" w:color="auto" w:fill="auto"/>
            <w:noWrap/>
            <w:tcMar>
              <w:top w:w="15" w:type="dxa"/>
              <w:left w:w="15" w:type="dxa"/>
              <w:right w:w="15" w:type="dxa"/>
            </w:tcMar>
            <w:vAlign w:val="center"/>
          </w:tcPr>
          <w:p w14:paraId="750B4B3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第一类用地筛选值</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GB15618其它</w:t>
            </w:r>
          </w:p>
        </w:tc>
      </w:tr>
      <w:tr w14:paraId="292A07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0404B0B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w:t>
            </w:r>
          </w:p>
        </w:tc>
        <w:tc>
          <w:tcPr>
            <w:tcW w:w="1155" w:type="dxa"/>
            <w:tcBorders>
              <w:tl2br w:val="nil"/>
              <w:tr2bl w:val="nil"/>
            </w:tcBorders>
            <w:shd w:val="clear" w:color="auto" w:fill="auto"/>
            <w:noWrap/>
            <w:tcMar>
              <w:top w:w="15" w:type="dxa"/>
              <w:left w:w="15" w:type="dxa"/>
              <w:right w:w="15" w:type="dxa"/>
            </w:tcMar>
            <w:vAlign w:val="center"/>
          </w:tcPr>
          <w:p w14:paraId="12E0890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XM -1-400</w:t>
            </w:r>
          </w:p>
        </w:tc>
        <w:tc>
          <w:tcPr>
            <w:tcW w:w="1080" w:type="dxa"/>
            <w:vMerge w:val="continue"/>
            <w:tcBorders>
              <w:tl2br w:val="nil"/>
              <w:tr2bl w:val="nil"/>
            </w:tcBorders>
            <w:shd w:val="clear" w:color="auto" w:fill="auto"/>
            <w:noWrap/>
            <w:tcMar>
              <w:top w:w="15" w:type="dxa"/>
              <w:left w:w="15" w:type="dxa"/>
              <w:right w:w="15" w:type="dxa"/>
            </w:tcMar>
            <w:vAlign w:val="center"/>
          </w:tcPr>
          <w:p w14:paraId="6F1F7A29">
            <w:pPr>
              <w:widowControl/>
              <w:spacing w:line="240" w:lineRule="auto"/>
              <w:jc w:val="center"/>
              <w:textAlignment w:val="center"/>
              <w:rPr>
                <w:rFonts w:hint="default" w:ascii="Times New Roman" w:hAnsi="Times New Roman" w:cs="Times New Roman"/>
                <w:color w:val="auto"/>
                <w:sz w:val="21"/>
                <w:szCs w:val="21"/>
                <w:highlight w:val="none"/>
              </w:rPr>
            </w:pPr>
          </w:p>
        </w:tc>
        <w:tc>
          <w:tcPr>
            <w:tcW w:w="2640" w:type="dxa"/>
            <w:tcBorders>
              <w:tl2br w:val="nil"/>
              <w:tr2bl w:val="nil"/>
            </w:tcBorders>
            <w:shd w:val="clear" w:color="auto" w:fill="auto"/>
            <w:noWrap/>
            <w:tcMar>
              <w:top w:w="15" w:type="dxa"/>
              <w:left w:w="15" w:type="dxa"/>
              <w:right w:w="15" w:type="dxa"/>
            </w:tcMar>
          </w:tcPr>
          <w:p w14:paraId="308B1CD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农用地：其它</w:t>
            </w:r>
          </w:p>
        </w:tc>
        <w:tc>
          <w:tcPr>
            <w:tcW w:w="4103" w:type="dxa"/>
            <w:tcBorders>
              <w:tl2br w:val="nil"/>
              <w:tr2bl w:val="nil"/>
            </w:tcBorders>
            <w:shd w:val="clear" w:color="auto" w:fill="auto"/>
            <w:noWrap/>
            <w:tcMar>
              <w:top w:w="15" w:type="dxa"/>
              <w:left w:w="15" w:type="dxa"/>
              <w:right w:w="15" w:type="dxa"/>
            </w:tcMar>
            <w:vAlign w:val="center"/>
          </w:tcPr>
          <w:p w14:paraId="360E630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第一类用地筛选值</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GB15618其它</w:t>
            </w:r>
          </w:p>
        </w:tc>
      </w:tr>
      <w:tr w14:paraId="5E8235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5E28C1A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w:t>
            </w:r>
          </w:p>
        </w:tc>
        <w:tc>
          <w:tcPr>
            <w:tcW w:w="1155" w:type="dxa"/>
            <w:tcBorders>
              <w:tl2br w:val="nil"/>
              <w:tr2bl w:val="nil"/>
            </w:tcBorders>
            <w:shd w:val="clear" w:color="auto" w:fill="auto"/>
            <w:noWrap/>
            <w:tcMar>
              <w:top w:w="15" w:type="dxa"/>
              <w:left w:w="15" w:type="dxa"/>
              <w:right w:w="15" w:type="dxa"/>
            </w:tcMar>
            <w:vAlign w:val="center"/>
          </w:tcPr>
          <w:p w14:paraId="2E89DD5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XM -2-75</w:t>
            </w:r>
          </w:p>
        </w:tc>
        <w:tc>
          <w:tcPr>
            <w:tcW w:w="1080" w:type="dxa"/>
            <w:vMerge w:val="continue"/>
            <w:tcBorders>
              <w:tl2br w:val="nil"/>
              <w:tr2bl w:val="nil"/>
            </w:tcBorders>
            <w:shd w:val="clear" w:color="auto" w:fill="auto"/>
            <w:noWrap/>
            <w:tcMar>
              <w:top w:w="15" w:type="dxa"/>
              <w:left w:w="15" w:type="dxa"/>
              <w:right w:w="15" w:type="dxa"/>
            </w:tcMar>
            <w:vAlign w:val="center"/>
          </w:tcPr>
          <w:p w14:paraId="6E833C4B">
            <w:pPr>
              <w:widowControl/>
              <w:spacing w:line="240" w:lineRule="auto"/>
              <w:jc w:val="center"/>
              <w:textAlignment w:val="center"/>
              <w:rPr>
                <w:rFonts w:hint="default" w:ascii="Times New Roman" w:hAnsi="Times New Roman" w:cs="Times New Roman"/>
                <w:color w:val="auto"/>
                <w:sz w:val="21"/>
                <w:szCs w:val="21"/>
                <w:highlight w:val="none"/>
              </w:rPr>
            </w:pPr>
          </w:p>
        </w:tc>
        <w:tc>
          <w:tcPr>
            <w:tcW w:w="2640" w:type="dxa"/>
            <w:tcBorders>
              <w:tl2br w:val="nil"/>
              <w:tr2bl w:val="nil"/>
            </w:tcBorders>
            <w:shd w:val="clear" w:color="auto" w:fill="auto"/>
            <w:noWrap/>
            <w:tcMar>
              <w:top w:w="15" w:type="dxa"/>
              <w:left w:w="15" w:type="dxa"/>
              <w:right w:w="15" w:type="dxa"/>
            </w:tcMar>
            <w:vAlign w:val="center"/>
          </w:tcPr>
          <w:p w14:paraId="2F44740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道路与交通设施用地</w:t>
            </w:r>
          </w:p>
        </w:tc>
        <w:tc>
          <w:tcPr>
            <w:tcW w:w="4103" w:type="dxa"/>
            <w:tcBorders>
              <w:tl2br w:val="nil"/>
              <w:tr2bl w:val="nil"/>
            </w:tcBorders>
            <w:shd w:val="clear" w:color="auto" w:fill="auto"/>
            <w:noWrap/>
            <w:tcMar>
              <w:top w:w="15" w:type="dxa"/>
              <w:left w:w="15" w:type="dxa"/>
              <w:right w:w="15" w:type="dxa"/>
            </w:tcMar>
            <w:vAlign w:val="center"/>
          </w:tcPr>
          <w:p w14:paraId="0825851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第二类用地筛选值</w:t>
            </w:r>
          </w:p>
        </w:tc>
      </w:tr>
      <w:tr w14:paraId="43F8C7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7BFAFD9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w:t>
            </w:r>
          </w:p>
        </w:tc>
        <w:tc>
          <w:tcPr>
            <w:tcW w:w="1155" w:type="dxa"/>
            <w:tcBorders>
              <w:tl2br w:val="nil"/>
              <w:tr2bl w:val="nil"/>
            </w:tcBorders>
            <w:shd w:val="clear" w:color="auto" w:fill="auto"/>
            <w:noWrap/>
            <w:tcMar>
              <w:top w:w="15" w:type="dxa"/>
              <w:left w:w="15" w:type="dxa"/>
              <w:right w:w="15" w:type="dxa"/>
            </w:tcMar>
            <w:vAlign w:val="center"/>
          </w:tcPr>
          <w:p w14:paraId="27F8990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XM -2-200</w:t>
            </w:r>
          </w:p>
        </w:tc>
        <w:tc>
          <w:tcPr>
            <w:tcW w:w="1080" w:type="dxa"/>
            <w:vMerge w:val="continue"/>
            <w:tcBorders>
              <w:tl2br w:val="nil"/>
              <w:tr2bl w:val="nil"/>
            </w:tcBorders>
            <w:shd w:val="clear" w:color="auto" w:fill="auto"/>
            <w:noWrap/>
            <w:tcMar>
              <w:top w:w="15" w:type="dxa"/>
              <w:left w:w="15" w:type="dxa"/>
              <w:right w:w="15" w:type="dxa"/>
            </w:tcMar>
            <w:vAlign w:val="center"/>
          </w:tcPr>
          <w:p w14:paraId="10498917">
            <w:pPr>
              <w:widowControl/>
              <w:spacing w:line="240" w:lineRule="auto"/>
              <w:jc w:val="center"/>
              <w:textAlignment w:val="center"/>
              <w:rPr>
                <w:rFonts w:hint="default" w:ascii="Times New Roman" w:hAnsi="Times New Roman" w:cs="Times New Roman"/>
                <w:color w:val="auto"/>
                <w:sz w:val="21"/>
                <w:szCs w:val="21"/>
                <w:highlight w:val="none"/>
              </w:rPr>
            </w:pPr>
          </w:p>
        </w:tc>
        <w:tc>
          <w:tcPr>
            <w:tcW w:w="2640" w:type="dxa"/>
            <w:tcBorders>
              <w:tl2br w:val="nil"/>
              <w:tr2bl w:val="nil"/>
            </w:tcBorders>
            <w:shd w:val="clear" w:color="auto" w:fill="auto"/>
            <w:noWrap/>
            <w:tcMar>
              <w:top w:w="15" w:type="dxa"/>
              <w:left w:w="15" w:type="dxa"/>
              <w:right w:w="15" w:type="dxa"/>
            </w:tcMar>
            <w:vAlign w:val="center"/>
          </w:tcPr>
          <w:p w14:paraId="3544D35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道路与交通设施用地</w:t>
            </w:r>
          </w:p>
        </w:tc>
        <w:tc>
          <w:tcPr>
            <w:tcW w:w="4103" w:type="dxa"/>
            <w:tcBorders>
              <w:tl2br w:val="nil"/>
              <w:tr2bl w:val="nil"/>
            </w:tcBorders>
            <w:shd w:val="clear" w:color="auto" w:fill="auto"/>
            <w:noWrap/>
            <w:tcMar>
              <w:top w:w="15" w:type="dxa"/>
              <w:left w:w="15" w:type="dxa"/>
              <w:right w:w="15" w:type="dxa"/>
            </w:tcMar>
            <w:vAlign w:val="center"/>
          </w:tcPr>
          <w:p w14:paraId="111B78B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第二类用地筛选值</w:t>
            </w:r>
          </w:p>
        </w:tc>
      </w:tr>
      <w:tr w14:paraId="764AA5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10B2DCE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w:t>
            </w:r>
          </w:p>
        </w:tc>
        <w:tc>
          <w:tcPr>
            <w:tcW w:w="1155" w:type="dxa"/>
            <w:tcBorders>
              <w:tl2br w:val="nil"/>
              <w:tr2bl w:val="nil"/>
            </w:tcBorders>
            <w:shd w:val="clear" w:color="auto" w:fill="auto"/>
            <w:noWrap/>
            <w:tcMar>
              <w:top w:w="15" w:type="dxa"/>
              <w:left w:w="15" w:type="dxa"/>
              <w:right w:w="15" w:type="dxa"/>
            </w:tcMar>
            <w:vAlign w:val="center"/>
          </w:tcPr>
          <w:p w14:paraId="61E8C73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XM -2-400</w:t>
            </w:r>
          </w:p>
        </w:tc>
        <w:tc>
          <w:tcPr>
            <w:tcW w:w="1080" w:type="dxa"/>
            <w:vMerge w:val="continue"/>
            <w:tcBorders>
              <w:tl2br w:val="nil"/>
              <w:tr2bl w:val="nil"/>
            </w:tcBorders>
            <w:shd w:val="clear" w:color="auto" w:fill="auto"/>
            <w:noWrap/>
            <w:tcMar>
              <w:top w:w="15" w:type="dxa"/>
              <w:left w:w="15" w:type="dxa"/>
              <w:right w:w="15" w:type="dxa"/>
            </w:tcMar>
            <w:vAlign w:val="center"/>
          </w:tcPr>
          <w:p w14:paraId="7EB05D9E">
            <w:pPr>
              <w:widowControl/>
              <w:spacing w:line="240" w:lineRule="auto"/>
              <w:jc w:val="center"/>
              <w:textAlignment w:val="center"/>
              <w:rPr>
                <w:rFonts w:hint="default" w:ascii="Times New Roman" w:hAnsi="Times New Roman" w:cs="Times New Roman"/>
                <w:color w:val="auto"/>
                <w:sz w:val="21"/>
                <w:szCs w:val="21"/>
                <w:highlight w:val="none"/>
              </w:rPr>
            </w:pPr>
          </w:p>
        </w:tc>
        <w:tc>
          <w:tcPr>
            <w:tcW w:w="2640" w:type="dxa"/>
            <w:tcBorders>
              <w:tl2br w:val="nil"/>
              <w:tr2bl w:val="nil"/>
            </w:tcBorders>
            <w:shd w:val="clear" w:color="auto" w:fill="auto"/>
            <w:noWrap/>
            <w:tcMar>
              <w:top w:w="15" w:type="dxa"/>
              <w:left w:w="15" w:type="dxa"/>
              <w:right w:w="15" w:type="dxa"/>
            </w:tcMar>
            <w:vAlign w:val="center"/>
          </w:tcPr>
          <w:p w14:paraId="089C35E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道路与交通设施用地</w:t>
            </w:r>
          </w:p>
        </w:tc>
        <w:tc>
          <w:tcPr>
            <w:tcW w:w="4103" w:type="dxa"/>
            <w:tcBorders>
              <w:tl2br w:val="nil"/>
              <w:tr2bl w:val="nil"/>
            </w:tcBorders>
            <w:shd w:val="clear" w:color="auto" w:fill="auto"/>
            <w:noWrap/>
            <w:tcMar>
              <w:top w:w="15" w:type="dxa"/>
              <w:left w:w="15" w:type="dxa"/>
              <w:right w:w="15" w:type="dxa"/>
            </w:tcMar>
            <w:vAlign w:val="center"/>
          </w:tcPr>
          <w:p w14:paraId="554ADDA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第二类用地筛选值</w:t>
            </w:r>
          </w:p>
        </w:tc>
      </w:tr>
      <w:tr w14:paraId="79BECB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1615D48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w:t>
            </w:r>
          </w:p>
        </w:tc>
        <w:tc>
          <w:tcPr>
            <w:tcW w:w="1155" w:type="dxa"/>
            <w:tcBorders>
              <w:tl2br w:val="nil"/>
              <w:tr2bl w:val="nil"/>
            </w:tcBorders>
            <w:shd w:val="clear" w:color="auto" w:fill="auto"/>
            <w:noWrap/>
            <w:tcMar>
              <w:top w:w="15" w:type="dxa"/>
              <w:left w:w="15" w:type="dxa"/>
              <w:right w:w="15" w:type="dxa"/>
            </w:tcMar>
            <w:vAlign w:val="center"/>
          </w:tcPr>
          <w:p w14:paraId="66784CC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XM -3-75</w:t>
            </w:r>
          </w:p>
        </w:tc>
        <w:tc>
          <w:tcPr>
            <w:tcW w:w="1080" w:type="dxa"/>
            <w:vMerge w:val="continue"/>
            <w:tcBorders>
              <w:tl2br w:val="nil"/>
              <w:tr2bl w:val="nil"/>
            </w:tcBorders>
            <w:shd w:val="clear" w:color="auto" w:fill="auto"/>
            <w:noWrap/>
            <w:tcMar>
              <w:top w:w="15" w:type="dxa"/>
              <w:left w:w="15" w:type="dxa"/>
              <w:right w:w="15" w:type="dxa"/>
            </w:tcMar>
            <w:vAlign w:val="center"/>
          </w:tcPr>
          <w:p w14:paraId="654EC1EC">
            <w:pPr>
              <w:widowControl/>
              <w:spacing w:line="240" w:lineRule="auto"/>
              <w:jc w:val="center"/>
              <w:textAlignment w:val="center"/>
              <w:rPr>
                <w:rFonts w:hint="default" w:ascii="Times New Roman" w:hAnsi="Times New Roman" w:cs="Times New Roman"/>
                <w:color w:val="auto"/>
                <w:sz w:val="21"/>
                <w:szCs w:val="21"/>
                <w:highlight w:val="none"/>
              </w:rPr>
            </w:pPr>
          </w:p>
        </w:tc>
        <w:tc>
          <w:tcPr>
            <w:tcW w:w="2640" w:type="dxa"/>
            <w:tcBorders>
              <w:tl2br w:val="nil"/>
              <w:tr2bl w:val="nil"/>
            </w:tcBorders>
            <w:shd w:val="clear" w:color="auto" w:fill="auto"/>
            <w:noWrap/>
            <w:tcMar>
              <w:top w:w="15" w:type="dxa"/>
              <w:left w:w="15" w:type="dxa"/>
              <w:right w:w="15" w:type="dxa"/>
            </w:tcMar>
            <w:vAlign w:val="center"/>
          </w:tcPr>
          <w:p w14:paraId="1993EC6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农用地：其它</w:t>
            </w:r>
          </w:p>
        </w:tc>
        <w:tc>
          <w:tcPr>
            <w:tcW w:w="4103" w:type="dxa"/>
            <w:tcBorders>
              <w:tl2br w:val="nil"/>
              <w:tr2bl w:val="nil"/>
            </w:tcBorders>
            <w:shd w:val="clear" w:color="auto" w:fill="auto"/>
            <w:noWrap/>
            <w:tcMar>
              <w:top w:w="15" w:type="dxa"/>
              <w:left w:w="15" w:type="dxa"/>
              <w:right w:w="15" w:type="dxa"/>
            </w:tcMar>
            <w:vAlign w:val="center"/>
          </w:tcPr>
          <w:p w14:paraId="224E50B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第一类用地筛选值</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GB15618其它</w:t>
            </w:r>
          </w:p>
        </w:tc>
      </w:tr>
      <w:tr w14:paraId="68E39D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41503EF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8</w:t>
            </w:r>
          </w:p>
        </w:tc>
        <w:tc>
          <w:tcPr>
            <w:tcW w:w="1155" w:type="dxa"/>
            <w:tcBorders>
              <w:tl2br w:val="nil"/>
              <w:tr2bl w:val="nil"/>
            </w:tcBorders>
            <w:shd w:val="clear" w:color="auto" w:fill="auto"/>
            <w:noWrap/>
            <w:tcMar>
              <w:top w:w="15" w:type="dxa"/>
              <w:left w:w="15" w:type="dxa"/>
              <w:right w:w="15" w:type="dxa"/>
            </w:tcMar>
            <w:vAlign w:val="center"/>
          </w:tcPr>
          <w:p w14:paraId="5508DE7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XM -3-200</w:t>
            </w:r>
          </w:p>
        </w:tc>
        <w:tc>
          <w:tcPr>
            <w:tcW w:w="1080" w:type="dxa"/>
            <w:vMerge w:val="continue"/>
            <w:tcBorders>
              <w:tl2br w:val="nil"/>
              <w:tr2bl w:val="nil"/>
            </w:tcBorders>
            <w:shd w:val="clear" w:color="auto" w:fill="auto"/>
            <w:noWrap/>
            <w:tcMar>
              <w:top w:w="15" w:type="dxa"/>
              <w:left w:w="15" w:type="dxa"/>
              <w:right w:w="15" w:type="dxa"/>
            </w:tcMar>
            <w:vAlign w:val="center"/>
          </w:tcPr>
          <w:p w14:paraId="60D2E1DD">
            <w:pPr>
              <w:widowControl/>
              <w:spacing w:line="240" w:lineRule="auto"/>
              <w:jc w:val="center"/>
              <w:textAlignment w:val="center"/>
              <w:rPr>
                <w:rFonts w:hint="default" w:ascii="Times New Roman" w:hAnsi="Times New Roman" w:cs="Times New Roman"/>
                <w:color w:val="auto"/>
                <w:sz w:val="21"/>
                <w:szCs w:val="21"/>
                <w:highlight w:val="none"/>
              </w:rPr>
            </w:pPr>
          </w:p>
        </w:tc>
        <w:tc>
          <w:tcPr>
            <w:tcW w:w="2640" w:type="dxa"/>
            <w:tcBorders>
              <w:tl2br w:val="nil"/>
              <w:tr2bl w:val="nil"/>
            </w:tcBorders>
            <w:shd w:val="clear" w:color="auto" w:fill="auto"/>
            <w:noWrap/>
            <w:tcMar>
              <w:top w:w="15" w:type="dxa"/>
              <w:left w:w="15" w:type="dxa"/>
              <w:right w:w="15" w:type="dxa"/>
            </w:tcMar>
            <w:vAlign w:val="center"/>
          </w:tcPr>
          <w:p w14:paraId="4ACB573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农用地：水田</w:t>
            </w:r>
          </w:p>
        </w:tc>
        <w:tc>
          <w:tcPr>
            <w:tcW w:w="4103" w:type="dxa"/>
            <w:tcBorders>
              <w:tl2br w:val="nil"/>
              <w:tr2bl w:val="nil"/>
            </w:tcBorders>
            <w:shd w:val="clear" w:color="auto" w:fill="auto"/>
            <w:noWrap/>
            <w:tcMar>
              <w:top w:w="15" w:type="dxa"/>
              <w:left w:w="15" w:type="dxa"/>
              <w:right w:w="15" w:type="dxa"/>
            </w:tcMar>
            <w:vAlign w:val="center"/>
          </w:tcPr>
          <w:p w14:paraId="4892CFD1">
            <w:pPr>
              <w:widowControl/>
              <w:spacing w:line="240" w:lineRule="auto"/>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第一类用地筛选值</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GB15618</w:t>
            </w:r>
            <w:r>
              <w:rPr>
                <w:rFonts w:hint="default" w:ascii="Times New Roman" w:hAnsi="Times New Roman" w:cs="Times New Roman"/>
                <w:color w:val="auto"/>
                <w:sz w:val="21"/>
                <w:szCs w:val="21"/>
                <w:highlight w:val="none"/>
                <w:lang w:eastAsia="zh-CN"/>
              </w:rPr>
              <w:t>水田</w:t>
            </w:r>
          </w:p>
        </w:tc>
      </w:tr>
      <w:tr w14:paraId="087D4A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4F3883C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w:t>
            </w:r>
          </w:p>
        </w:tc>
        <w:tc>
          <w:tcPr>
            <w:tcW w:w="1155" w:type="dxa"/>
            <w:tcBorders>
              <w:tl2br w:val="nil"/>
              <w:tr2bl w:val="nil"/>
            </w:tcBorders>
            <w:shd w:val="clear" w:color="auto" w:fill="auto"/>
            <w:noWrap/>
            <w:tcMar>
              <w:top w:w="15" w:type="dxa"/>
              <w:left w:w="15" w:type="dxa"/>
              <w:right w:w="15" w:type="dxa"/>
            </w:tcMar>
            <w:vAlign w:val="center"/>
          </w:tcPr>
          <w:p w14:paraId="03E54C4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XM -3-400</w:t>
            </w:r>
          </w:p>
        </w:tc>
        <w:tc>
          <w:tcPr>
            <w:tcW w:w="1080" w:type="dxa"/>
            <w:vMerge w:val="continue"/>
            <w:tcBorders>
              <w:tl2br w:val="nil"/>
              <w:tr2bl w:val="nil"/>
            </w:tcBorders>
            <w:shd w:val="clear" w:color="auto" w:fill="auto"/>
            <w:noWrap/>
            <w:tcMar>
              <w:top w:w="15" w:type="dxa"/>
              <w:left w:w="15" w:type="dxa"/>
              <w:right w:w="15" w:type="dxa"/>
            </w:tcMar>
            <w:vAlign w:val="center"/>
          </w:tcPr>
          <w:p w14:paraId="1487CAAC">
            <w:pPr>
              <w:widowControl/>
              <w:spacing w:line="240" w:lineRule="auto"/>
              <w:jc w:val="center"/>
              <w:textAlignment w:val="center"/>
              <w:rPr>
                <w:rFonts w:hint="default" w:ascii="Times New Roman" w:hAnsi="Times New Roman" w:cs="Times New Roman"/>
                <w:color w:val="auto"/>
                <w:sz w:val="21"/>
                <w:szCs w:val="21"/>
                <w:highlight w:val="none"/>
              </w:rPr>
            </w:pPr>
          </w:p>
        </w:tc>
        <w:tc>
          <w:tcPr>
            <w:tcW w:w="2640" w:type="dxa"/>
            <w:tcBorders>
              <w:tl2br w:val="nil"/>
              <w:tr2bl w:val="nil"/>
            </w:tcBorders>
            <w:shd w:val="clear" w:color="auto" w:fill="auto"/>
            <w:noWrap/>
            <w:tcMar>
              <w:top w:w="15" w:type="dxa"/>
              <w:left w:w="15" w:type="dxa"/>
              <w:right w:w="15" w:type="dxa"/>
            </w:tcMar>
            <w:vAlign w:val="center"/>
          </w:tcPr>
          <w:p w14:paraId="6E621FF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农用地：其它</w:t>
            </w:r>
          </w:p>
        </w:tc>
        <w:tc>
          <w:tcPr>
            <w:tcW w:w="4103" w:type="dxa"/>
            <w:tcBorders>
              <w:tl2br w:val="nil"/>
              <w:tr2bl w:val="nil"/>
            </w:tcBorders>
            <w:shd w:val="clear" w:color="auto" w:fill="auto"/>
            <w:noWrap/>
            <w:tcMar>
              <w:top w:w="15" w:type="dxa"/>
              <w:left w:w="15" w:type="dxa"/>
              <w:right w:w="15" w:type="dxa"/>
            </w:tcMar>
            <w:vAlign w:val="center"/>
          </w:tcPr>
          <w:p w14:paraId="73F7285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第一类用地筛选值</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GB15618其它</w:t>
            </w:r>
          </w:p>
        </w:tc>
      </w:tr>
      <w:tr w14:paraId="35EF8B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198C9A6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1155" w:type="dxa"/>
            <w:tcBorders>
              <w:tl2br w:val="nil"/>
              <w:tr2bl w:val="nil"/>
            </w:tcBorders>
            <w:shd w:val="clear" w:color="auto" w:fill="auto"/>
            <w:noWrap/>
            <w:tcMar>
              <w:top w:w="15" w:type="dxa"/>
              <w:left w:w="15" w:type="dxa"/>
              <w:right w:w="15" w:type="dxa"/>
            </w:tcMar>
            <w:vAlign w:val="center"/>
          </w:tcPr>
          <w:p w14:paraId="3BCC697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XM -4</w:t>
            </w:r>
          </w:p>
        </w:tc>
        <w:tc>
          <w:tcPr>
            <w:tcW w:w="1080" w:type="dxa"/>
            <w:vMerge w:val="continue"/>
            <w:tcBorders>
              <w:tl2br w:val="nil"/>
              <w:tr2bl w:val="nil"/>
            </w:tcBorders>
            <w:shd w:val="clear" w:color="auto" w:fill="auto"/>
            <w:noWrap/>
            <w:tcMar>
              <w:top w:w="15" w:type="dxa"/>
              <w:left w:w="15" w:type="dxa"/>
              <w:right w:w="15" w:type="dxa"/>
            </w:tcMar>
            <w:vAlign w:val="center"/>
          </w:tcPr>
          <w:p w14:paraId="07BB6045">
            <w:pPr>
              <w:widowControl/>
              <w:spacing w:line="240" w:lineRule="auto"/>
              <w:jc w:val="center"/>
              <w:textAlignment w:val="center"/>
              <w:rPr>
                <w:rFonts w:hint="default" w:ascii="Times New Roman" w:hAnsi="Times New Roman" w:cs="Times New Roman"/>
                <w:color w:val="auto"/>
                <w:sz w:val="21"/>
                <w:szCs w:val="21"/>
                <w:highlight w:val="none"/>
              </w:rPr>
            </w:pPr>
          </w:p>
        </w:tc>
        <w:tc>
          <w:tcPr>
            <w:tcW w:w="2640" w:type="dxa"/>
            <w:tcBorders>
              <w:tl2br w:val="nil"/>
              <w:tr2bl w:val="nil"/>
            </w:tcBorders>
            <w:shd w:val="clear" w:color="auto" w:fill="auto"/>
            <w:noWrap/>
            <w:tcMar>
              <w:top w:w="15" w:type="dxa"/>
              <w:left w:w="15" w:type="dxa"/>
              <w:right w:w="15" w:type="dxa"/>
            </w:tcMar>
            <w:vAlign w:val="center"/>
          </w:tcPr>
          <w:p w14:paraId="06BF407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防护绿地</w:t>
            </w:r>
          </w:p>
        </w:tc>
        <w:tc>
          <w:tcPr>
            <w:tcW w:w="4103" w:type="dxa"/>
            <w:tcBorders>
              <w:tl2br w:val="nil"/>
              <w:tr2bl w:val="nil"/>
            </w:tcBorders>
            <w:shd w:val="clear" w:color="auto" w:fill="auto"/>
            <w:noWrap/>
            <w:tcMar>
              <w:top w:w="15" w:type="dxa"/>
              <w:left w:w="15" w:type="dxa"/>
              <w:right w:w="15" w:type="dxa"/>
            </w:tcMar>
            <w:vAlign w:val="center"/>
          </w:tcPr>
          <w:p w14:paraId="1716099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第二类用地筛选值</w:t>
            </w:r>
          </w:p>
        </w:tc>
      </w:tr>
      <w:tr w14:paraId="3837A6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30E849D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w:t>
            </w:r>
          </w:p>
        </w:tc>
        <w:tc>
          <w:tcPr>
            <w:tcW w:w="1155" w:type="dxa"/>
            <w:tcBorders>
              <w:tl2br w:val="nil"/>
              <w:tr2bl w:val="nil"/>
            </w:tcBorders>
            <w:shd w:val="clear" w:color="auto" w:fill="auto"/>
            <w:noWrap/>
            <w:tcMar>
              <w:top w:w="15" w:type="dxa"/>
              <w:left w:w="15" w:type="dxa"/>
              <w:right w:w="15" w:type="dxa"/>
            </w:tcMar>
            <w:vAlign w:val="center"/>
          </w:tcPr>
          <w:p w14:paraId="791881A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XM -JJ-1</w:t>
            </w:r>
          </w:p>
        </w:tc>
        <w:tc>
          <w:tcPr>
            <w:tcW w:w="1080" w:type="dxa"/>
            <w:vMerge w:val="restart"/>
            <w:tcBorders>
              <w:tl2br w:val="nil"/>
              <w:tr2bl w:val="nil"/>
            </w:tcBorders>
            <w:shd w:val="clear" w:color="auto" w:fill="auto"/>
            <w:noWrap/>
            <w:tcMar>
              <w:top w:w="15" w:type="dxa"/>
              <w:left w:w="15" w:type="dxa"/>
              <w:right w:w="15" w:type="dxa"/>
            </w:tcMar>
            <w:vAlign w:val="center"/>
          </w:tcPr>
          <w:p w14:paraId="204152A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已建成企业聚集区周边点位</w:t>
            </w:r>
          </w:p>
        </w:tc>
        <w:tc>
          <w:tcPr>
            <w:tcW w:w="2640" w:type="dxa"/>
            <w:tcBorders>
              <w:tl2br w:val="nil"/>
              <w:tr2bl w:val="nil"/>
            </w:tcBorders>
            <w:shd w:val="clear" w:color="auto" w:fill="auto"/>
            <w:noWrap/>
            <w:tcMar>
              <w:top w:w="15" w:type="dxa"/>
              <w:left w:w="15" w:type="dxa"/>
              <w:right w:w="15" w:type="dxa"/>
            </w:tcMar>
            <w:vAlign w:val="center"/>
          </w:tcPr>
          <w:p w14:paraId="5E5872E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居住用地</w:t>
            </w:r>
          </w:p>
        </w:tc>
        <w:tc>
          <w:tcPr>
            <w:tcW w:w="4103" w:type="dxa"/>
            <w:tcBorders>
              <w:tl2br w:val="nil"/>
              <w:tr2bl w:val="nil"/>
            </w:tcBorders>
            <w:shd w:val="clear" w:color="auto" w:fill="auto"/>
            <w:noWrap/>
            <w:tcMar>
              <w:top w:w="15" w:type="dxa"/>
              <w:left w:w="15" w:type="dxa"/>
              <w:right w:w="15" w:type="dxa"/>
            </w:tcMar>
            <w:vAlign w:val="center"/>
          </w:tcPr>
          <w:p w14:paraId="00F55B0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第一类用地筛选值</w:t>
            </w:r>
          </w:p>
        </w:tc>
      </w:tr>
      <w:tr w14:paraId="17F9F8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074DACD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w:t>
            </w:r>
          </w:p>
        </w:tc>
        <w:tc>
          <w:tcPr>
            <w:tcW w:w="1155" w:type="dxa"/>
            <w:tcBorders>
              <w:tl2br w:val="nil"/>
              <w:tr2bl w:val="nil"/>
            </w:tcBorders>
            <w:shd w:val="clear" w:color="auto" w:fill="auto"/>
            <w:noWrap/>
            <w:tcMar>
              <w:top w:w="15" w:type="dxa"/>
              <w:left w:w="15" w:type="dxa"/>
              <w:right w:w="15" w:type="dxa"/>
            </w:tcMar>
            <w:vAlign w:val="center"/>
          </w:tcPr>
          <w:p w14:paraId="0905A43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XM -JJ-2</w:t>
            </w:r>
          </w:p>
        </w:tc>
        <w:tc>
          <w:tcPr>
            <w:tcW w:w="1080" w:type="dxa"/>
            <w:vMerge w:val="continue"/>
            <w:tcBorders>
              <w:tl2br w:val="nil"/>
              <w:tr2bl w:val="nil"/>
            </w:tcBorders>
            <w:shd w:val="clear" w:color="auto" w:fill="auto"/>
            <w:noWrap/>
            <w:tcMar>
              <w:top w:w="15" w:type="dxa"/>
              <w:left w:w="15" w:type="dxa"/>
              <w:right w:w="15" w:type="dxa"/>
            </w:tcMar>
            <w:vAlign w:val="center"/>
          </w:tcPr>
          <w:p w14:paraId="0A8B82E8">
            <w:pPr>
              <w:widowControl/>
              <w:spacing w:line="240" w:lineRule="auto"/>
              <w:jc w:val="center"/>
              <w:textAlignment w:val="center"/>
              <w:rPr>
                <w:rFonts w:hint="default" w:ascii="Times New Roman" w:hAnsi="Times New Roman" w:cs="Times New Roman"/>
                <w:color w:val="auto"/>
                <w:sz w:val="21"/>
                <w:szCs w:val="21"/>
                <w:highlight w:val="none"/>
              </w:rPr>
            </w:pPr>
          </w:p>
        </w:tc>
        <w:tc>
          <w:tcPr>
            <w:tcW w:w="2640" w:type="dxa"/>
            <w:tcBorders>
              <w:tl2br w:val="nil"/>
              <w:tr2bl w:val="nil"/>
            </w:tcBorders>
            <w:shd w:val="clear" w:color="auto" w:fill="auto"/>
            <w:noWrap/>
            <w:tcMar>
              <w:top w:w="15" w:type="dxa"/>
              <w:left w:w="15" w:type="dxa"/>
              <w:right w:w="15" w:type="dxa"/>
            </w:tcMar>
            <w:vAlign w:val="center"/>
          </w:tcPr>
          <w:p w14:paraId="16D41E6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工业用地</w:t>
            </w:r>
          </w:p>
        </w:tc>
        <w:tc>
          <w:tcPr>
            <w:tcW w:w="4103" w:type="dxa"/>
            <w:tcBorders>
              <w:tl2br w:val="nil"/>
              <w:tr2bl w:val="nil"/>
            </w:tcBorders>
            <w:shd w:val="clear" w:color="auto" w:fill="auto"/>
            <w:noWrap/>
            <w:tcMar>
              <w:top w:w="15" w:type="dxa"/>
              <w:left w:w="15" w:type="dxa"/>
              <w:right w:w="15" w:type="dxa"/>
            </w:tcMar>
            <w:vAlign w:val="center"/>
          </w:tcPr>
          <w:p w14:paraId="6BDE1CC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第二类用地筛选值</w:t>
            </w:r>
          </w:p>
        </w:tc>
      </w:tr>
      <w:tr w14:paraId="2F4B39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0015BD8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13</w:t>
            </w:r>
          </w:p>
        </w:tc>
        <w:tc>
          <w:tcPr>
            <w:tcW w:w="1155" w:type="dxa"/>
            <w:tcBorders>
              <w:tl2br w:val="nil"/>
              <w:tr2bl w:val="nil"/>
            </w:tcBorders>
            <w:shd w:val="clear" w:color="auto" w:fill="auto"/>
            <w:noWrap/>
            <w:tcMar>
              <w:top w:w="15" w:type="dxa"/>
              <w:left w:w="15" w:type="dxa"/>
              <w:right w:w="15" w:type="dxa"/>
            </w:tcMar>
            <w:vAlign w:val="center"/>
          </w:tcPr>
          <w:p w14:paraId="1EC9473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XM -JJ-3</w:t>
            </w:r>
          </w:p>
        </w:tc>
        <w:tc>
          <w:tcPr>
            <w:tcW w:w="1080" w:type="dxa"/>
            <w:vMerge w:val="continue"/>
            <w:tcBorders>
              <w:tl2br w:val="nil"/>
              <w:tr2bl w:val="nil"/>
            </w:tcBorders>
            <w:shd w:val="clear" w:color="auto" w:fill="auto"/>
            <w:noWrap/>
            <w:tcMar>
              <w:top w:w="15" w:type="dxa"/>
              <w:left w:w="15" w:type="dxa"/>
              <w:right w:w="15" w:type="dxa"/>
            </w:tcMar>
            <w:vAlign w:val="center"/>
          </w:tcPr>
          <w:p w14:paraId="7D0CC2EE">
            <w:pPr>
              <w:widowControl/>
              <w:spacing w:line="240" w:lineRule="auto"/>
              <w:jc w:val="center"/>
              <w:textAlignment w:val="center"/>
              <w:rPr>
                <w:rFonts w:hint="default" w:ascii="Times New Roman" w:hAnsi="Times New Roman" w:cs="Times New Roman"/>
                <w:color w:val="auto"/>
                <w:sz w:val="21"/>
                <w:szCs w:val="21"/>
                <w:highlight w:val="none"/>
              </w:rPr>
            </w:pPr>
          </w:p>
        </w:tc>
        <w:tc>
          <w:tcPr>
            <w:tcW w:w="2640" w:type="dxa"/>
            <w:tcBorders>
              <w:tl2br w:val="nil"/>
              <w:tr2bl w:val="nil"/>
            </w:tcBorders>
            <w:shd w:val="clear" w:color="auto" w:fill="auto"/>
            <w:noWrap/>
            <w:tcMar>
              <w:top w:w="15" w:type="dxa"/>
              <w:left w:w="15" w:type="dxa"/>
              <w:right w:w="15" w:type="dxa"/>
            </w:tcMar>
            <w:vAlign w:val="center"/>
          </w:tcPr>
          <w:p w14:paraId="686C528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居住用地</w:t>
            </w:r>
          </w:p>
        </w:tc>
        <w:tc>
          <w:tcPr>
            <w:tcW w:w="4103" w:type="dxa"/>
            <w:tcBorders>
              <w:tl2br w:val="nil"/>
              <w:tr2bl w:val="nil"/>
            </w:tcBorders>
            <w:shd w:val="clear" w:color="auto" w:fill="auto"/>
            <w:noWrap/>
            <w:tcMar>
              <w:top w:w="15" w:type="dxa"/>
              <w:left w:w="15" w:type="dxa"/>
              <w:right w:w="15" w:type="dxa"/>
            </w:tcMar>
            <w:vAlign w:val="center"/>
          </w:tcPr>
          <w:p w14:paraId="6BDB46D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第一类用地筛选值</w:t>
            </w:r>
          </w:p>
        </w:tc>
      </w:tr>
      <w:tr w14:paraId="11509A6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634" w:type="dxa"/>
            <w:tcBorders>
              <w:tl2br w:val="nil"/>
              <w:tr2bl w:val="nil"/>
            </w:tcBorders>
            <w:shd w:val="clear" w:color="auto" w:fill="auto"/>
            <w:noWrap/>
            <w:tcMar>
              <w:top w:w="15" w:type="dxa"/>
              <w:left w:w="15" w:type="dxa"/>
              <w:right w:w="15" w:type="dxa"/>
            </w:tcMar>
            <w:vAlign w:val="center"/>
          </w:tcPr>
          <w:p w14:paraId="172AB19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14</w:t>
            </w:r>
          </w:p>
        </w:tc>
        <w:tc>
          <w:tcPr>
            <w:tcW w:w="1155" w:type="dxa"/>
            <w:tcBorders>
              <w:tl2br w:val="nil"/>
              <w:tr2bl w:val="nil"/>
            </w:tcBorders>
            <w:shd w:val="clear" w:color="auto" w:fill="auto"/>
            <w:noWrap/>
            <w:tcMar>
              <w:top w:w="15" w:type="dxa"/>
              <w:left w:w="15" w:type="dxa"/>
              <w:right w:w="15" w:type="dxa"/>
            </w:tcMar>
            <w:vAlign w:val="center"/>
          </w:tcPr>
          <w:p w14:paraId="7E7416D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XM -JJ-4</w:t>
            </w:r>
          </w:p>
        </w:tc>
        <w:tc>
          <w:tcPr>
            <w:tcW w:w="1080" w:type="dxa"/>
            <w:vMerge w:val="continue"/>
            <w:tcBorders>
              <w:tl2br w:val="nil"/>
              <w:tr2bl w:val="nil"/>
            </w:tcBorders>
            <w:shd w:val="clear" w:color="auto" w:fill="auto"/>
            <w:noWrap/>
            <w:tcMar>
              <w:top w:w="15" w:type="dxa"/>
              <w:left w:w="15" w:type="dxa"/>
              <w:right w:w="15" w:type="dxa"/>
            </w:tcMar>
            <w:vAlign w:val="center"/>
          </w:tcPr>
          <w:p w14:paraId="5858059D">
            <w:pPr>
              <w:widowControl/>
              <w:spacing w:line="240" w:lineRule="auto"/>
              <w:jc w:val="center"/>
              <w:textAlignment w:val="center"/>
              <w:rPr>
                <w:rFonts w:hint="default" w:ascii="Times New Roman" w:hAnsi="Times New Roman" w:cs="Times New Roman"/>
                <w:color w:val="auto"/>
                <w:sz w:val="21"/>
                <w:szCs w:val="21"/>
                <w:highlight w:val="none"/>
              </w:rPr>
            </w:pPr>
          </w:p>
        </w:tc>
        <w:tc>
          <w:tcPr>
            <w:tcW w:w="2640" w:type="dxa"/>
            <w:tcBorders>
              <w:tl2br w:val="nil"/>
              <w:tr2bl w:val="nil"/>
            </w:tcBorders>
            <w:shd w:val="clear" w:color="auto" w:fill="auto"/>
            <w:noWrap/>
            <w:tcMar>
              <w:top w:w="15" w:type="dxa"/>
              <w:left w:w="15" w:type="dxa"/>
              <w:right w:w="15" w:type="dxa"/>
            </w:tcMar>
            <w:vAlign w:val="center"/>
          </w:tcPr>
          <w:p w14:paraId="72F92FE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仓储用地</w:t>
            </w:r>
          </w:p>
        </w:tc>
        <w:tc>
          <w:tcPr>
            <w:tcW w:w="4103" w:type="dxa"/>
            <w:tcBorders>
              <w:tl2br w:val="nil"/>
              <w:tr2bl w:val="nil"/>
            </w:tcBorders>
            <w:shd w:val="clear" w:color="auto" w:fill="auto"/>
            <w:noWrap/>
            <w:tcMar>
              <w:top w:w="15" w:type="dxa"/>
              <w:left w:w="15" w:type="dxa"/>
              <w:right w:w="15" w:type="dxa"/>
            </w:tcMar>
            <w:vAlign w:val="center"/>
          </w:tcPr>
          <w:p w14:paraId="65F4B7B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第二类用地筛选值</w:t>
            </w:r>
          </w:p>
        </w:tc>
      </w:tr>
    </w:tbl>
    <w:p w14:paraId="15166F32">
      <w:pPr>
        <w:pStyle w:val="2"/>
        <w:spacing w:after="0" w:line="240" w:lineRule="auto"/>
        <w:rPr>
          <w:rFonts w:hint="default" w:ascii="Times New Roman" w:hAnsi="Times New Roman" w:cs="Times New Roman"/>
          <w:b/>
          <w:bCs/>
          <w:color w:val="auto"/>
          <w:kern w:val="0"/>
          <w:sz w:val="18"/>
          <w:szCs w:val="18"/>
          <w:highlight w:val="none"/>
          <w:lang w:val="en-US" w:eastAsia="zh-CN"/>
        </w:rPr>
      </w:pPr>
      <w:r>
        <w:rPr>
          <w:rFonts w:hint="default" w:ascii="Times New Roman" w:hAnsi="Times New Roman" w:cs="Times New Roman"/>
          <w:b/>
          <w:bCs/>
          <w:color w:val="auto"/>
          <w:kern w:val="0"/>
          <w:sz w:val="18"/>
          <w:szCs w:val="18"/>
          <w:highlight w:val="none"/>
        </w:rPr>
        <w:t>注：</w:t>
      </w:r>
      <w:r>
        <w:rPr>
          <w:rFonts w:hint="default" w:ascii="Times New Roman" w:hAnsi="Times New Roman" w:cs="Times New Roman"/>
          <w:b/>
          <w:bCs/>
          <w:color w:val="auto"/>
          <w:kern w:val="0"/>
          <w:sz w:val="18"/>
          <w:szCs w:val="18"/>
          <w:highlight w:val="none"/>
          <w:lang w:val="en-US" w:eastAsia="zh-CN"/>
        </w:rPr>
        <w:t>①表列园区周边土壤点位用地类型为现状用地类型，已建成企业聚集区周边点位用地类型为规划用地类型；</w:t>
      </w:r>
    </w:p>
    <w:p w14:paraId="7E7C2BD0">
      <w:pPr>
        <w:pStyle w:val="2"/>
        <w:spacing w:after="0" w:line="240" w:lineRule="auto"/>
        <w:ind w:firstLine="361" w:firstLineChars="200"/>
        <w:rPr>
          <w:rFonts w:hint="default" w:ascii="Times New Roman" w:hAnsi="Times New Roman" w:cs="Times New Roman"/>
          <w:b/>
          <w:bCs/>
          <w:color w:val="auto"/>
          <w:kern w:val="0"/>
          <w:sz w:val="18"/>
          <w:szCs w:val="18"/>
          <w:highlight w:val="none"/>
          <w:lang w:val="en-US" w:eastAsia="zh-CN"/>
        </w:rPr>
      </w:pPr>
      <w:r>
        <w:rPr>
          <w:rFonts w:hint="default" w:ascii="Times New Roman" w:hAnsi="Times New Roman" w:cs="Times New Roman"/>
          <w:b/>
          <w:bCs/>
          <w:color w:val="auto"/>
          <w:kern w:val="0"/>
          <w:sz w:val="18"/>
          <w:szCs w:val="18"/>
          <w:highlight w:val="none"/>
          <w:lang w:val="en-US" w:eastAsia="zh-CN"/>
        </w:rPr>
        <w:t>②</w:t>
      </w:r>
      <w:r>
        <w:rPr>
          <w:rFonts w:hint="default" w:ascii="Times New Roman" w:hAnsi="Times New Roman" w:eastAsia="宋体" w:cs="Times New Roman"/>
          <w:b/>
          <w:bCs/>
          <w:color w:val="auto"/>
          <w:kern w:val="0"/>
          <w:sz w:val="18"/>
          <w:szCs w:val="18"/>
          <w:highlight w:val="none"/>
        </w:rPr>
        <w:t>根据上文中评价标准选择原则，第一类/第二类用地筛选值按GB36600优先于深圳标准</w:t>
      </w:r>
      <w:r>
        <w:rPr>
          <w:rFonts w:hint="eastAsia" w:cs="Times New Roman"/>
          <w:b/>
          <w:bCs/>
          <w:color w:val="auto"/>
          <w:kern w:val="0"/>
          <w:sz w:val="18"/>
          <w:szCs w:val="18"/>
          <w:highlight w:val="none"/>
          <w:lang w:eastAsia="zh-CN"/>
        </w:rPr>
        <w:t>、</w:t>
      </w:r>
      <w:r>
        <w:rPr>
          <w:rFonts w:hint="eastAsia" w:cs="Times New Roman"/>
          <w:b/>
          <w:bCs/>
          <w:color w:val="auto"/>
          <w:kern w:val="0"/>
          <w:sz w:val="18"/>
          <w:szCs w:val="18"/>
          <w:highlight w:val="none"/>
          <w:lang w:val="en-US" w:eastAsia="zh-CN"/>
        </w:rPr>
        <w:t>河北标准</w:t>
      </w:r>
      <w:r>
        <w:rPr>
          <w:rFonts w:hint="default" w:ascii="Times New Roman" w:hAnsi="Times New Roman" w:eastAsia="宋体" w:cs="Times New Roman"/>
          <w:b/>
          <w:bCs/>
          <w:color w:val="auto"/>
          <w:kern w:val="0"/>
          <w:sz w:val="18"/>
          <w:szCs w:val="18"/>
          <w:highlight w:val="none"/>
        </w:rPr>
        <w:t>进行选择；</w:t>
      </w:r>
    </w:p>
    <w:p w14:paraId="7781E6B2">
      <w:pPr>
        <w:pStyle w:val="2"/>
        <w:spacing w:after="0" w:line="240" w:lineRule="auto"/>
        <w:ind w:firstLine="361" w:firstLineChars="200"/>
        <w:rPr>
          <w:rFonts w:hint="default" w:ascii="Times New Roman" w:hAnsi="Times New Roman" w:eastAsia="宋体" w:cs="Times New Roman"/>
          <w:b/>
          <w:bCs/>
          <w:color w:val="auto"/>
          <w:kern w:val="0"/>
          <w:sz w:val="18"/>
          <w:szCs w:val="18"/>
          <w:highlight w:val="none"/>
          <w:lang w:eastAsia="zh-CN"/>
        </w:rPr>
      </w:pPr>
      <w:r>
        <w:rPr>
          <w:rFonts w:hint="default" w:ascii="Times New Roman" w:hAnsi="Times New Roman" w:cs="Times New Roman"/>
          <w:b/>
          <w:bCs/>
          <w:color w:val="auto"/>
          <w:kern w:val="0"/>
          <w:sz w:val="18"/>
          <w:szCs w:val="18"/>
          <w:highlight w:val="none"/>
          <w:lang w:val="en-US" w:eastAsia="zh-CN"/>
        </w:rPr>
        <w:t>③</w:t>
      </w:r>
      <w:r>
        <w:rPr>
          <w:rFonts w:hint="default" w:ascii="Times New Roman" w:hAnsi="Times New Roman" w:cs="Times New Roman"/>
          <w:b/>
          <w:bCs/>
          <w:color w:val="auto"/>
          <w:kern w:val="0"/>
          <w:sz w:val="18"/>
          <w:szCs w:val="18"/>
          <w:highlight w:val="none"/>
        </w:rPr>
        <w:t>其它指GB15618农用地中除果园、水田外的用地</w:t>
      </w:r>
      <w:r>
        <w:rPr>
          <w:rFonts w:hint="default" w:ascii="Times New Roman" w:hAnsi="Times New Roman" w:cs="Times New Roman"/>
          <w:b/>
          <w:bCs/>
          <w:color w:val="auto"/>
          <w:kern w:val="0"/>
          <w:sz w:val="18"/>
          <w:szCs w:val="18"/>
          <w:highlight w:val="none"/>
          <w:lang w:eastAsia="zh-CN"/>
        </w:rPr>
        <w:t>。</w:t>
      </w:r>
    </w:p>
    <w:p w14:paraId="5F0113BE">
      <w:pPr>
        <w:pStyle w:val="2"/>
        <w:spacing w:after="0"/>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具体标准值如下：</w:t>
      </w:r>
    </w:p>
    <w:p w14:paraId="08170303">
      <w:pPr>
        <w:spacing w:line="240" w:lineRule="auto"/>
        <w:jc w:val="center"/>
        <w:rPr>
          <w:rFonts w:hint="default" w:ascii="Times New Roman" w:hAnsi="Times New Roman" w:eastAsia="黑体" w:cs="Times New Roman"/>
          <w:b/>
          <w:bCs/>
          <w:color w:val="auto"/>
          <w:highlight w:val="none"/>
        </w:rPr>
      </w:pPr>
      <w:r>
        <w:rPr>
          <w:rFonts w:hint="default" w:ascii="Times New Roman" w:hAnsi="Times New Roman" w:eastAsia="黑体" w:cs="Times New Roman"/>
          <w:b/>
          <w:bCs/>
          <w:color w:val="auto"/>
          <w:highlight w:val="none"/>
        </w:rPr>
        <w:t>表5-1-2 建设用地土壤污染风险筛选值（单位：mg/kg）</w:t>
      </w:r>
    </w:p>
    <w:tbl>
      <w:tblPr>
        <w:tblStyle w:val="21"/>
        <w:tblW w:w="9668" w:type="dxa"/>
        <w:jc w:val="center"/>
        <w:tblLayout w:type="fixed"/>
        <w:tblCellMar>
          <w:top w:w="0" w:type="dxa"/>
          <w:left w:w="0" w:type="dxa"/>
          <w:bottom w:w="0" w:type="dxa"/>
          <w:right w:w="0" w:type="dxa"/>
        </w:tblCellMar>
      </w:tblPr>
      <w:tblGrid>
        <w:gridCol w:w="1110"/>
        <w:gridCol w:w="2381"/>
        <w:gridCol w:w="1538"/>
        <w:gridCol w:w="2319"/>
        <w:gridCol w:w="2320"/>
      </w:tblGrid>
      <w:tr w14:paraId="7B8D8E0E">
        <w:tblPrEx>
          <w:tblCellMar>
            <w:top w:w="0" w:type="dxa"/>
            <w:left w:w="0" w:type="dxa"/>
            <w:bottom w:w="0" w:type="dxa"/>
            <w:right w:w="0" w:type="dxa"/>
          </w:tblCellMar>
        </w:tblPrEx>
        <w:trPr>
          <w:trHeight w:val="23" w:hRule="atLeast"/>
          <w:tblHeader/>
          <w:jc w:val="center"/>
        </w:trPr>
        <w:tc>
          <w:tcPr>
            <w:tcW w:w="1110" w:type="dxa"/>
            <w:tcBorders>
              <w:top w:val="single" w:color="000000" w:sz="12" w:space="0"/>
              <w:left w:val="nil"/>
              <w:bottom w:val="single" w:color="000000" w:sz="12" w:space="0"/>
              <w:right w:val="single" w:color="000000" w:sz="4" w:space="0"/>
            </w:tcBorders>
            <w:shd w:val="clear" w:color="auto" w:fill="auto"/>
            <w:noWrap/>
            <w:tcMar>
              <w:top w:w="15" w:type="dxa"/>
              <w:left w:w="15" w:type="dxa"/>
              <w:right w:w="15" w:type="dxa"/>
            </w:tcMar>
            <w:vAlign w:val="center"/>
          </w:tcPr>
          <w:p w14:paraId="6F2E8F2F">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序号</w:t>
            </w:r>
          </w:p>
        </w:tc>
        <w:tc>
          <w:tcPr>
            <w:tcW w:w="2381" w:type="dxa"/>
            <w:tcBorders>
              <w:top w:val="single" w:color="000000" w:sz="12" w:space="0"/>
              <w:left w:val="single" w:color="000000" w:sz="4" w:space="0"/>
              <w:bottom w:val="single" w:color="000000" w:sz="12" w:space="0"/>
              <w:right w:val="single" w:color="000000" w:sz="4" w:space="0"/>
            </w:tcBorders>
            <w:shd w:val="clear" w:color="auto" w:fill="auto"/>
            <w:noWrap/>
            <w:tcMar>
              <w:top w:w="15" w:type="dxa"/>
              <w:left w:w="15" w:type="dxa"/>
              <w:right w:w="15" w:type="dxa"/>
            </w:tcMar>
            <w:vAlign w:val="center"/>
          </w:tcPr>
          <w:p w14:paraId="6A059E60">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污染物项目</w:t>
            </w:r>
          </w:p>
        </w:tc>
        <w:tc>
          <w:tcPr>
            <w:tcW w:w="1538" w:type="dxa"/>
            <w:tcBorders>
              <w:top w:val="single" w:color="000000" w:sz="12" w:space="0"/>
              <w:left w:val="single" w:color="000000" w:sz="4" w:space="0"/>
              <w:bottom w:val="single" w:color="000000" w:sz="12" w:space="0"/>
              <w:right w:val="single" w:color="000000" w:sz="4" w:space="0"/>
            </w:tcBorders>
            <w:shd w:val="clear" w:color="auto" w:fill="auto"/>
            <w:noWrap/>
            <w:tcMar>
              <w:top w:w="15" w:type="dxa"/>
              <w:left w:w="15" w:type="dxa"/>
              <w:right w:w="15" w:type="dxa"/>
            </w:tcMar>
            <w:vAlign w:val="center"/>
          </w:tcPr>
          <w:p w14:paraId="371AE1A8">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CAS号</w:t>
            </w:r>
          </w:p>
        </w:tc>
        <w:tc>
          <w:tcPr>
            <w:tcW w:w="2319" w:type="dxa"/>
            <w:tcBorders>
              <w:top w:val="single" w:color="000000" w:sz="12" w:space="0"/>
              <w:left w:val="single" w:color="000000" w:sz="4" w:space="0"/>
              <w:bottom w:val="single" w:color="000000" w:sz="12" w:space="0"/>
              <w:right w:val="single" w:color="000000" w:sz="4" w:space="0"/>
            </w:tcBorders>
            <w:shd w:val="clear" w:color="auto" w:fill="auto"/>
            <w:noWrap/>
            <w:tcMar>
              <w:top w:w="15" w:type="dxa"/>
              <w:left w:w="15" w:type="dxa"/>
              <w:right w:w="15" w:type="dxa"/>
            </w:tcMar>
            <w:vAlign w:val="center"/>
          </w:tcPr>
          <w:p w14:paraId="33880544">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第一类用地筛选值</w:t>
            </w:r>
          </w:p>
        </w:tc>
        <w:tc>
          <w:tcPr>
            <w:tcW w:w="2320" w:type="dxa"/>
            <w:tcBorders>
              <w:top w:val="single" w:color="000000" w:sz="12" w:space="0"/>
              <w:left w:val="single" w:color="000000" w:sz="4" w:space="0"/>
              <w:bottom w:val="single" w:color="000000" w:sz="12" w:space="0"/>
              <w:right w:val="nil"/>
            </w:tcBorders>
            <w:shd w:val="clear" w:color="auto" w:fill="auto"/>
            <w:noWrap/>
            <w:tcMar>
              <w:top w:w="15" w:type="dxa"/>
              <w:left w:w="15" w:type="dxa"/>
              <w:right w:w="15" w:type="dxa"/>
            </w:tcMar>
            <w:vAlign w:val="center"/>
          </w:tcPr>
          <w:p w14:paraId="0DCE2D37">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第二类用地筛选值</w:t>
            </w:r>
          </w:p>
        </w:tc>
      </w:tr>
      <w:tr w14:paraId="247206A8">
        <w:tblPrEx>
          <w:tblCellMar>
            <w:top w:w="0" w:type="dxa"/>
            <w:left w:w="0" w:type="dxa"/>
            <w:bottom w:w="0" w:type="dxa"/>
            <w:right w:w="0" w:type="dxa"/>
          </w:tblCellMar>
        </w:tblPrEx>
        <w:trPr>
          <w:trHeight w:val="23" w:hRule="atLeast"/>
          <w:jc w:val="center"/>
        </w:trPr>
        <w:tc>
          <w:tcPr>
            <w:tcW w:w="9668" w:type="dxa"/>
            <w:gridSpan w:val="5"/>
            <w:tcBorders>
              <w:top w:val="single" w:color="000000" w:sz="12" w:space="0"/>
              <w:left w:val="nil"/>
              <w:bottom w:val="single" w:color="000000" w:sz="4" w:space="0"/>
              <w:right w:val="nil"/>
            </w:tcBorders>
            <w:shd w:val="clear" w:color="auto" w:fill="auto"/>
            <w:noWrap/>
            <w:tcMar>
              <w:top w:w="15" w:type="dxa"/>
              <w:left w:w="15" w:type="dxa"/>
              <w:right w:w="15" w:type="dxa"/>
            </w:tcMar>
            <w:vAlign w:val="center"/>
          </w:tcPr>
          <w:p w14:paraId="780B50C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重金属和无机物</w:t>
            </w:r>
          </w:p>
        </w:tc>
      </w:tr>
      <w:tr w14:paraId="35532679">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155A117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683DD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总氟化物</w:t>
            </w:r>
            <w:r>
              <w:rPr>
                <w:rFonts w:hint="default" w:ascii="Times New Roman" w:hAnsi="Times New Roman" w:cs="Times New Roman"/>
                <w:color w:val="auto"/>
                <w:kern w:val="0"/>
                <w:sz w:val="21"/>
                <w:szCs w:val="21"/>
                <w:highlight w:val="none"/>
                <w:vertAlign w:val="superscript"/>
                <w:lang w:bidi="ar"/>
              </w:rPr>
              <w:t>①</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69A6F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16984-48-8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B2C8B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1960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13923EF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10000</w:t>
            </w:r>
          </w:p>
        </w:tc>
      </w:tr>
      <w:tr w14:paraId="32D3C283">
        <w:tblPrEx>
          <w:tblCellMar>
            <w:top w:w="0" w:type="dxa"/>
            <w:left w:w="0" w:type="dxa"/>
            <w:bottom w:w="0" w:type="dxa"/>
            <w:right w:w="0" w:type="dxa"/>
          </w:tblCellMar>
        </w:tblPrEx>
        <w:trPr>
          <w:trHeight w:val="23" w:hRule="atLeast"/>
          <w:jc w:val="center"/>
        </w:trPr>
        <w:tc>
          <w:tcPr>
            <w:tcW w:w="1110" w:type="dxa"/>
            <w:tcBorders>
              <w:top w:val="single" w:color="auto"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0167255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2381"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800E1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铅</w:t>
            </w:r>
          </w:p>
        </w:tc>
        <w:tc>
          <w:tcPr>
            <w:tcW w:w="1538"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3D082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7439-92-1</w:t>
            </w:r>
          </w:p>
        </w:tc>
        <w:tc>
          <w:tcPr>
            <w:tcW w:w="2319"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21FE2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400</w:t>
            </w:r>
          </w:p>
        </w:tc>
        <w:tc>
          <w:tcPr>
            <w:tcW w:w="2320" w:type="dxa"/>
            <w:tcBorders>
              <w:top w:val="single" w:color="auto"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3C55147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800</w:t>
            </w:r>
          </w:p>
        </w:tc>
      </w:tr>
      <w:tr w14:paraId="65CD463D">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0F3BD83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3CC79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汞</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AB9BE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7439-97-6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4F1DD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8</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074F095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38</w:t>
            </w:r>
          </w:p>
        </w:tc>
      </w:tr>
      <w:tr w14:paraId="332030D3">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71B456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0B0D5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钴</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FFDC5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7440-48-4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86F93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05C5F27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70</w:t>
            </w:r>
          </w:p>
        </w:tc>
      </w:tr>
      <w:tr w14:paraId="50129F4E">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5E6D720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1F1AB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镉</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5EFA1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7440-43-9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8E8BC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ED0E6D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65</w:t>
            </w:r>
          </w:p>
        </w:tc>
      </w:tr>
      <w:tr w14:paraId="395EEF39">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E54161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12881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铜</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A6EF5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7440-50-8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9B3F1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2000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296264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18000</w:t>
            </w:r>
          </w:p>
        </w:tc>
      </w:tr>
      <w:tr w14:paraId="0693D70D">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DBDE2B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E1BB4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镍</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48650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7440-02-0</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6FE2A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150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F0F2B8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900</w:t>
            </w:r>
          </w:p>
        </w:tc>
      </w:tr>
      <w:tr w14:paraId="5845D2E1">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20E9DAE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03CB6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铬</w:t>
            </w:r>
            <w:r>
              <w:rPr>
                <w:rFonts w:hint="default" w:ascii="Times New Roman" w:hAnsi="Times New Roman" w:cs="Times New Roman"/>
                <w:color w:val="auto"/>
                <w:kern w:val="0"/>
                <w:sz w:val="21"/>
                <w:szCs w:val="21"/>
                <w:highlight w:val="none"/>
                <w:vertAlign w:val="superscript"/>
                <w:lang w:bidi="ar"/>
              </w:rPr>
              <w:t>①</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FA852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7440-47-3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15254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1210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6072530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2420</w:t>
            </w:r>
          </w:p>
        </w:tc>
      </w:tr>
      <w:tr w14:paraId="47964F02">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E8928A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BDAFD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铬（六价）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682AF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18540-29-9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202B1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FDCF23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5.7</w:t>
            </w:r>
          </w:p>
        </w:tc>
      </w:tr>
      <w:tr w14:paraId="0DFABE2C">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0E67FEC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30AB1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98193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7440-38-2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06548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38BFD7D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60</w:t>
            </w:r>
          </w:p>
        </w:tc>
      </w:tr>
      <w:tr w14:paraId="700B3232">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1371BBF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11</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096C5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钼</w:t>
            </w:r>
            <w:r>
              <w:rPr>
                <w:rFonts w:hint="default" w:ascii="Times New Roman" w:hAnsi="Times New Roman" w:cs="Times New Roman"/>
                <w:color w:val="auto"/>
                <w:kern w:val="0"/>
                <w:sz w:val="21"/>
                <w:szCs w:val="21"/>
                <w:highlight w:val="none"/>
                <w:vertAlign w:val="superscript"/>
                <w:lang w:bidi="ar"/>
              </w:rPr>
              <w:t>①</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264D1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7439-98-7</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336D7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232</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C5C31E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1940</w:t>
            </w:r>
          </w:p>
        </w:tc>
      </w:tr>
      <w:tr w14:paraId="54C7AEFC">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2E65C4C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12</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FA446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锑</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51E26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7440-36-0</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6A76F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3A6EE0E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180</w:t>
            </w:r>
          </w:p>
        </w:tc>
      </w:tr>
      <w:tr w14:paraId="44B24895">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215CF7E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有机物 - 石油烃</w:t>
            </w:r>
          </w:p>
        </w:tc>
      </w:tr>
      <w:tr w14:paraId="2BE23046">
        <w:tblPrEx>
          <w:tblCellMar>
            <w:top w:w="0" w:type="dxa"/>
            <w:left w:w="0" w:type="dxa"/>
            <w:bottom w:w="0" w:type="dxa"/>
            <w:right w:w="0" w:type="dxa"/>
          </w:tblCellMar>
        </w:tblPrEx>
        <w:trPr>
          <w:trHeight w:val="90"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24D48DF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13</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2A70A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石油烃（C</w:t>
            </w:r>
            <w:r>
              <w:rPr>
                <w:rFonts w:hint="default" w:ascii="Times New Roman" w:hAnsi="Times New Roman" w:cs="Times New Roman"/>
                <w:color w:val="auto"/>
                <w:kern w:val="0"/>
                <w:sz w:val="21"/>
                <w:szCs w:val="21"/>
                <w:highlight w:val="none"/>
                <w:vertAlign w:val="subscript"/>
                <w:lang w:bidi="ar"/>
              </w:rPr>
              <w:t>10</w:t>
            </w:r>
            <w:r>
              <w:rPr>
                <w:rFonts w:hint="default" w:ascii="Times New Roman" w:hAnsi="Times New Roman" w:cs="Times New Roman"/>
                <w:color w:val="auto"/>
                <w:kern w:val="0"/>
                <w:sz w:val="21"/>
                <w:szCs w:val="21"/>
                <w:highlight w:val="none"/>
                <w:lang w:bidi="ar"/>
              </w:rPr>
              <w:t>-C</w:t>
            </w:r>
            <w:r>
              <w:rPr>
                <w:rFonts w:hint="default" w:ascii="Times New Roman" w:hAnsi="Times New Roman" w:cs="Times New Roman"/>
                <w:color w:val="auto"/>
                <w:kern w:val="0"/>
                <w:sz w:val="21"/>
                <w:szCs w:val="21"/>
                <w:highlight w:val="none"/>
                <w:vertAlign w:val="subscript"/>
                <w:lang w:bidi="ar"/>
              </w:rPr>
              <w:t>40</w:t>
            </w:r>
            <w:r>
              <w:rPr>
                <w:rFonts w:hint="default" w:ascii="Times New Roman" w:hAnsi="Times New Roman" w:cs="Times New Roman"/>
                <w:color w:val="auto"/>
                <w:kern w:val="0"/>
                <w:sz w:val="21"/>
                <w:szCs w:val="21"/>
                <w:highlight w:val="none"/>
                <w:lang w:bidi="ar"/>
              </w:rPr>
              <w:t>）</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C31DF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93323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826</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45101C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4500</w:t>
            </w:r>
          </w:p>
        </w:tc>
      </w:tr>
      <w:tr w14:paraId="514D05B3">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3639780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挥发性有机物 - 单环芳烃类(MAH)</w:t>
            </w:r>
          </w:p>
        </w:tc>
      </w:tr>
      <w:tr w14:paraId="700E9118">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138494F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14</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41FC7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DE82C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71-43-2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2257A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0E3467D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w:t>
            </w:r>
          </w:p>
        </w:tc>
      </w:tr>
      <w:tr w14:paraId="7AEEF417">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5AB6DED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15</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06691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甲苯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F4224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108-88-3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5AA37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1200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E3C844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1200</w:t>
            </w:r>
          </w:p>
        </w:tc>
      </w:tr>
      <w:tr w14:paraId="56451C5A">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1F7CC3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16</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1F896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乙苯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3DC0E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100-41-4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9A9E3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7.2</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4CFC64F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28</w:t>
            </w:r>
          </w:p>
        </w:tc>
      </w:tr>
      <w:tr w14:paraId="75A8A3C5">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12334BA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17</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D866F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间-二甲苯和对-二甲苯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2CA00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108-38-3 106-42-3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BEAF7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163</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36A4ABF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570</w:t>
            </w:r>
          </w:p>
        </w:tc>
      </w:tr>
      <w:tr w14:paraId="0650EF4C">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95D451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18</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80F3F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邻-二甲苯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EB083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95-47-6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F7390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222</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6D68D62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640</w:t>
            </w:r>
          </w:p>
        </w:tc>
      </w:tr>
      <w:tr w14:paraId="351EBC45">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0980EC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19</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A4C48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苯乙烯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4CF7E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100-42-5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4EFB7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1290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44D2D5B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1290</w:t>
            </w:r>
          </w:p>
        </w:tc>
      </w:tr>
      <w:tr w14:paraId="371638CA">
        <w:tblPrEx>
          <w:tblCellMar>
            <w:top w:w="0" w:type="dxa"/>
            <w:left w:w="0" w:type="dxa"/>
            <w:bottom w:w="0" w:type="dxa"/>
            <w:right w:w="0" w:type="dxa"/>
          </w:tblCellMar>
        </w:tblPrEx>
        <w:trPr>
          <w:trHeight w:val="90"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29703A6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挥发性有机物 - 卤代脂肪烃</w:t>
            </w:r>
          </w:p>
        </w:tc>
      </w:tr>
      <w:tr w14:paraId="6286BAD4">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C2F57D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29582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氯甲烷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52B78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74-87-3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4226E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801E65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37</w:t>
            </w:r>
          </w:p>
        </w:tc>
      </w:tr>
      <w:tr w14:paraId="4DB2B979">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A04263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21</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CC380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氯乙烯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416D9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1975-1-4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1902C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0.12</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6044B8C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0.43</w:t>
            </w:r>
          </w:p>
        </w:tc>
      </w:tr>
      <w:tr w14:paraId="5A9F3F3B">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DC0108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22</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66346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1,1-二氯乙烯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A26FC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75-35-4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C26A7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0628AA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66</w:t>
            </w:r>
          </w:p>
        </w:tc>
      </w:tr>
      <w:tr w14:paraId="4D66F51E">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ADC672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23</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5EC67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二氯甲烷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24687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1975-9-2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3EC26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94</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31BD6A9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616</w:t>
            </w:r>
          </w:p>
        </w:tc>
      </w:tr>
      <w:tr w14:paraId="6DB2A591">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5A4ADC1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24</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5E780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反式-1,2-二氯乙烯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C6A55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156-60-5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9A140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0B32070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54</w:t>
            </w:r>
          </w:p>
        </w:tc>
      </w:tr>
      <w:tr w14:paraId="137D88E2">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004A84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25</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B4D0C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1,1-二氯乙烷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C2E9F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75-34-3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5597F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678146D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w:t>
            </w:r>
          </w:p>
        </w:tc>
      </w:tr>
      <w:tr w14:paraId="118DA506">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50D072C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26</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A7C5C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顺式-1,2-二氯乙烯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5215A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156-59-2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2E298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66</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CCAC4C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596</w:t>
            </w:r>
          </w:p>
        </w:tc>
      </w:tr>
      <w:tr w14:paraId="2C64EED0">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1B0E059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27</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D0836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1,1,1-三氯乙烷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608C5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71-55-6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6EC43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701</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6C22B1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840</w:t>
            </w:r>
          </w:p>
        </w:tc>
      </w:tr>
      <w:tr w14:paraId="0A1576FB">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3EE6914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28</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358F2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四氯化碳</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6E521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56-23-5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38CCA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0.9</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40BD16F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2.8</w:t>
            </w:r>
          </w:p>
        </w:tc>
      </w:tr>
      <w:tr w14:paraId="56B5E88B">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2D66E3E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29</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2BD1E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1,2-二氯乙烷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2DF06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107-06-2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75246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0.52</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8C0E06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w:t>
            </w:r>
          </w:p>
        </w:tc>
      </w:tr>
      <w:tr w14:paraId="2A43E87D">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925244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30</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2CD79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三氯乙烯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90EE7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1979-1-6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04B8F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0.7</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4AE44A7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2.8</w:t>
            </w:r>
          </w:p>
        </w:tc>
      </w:tr>
      <w:tr w14:paraId="024CE867">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03EF155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31</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F4E51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1,2-二氯丙烷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5A144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78-87-5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3C1A9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6E0AFE5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w:t>
            </w:r>
          </w:p>
        </w:tc>
      </w:tr>
      <w:tr w14:paraId="656BAE8E">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3748E64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32</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E9648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1,1,2-三氯乙烷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E0D78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79-00-5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AB65F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0.6</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547046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2.8</w:t>
            </w:r>
          </w:p>
        </w:tc>
      </w:tr>
      <w:tr w14:paraId="19681BE1">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10BFA9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33</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7472C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四氯乙烯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C828A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127-18-4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C5842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053502D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53</w:t>
            </w:r>
          </w:p>
        </w:tc>
      </w:tr>
      <w:tr w14:paraId="7798F86B">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B4E9F6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34</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B476E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1,1,1,2-四氯乙烷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58EFC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630-20-6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6C32E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2.6</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4F18828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r>
      <w:tr w14:paraId="2550869D">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171212F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35</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9BA3A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1,1,2,2-四氯乙烷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DA5E1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630-20-6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48DAE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1.6</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3F8E7B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6.8</w:t>
            </w:r>
          </w:p>
        </w:tc>
      </w:tr>
      <w:tr w14:paraId="39BD37FE">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213508C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36</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A7D2C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1,2,3-三氯丙烷</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55FC4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96-18-4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0EC58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0.05</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06F208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0.5</w:t>
            </w:r>
          </w:p>
        </w:tc>
      </w:tr>
      <w:tr w14:paraId="255EFBEF">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D6DB38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37</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7B112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1,3,5-</w:t>
            </w:r>
            <w:r>
              <w:rPr>
                <w:rFonts w:hint="default" w:ascii="Times New Roman" w:hAnsi="Times New Roman" w:cs="Times New Roman"/>
                <w:color w:val="auto"/>
                <w:kern w:val="0"/>
                <w:sz w:val="21"/>
                <w:szCs w:val="21"/>
                <w:highlight w:val="none"/>
                <w:lang w:eastAsia="zh-CN" w:bidi="ar"/>
              </w:rPr>
              <w:t>三甲基苯</w:t>
            </w:r>
            <w:r>
              <w:rPr>
                <w:rFonts w:hint="default" w:ascii="Times New Roman" w:hAnsi="Times New Roman" w:cs="Times New Roman"/>
                <w:color w:val="auto"/>
                <w:kern w:val="0"/>
                <w:sz w:val="21"/>
                <w:szCs w:val="21"/>
                <w:highlight w:val="none"/>
                <w:vertAlign w:val="superscript"/>
                <w:lang w:val="en-US" w:eastAsia="zh-CN" w:bidi="ar"/>
              </w:rPr>
              <w:t>①</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11C2E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108-67-8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5A1B4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9DA264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251</w:t>
            </w:r>
          </w:p>
        </w:tc>
      </w:tr>
      <w:tr w14:paraId="64444B7E">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5EE3664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38</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911407">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1,2,4-</w:t>
            </w:r>
            <w:r>
              <w:rPr>
                <w:rFonts w:hint="default" w:ascii="Times New Roman" w:hAnsi="Times New Roman" w:cs="Times New Roman"/>
                <w:color w:val="auto"/>
                <w:kern w:val="0"/>
                <w:sz w:val="21"/>
                <w:szCs w:val="21"/>
                <w:highlight w:val="none"/>
                <w:lang w:eastAsia="zh-CN" w:bidi="ar"/>
              </w:rPr>
              <w:t>三甲基苯</w:t>
            </w:r>
            <w:r>
              <w:rPr>
                <w:rFonts w:hint="default" w:ascii="Times New Roman" w:hAnsi="Times New Roman" w:cs="Times New Roman"/>
                <w:color w:val="auto"/>
                <w:kern w:val="0"/>
                <w:sz w:val="21"/>
                <w:szCs w:val="21"/>
                <w:highlight w:val="none"/>
                <w:vertAlign w:val="superscript"/>
                <w:lang w:val="en-US" w:eastAsia="zh-CN" w:bidi="ar"/>
              </w:rPr>
              <w:t>①</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10278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95-63-6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52654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102</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30D7A91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302</w:t>
            </w:r>
          </w:p>
        </w:tc>
      </w:tr>
      <w:tr w14:paraId="6182B452">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tcBorders>
            <w:shd w:val="clear" w:color="auto" w:fill="auto"/>
            <w:noWrap/>
            <w:tcMar>
              <w:top w:w="15" w:type="dxa"/>
              <w:left w:w="15" w:type="dxa"/>
              <w:right w:w="15" w:type="dxa"/>
            </w:tcMar>
            <w:vAlign w:val="center"/>
          </w:tcPr>
          <w:p w14:paraId="6A4E9ED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挥发性有机物 – 含硫化合物</w:t>
            </w:r>
          </w:p>
        </w:tc>
      </w:tr>
      <w:tr w14:paraId="02B8050A">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FA202F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39</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5FB8D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二硫化碳</w:t>
            </w:r>
            <w:r>
              <w:rPr>
                <w:rFonts w:hint="default" w:ascii="Times New Roman" w:hAnsi="Times New Roman" w:cs="Times New Roman"/>
                <w:color w:val="auto"/>
                <w:kern w:val="0"/>
                <w:sz w:val="21"/>
                <w:szCs w:val="21"/>
                <w:highlight w:val="none"/>
                <w:vertAlign w:val="superscript"/>
                <w:lang w:val="en-US" w:eastAsia="zh-CN" w:bidi="ar"/>
              </w:rPr>
              <w:t>②</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410F1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75-15-0</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D9968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85083E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228</w:t>
            </w:r>
          </w:p>
        </w:tc>
      </w:tr>
      <w:tr w14:paraId="1F6ECFFA">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32FEE29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挥发性有机物 - 卤代芳香烃</w:t>
            </w:r>
          </w:p>
        </w:tc>
      </w:tr>
      <w:tr w14:paraId="5E8CDC36">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EC1342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40</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CED72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氯苯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59EFD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108-90-7</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9D8EA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68</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0785D63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270</w:t>
            </w:r>
          </w:p>
        </w:tc>
      </w:tr>
      <w:tr w14:paraId="461CDFA6">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80C5AE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41</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D882F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1,4-二氯苯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3A68A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106-46-7</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4C73F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5.6</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87B265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w:t>
            </w:r>
          </w:p>
        </w:tc>
      </w:tr>
      <w:tr w14:paraId="277A72B5">
        <w:tblPrEx>
          <w:tblCellMar>
            <w:top w:w="0" w:type="dxa"/>
            <w:left w:w="0" w:type="dxa"/>
            <w:bottom w:w="0" w:type="dxa"/>
            <w:right w:w="0" w:type="dxa"/>
          </w:tblCellMar>
        </w:tblPrEx>
        <w:trPr>
          <w:trHeight w:val="90"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12EFAAD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42</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454CE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1,2-二氯苯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B395A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95-50-1</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46B18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560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325630C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560</w:t>
            </w:r>
          </w:p>
        </w:tc>
      </w:tr>
      <w:tr w14:paraId="1D4D728D">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45E83AB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挥发性有机物 - 三卤甲烷 (THM)</w:t>
            </w:r>
          </w:p>
        </w:tc>
      </w:tr>
      <w:tr w14:paraId="1BB70885">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1BB4C10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43</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22495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三氯甲烷(氯仿)</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4E688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67-66-3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3E8FD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0.3</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39754DF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0.9</w:t>
            </w:r>
          </w:p>
        </w:tc>
      </w:tr>
      <w:tr w14:paraId="26BCCE75">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6EAB594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半挥发性有机物 - 苯酚类</w:t>
            </w:r>
          </w:p>
        </w:tc>
      </w:tr>
      <w:tr w14:paraId="558221E3">
        <w:tblPrEx>
          <w:tblCellMar>
            <w:top w:w="0" w:type="dxa"/>
            <w:left w:w="0" w:type="dxa"/>
            <w:bottom w:w="0" w:type="dxa"/>
            <w:right w:w="0" w:type="dxa"/>
          </w:tblCellMar>
        </w:tblPrEx>
        <w:trPr>
          <w:trHeight w:val="368"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EC16F8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44</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88952EB">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苯酚</w:t>
            </w:r>
            <w:r>
              <w:rPr>
                <w:rFonts w:hint="default" w:ascii="Times New Roman" w:hAnsi="Times New Roman" w:cs="Times New Roman"/>
                <w:color w:val="auto"/>
                <w:kern w:val="0"/>
                <w:sz w:val="21"/>
                <w:szCs w:val="21"/>
                <w:highlight w:val="none"/>
                <w:vertAlign w:val="superscript"/>
                <w:lang w:val="en-US" w:eastAsia="zh-CN" w:bidi="ar"/>
              </w:rPr>
              <w:t>③</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7725FBD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108-95-2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5668DB">
            <w:pPr>
              <w:widowControl/>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sz w:val="21"/>
                <w:szCs w:val="21"/>
                <w:highlight w:val="none"/>
                <w:lang w:bidi="ar"/>
              </w:rPr>
              <w:t>4160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9631FA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24200</w:t>
            </w:r>
          </w:p>
        </w:tc>
      </w:tr>
      <w:tr w14:paraId="5BDE47B5">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261878E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45</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2FA60C4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2-氯酚</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5A8EB3C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95-57-8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87755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AFE0F9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2256</w:t>
            </w:r>
          </w:p>
        </w:tc>
      </w:tr>
      <w:tr w14:paraId="6DB30792">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2F18C10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46</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6B102FC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w:t>
            </w:r>
            <w:r>
              <w:rPr>
                <w:rFonts w:hint="default" w:ascii="Times New Roman" w:hAnsi="Times New Roman" w:cs="Times New Roman"/>
                <w:color w:val="auto"/>
                <w:kern w:val="0"/>
                <w:sz w:val="21"/>
                <w:szCs w:val="21"/>
                <w:highlight w:val="none"/>
                <w:lang w:eastAsia="zh-CN" w:bidi="ar"/>
              </w:rPr>
              <w:t>甲基苯酚</w:t>
            </w:r>
            <w:r>
              <w:rPr>
                <w:rFonts w:hint="default" w:ascii="Times New Roman" w:hAnsi="Times New Roman" w:cs="Times New Roman"/>
                <w:color w:val="auto"/>
                <w:kern w:val="0"/>
                <w:sz w:val="21"/>
                <w:szCs w:val="21"/>
                <w:highlight w:val="none"/>
                <w:vertAlign w:val="superscript"/>
                <w:lang w:bidi="ar"/>
              </w:rPr>
              <w:t>①</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30A16B6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95-48-7</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DE952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1580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6CFB321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9990</w:t>
            </w:r>
          </w:p>
        </w:tc>
      </w:tr>
      <w:tr w14:paraId="29855AAD">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22AE8F6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47</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3482AB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w:t>
            </w:r>
            <w:r>
              <w:rPr>
                <w:rFonts w:hint="default" w:ascii="Times New Roman" w:hAnsi="Times New Roman" w:cs="Times New Roman"/>
                <w:color w:val="auto"/>
                <w:kern w:val="0"/>
                <w:sz w:val="21"/>
                <w:szCs w:val="21"/>
                <w:highlight w:val="none"/>
                <w:lang w:eastAsia="zh-CN" w:bidi="ar"/>
              </w:rPr>
              <w:t>甲基苯酚</w:t>
            </w:r>
            <w:r>
              <w:rPr>
                <w:rFonts w:hint="default" w:ascii="Times New Roman" w:hAnsi="Times New Roman" w:cs="Times New Roman"/>
                <w:color w:val="auto"/>
                <w:kern w:val="0"/>
                <w:sz w:val="21"/>
                <w:szCs w:val="21"/>
                <w:highlight w:val="none"/>
                <w:vertAlign w:val="superscript"/>
                <w:lang w:bidi="ar"/>
              </w:rPr>
              <w:t>①</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AAAA37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106-44-5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5940A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173</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680668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1160</w:t>
            </w:r>
          </w:p>
        </w:tc>
      </w:tr>
      <w:tr w14:paraId="3E457B7C">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442B592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半挥发性有机物 - 多环芳烃类(PAHs)</w:t>
            </w:r>
          </w:p>
        </w:tc>
      </w:tr>
      <w:tr w14:paraId="759EC25C">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677F15C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48</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3BF04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萘</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BBFFE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91-20-3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AD2E8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25</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6F2BF47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70</w:t>
            </w:r>
          </w:p>
        </w:tc>
      </w:tr>
      <w:tr w14:paraId="76839C0C">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005B2F8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49</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200BA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苯并(a)蒽</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CD539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56-55-3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25183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5.5</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1227482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15</w:t>
            </w:r>
          </w:p>
        </w:tc>
      </w:tr>
      <w:tr w14:paraId="7A903D13">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606DD0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4DEC7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䓛</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7675D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218-01-9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A7441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480</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009DC57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1293</w:t>
            </w:r>
          </w:p>
        </w:tc>
      </w:tr>
      <w:tr w14:paraId="7146E2C0">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0A66B83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51</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D5350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苯并(b)荧蒽</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9350C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205-99-2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B4AE8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5.5</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77807B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15</w:t>
            </w:r>
          </w:p>
        </w:tc>
      </w:tr>
      <w:tr w14:paraId="57D43BC2">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01F4E94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52</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AFFBA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苯并(k)荧蒽</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BB840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207-08-9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D9187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55</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678D191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151</w:t>
            </w:r>
          </w:p>
        </w:tc>
      </w:tr>
      <w:tr w14:paraId="56921711">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0A64946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53</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41D1F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苯并(a)芘</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C02F6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50-32-8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E7BA4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0.55</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0366714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1.5</w:t>
            </w:r>
          </w:p>
        </w:tc>
      </w:tr>
      <w:tr w14:paraId="16CE6B26">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3B253A0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54</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E9C2A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茚并(1,2,3-cd)芘</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ABF1E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193-39-5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4BE3B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5.5</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11A547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15</w:t>
            </w:r>
          </w:p>
        </w:tc>
      </w:tr>
      <w:tr w14:paraId="641B2D88">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509FDF5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55</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93F9C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二苯并(a,h)蒽</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8C68C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53-70-3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0096D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0.55</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417E9F6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1.5</w:t>
            </w:r>
          </w:p>
        </w:tc>
      </w:tr>
      <w:tr w14:paraId="17FE1C7A">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29BE444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半挥发性有机物 - 硝基芳烃和酮类</w:t>
            </w:r>
          </w:p>
        </w:tc>
      </w:tr>
      <w:tr w14:paraId="35DA429B">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5D51360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56</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3A4CB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硝基苯</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5F7B6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98-95-3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0B59B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34</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1E76175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76</w:t>
            </w:r>
          </w:p>
        </w:tc>
      </w:tr>
      <w:tr w14:paraId="60F32F71">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14:paraId="54C30FF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半挥发性有机物 - 苯胺和联苯胺类</w:t>
            </w:r>
          </w:p>
        </w:tc>
      </w:tr>
      <w:tr w14:paraId="4D600A1B">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7CAC076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57</w:t>
            </w:r>
          </w:p>
        </w:tc>
        <w:tc>
          <w:tcPr>
            <w:tcW w:w="238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7E679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苯胺</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B2A32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62-53-3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538AD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92</w:t>
            </w:r>
          </w:p>
        </w:tc>
        <w:tc>
          <w:tcPr>
            <w:tcW w:w="232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B3B4F7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260</w:t>
            </w:r>
          </w:p>
        </w:tc>
      </w:tr>
      <w:tr w14:paraId="73830C53">
        <w:tblPrEx>
          <w:tblCellMar>
            <w:top w:w="0" w:type="dxa"/>
            <w:left w:w="0" w:type="dxa"/>
            <w:bottom w:w="0" w:type="dxa"/>
            <w:right w:w="0" w:type="dxa"/>
          </w:tblCellMar>
        </w:tblPrEx>
        <w:trPr>
          <w:trHeight w:val="23" w:hRule="atLeast"/>
          <w:jc w:val="center"/>
        </w:trPr>
        <w:tc>
          <w:tcPr>
            <w:tcW w:w="9668" w:type="dxa"/>
            <w:gridSpan w:val="5"/>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9AB6B5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有机物 - 二噁英类</w:t>
            </w:r>
          </w:p>
        </w:tc>
      </w:tr>
      <w:tr w14:paraId="3A33CE63">
        <w:tblPrEx>
          <w:tblCellMar>
            <w:top w:w="0" w:type="dxa"/>
            <w:left w:w="0" w:type="dxa"/>
            <w:bottom w:w="0" w:type="dxa"/>
            <w:right w:w="0" w:type="dxa"/>
          </w:tblCellMar>
        </w:tblPrEx>
        <w:trPr>
          <w:trHeight w:val="23" w:hRule="atLeast"/>
          <w:jc w:val="center"/>
        </w:trPr>
        <w:tc>
          <w:tcPr>
            <w:tcW w:w="1110" w:type="dxa"/>
            <w:tcBorders>
              <w:top w:val="single" w:color="000000" w:sz="4" w:space="0"/>
              <w:left w:val="nil"/>
              <w:bottom w:val="single" w:color="000000" w:sz="12" w:space="0"/>
              <w:right w:val="single" w:color="000000" w:sz="4" w:space="0"/>
            </w:tcBorders>
            <w:shd w:val="clear" w:color="auto" w:fill="auto"/>
            <w:noWrap/>
            <w:tcMar>
              <w:top w:w="15" w:type="dxa"/>
              <w:left w:w="15" w:type="dxa"/>
              <w:right w:w="15" w:type="dxa"/>
            </w:tcMar>
            <w:vAlign w:val="center"/>
          </w:tcPr>
          <w:p w14:paraId="72E57CC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58</w:t>
            </w:r>
          </w:p>
        </w:tc>
        <w:tc>
          <w:tcPr>
            <w:tcW w:w="2381" w:type="dxa"/>
            <w:tcBorders>
              <w:top w:val="single" w:color="000000" w:sz="4" w:space="0"/>
              <w:left w:val="single" w:color="000000" w:sz="4" w:space="0"/>
              <w:bottom w:val="single" w:color="000000" w:sz="12" w:space="0"/>
              <w:right w:val="single" w:color="000000" w:sz="4" w:space="0"/>
            </w:tcBorders>
            <w:shd w:val="clear" w:color="auto" w:fill="auto"/>
            <w:noWrap/>
            <w:tcMar>
              <w:top w:w="15" w:type="dxa"/>
              <w:left w:w="15" w:type="dxa"/>
              <w:right w:w="15" w:type="dxa"/>
            </w:tcMar>
            <w:vAlign w:val="center"/>
          </w:tcPr>
          <w:p w14:paraId="739C1ED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rPr>
              <w:t>二噁英</w:t>
            </w:r>
          </w:p>
        </w:tc>
        <w:tc>
          <w:tcPr>
            <w:tcW w:w="1538" w:type="dxa"/>
            <w:tcBorders>
              <w:top w:val="single" w:color="000000" w:sz="4" w:space="0"/>
              <w:left w:val="single" w:color="000000" w:sz="4" w:space="0"/>
              <w:bottom w:val="single" w:color="000000" w:sz="12" w:space="0"/>
              <w:right w:val="single" w:color="000000" w:sz="4" w:space="0"/>
            </w:tcBorders>
            <w:shd w:val="clear" w:color="auto" w:fill="auto"/>
            <w:noWrap/>
            <w:tcMar>
              <w:top w:w="15" w:type="dxa"/>
              <w:left w:w="15" w:type="dxa"/>
              <w:right w:w="15" w:type="dxa"/>
            </w:tcMar>
            <w:vAlign w:val="center"/>
          </w:tcPr>
          <w:p w14:paraId="4B513CB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rPr>
              <w:t>--</w:t>
            </w:r>
          </w:p>
        </w:tc>
        <w:tc>
          <w:tcPr>
            <w:tcW w:w="2319" w:type="dxa"/>
            <w:tcBorders>
              <w:top w:val="single" w:color="000000" w:sz="4" w:space="0"/>
              <w:left w:val="single" w:color="000000" w:sz="4" w:space="0"/>
              <w:bottom w:val="single" w:color="000000" w:sz="12" w:space="0"/>
              <w:right w:val="single" w:color="000000" w:sz="4" w:space="0"/>
            </w:tcBorders>
            <w:shd w:val="clear" w:color="auto" w:fill="auto"/>
            <w:noWrap/>
            <w:tcMar>
              <w:top w:w="15" w:type="dxa"/>
              <w:left w:w="15" w:type="dxa"/>
              <w:right w:w="15" w:type="dxa"/>
            </w:tcMar>
            <w:vAlign w:val="center"/>
          </w:tcPr>
          <w:p w14:paraId="533250E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rPr>
              <w:t>0.00001</w:t>
            </w:r>
          </w:p>
        </w:tc>
        <w:tc>
          <w:tcPr>
            <w:tcW w:w="2320" w:type="dxa"/>
            <w:tcBorders>
              <w:top w:val="single" w:color="000000" w:sz="4" w:space="0"/>
              <w:left w:val="single" w:color="000000" w:sz="4" w:space="0"/>
              <w:bottom w:val="single" w:color="000000" w:sz="12" w:space="0"/>
              <w:right w:val="nil"/>
            </w:tcBorders>
            <w:shd w:val="clear" w:color="auto" w:fill="auto"/>
            <w:noWrap/>
            <w:tcMar>
              <w:top w:w="15" w:type="dxa"/>
              <w:left w:w="15" w:type="dxa"/>
              <w:right w:w="15" w:type="dxa"/>
            </w:tcMar>
            <w:vAlign w:val="center"/>
          </w:tcPr>
          <w:p w14:paraId="36C1BA7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rPr>
              <w:t>0.00004</w:t>
            </w:r>
          </w:p>
        </w:tc>
      </w:tr>
    </w:tbl>
    <w:p w14:paraId="73E48B3D">
      <w:pPr>
        <w:pStyle w:val="2"/>
        <w:spacing w:after="0" w:line="240" w:lineRule="auto"/>
        <w:rPr>
          <w:rFonts w:hint="default" w:ascii="Times New Roman" w:hAnsi="Times New Roman" w:cs="Times New Roman"/>
          <w:b/>
          <w:bCs/>
          <w:color w:val="auto"/>
          <w:kern w:val="0"/>
          <w:sz w:val="18"/>
          <w:szCs w:val="18"/>
          <w:highlight w:val="none"/>
          <w:lang w:eastAsia="zh-CN" w:bidi="ar"/>
        </w:rPr>
      </w:pPr>
      <w:r>
        <w:rPr>
          <w:rFonts w:hint="default" w:ascii="Times New Roman" w:hAnsi="Times New Roman" w:cs="Times New Roman"/>
          <w:b/>
          <w:bCs/>
          <w:color w:val="auto"/>
          <w:sz w:val="18"/>
          <w:szCs w:val="18"/>
          <w:highlight w:val="none"/>
        </w:rPr>
        <w:t>注：①</w:t>
      </w:r>
      <w:r>
        <w:rPr>
          <w:rFonts w:hint="default" w:ascii="Times New Roman" w:hAnsi="Times New Roman" w:cs="Times New Roman"/>
          <w:b/>
          <w:bCs/>
          <w:color w:val="auto"/>
          <w:kern w:val="0"/>
          <w:sz w:val="18"/>
          <w:szCs w:val="18"/>
          <w:highlight w:val="none"/>
          <w:lang w:bidi="ar"/>
        </w:rPr>
        <w:t>总氟化物、铬、</w:t>
      </w:r>
      <w:r>
        <w:rPr>
          <w:rFonts w:hint="default" w:ascii="Times New Roman" w:hAnsi="Times New Roman" w:cs="Times New Roman"/>
          <w:b/>
          <w:bCs/>
          <w:color w:val="auto"/>
          <w:kern w:val="0"/>
          <w:sz w:val="18"/>
          <w:szCs w:val="18"/>
          <w:highlight w:val="none"/>
          <w:lang w:val="en-US" w:eastAsia="zh-CN" w:bidi="ar"/>
        </w:rPr>
        <w:t>钼、</w:t>
      </w:r>
      <w:r>
        <w:rPr>
          <w:rFonts w:hint="default" w:ascii="Times New Roman" w:hAnsi="Times New Roman" w:cs="Times New Roman"/>
          <w:b/>
          <w:bCs/>
          <w:color w:val="auto"/>
          <w:kern w:val="0"/>
          <w:sz w:val="18"/>
          <w:szCs w:val="18"/>
          <w:highlight w:val="none"/>
          <w:lang w:bidi="ar"/>
        </w:rPr>
        <w:t>2-</w:t>
      </w:r>
      <w:r>
        <w:rPr>
          <w:rFonts w:hint="default" w:ascii="Times New Roman" w:hAnsi="Times New Roman" w:cs="Times New Roman"/>
          <w:b/>
          <w:bCs/>
          <w:color w:val="auto"/>
          <w:kern w:val="0"/>
          <w:sz w:val="18"/>
          <w:szCs w:val="18"/>
          <w:highlight w:val="none"/>
          <w:lang w:eastAsia="zh-CN" w:bidi="ar"/>
        </w:rPr>
        <w:t>甲基苯酚</w:t>
      </w:r>
      <w:r>
        <w:rPr>
          <w:rFonts w:hint="default" w:ascii="Times New Roman" w:hAnsi="Times New Roman" w:cs="Times New Roman"/>
          <w:b/>
          <w:bCs/>
          <w:color w:val="auto"/>
          <w:kern w:val="0"/>
          <w:sz w:val="18"/>
          <w:szCs w:val="18"/>
          <w:highlight w:val="none"/>
          <w:lang w:bidi="ar"/>
        </w:rPr>
        <w:t>、4-</w:t>
      </w:r>
      <w:r>
        <w:rPr>
          <w:rFonts w:hint="default" w:ascii="Times New Roman" w:hAnsi="Times New Roman" w:cs="Times New Roman"/>
          <w:b/>
          <w:bCs/>
          <w:color w:val="auto"/>
          <w:kern w:val="0"/>
          <w:sz w:val="18"/>
          <w:szCs w:val="18"/>
          <w:highlight w:val="none"/>
          <w:lang w:eastAsia="zh-CN" w:bidi="ar"/>
        </w:rPr>
        <w:t>甲基苯酚、1,2,4-三甲基苯、1,3,5-三甲基苯污染物项目参考深圳标准进行评价；</w:t>
      </w:r>
    </w:p>
    <w:p w14:paraId="759C14C0">
      <w:pPr>
        <w:pStyle w:val="2"/>
        <w:spacing w:after="0" w:line="240" w:lineRule="auto"/>
        <w:ind w:firstLine="361" w:firstLineChars="200"/>
        <w:rPr>
          <w:rFonts w:hint="default" w:ascii="Times New Roman" w:hAnsi="Times New Roman" w:cs="Times New Roman"/>
          <w:b/>
          <w:bCs/>
          <w:color w:val="auto"/>
          <w:kern w:val="0"/>
          <w:sz w:val="18"/>
          <w:szCs w:val="18"/>
          <w:highlight w:val="none"/>
          <w:lang w:bidi="ar"/>
        </w:rPr>
      </w:pPr>
      <w:r>
        <w:rPr>
          <w:rFonts w:hint="default" w:ascii="Times New Roman" w:hAnsi="Times New Roman" w:cs="Times New Roman"/>
          <w:b/>
          <w:bCs/>
          <w:color w:val="auto"/>
          <w:kern w:val="0"/>
          <w:sz w:val="18"/>
          <w:szCs w:val="18"/>
          <w:highlight w:val="none"/>
          <w:lang w:bidi="ar"/>
        </w:rPr>
        <w:t>②二硫化碳污染物项目参考河北标准进行评价；</w:t>
      </w:r>
    </w:p>
    <w:p w14:paraId="33C7DD3F">
      <w:pPr>
        <w:pStyle w:val="2"/>
        <w:spacing w:after="0" w:line="240" w:lineRule="auto"/>
        <w:ind w:firstLine="361" w:firstLineChars="200"/>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③苯酚评价标准值根据《建设用地土壤污染风险评估技术导则（HJ 25.3</w:t>
      </w:r>
      <w:r>
        <w:rPr>
          <w:rFonts w:hint="default" w:ascii="Times New Roman" w:hAnsi="Times New Roman" w:cs="Times New Roman"/>
          <w:b/>
          <w:bCs/>
          <w:color w:val="auto"/>
          <w:sz w:val="18"/>
          <w:szCs w:val="18"/>
          <w:highlight w:val="none"/>
          <w:lang w:val="en-US" w:eastAsia="zh-CN"/>
        </w:rPr>
        <w:t>-</w:t>
      </w:r>
      <w:r>
        <w:rPr>
          <w:rFonts w:hint="default" w:ascii="Times New Roman" w:hAnsi="Times New Roman" w:cs="Times New Roman"/>
          <w:b/>
          <w:bCs/>
          <w:color w:val="auto"/>
          <w:sz w:val="18"/>
          <w:szCs w:val="18"/>
          <w:highlight w:val="none"/>
        </w:rPr>
        <w:t>2019）》按照敏感用地和非敏感用地分别计算得到。</w:t>
      </w:r>
    </w:p>
    <w:p w14:paraId="0AD1ECDE">
      <w:pPr>
        <w:spacing w:line="240" w:lineRule="auto"/>
        <w:jc w:val="center"/>
        <w:rPr>
          <w:rFonts w:hint="default" w:ascii="Times New Roman" w:hAnsi="Times New Roman" w:eastAsia="黑体" w:cs="Times New Roman"/>
          <w:b/>
          <w:bCs/>
          <w:color w:val="auto"/>
          <w:highlight w:val="none"/>
        </w:rPr>
      </w:pPr>
      <w:r>
        <w:rPr>
          <w:rFonts w:hint="default" w:ascii="Times New Roman" w:hAnsi="Times New Roman" w:eastAsia="黑体" w:cs="Times New Roman"/>
          <w:b/>
          <w:bCs/>
          <w:color w:val="auto"/>
          <w:highlight w:val="none"/>
        </w:rPr>
        <w:t>表5-1-3 农用地土壤污染风险筛选值 （单位：mg/kg）</w:t>
      </w:r>
    </w:p>
    <w:tbl>
      <w:tblPr>
        <w:tblStyle w:val="21"/>
        <w:tblW w:w="966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611"/>
        <w:gridCol w:w="760"/>
        <w:gridCol w:w="851"/>
        <w:gridCol w:w="1611"/>
        <w:gridCol w:w="1611"/>
        <w:gridCol w:w="1612"/>
        <w:gridCol w:w="1612"/>
      </w:tblGrid>
      <w:tr w14:paraId="18D20C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vMerge w:val="restart"/>
            <w:shd w:val="clear" w:color="auto" w:fill="auto"/>
            <w:noWrap/>
            <w:tcMar>
              <w:top w:w="15" w:type="dxa"/>
              <w:left w:w="15" w:type="dxa"/>
              <w:right w:w="15" w:type="dxa"/>
            </w:tcMar>
            <w:vAlign w:val="center"/>
          </w:tcPr>
          <w:p w14:paraId="699E6C65">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序号</w:t>
            </w:r>
          </w:p>
        </w:tc>
        <w:tc>
          <w:tcPr>
            <w:tcW w:w="1611" w:type="dxa"/>
            <w:gridSpan w:val="2"/>
            <w:vMerge w:val="restart"/>
            <w:shd w:val="clear" w:color="auto" w:fill="auto"/>
            <w:noWrap/>
            <w:tcMar>
              <w:top w:w="15" w:type="dxa"/>
              <w:left w:w="15" w:type="dxa"/>
              <w:right w:w="15" w:type="dxa"/>
            </w:tcMar>
            <w:vAlign w:val="center"/>
          </w:tcPr>
          <w:p w14:paraId="5E627CF6">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污染物项目</w:t>
            </w:r>
          </w:p>
        </w:tc>
        <w:tc>
          <w:tcPr>
            <w:tcW w:w="6446" w:type="dxa"/>
            <w:gridSpan w:val="4"/>
            <w:shd w:val="clear" w:color="auto" w:fill="auto"/>
            <w:noWrap/>
            <w:tcMar>
              <w:top w:w="15" w:type="dxa"/>
              <w:left w:w="15" w:type="dxa"/>
              <w:right w:w="15" w:type="dxa"/>
            </w:tcMar>
            <w:vAlign w:val="center"/>
          </w:tcPr>
          <w:p w14:paraId="4D624A68">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风险筛选值</w:t>
            </w:r>
          </w:p>
        </w:tc>
      </w:tr>
      <w:tr w14:paraId="083906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vMerge w:val="continue"/>
            <w:tcBorders>
              <w:bottom w:val="single" w:color="auto" w:sz="12" w:space="0"/>
            </w:tcBorders>
            <w:shd w:val="clear" w:color="auto" w:fill="auto"/>
            <w:noWrap/>
            <w:tcMar>
              <w:top w:w="15" w:type="dxa"/>
              <w:left w:w="15" w:type="dxa"/>
              <w:right w:w="15" w:type="dxa"/>
            </w:tcMar>
            <w:vAlign w:val="center"/>
          </w:tcPr>
          <w:p w14:paraId="3D1665F5">
            <w:pPr>
              <w:spacing w:line="240" w:lineRule="auto"/>
              <w:jc w:val="center"/>
              <w:rPr>
                <w:rFonts w:hint="default" w:ascii="Times New Roman" w:hAnsi="Times New Roman" w:cs="Times New Roman"/>
                <w:b/>
                <w:color w:val="auto"/>
                <w:sz w:val="21"/>
                <w:szCs w:val="21"/>
                <w:highlight w:val="none"/>
              </w:rPr>
            </w:pPr>
          </w:p>
        </w:tc>
        <w:tc>
          <w:tcPr>
            <w:tcW w:w="1611" w:type="dxa"/>
            <w:gridSpan w:val="2"/>
            <w:vMerge w:val="continue"/>
            <w:tcBorders>
              <w:bottom w:val="single" w:color="auto" w:sz="12" w:space="0"/>
            </w:tcBorders>
            <w:shd w:val="clear" w:color="auto" w:fill="auto"/>
            <w:noWrap/>
            <w:tcMar>
              <w:top w:w="15" w:type="dxa"/>
              <w:left w:w="15" w:type="dxa"/>
              <w:right w:w="15" w:type="dxa"/>
            </w:tcMar>
            <w:vAlign w:val="center"/>
          </w:tcPr>
          <w:p w14:paraId="6091AA29">
            <w:pPr>
              <w:spacing w:line="240" w:lineRule="auto"/>
              <w:jc w:val="center"/>
              <w:rPr>
                <w:rFonts w:hint="default" w:ascii="Times New Roman" w:hAnsi="Times New Roman" w:cs="Times New Roman"/>
                <w:b/>
                <w:color w:val="auto"/>
                <w:sz w:val="21"/>
                <w:szCs w:val="21"/>
                <w:highlight w:val="none"/>
              </w:rPr>
            </w:pPr>
          </w:p>
        </w:tc>
        <w:tc>
          <w:tcPr>
            <w:tcW w:w="1611" w:type="dxa"/>
            <w:tcBorders>
              <w:bottom w:val="single" w:color="auto" w:sz="12" w:space="0"/>
            </w:tcBorders>
            <w:shd w:val="clear" w:color="auto" w:fill="auto"/>
            <w:tcMar>
              <w:top w:w="15" w:type="dxa"/>
              <w:left w:w="15" w:type="dxa"/>
              <w:right w:w="15" w:type="dxa"/>
            </w:tcMar>
          </w:tcPr>
          <w:p w14:paraId="66F85316">
            <w:pPr>
              <w:widowControl/>
              <w:spacing w:line="240" w:lineRule="auto"/>
              <w:jc w:val="center"/>
              <w:textAlignment w:val="top"/>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pH≤5.5</w:t>
            </w:r>
          </w:p>
        </w:tc>
        <w:tc>
          <w:tcPr>
            <w:tcW w:w="1611" w:type="dxa"/>
            <w:tcBorders>
              <w:bottom w:val="single" w:color="auto" w:sz="12" w:space="0"/>
            </w:tcBorders>
            <w:shd w:val="clear" w:color="auto" w:fill="auto"/>
            <w:tcMar>
              <w:top w:w="15" w:type="dxa"/>
              <w:left w:w="15" w:type="dxa"/>
              <w:right w:w="15" w:type="dxa"/>
            </w:tcMar>
          </w:tcPr>
          <w:p w14:paraId="3A803B7B">
            <w:pPr>
              <w:widowControl/>
              <w:spacing w:line="240" w:lineRule="auto"/>
              <w:jc w:val="center"/>
              <w:textAlignment w:val="top"/>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5.5＜pH≤6.5</w:t>
            </w:r>
          </w:p>
        </w:tc>
        <w:tc>
          <w:tcPr>
            <w:tcW w:w="1612" w:type="dxa"/>
            <w:tcBorders>
              <w:bottom w:val="single" w:color="auto" w:sz="12" w:space="0"/>
            </w:tcBorders>
            <w:shd w:val="clear" w:color="auto" w:fill="auto"/>
            <w:tcMar>
              <w:top w:w="15" w:type="dxa"/>
              <w:left w:w="15" w:type="dxa"/>
              <w:right w:w="15" w:type="dxa"/>
            </w:tcMar>
          </w:tcPr>
          <w:p w14:paraId="664DF23C">
            <w:pPr>
              <w:widowControl/>
              <w:spacing w:line="240" w:lineRule="auto"/>
              <w:jc w:val="center"/>
              <w:textAlignment w:val="top"/>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6.5＜pH≤7.5</w:t>
            </w:r>
          </w:p>
        </w:tc>
        <w:tc>
          <w:tcPr>
            <w:tcW w:w="1612" w:type="dxa"/>
            <w:tcBorders>
              <w:bottom w:val="single" w:color="auto" w:sz="12" w:space="0"/>
            </w:tcBorders>
            <w:shd w:val="clear" w:color="auto" w:fill="auto"/>
            <w:tcMar>
              <w:top w:w="15" w:type="dxa"/>
              <w:left w:w="15" w:type="dxa"/>
              <w:right w:w="15" w:type="dxa"/>
            </w:tcMar>
          </w:tcPr>
          <w:p w14:paraId="3EE4EA43">
            <w:pPr>
              <w:widowControl/>
              <w:spacing w:line="240" w:lineRule="auto"/>
              <w:jc w:val="center"/>
              <w:textAlignment w:val="top"/>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pH＞7.5</w:t>
            </w:r>
          </w:p>
        </w:tc>
      </w:tr>
      <w:tr w14:paraId="791F8E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vMerge w:val="restart"/>
            <w:tcBorders>
              <w:top w:val="single" w:color="auto" w:sz="12" w:space="0"/>
              <w:tl2br w:val="nil"/>
              <w:tr2bl w:val="nil"/>
            </w:tcBorders>
            <w:shd w:val="clear" w:color="auto" w:fill="auto"/>
            <w:noWrap/>
            <w:tcMar>
              <w:top w:w="15" w:type="dxa"/>
              <w:left w:w="15" w:type="dxa"/>
              <w:right w:w="15" w:type="dxa"/>
            </w:tcMar>
            <w:vAlign w:val="center"/>
          </w:tcPr>
          <w:p w14:paraId="110C90B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w:t>
            </w:r>
          </w:p>
        </w:tc>
        <w:tc>
          <w:tcPr>
            <w:tcW w:w="760" w:type="dxa"/>
            <w:vMerge w:val="restart"/>
            <w:tcBorders>
              <w:top w:val="single" w:color="auto" w:sz="12" w:space="0"/>
              <w:right w:val="single" w:color="000000" w:sz="4" w:space="0"/>
              <w:tl2br w:val="nil"/>
              <w:tr2bl w:val="nil"/>
            </w:tcBorders>
            <w:shd w:val="clear" w:color="auto" w:fill="auto"/>
            <w:noWrap/>
            <w:tcMar>
              <w:top w:w="15" w:type="dxa"/>
              <w:left w:w="15" w:type="dxa"/>
              <w:right w:w="15" w:type="dxa"/>
            </w:tcMar>
            <w:vAlign w:val="center"/>
          </w:tcPr>
          <w:p w14:paraId="3AA1553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镉</w:t>
            </w:r>
          </w:p>
        </w:tc>
        <w:tc>
          <w:tcPr>
            <w:tcW w:w="851" w:type="dxa"/>
            <w:tcBorders>
              <w:top w:val="single" w:color="auto" w:sz="12" w:space="0"/>
              <w:left w:val="single" w:color="000000" w:sz="4" w:space="0"/>
              <w:tl2br w:val="nil"/>
              <w:tr2bl w:val="nil"/>
            </w:tcBorders>
            <w:shd w:val="clear" w:color="auto" w:fill="auto"/>
            <w:vAlign w:val="center"/>
          </w:tcPr>
          <w:p w14:paraId="1DEF40E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水田</w:t>
            </w:r>
          </w:p>
        </w:tc>
        <w:tc>
          <w:tcPr>
            <w:tcW w:w="1611" w:type="dxa"/>
            <w:tcBorders>
              <w:top w:val="single" w:color="auto" w:sz="12" w:space="0"/>
              <w:tl2br w:val="nil"/>
              <w:tr2bl w:val="nil"/>
            </w:tcBorders>
            <w:shd w:val="clear" w:color="auto" w:fill="auto"/>
            <w:noWrap/>
            <w:tcMar>
              <w:top w:w="15" w:type="dxa"/>
              <w:left w:w="15" w:type="dxa"/>
              <w:right w:w="15" w:type="dxa"/>
            </w:tcMar>
            <w:vAlign w:val="center"/>
          </w:tcPr>
          <w:p w14:paraId="7C7C133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0.3</w:t>
            </w:r>
          </w:p>
        </w:tc>
        <w:tc>
          <w:tcPr>
            <w:tcW w:w="1611" w:type="dxa"/>
            <w:tcBorders>
              <w:top w:val="single" w:color="auto" w:sz="12" w:space="0"/>
              <w:tl2br w:val="nil"/>
              <w:tr2bl w:val="nil"/>
            </w:tcBorders>
            <w:shd w:val="clear" w:color="auto" w:fill="auto"/>
            <w:noWrap/>
            <w:tcMar>
              <w:top w:w="15" w:type="dxa"/>
              <w:left w:w="15" w:type="dxa"/>
              <w:right w:w="15" w:type="dxa"/>
            </w:tcMar>
            <w:vAlign w:val="center"/>
          </w:tcPr>
          <w:p w14:paraId="2A9D9B4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0.4</w:t>
            </w:r>
          </w:p>
        </w:tc>
        <w:tc>
          <w:tcPr>
            <w:tcW w:w="1612" w:type="dxa"/>
            <w:tcBorders>
              <w:top w:val="single" w:color="auto" w:sz="12" w:space="0"/>
              <w:tl2br w:val="nil"/>
              <w:tr2bl w:val="nil"/>
            </w:tcBorders>
            <w:shd w:val="clear" w:color="auto" w:fill="auto"/>
            <w:noWrap/>
            <w:tcMar>
              <w:top w:w="15" w:type="dxa"/>
              <w:left w:w="15" w:type="dxa"/>
              <w:right w:w="15" w:type="dxa"/>
            </w:tcMar>
            <w:vAlign w:val="center"/>
          </w:tcPr>
          <w:p w14:paraId="122B243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0.6</w:t>
            </w:r>
          </w:p>
        </w:tc>
        <w:tc>
          <w:tcPr>
            <w:tcW w:w="1612" w:type="dxa"/>
            <w:tcBorders>
              <w:top w:val="single" w:color="auto" w:sz="12" w:space="0"/>
              <w:tl2br w:val="nil"/>
              <w:tr2bl w:val="nil"/>
            </w:tcBorders>
            <w:shd w:val="clear" w:color="auto" w:fill="auto"/>
            <w:noWrap/>
            <w:tcMar>
              <w:top w:w="15" w:type="dxa"/>
              <w:left w:w="15" w:type="dxa"/>
              <w:right w:w="15" w:type="dxa"/>
            </w:tcMar>
            <w:vAlign w:val="center"/>
          </w:tcPr>
          <w:p w14:paraId="0DBAE14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0.8</w:t>
            </w:r>
          </w:p>
        </w:tc>
      </w:tr>
      <w:tr w14:paraId="286C9E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vMerge w:val="continue"/>
            <w:tcBorders>
              <w:tl2br w:val="nil"/>
              <w:tr2bl w:val="nil"/>
            </w:tcBorders>
            <w:shd w:val="clear" w:color="auto" w:fill="auto"/>
            <w:noWrap/>
            <w:tcMar>
              <w:top w:w="15" w:type="dxa"/>
              <w:left w:w="15" w:type="dxa"/>
              <w:right w:w="15" w:type="dxa"/>
            </w:tcMar>
            <w:vAlign w:val="center"/>
          </w:tcPr>
          <w:p w14:paraId="699167F9">
            <w:pPr>
              <w:widowControl/>
              <w:spacing w:line="240" w:lineRule="auto"/>
              <w:jc w:val="center"/>
              <w:textAlignment w:val="center"/>
              <w:rPr>
                <w:rFonts w:hint="default" w:ascii="Times New Roman" w:hAnsi="Times New Roman" w:cs="Times New Roman"/>
                <w:color w:val="auto"/>
                <w:sz w:val="21"/>
                <w:szCs w:val="21"/>
                <w:highlight w:val="none"/>
              </w:rPr>
            </w:pPr>
          </w:p>
        </w:tc>
        <w:tc>
          <w:tcPr>
            <w:tcW w:w="760" w:type="dxa"/>
            <w:vMerge w:val="continue"/>
            <w:tcBorders>
              <w:right w:val="single" w:color="000000" w:sz="4" w:space="0"/>
              <w:tl2br w:val="nil"/>
              <w:tr2bl w:val="nil"/>
            </w:tcBorders>
            <w:shd w:val="clear" w:color="auto" w:fill="auto"/>
            <w:noWrap/>
            <w:tcMar>
              <w:top w:w="15" w:type="dxa"/>
              <w:left w:w="15" w:type="dxa"/>
              <w:right w:w="15" w:type="dxa"/>
            </w:tcMar>
            <w:vAlign w:val="center"/>
          </w:tcPr>
          <w:p w14:paraId="432FB8F1">
            <w:pPr>
              <w:widowControl/>
              <w:spacing w:line="240" w:lineRule="auto"/>
              <w:jc w:val="center"/>
              <w:textAlignment w:val="center"/>
              <w:rPr>
                <w:rFonts w:hint="default" w:ascii="Times New Roman" w:hAnsi="Times New Roman" w:cs="Times New Roman"/>
                <w:color w:val="auto"/>
                <w:sz w:val="21"/>
                <w:szCs w:val="21"/>
                <w:highlight w:val="none"/>
              </w:rPr>
            </w:pPr>
          </w:p>
        </w:tc>
        <w:tc>
          <w:tcPr>
            <w:tcW w:w="851" w:type="dxa"/>
            <w:tcBorders>
              <w:left w:val="single" w:color="000000" w:sz="4" w:space="0"/>
              <w:tl2br w:val="nil"/>
              <w:tr2bl w:val="nil"/>
            </w:tcBorders>
            <w:shd w:val="clear" w:color="auto" w:fill="auto"/>
            <w:vAlign w:val="center"/>
          </w:tcPr>
          <w:p w14:paraId="6B7BF7B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其它</w:t>
            </w:r>
          </w:p>
        </w:tc>
        <w:tc>
          <w:tcPr>
            <w:tcW w:w="1611" w:type="dxa"/>
            <w:tcBorders>
              <w:tl2br w:val="nil"/>
              <w:tr2bl w:val="nil"/>
            </w:tcBorders>
            <w:shd w:val="clear" w:color="auto" w:fill="auto"/>
            <w:noWrap/>
            <w:tcMar>
              <w:top w:w="15" w:type="dxa"/>
              <w:left w:w="15" w:type="dxa"/>
              <w:right w:w="15" w:type="dxa"/>
            </w:tcMar>
            <w:vAlign w:val="center"/>
          </w:tcPr>
          <w:p w14:paraId="64B20DD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0.3</w:t>
            </w:r>
          </w:p>
        </w:tc>
        <w:tc>
          <w:tcPr>
            <w:tcW w:w="1611" w:type="dxa"/>
            <w:tcBorders>
              <w:tl2br w:val="nil"/>
              <w:tr2bl w:val="nil"/>
            </w:tcBorders>
            <w:shd w:val="clear" w:color="auto" w:fill="auto"/>
            <w:noWrap/>
            <w:tcMar>
              <w:top w:w="15" w:type="dxa"/>
              <w:left w:w="15" w:type="dxa"/>
              <w:right w:w="15" w:type="dxa"/>
            </w:tcMar>
            <w:vAlign w:val="center"/>
          </w:tcPr>
          <w:p w14:paraId="33E4C6D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0.3</w:t>
            </w:r>
          </w:p>
        </w:tc>
        <w:tc>
          <w:tcPr>
            <w:tcW w:w="1612" w:type="dxa"/>
            <w:tcBorders>
              <w:tl2br w:val="nil"/>
              <w:tr2bl w:val="nil"/>
            </w:tcBorders>
            <w:shd w:val="clear" w:color="auto" w:fill="auto"/>
            <w:noWrap/>
            <w:tcMar>
              <w:top w:w="15" w:type="dxa"/>
              <w:left w:w="15" w:type="dxa"/>
              <w:right w:w="15" w:type="dxa"/>
            </w:tcMar>
            <w:vAlign w:val="center"/>
          </w:tcPr>
          <w:p w14:paraId="561A76C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0.3</w:t>
            </w:r>
          </w:p>
        </w:tc>
        <w:tc>
          <w:tcPr>
            <w:tcW w:w="1612" w:type="dxa"/>
            <w:tcBorders>
              <w:tl2br w:val="nil"/>
              <w:tr2bl w:val="nil"/>
            </w:tcBorders>
            <w:shd w:val="clear" w:color="auto" w:fill="auto"/>
            <w:noWrap/>
            <w:tcMar>
              <w:top w:w="15" w:type="dxa"/>
              <w:left w:w="15" w:type="dxa"/>
              <w:right w:w="15" w:type="dxa"/>
            </w:tcMar>
            <w:vAlign w:val="center"/>
          </w:tcPr>
          <w:p w14:paraId="3398F8A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0.6</w:t>
            </w:r>
          </w:p>
        </w:tc>
      </w:tr>
      <w:tr w14:paraId="300966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vMerge w:val="restart"/>
            <w:tcBorders>
              <w:tl2br w:val="nil"/>
              <w:tr2bl w:val="nil"/>
            </w:tcBorders>
            <w:shd w:val="clear" w:color="auto" w:fill="auto"/>
            <w:noWrap/>
            <w:tcMar>
              <w:top w:w="15" w:type="dxa"/>
              <w:left w:w="15" w:type="dxa"/>
              <w:right w:w="15" w:type="dxa"/>
            </w:tcMar>
            <w:vAlign w:val="center"/>
          </w:tcPr>
          <w:p w14:paraId="31E97E5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w:t>
            </w:r>
          </w:p>
        </w:tc>
        <w:tc>
          <w:tcPr>
            <w:tcW w:w="760" w:type="dxa"/>
            <w:vMerge w:val="restart"/>
            <w:tcBorders>
              <w:right w:val="single" w:color="000000" w:sz="4" w:space="0"/>
              <w:tl2br w:val="nil"/>
              <w:tr2bl w:val="nil"/>
            </w:tcBorders>
            <w:shd w:val="clear" w:color="auto" w:fill="auto"/>
            <w:noWrap/>
            <w:tcMar>
              <w:top w:w="15" w:type="dxa"/>
              <w:left w:w="15" w:type="dxa"/>
              <w:right w:w="15" w:type="dxa"/>
            </w:tcMar>
            <w:vAlign w:val="center"/>
          </w:tcPr>
          <w:p w14:paraId="0757899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汞</w:t>
            </w:r>
          </w:p>
        </w:tc>
        <w:tc>
          <w:tcPr>
            <w:tcW w:w="851" w:type="dxa"/>
            <w:tcBorders>
              <w:left w:val="single" w:color="000000" w:sz="4" w:space="0"/>
              <w:tl2br w:val="nil"/>
              <w:tr2bl w:val="nil"/>
            </w:tcBorders>
            <w:shd w:val="clear" w:color="auto" w:fill="auto"/>
            <w:vAlign w:val="center"/>
          </w:tcPr>
          <w:p w14:paraId="5ACF717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水田</w:t>
            </w:r>
          </w:p>
        </w:tc>
        <w:tc>
          <w:tcPr>
            <w:tcW w:w="1611" w:type="dxa"/>
            <w:tcBorders>
              <w:tl2br w:val="nil"/>
              <w:tr2bl w:val="nil"/>
            </w:tcBorders>
            <w:shd w:val="clear" w:color="auto" w:fill="auto"/>
            <w:noWrap/>
            <w:tcMar>
              <w:top w:w="15" w:type="dxa"/>
              <w:left w:w="15" w:type="dxa"/>
              <w:right w:w="15" w:type="dxa"/>
            </w:tcMar>
            <w:vAlign w:val="center"/>
          </w:tcPr>
          <w:p w14:paraId="7B283C7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0.5</w:t>
            </w:r>
          </w:p>
        </w:tc>
        <w:tc>
          <w:tcPr>
            <w:tcW w:w="1611" w:type="dxa"/>
            <w:tcBorders>
              <w:tl2br w:val="nil"/>
              <w:tr2bl w:val="nil"/>
            </w:tcBorders>
            <w:shd w:val="clear" w:color="auto" w:fill="auto"/>
            <w:noWrap/>
            <w:tcMar>
              <w:top w:w="15" w:type="dxa"/>
              <w:left w:w="15" w:type="dxa"/>
              <w:right w:w="15" w:type="dxa"/>
            </w:tcMar>
            <w:vAlign w:val="center"/>
          </w:tcPr>
          <w:p w14:paraId="7A59683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0.5</w:t>
            </w:r>
          </w:p>
        </w:tc>
        <w:tc>
          <w:tcPr>
            <w:tcW w:w="1612" w:type="dxa"/>
            <w:tcBorders>
              <w:tl2br w:val="nil"/>
              <w:tr2bl w:val="nil"/>
            </w:tcBorders>
            <w:shd w:val="clear" w:color="auto" w:fill="auto"/>
            <w:noWrap/>
            <w:tcMar>
              <w:top w:w="15" w:type="dxa"/>
              <w:left w:w="15" w:type="dxa"/>
              <w:right w:w="15" w:type="dxa"/>
            </w:tcMar>
            <w:vAlign w:val="center"/>
          </w:tcPr>
          <w:p w14:paraId="793C4D4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0.6</w:t>
            </w:r>
          </w:p>
        </w:tc>
        <w:tc>
          <w:tcPr>
            <w:tcW w:w="1612" w:type="dxa"/>
            <w:tcBorders>
              <w:tl2br w:val="nil"/>
              <w:tr2bl w:val="nil"/>
            </w:tcBorders>
            <w:shd w:val="clear" w:color="auto" w:fill="auto"/>
            <w:noWrap/>
            <w:tcMar>
              <w:top w:w="15" w:type="dxa"/>
              <w:left w:w="15" w:type="dxa"/>
              <w:right w:w="15" w:type="dxa"/>
            </w:tcMar>
            <w:vAlign w:val="center"/>
          </w:tcPr>
          <w:p w14:paraId="7F19FC2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w:t>
            </w:r>
          </w:p>
        </w:tc>
      </w:tr>
      <w:tr w14:paraId="6C14F5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vMerge w:val="continue"/>
            <w:tcBorders>
              <w:tl2br w:val="nil"/>
              <w:tr2bl w:val="nil"/>
            </w:tcBorders>
            <w:shd w:val="clear" w:color="auto" w:fill="auto"/>
            <w:noWrap/>
            <w:tcMar>
              <w:top w:w="15" w:type="dxa"/>
              <w:left w:w="15" w:type="dxa"/>
              <w:right w:w="15" w:type="dxa"/>
            </w:tcMar>
            <w:vAlign w:val="center"/>
          </w:tcPr>
          <w:p w14:paraId="75B0452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760" w:type="dxa"/>
            <w:vMerge w:val="continue"/>
            <w:tcBorders>
              <w:right w:val="single" w:color="000000" w:sz="4" w:space="0"/>
              <w:tl2br w:val="nil"/>
              <w:tr2bl w:val="nil"/>
            </w:tcBorders>
            <w:shd w:val="clear" w:color="auto" w:fill="auto"/>
            <w:noWrap/>
            <w:tcMar>
              <w:top w:w="15" w:type="dxa"/>
              <w:left w:w="15" w:type="dxa"/>
              <w:right w:w="15" w:type="dxa"/>
            </w:tcMar>
            <w:vAlign w:val="center"/>
          </w:tcPr>
          <w:p w14:paraId="1F5C1F3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851" w:type="dxa"/>
            <w:tcBorders>
              <w:left w:val="single" w:color="000000" w:sz="4" w:space="0"/>
              <w:tl2br w:val="nil"/>
              <w:tr2bl w:val="nil"/>
            </w:tcBorders>
            <w:shd w:val="clear" w:color="auto" w:fill="auto"/>
            <w:vAlign w:val="center"/>
          </w:tcPr>
          <w:p w14:paraId="2C2ADAA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其它</w:t>
            </w:r>
          </w:p>
        </w:tc>
        <w:tc>
          <w:tcPr>
            <w:tcW w:w="1611" w:type="dxa"/>
            <w:tcBorders>
              <w:tl2br w:val="nil"/>
              <w:tr2bl w:val="nil"/>
            </w:tcBorders>
            <w:shd w:val="clear" w:color="auto" w:fill="auto"/>
            <w:noWrap/>
            <w:tcMar>
              <w:top w:w="15" w:type="dxa"/>
              <w:left w:w="15" w:type="dxa"/>
              <w:right w:w="15" w:type="dxa"/>
            </w:tcMar>
            <w:vAlign w:val="center"/>
          </w:tcPr>
          <w:p w14:paraId="0BC914E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1.3</w:t>
            </w:r>
          </w:p>
        </w:tc>
        <w:tc>
          <w:tcPr>
            <w:tcW w:w="1611" w:type="dxa"/>
            <w:tcBorders>
              <w:tl2br w:val="nil"/>
              <w:tr2bl w:val="nil"/>
            </w:tcBorders>
            <w:shd w:val="clear" w:color="auto" w:fill="auto"/>
            <w:noWrap/>
            <w:tcMar>
              <w:top w:w="15" w:type="dxa"/>
              <w:left w:w="15" w:type="dxa"/>
              <w:right w:w="15" w:type="dxa"/>
            </w:tcMar>
            <w:vAlign w:val="center"/>
          </w:tcPr>
          <w:p w14:paraId="5831B7D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1.8</w:t>
            </w:r>
          </w:p>
        </w:tc>
        <w:tc>
          <w:tcPr>
            <w:tcW w:w="1612" w:type="dxa"/>
            <w:tcBorders>
              <w:tl2br w:val="nil"/>
              <w:tr2bl w:val="nil"/>
            </w:tcBorders>
            <w:shd w:val="clear" w:color="auto" w:fill="auto"/>
            <w:noWrap/>
            <w:tcMar>
              <w:top w:w="15" w:type="dxa"/>
              <w:left w:w="15" w:type="dxa"/>
              <w:right w:w="15" w:type="dxa"/>
            </w:tcMar>
            <w:vAlign w:val="center"/>
          </w:tcPr>
          <w:p w14:paraId="527E176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2.4</w:t>
            </w:r>
          </w:p>
        </w:tc>
        <w:tc>
          <w:tcPr>
            <w:tcW w:w="1612" w:type="dxa"/>
            <w:tcBorders>
              <w:tl2br w:val="nil"/>
              <w:tr2bl w:val="nil"/>
            </w:tcBorders>
            <w:shd w:val="clear" w:color="auto" w:fill="auto"/>
            <w:noWrap/>
            <w:tcMar>
              <w:top w:w="15" w:type="dxa"/>
              <w:left w:w="15" w:type="dxa"/>
              <w:right w:w="15" w:type="dxa"/>
            </w:tcMar>
            <w:vAlign w:val="center"/>
          </w:tcPr>
          <w:p w14:paraId="3240E1E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3.4</w:t>
            </w:r>
          </w:p>
        </w:tc>
      </w:tr>
      <w:tr w14:paraId="767C30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vMerge w:val="restart"/>
            <w:tcBorders>
              <w:tl2br w:val="nil"/>
              <w:tr2bl w:val="nil"/>
            </w:tcBorders>
            <w:shd w:val="clear" w:color="auto" w:fill="auto"/>
            <w:noWrap/>
            <w:tcMar>
              <w:top w:w="15" w:type="dxa"/>
              <w:left w:w="15" w:type="dxa"/>
              <w:right w:w="15" w:type="dxa"/>
            </w:tcMar>
            <w:vAlign w:val="center"/>
          </w:tcPr>
          <w:p w14:paraId="5A3C382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w:t>
            </w:r>
          </w:p>
        </w:tc>
        <w:tc>
          <w:tcPr>
            <w:tcW w:w="760" w:type="dxa"/>
            <w:vMerge w:val="restart"/>
            <w:tcBorders>
              <w:right w:val="single" w:color="000000" w:sz="4" w:space="0"/>
              <w:tl2br w:val="nil"/>
              <w:tr2bl w:val="nil"/>
            </w:tcBorders>
            <w:shd w:val="clear" w:color="auto" w:fill="auto"/>
            <w:noWrap/>
            <w:tcMar>
              <w:top w:w="15" w:type="dxa"/>
              <w:left w:w="15" w:type="dxa"/>
              <w:right w:w="15" w:type="dxa"/>
            </w:tcMar>
            <w:vAlign w:val="center"/>
          </w:tcPr>
          <w:p w14:paraId="541810D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砷</w:t>
            </w:r>
          </w:p>
        </w:tc>
        <w:tc>
          <w:tcPr>
            <w:tcW w:w="851" w:type="dxa"/>
            <w:tcBorders>
              <w:left w:val="single" w:color="000000" w:sz="4" w:space="0"/>
              <w:tl2br w:val="nil"/>
              <w:tr2bl w:val="nil"/>
            </w:tcBorders>
            <w:shd w:val="clear" w:color="auto" w:fill="auto"/>
            <w:vAlign w:val="center"/>
          </w:tcPr>
          <w:p w14:paraId="504D839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水田</w:t>
            </w:r>
          </w:p>
        </w:tc>
        <w:tc>
          <w:tcPr>
            <w:tcW w:w="1611" w:type="dxa"/>
            <w:tcBorders>
              <w:tl2br w:val="nil"/>
              <w:tr2bl w:val="nil"/>
            </w:tcBorders>
            <w:shd w:val="clear" w:color="auto" w:fill="auto"/>
            <w:noWrap/>
            <w:tcMar>
              <w:top w:w="15" w:type="dxa"/>
              <w:left w:w="15" w:type="dxa"/>
              <w:right w:w="15" w:type="dxa"/>
            </w:tcMar>
            <w:vAlign w:val="center"/>
          </w:tcPr>
          <w:p w14:paraId="3F33E8E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w:t>
            </w:r>
          </w:p>
        </w:tc>
        <w:tc>
          <w:tcPr>
            <w:tcW w:w="1611" w:type="dxa"/>
            <w:tcBorders>
              <w:tl2br w:val="nil"/>
              <w:tr2bl w:val="nil"/>
            </w:tcBorders>
            <w:shd w:val="clear" w:color="auto" w:fill="auto"/>
            <w:noWrap/>
            <w:tcMar>
              <w:top w:w="15" w:type="dxa"/>
              <w:left w:w="15" w:type="dxa"/>
              <w:right w:w="15" w:type="dxa"/>
            </w:tcMar>
            <w:vAlign w:val="center"/>
          </w:tcPr>
          <w:p w14:paraId="2EC1E27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w:t>
            </w:r>
          </w:p>
        </w:tc>
        <w:tc>
          <w:tcPr>
            <w:tcW w:w="1612" w:type="dxa"/>
            <w:tcBorders>
              <w:tl2br w:val="nil"/>
              <w:tr2bl w:val="nil"/>
            </w:tcBorders>
            <w:shd w:val="clear" w:color="auto" w:fill="auto"/>
            <w:noWrap/>
            <w:tcMar>
              <w:top w:w="15" w:type="dxa"/>
              <w:left w:w="15" w:type="dxa"/>
              <w:right w:w="15" w:type="dxa"/>
            </w:tcMar>
            <w:vAlign w:val="center"/>
          </w:tcPr>
          <w:p w14:paraId="47141A6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25</w:t>
            </w:r>
          </w:p>
        </w:tc>
        <w:tc>
          <w:tcPr>
            <w:tcW w:w="1612" w:type="dxa"/>
            <w:tcBorders>
              <w:tl2br w:val="nil"/>
              <w:tr2bl w:val="nil"/>
            </w:tcBorders>
            <w:shd w:val="clear" w:color="auto" w:fill="auto"/>
            <w:noWrap/>
            <w:tcMar>
              <w:top w:w="15" w:type="dxa"/>
              <w:left w:w="15" w:type="dxa"/>
              <w:right w:w="15" w:type="dxa"/>
            </w:tcMar>
            <w:vAlign w:val="center"/>
          </w:tcPr>
          <w:p w14:paraId="6CE181B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w:t>
            </w:r>
          </w:p>
        </w:tc>
      </w:tr>
      <w:tr w14:paraId="3AEE26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vMerge w:val="continue"/>
            <w:tcBorders>
              <w:tl2br w:val="nil"/>
              <w:tr2bl w:val="nil"/>
            </w:tcBorders>
            <w:shd w:val="clear" w:color="auto" w:fill="auto"/>
            <w:noWrap/>
            <w:tcMar>
              <w:top w:w="15" w:type="dxa"/>
              <w:left w:w="15" w:type="dxa"/>
              <w:right w:w="15" w:type="dxa"/>
            </w:tcMar>
            <w:vAlign w:val="center"/>
          </w:tcPr>
          <w:p w14:paraId="673C8A8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760" w:type="dxa"/>
            <w:vMerge w:val="continue"/>
            <w:tcBorders>
              <w:right w:val="single" w:color="000000" w:sz="4" w:space="0"/>
              <w:tl2br w:val="nil"/>
              <w:tr2bl w:val="nil"/>
            </w:tcBorders>
            <w:shd w:val="clear" w:color="auto" w:fill="auto"/>
            <w:noWrap/>
            <w:tcMar>
              <w:top w:w="15" w:type="dxa"/>
              <w:left w:w="15" w:type="dxa"/>
              <w:right w:w="15" w:type="dxa"/>
            </w:tcMar>
            <w:vAlign w:val="center"/>
          </w:tcPr>
          <w:p w14:paraId="0C1E457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851" w:type="dxa"/>
            <w:tcBorders>
              <w:left w:val="single" w:color="000000" w:sz="4" w:space="0"/>
              <w:tl2br w:val="nil"/>
              <w:tr2bl w:val="nil"/>
            </w:tcBorders>
            <w:shd w:val="clear" w:color="auto" w:fill="auto"/>
            <w:vAlign w:val="center"/>
          </w:tcPr>
          <w:p w14:paraId="499BE55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其它</w:t>
            </w:r>
          </w:p>
        </w:tc>
        <w:tc>
          <w:tcPr>
            <w:tcW w:w="1611" w:type="dxa"/>
            <w:tcBorders>
              <w:tl2br w:val="nil"/>
              <w:tr2bl w:val="nil"/>
            </w:tcBorders>
            <w:shd w:val="clear" w:color="auto" w:fill="auto"/>
            <w:noWrap/>
            <w:tcMar>
              <w:top w:w="15" w:type="dxa"/>
              <w:left w:w="15" w:type="dxa"/>
              <w:right w:w="15" w:type="dxa"/>
            </w:tcMar>
            <w:vAlign w:val="center"/>
          </w:tcPr>
          <w:p w14:paraId="19E04AB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40</w:t>
            </w:r>
          </w:p>
        </w:tc>
        <w:tc>
          <w:tcPr>
            <w:tcW w:w="1611" w:type="dxa"/>
            <w:tcBorders>
              <w:tl2br w:val="nil"/>
              <w:tr2bl w:val="nil"/>
            </w:tcBorders>
            <w:shd w:val="clear" w:color="auto" w:fill="auto"/>
            <w:noWrap/>
            <w:tcMar>
              <w:top w:w="15" w:type="dxa"/>
              <w:left w:w="15" w:type="dxa"/>
              <w:right w:w="15" w:type="dxa"/>
            </w:tcMar>
            <w:vAlign w:val="center"/>
          </w:tcPr>
          <w:p w14:paraId="171D396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40</w:t>
            </w:r>
          </w:p>
        </w:tc>
        <w:tc>
          <w:tcPr>
            <w:tcW w:w="1612" w:type="dxa"/>
            <w:tcBorders>
              <w:tl2br w:val="nil"/>
              <w:tr2bl w:val="nil"/>
            </w:tcBorders>
            <w:shd w:val="clear" w:color="auto" w:fill="auto"/>
            <w:noWrap/>
            <w:tcMar>
              <w:top w:w="15" w:type="dxa"/>
              <w:left w:w="15" w:type="dxa"/>
              <w:right w:w="15" w:type="dxa"/>
            </w:tcMar>
            <w:vAlign w:val="center"/>
          </w:tcPr>
          <w:p w14:paraId="2B80DBE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w:t>
            </w:r>
          </w:p>
        </w:tc>
        <w:tc>
          <w:tcPr>
            <w:tcW w:w="1612" w:type="dxa"/>
            <w:tcBorders>
              <w:tl2br w:val="nil"/>
              <w:tr2bl w:val="nil"/>
            </w:tcBorders>
            <w:shd w:val="clear" w:color="auto" w:fill="auto"/>
            <w:noWrap/>
            <w:tcMar>
              <w:top w:w="15" w:type="dxa"/>
              <w:left w:w="15" w:type="dxa"/>
              <w:right w:w="15" w:type="dxa"/>
            </w:tcMar>
            <w:vAlign w:val="center"/>
          </w:tcPr>
          <w:p w14:paraId="3303E31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w:t>
            </w:r>
          </w:p>
        </w:tc>
      </w:tr>
      <w:tr w14:paraId="7426A8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vMerge w:val="restart"/>
            <w:tcBorders>
              <w:tl2br w:val="nil"/>
              <w:tr2bl w:val="nil"/>
            </w:tcBorders>
            <w:shd w:val="clear" w:color="auto" w:fill="auto"/>
            <w:noWrap/>
            <w:tcMar>
              <w:top w:w="15" w:type="dxa"/>
              <w:left w:w="15" w:type="dxa"/>
              <w:right w:w="15" w:type="dxa"/>
            </w:tcMar>
            <w:vAlign w:val="center"/>
          </w:tcPr>
          <w:p w14:paraId="7E77C4C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w:t>
            </w:r>
          </w:p>
        </w:tc>
        <w:tc>
          <w:tcPr>
            <w:tcW w:w="760" w:type="dxa"/>
            <w:vMerge w:val="restart"/>
            <w:tcBorders>
              <w:right w:val="single" w:color="000000" w:sz="4" w:space="0"/>
              <w:tl2br w:val="nil"/>
              <w:tr2bl w:val="nil"/>
            </w:tcBorders>
            <w:shd w:val="clear" w:color="auto" w:fill="auto"/>
            <w:noWrap/>
            <w:tcMar>
              <w:top w:w="15" w:type="dxa"/>
              <w:left w:w="15" w:type="dxa"/>
              <w:right w:w="15" w:type="dxa"/>
            </w:tcMar>
            <w:vAlign w:val="center"/>
          </w:tcPr>
          <w:p w14:paraId="605936E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铅</w:t>
            </w:r>
          </w:p>
        </w:tc>
        <w:tc>
          <w:tcPr>
            <w:tcW w:w="851" w:type="dxa"/>
            <w:tcBorders>
              <w:left w:val="single" w:color="000000" w:sz="4" w:space="0"/>
              <w:tl2br w:val="nil"/>
              <w:tr2bl w:val="nil"/>
            </w:tcBorders>
            <w:shd w:val="clear" w:color="auto" w:fill="auto"/>
            <w:vAlign w:val="center"/>
          </w:tcPr>
          <w:p w14:paraId="58481D0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水田</w:t>
            </w:r>
          </w:p>
        </w:tc>
        <w:tc>
          <w:tcPr>
            <w:tcW w:w="1611" w:type="dxa"/>
            <w:tcBorders>
              <w:tl2br w:val="nil"/>
              <w:tr2bl w:val="nil"/>
            </w:tcBorders>
            <w:shd w:val="clear" w:color="auto" w:fill="auto"/>
            <w:noWrap/>
            <w:tcMar>
              <w:top w:w="15" w:type="dxa"/>
              <w:left w:w="15" w:type="dxa"/>
              <w:right w:w="15" w:type="dxa"/>
            </w:tcMar>
            <w:vAlign w:val="center"/>
          </w:tcPr>
          <w:p w14:paraId="7B8D563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80</w:t>
            </w:r>
          </w:p>
        </w:tc>
        <w:tc>
          <w:tcPr>
            <w:tcW w:w="1611" w:type="dxa"/>
            <w:tcBorders>
              <w:tl2br w:val="nil"/>
              <w:tr2bl w:val="nil"/>
            </w:tcBorders>
            <w:shd w:val="clear" w:color="auto" w:fill="auto"/>
            <w:noWrap/>
            <w:tcMar>
              <w:top w:w="15" w:type="dxa"/>
              <w:left w:w="15" w:type="dxa"/>
              <w:right w:w="15" w:type="dxa"/>
            </w:tcMar>
            <w:vAlign w:val="center"/>
          </w:tcPr>
          <w:p w14:paraId="011C9BB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100</w:t>
            </w:r>
          </w:p>
        </w:tc>
        <w:tc>
          <w:tcPr>
            <w:tcW w:w="1612" w:type="dxa"/>
            <w:tcBorders>
              <w:tl2br w:val="nil"/>
              <w:tr2bl w:val="nil"/>
            </w:tcBorders>
            <w:shd w:val="clear" w:color="auto" w:fill="auto"/>
            <w:noWrap/>
            <w:tcMar>
              <w:top w:w="15" w:type="dxa"/>
              <w:left w:w="15" w:type="dxa"/>
              <w:right w:w="15" w:type="dxa"/>
            </w:tcMar>
            <w:vAlign w:val="center"/>
          </w:tcPr>
          <w:p w14:paraId="34365EE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140</w:t>
            </w:r>
          </w:p>
        </w:tc>
        <w:tc>
          <w:tcPr>
            <w:tcW w:w="1612" w:type="dxa"/>
            <w:tcBorders>
              <w:tl2br w:val="nil"/>
              <w:tr2bl w:val="nil"/>
            </w:tcBorders>
            <w:shd w:val="clear" w:color="auto" w:fill="auto"/>
            <w:noWrap/>
            <w:tcMar>
              <w:top w:w="15" w:type="dxa"/>
              <w:left w:w="15" w:type="dxa"/>
              <w:right w:w="15" w:type="dxa"/>
            </w:tcMar>
            <w:vAlign w:val="center"/>
          </w:tcPr>
          <w:p w14:paraId="4CABD62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240</w:t>
            </w:r>
          </w:p>
        </w:tc>
      </w:tr>
      <w:tr w14:paraId="25AD2F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vMerge w:val="continue"/>
            <w:tcBorders>
              <w:tl2br w:val="nil"/>
              <w:tr2bl w:val="nil"/>
            </w:tcBorders>
            <w:shd w:val="clear" w:color="auto" w:fill="auto"/>
            <w:noWrap/>
            <w:tcMar>
              <w:top w:w="15" w:type="dxa"/>
              <w:left w:w="15" w:type="dxa"/>
              <w:right w:w="15" w:type="dxa"/>
            </w:tcMar>
            <w:vAlign w:val="center"/>
          </w:tcPr>
          <w:p w14:paraId="09FE13F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760" w:type="dxa"/>
            <w:vMerge w:val="continue"/>
            <w:tcBorders>
              <w:right w:val="single" w:color="000000" w:sz="4" w:space="0"/>
              <w:tl2br w:val="nil"/>
              <w:tr2bl w:val="nil"/>
            </w:tcBorders>
            <w:shd w:val="clear" w:color="auto" w:fill="auto"/>
            <w:noWrap/>
            <w:tcMar>
              <w:top w:w="15" w:type="dxa"/>
              <w:left w:w="15" w:type="dxa"/>
              <w:right w:w="15" w:type="dxa"/>
            </w:tcMar>
            <w:vAlign w:val="center"/>
          </w:tcPr>
          <w:p w14:paraId="0D3C388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851" w:type="dxa"/>
            <w:tcBorders>
              <w:left w:val="single" w:color="000000" w:sz="4" w:space="0"/>
              <w:tl2br w:val="nil"/>
              <w:tr2bl w:val="nil"/>
            </w:tcBorders>
            <w:shd w:val="clear" w:color="auto" w:fill="auto"/>
            <w:vAlign w:val="center"/>
          </w:tcPr>
          <w:p w14:paraId="1F7BBE4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其它</w:t>
            </w:r>
          </w:p>
        </w:tc>
        <w:tc>
          <w:tcPr>
            <w:tcW w:w="1611" w:type="dxa"/>
            <w:tcBorders>
              <w:tl2br w:val="nil"/>
              <w:tr2bl w:val="nil"/>
            </w:tcBorders>
            <w:shd w:val="clear" w:color="auto" w:fill="auto"/>
            <w:noWrap/>
            <w:tcMar>
              <w:top w:w="15" w:type="dxa"/>
              <w:left w:w="15" w:type="dxa"/>
              <w:right w:w="15" w:type="dxa"/>
            </w:tcMar>
            <w:vAlign w:val="center"/>
          </w:tcPr>
          <w:p w14:paraId="05EC4B4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70</w:t>
            </w:r>
          </w:p>
        </w:tc>
        <w:tc>
          <w:tcPr>
            <w:tcW w:w="1611" w:type="dxa"/>
            <w:tcBorders>
              <w:tl2br w:val="nil"/>
              <w:tr2bl w:val="nil"/>
            </w:tcBorders>
            <w:shd w:val="clear" w:color="auto" w:fill="auto"/>
            <w:noWrap/>
            <w:tcMar>
              <w:top w:w="15" w:type="dxa"/>
              <w:left w:w="15" w:type="dxa"/>
              <w:right w:w="15" w:type="dxa"/>
            </w:tcMar>
            <w:vAlign w:val="center"/>
          </w:tcPr>
          <w:p w14:paraId="79CF1BC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90</w:t>
            </w:r>
          </w:p>
        </w:tc>
        <w:tc>
          <w:tcPr>
            <w:tcW w:w="1612" w:type="dxa"/>
            <w:tcBorders>
              <w:tl2br w:val="nil"/>
              <w:tr2bl w:val="nil"/>
            </w:tcBorders>
            <w:shd w:val="clear" w:color="auto" w:fill="auto"/>
            <w:noWrap/>
            <w:tcMar>
              <w:top w:w="15" w:type="dxa"/>
              <w:left w:w="15" w:type="dxa"/>
              <w:right w:w="15" w:type="dxa"/>
            </w:tcMar>
            <w:vAlign w:val="center"/>
          </w:tcPr>
          <w:p w14:paraId="60239E9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120</w:t>
            </w:r>
          </w:p>
        </w:tc>
        <w:tc>
          <w:tcPr>
            <w:tcW w:w="1612" w:type="dxa"/>
            <w:tcBorders>
              <w:tl2br w:val="nil"/>
              <w:tr2bl w:val="nil"/>
            </w:tcBorders>
            <w:shd w:val="clear" w:color="auto" w:fill="auto"/>
            <w:noWrap/>
            <w:tcMar>
              <w:top w:w="15" w:type="dxa"/>
              <w:left w:w="15" w:type="dxa"/>
              <w:right w:w="15" w:type="dxa"/>
            </w:tcMar>
            <w:vAlign w:val="center"/>
          </w:tcPr>
          <w:p w14:paraId="33A78DC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170</w:t>
            </w:r>
          </w:p>
        </w:tc>
      </w:tr>
      <w:tr w14:paraId="5AF6C7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vMerge w:val="restart"/>
            <w:tcBorders>
              <w:tl2br w:val="nil"/>
              <w:tr2bl w:val="nil"/>
            </w:tcBorders>
            <w:shd w:val="clear" w:color="auto" w:fill="auto"/>
            <w:noWrap/>
            <w:tcMar>
              <w:top w:w="15" w:type="dxa"/>
              <w:left w:w="15" w:type="dxa"/>
              <w:right w:w="15" w:type="dxa"/>
            </w:tcMar>
            <w:vAlign w:val="center"/>
          </w:tcPr>
          <w:p w14:paraId="6017ADF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w:t>
            </w:r>
          </w:p>
        </w:tc>
        <w:tc>
          <w:tcPr>
            <w:tcW w:w="760" w:type="dxa"/>
            <w:vMerge w:val="restart"/>
            <w:tcBorders>
              <w:right w:val="single" w:color="000000" w:sz="4" w:space="0"/>
              <w:tl2br w:val="nil"/>
              <w:tr2bl w:val="nil"/>
            </w:tcBorders>
            <w:shd w:val="clear" w:color="auto" w:fill="auto"/>
            <w:noWrap/>
            <w:tcMar>
              <w:top w:w="15" w:type="dxa"/>
              <w:left w:w="15" w:type="dxa"/>
              <w:right w:w="15" w:type="dxa"/>
            </w:tcMar>
            <w:vAlign w:val="center"/>
          </w:tcPr>
          <w:p w14:paraId="4EFA1DC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铬</w:t>
            </w:r>
          </w:p>
        </w:tc>
        <w:tc>
          <w:tcPr>
            <w:tcW w:w="851" w:type="dxa"/>
            <w:tcBorders>
              <w:left w:val="single" w:color="000000" w:sz="4" w:space="0"/>
              <w:tl2br w:val="nil"/>
              <w:tr2bl w:val="nil"/>
            </w:tcBorders>
            <w:shd w:val="clear" w:color="auto" w:fill="auto"/>
            <w:vAlign w:val="center"/>
          </w:tcPr>
          <w:p w14:paraId="5C34E73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水田</w:t>
            </w:r>
          </w:p>
        </w:tc>
        <w:tc>
          <w:tcPr>
            <w:tcW w:w="1611" w:type="dxa"/>
            <w:tcBorders>
              <w:tl2br w:val="nil"/>
              <w:tr2bl w:val="nil"/>
            </w:tcBorders>
            <w:shd w:val="clear" w:color="auto" w:fill="auto"/>
            <w:noWrap/>
            <w:tcMar>
              <w:top w:w="15" w:type="dxa"/>
              <w:left w:w="15" w:type="dxa"/>
              <w:right w:w="15" w:type="dxa"/>
            </w:tcMar>
            <w:vAlign w:val="center"/>
          </w:tcPr>
          <w:p w14:paraId="22B165A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250</w:t>
            </w:r>
          </w:p>
        </w:tc>
        <w:tc>
          <w:tcPr>
            <w:tcW w:w="1611" w:type="dxa"/>
            <w:tcBorders>
              <w:tl2br w:val="nil"/>
              <w:tr2bl w:val="nil"/>
            </w:tcBorders>
            <w:shd w:val="clear" w:color="auto" w:fill="auto"/>
            <w:noWrap/>
            <w:tcMar>
              <w:top w:w="15" w:type="dxa"/>
              <w:left w:w="15" w:type="dxa"/>
              <w:right w:w="15" w:type="dxa"/>
            </w:tcMar>
            <w:vAlign w:val="center"/>
          </w:tcPr>
          <w:p w14:paraId="250D1C8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250</w:t>
            </w:r>
          </w:p>
        </w:tc>
        <w:tc>
          <w:tcPr>
            <w:tcW w:w="1612" w:type="dxa"/>
            <w:tcBorders>
              <w:tl2br w:val="nil"/>
              <w:tr2bl w:val="nil"/>
            </w:tcBorders>
            <w:shd w:val="clear" w:color="auto" w:fill="auto"/>
            <w:noWrap/>
            <w:tcMar>
              <w:top w:w="15" w:type="dxa"/>
              <w:left w:w="15" w:type="dxa"/>
              <w:right w:w="15" w:type="dxa"/>
            </w:tcMar>
            <w:vAlign w:val="center"/>
          </w:tcPr>
          <w:p w14:paraId="685BE0F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300</w:t>
            </w:r>
          </w:p>
        </w:tc>
        <w:tc>
          <w:tcPr>
            <w:tcW w:w="1612" w:type="dxa"/>
            <w:tcBorders>
              <w:tl2br w:val="nil"/>
              <w:tr2bl w:val="nil"/>
            </w:tcBorders>
            <w:shd w:val="clear" w:color="auto" w:fill="auto"/>
            <w:noWrap/>
            <w:tcMar>
              <w:top w:w="15" w:type="dxa"/>
              <w:left w:w="15" w:type="dxa"/>
              <w:right w:w="15" w:type="dxa"/>
            </w:tcMar>
            <w:vAlign w:val="center"/>
          </w:tcPr>
          <w:p w14:paraId="26A936E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350</w:t>
            </w:r>
          </w:p>
        </w:tc>
      </w:tr>
      <w:tr w14:paraId="23F117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vMerge w:val="continue"/>
            <w:tcBorders>
              <w:tl2br w:val="nil"/>
              <w:tr2bl w:val="nil"/>
            </w:tcBorders>
            <w:shd w:val="clear" w:color="auto" w:fill="auto"/>
            <w:noWrap/>
            <w:tcMar>
              <w:top w:w="15" w:type="dxa"/>
              <w:left w:w="15" w:type="dxa"/>
              <w:right w:w="15" w:type="dxa"/>
            </w:tcMar>
            <w:vAlign w:val="center"/>
          </w:tcPr>
          <w:p w14:paraId="59BAB7B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760" w:type="dxa"/>
            <w:vMerge w:val="continue"/>
            <w:tcBorders>
              <w:right w:val="single" w:color="000000" w:sz="4" w:space="0"/>
              <w:tl2br w:val="nil"/>
              <w:tr2bl w:val="nil"/>
            </w:tcBorders>
            <w:shd w:val="clear" w:color="auto" w:fill="auto"/>
            <w:noWrap/>
            <w:tcMar>
              <w:top w:w="15" w:type="dxa"/>
              <w:left w:w="15" w:type="dxa"/>
              <w:right w:w="15" w:type="dxa"/>
            </w:tcMar>
            <w:vAlign w:val="center"/>
          </w:tcPr>
          <w:p w14:paraId="0A3AA1C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851" w:type="dxa"/>
            <w:tcBorders>
              <w:left w:val="single" w:color="000000" w:sz="4" w:space="0"/>
              <w:tl2br w:val="nil"/>
              <w:tr2bl w:val="nil"/>
            </w:tcBorders>
            <w:shd w:val="clear" w:color="auto" w:fill="auto"/>
            <w:vAlign w:val="center"/>
          </w:tcPr>
          <w:p w14:paraId="1B4BFB4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其它</w:t>
            </w:r>
          </w:p>
        </w:tc>
        <w:tc>
          <w:tcPr>
            <w:tcW w:w="1611" w:type="dxa"/>
            <w:tcBorders>
              <w:tl2br w:val="nil"/>
              <w:tr2bl w:val="nil"/>
            </w:tcBorders>
            <w:shd w:val="clear" w:color="auto" w:fill="auto"/>
            <w:noWrap/>
            <w:tcMar>
              <w:top w:w="15" w:type="dxa"/>
              <w:left w:w="15" w:type="dxa"/>
              <w:right w:w="15" w:type="dxa"/>
            </w:tcMar>
            <w:vAlign w:val="center"/>
          </w:tcPr>
          <w:p w14:paraId="7122EBE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150</w:t>
            </w:r>
          </w:p>
        </w:tc>
        <w:tc>
          <w:tcPr>
            <w:tcW w:w="1611" w:type="dxa"/>
            <w:tcBorders>
              <w:tl2br w:val="nil"/>
              <w:tr2bl w:val="nil"/>
            </w:tcBorders>
            <w:shd w:val="clear" w:color="auto" w:fill="auto"/>
            <w:noWrap/>
            <w:tcMar>
              <w:top w:w="15" w:type="dxa"/>
              <w:left w:w="15" w:type="dxa"/>
              <w:right w:w="15" w:type="dxa"/>
            </w:tcMar>
            <w:vAlign w:val="center"/>
          </w:tcPr>
          <w:p w14:paraId="552EA7D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150</w:t>
            </w:r>
          </w:p>
        </w:tc>
        <w:tc>
          <w:tcPr>
            <w:tcW w:w="1612" w:type="dxa"/>
            <w:tcBorders>
              <w:tl2br w:val="nil"/>
              <w:tr2bl w:val="nil"/>
            </w:tcBorders>
            <w:shd w:val="clear" w:color="auto" w:fill="auto"/>
            <w:noWrap/>
            <w:tcMar>
              <w:top w:w="15" w:type="dxa"/>
              <w:left w:w="15" w:type="dxa"/>
              <w:right w:w="15" w:type="dxa"/>
            </w:tcMar>
            <w:vAlign w:val="center"/>
          </w:tcPr>
          <w:p w14:paraId="28582D5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w:t>
            </w:r>
          </w:p>
        </w:tc>
        <w:tc>
          <w:tcPr>
            <w:tcW w:w="1612" w:type="dxa"/>
            <w:tcBorders>
              <w:tl2br w:val="nil"/>
              <w:tr2bl w:val="nil"/>
            </w:tcBorders>
            <w:shd w:val="clear" w:color="auto" w:fill="auto"/>
            <w:noWrap/>
            <w:tcMar>
              <w:top w:w="15" w:type="dxa"/>
              <w:left w:w="15" w:type="dxa"/>
              <w:right w:w="15" w:type="dxa"/>
            </w:tcMar>
            <w:vAlign w:val="center"/>
          </w:tcPr>
          <w:p w14:paraId="77E4806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250</w:t>
            </w:r>
          </w:p>
        </w:tc>
      </w:tr>
      <w:tr w14:paraId="4706F9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tcBorders>
              <w:tl2br w:val="nil"/>
              <w:tr2bl w:val="nil"/>
            </w:tcBorders>
            <w:shd w:val="clear" w:color="auto" w:fill="auto"/>
            <w:noWrap/>
            <w:tcMar>
              <w:top w:w="15" w:type="dxa"/>
              <w:left w:w="15" w:type="dxa"/>
              <w:right w:w="15" w:type="dxa"/>
            </w:tcMar>
            <w:vAlign w:val="center"/>
          </w:tcPr>
          <w:p w14:paraId="3BF79F2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w:t>
            </w:r>
          </w:p>
        </w:tc>
        <w:tc>
          <w:tcPr>
            <w:tcW w:w="760" w:type="dxa"/>
            <w:tcBorders>
              <w:right w:val="single" w:color="000000" w:sz="4" w:space="0"/>
              <w:tl2br w:val="nil"/>
              <w:tr2bl w:val="nil"/>
            </w:tcBorders>
            <w:shd w:val="clear" w:color="auto" w:fill="auto"/>
            <w:noWrap/>
            <w:tcMar>
              <w:top w:w="15" w:type="dxa"/>
              <w:left w:w="15" w:type="dxa"/>
              <w:right w:w="15" w:type="dxa"/>
            </w:tcMar>
            <w:vAlign w:val="center"/>
          </w:tcPr>
          <w:p w14:paraId="2A22448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铜</w:t>
            </w:r>
            <w:r>
              <w:rPr>
                <w:rFonts w:hint="default" w:ascii="Times New Roman" w:hAnsi="Times New Roman" w:cs="Times New Roman"/>
                <w:color w:val="auto"/>
                <w:kern w:val="0"/>
                <w:sz w:val="21"/>
                <w:szCs w:val="21"/>
                <w:highlight w:val="none"/>
                <w:vertAlign w:val="superscript"/>
                <w:lang w:bidi="ar"/>
              </w:rPr>
              <w:t>①</w:t>
            </w:r>
          </w:p>
        </w:tc>
        <w:tc>
          <w:tcPr>
            <w:tcW w:w="851" w:type="dxa"/>
            <w:tcBorders>
              <w:left w:val="single" w:color="000000" w:sz="4" w:space="0"/>
              <w:tl2br w:val="nil"/>
              <w:tr2bl w:val="nil"/>
            </w:tcBorders>
            <w:shd w:val="clear" w:color="auto" w:fill="auto"/>
            <w:vAlign w:val="center"/>
          </w:tcPr>
          <w:p w14:paraId="0136AE8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其它</w:t>
            </w:r>
          </w:p>
        </w:tc>
        <w:tc>
          <w:tcPr>
            <w:tcW w:w="1611" w:type="dxa"/>
            <w:tcBorders>
              <w:tl2br w:val="nil"/>
              <w:tr2bl w:val="nil"/>
            </w:tcBorders>
            <w:shd w:val="clear" w:color="auto" w:fill="auto"/>
            <w:noWrap/>
            <w:tcMar>
              <w:top w:w="15" w:type="dxa"/>
              <w:left w:w="15" w:type="dxa"/>
              <w:right w:w="15" w:type="dxa"/>
            </w:tcMar>
            <w:vAlign w:val="center"/>
          </w:tcPr>
          <w:p w14:paraId="22FEC7E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50</w:t>
            </w:r>
          </w:p>
        </w:tc>
        <w:tc>
          <w:tcPr>
            <w:tcW w:w="1611" w:type="dxa"/>
            <w:tcBorders>
              <w:tl2br w:val="nil"/>
              <w:tr2bl w:val="nil"/>
            </w:tcBorders>
            <w:shd w:val="clear" w:color="auto" w:fill="auto"/>
            <w:noWrap/>
            <w:tcMar>
              <w:top w:w="15" w:type="dxa"/>
              <w:left w:w="15" w:type="dxa"/>
              <w:right w:w="15" w:type="dxa"/>
            </w:tcMar>
            <w:vAlign w:val="center"/>
          </w:tcPr>
          <w:p w14:paraId="51FC15C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50</w:t>
            </w:r>
          </w:p>
        </w:tc>
        <w:tc>
          <w:tcPr>
            <w:tcW w:w="1612" w:type="dxa"/>
            <w:tcBorders>
              <w:tl2br w:val="nil"/>
              <w:tr2bl w:val="nil"/>
            </w:tcBorders>
            <w:shd w:val="clear" w:color="auto" w:fill="auto"/>
            <w:noWrap/>
            <w:tcMar>
              <w:top w:w="15" w:type="dxa"/>
              <w:left w:w="15" w:type="dxa"/>
              <w:right w:w="15" w:type="dxa"/>
            </w:tcMar>
            <w:vAlign w:val="center"/>
          </w:tcPr>
          <w:p w14:paraId="00539DA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c>
          <w:tcPr>
            <w:tcW w:w="1612" w:type="dxa"/>
            <w:tcBorders>
              <w:tl2br w:val="nil"/>
              <w:tr2bl w:val="nil"/>
            </w:tcBorders>
            <w:shd w:val="clear" w:color="auto" w:fill="auto"/>
            <w:noWrap/>
            <w:tcMar>
              <w:top w:w="15" w:type="dxa"/>
              <w:left w:w="15" w:type="dxa"/>
              <w:right w:w="15" w:type="dxa"/>
            </w:tcMar>
            <w:vAlign w:val="center"/>
          </w:tcPr>
          <w:p w14:paraId="79BB313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r>
      <w:tr w14:paraId="09000B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tcBorders>
              <w:tl2br w:val="nil"/>
              <w:tr2bl w:val="nil"/>
            </w:tcBorders>
            <w:shd w:val="clear" w:color="auto" w:fill="auto"/>
            <w:noWrap/>
            <w:tcMar>
              <w:top w:w="15" w:type="dxa"/>
              <w:left w:w="15" w:type="dxa"/>
              <w:right w:w="15" w:type="dxa"/>
            </w:tcMar>
            <w:vAlign w:val="center"/>
          </w:tcPr>
          <w:p w14:paraId="46D9A4B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w:t>
            </w:r>
          </w:p>
        </w:tc>
        <w:tc>
          <w:tcPr>
            <w:tcW w:w="760" w:type="dxa"/>
            <w:tcBorders>
              <w:right w:val="single" w:color="000000" w:sz="4" w:space="0"/>
              <w:tl2br w:val="nil"/>
              <w:tr2bl w:val="nil"/>
            </w:tcBorders>
            <w:shd w:val="clear" w:color="auto" w:fill="auto"/>
            <w:noWrap/>
            <w:tcMar>
              <w:top w:w="15" w:type="dxa"/>
              <w:left w:w="15" w:type="dxa"/>
              <w:right w:w="15" w:type="dxa"/>
            </w:tcMar>
            <w:vAlign w:val="center"/>
          </w:tcPr>
          <w:p w14:paraId="4CC185C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镍</w:t>
            </w:r>
          </w:p>
        </w:tc>
        <w:tc>
          <w:tcPr>
            <w:tcW w:w="851" w:type="dxa"/>
            <w:tcBorders>
              <w:left w:val="single" w:color="000000" w:sz="4" w:space="0"/>
              <w:tl2br w:val="nil"/>
              <w:tr2bl w:val="nil"/>
            </w:tcBorders>
            <w:shd w:val="clear" w:color="auto" w:fill="auto"/>
            <w:vAlign w:val="center"/>
          </w:tcPr>
          <w:p w14:paraId="52E308D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其它</w:t>
            </w:r>
          </w:p>
        </w:tc>
        <w:tc>
          <w:tcPr>
            <w:tcW w:w="1611" w:type="dxa"/>
            <w:tcBorders>
              <w:tl2br w:val="nil"/>
              <w:tr2bl w:val="nil"/>
            </w:tcBorders>
            <w:shd w:val="clear" w:color="auto" w:fill="auto"/>
            <w:noWrap/>
            <w:tcMar>
              <w:top w:w="15" w:type="dxa"/>
              <w:left w:w="15" w:type="dxa"/>
              <w:right w:w="15" w:type="dxa"/>
            </w:tcMar>
            <w:vAlign w:val="center"/>
          </w:tcPr>
          <w:p w14:paraId="7BF424F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60</w:t>
            </w:r>
          </w:p>
        </w:tc>
        <w:tc>
          <w:tcPr>
            <w:tcW w:w="1611" w:type="dxa"/>
            <w:tcBorders>
              <w:tl2br w:val="nil"/>
              <w:tr2bl w:val="nil"/>
            </w:tcBorders>
            <w:shd w:val="clear" w:color="auto" w:fill="auto"/>
            <w:noWrap/>
            <w:tcMar>
              <w:top w:w="15" w:type="dxa"/>
              <w:left w:w="15" w:type="dxa"/>
              <w:right w:w="15" w:type="dxa"/>
            </w:tcMar>
            <w:vAlign w:val="center"/>
          </w:tcPr>
          <w:p w14:paraId="4FDE0AE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70</w:t>
            </w:r>
          </w:p>
        </w:tc>
        <w:tc>
          <w:tcPr>
            <w:tcW w:w="1612" w:type="dxa"/>
            <w:tcBorders>
              <w:tl2br w:val="nil"/>
              <w:tr2bl w:val="nil"/>
            </w:tcBorders>
            <w:shd w:val="clear" w:color="auto" w:fill="auto"/>
            <w:noWrap/>
            <w:tcMar>
              <w:top w:w="15" w:type="dxa"/>
              <w:left w:w="15" w:type="dxa"/>
              <w:right w:w="15" w:type="dxa"/>
            </w:tcMar>
            <w:vAlign w:val="center"/>
          </w:tcPr>
          <w:p w14:paraId="2F07E57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100</w:t>
            </w:r>
          </w:p>
        </w:tc>
        <w:tc>
          <w:tcPr>
            <w:tcW w:w="1612" w:type="dxa"/>
            <w:tcBorders>
              <w:tl2br w:val="nil"/>
              <w:tr2bl w:val="nil"/>
            </w:tcBorders>
            <w:shd w:val="clear" w:color="auto" w:fill="auto"/>
            <w:noWrap/>
            <w:tcMar>
              <w:top w:w="15" w:type="dxa"/>
              <w:left w:w="15" w:type="dxa"/>
              <w:right w:w="15" w:type="dxa"/>
            </w:tcMar>
            <w:vAlign w:val="center"/>
          </w:tcPr>
          <w:p w14:paraId="71853D6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190</w:t>
            </w:r>
          </w:p>
        </w:tc>
      </w:tr>
      <w:tr w14:paraId="4611EC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611" w:type="dxa"/>
            <w:tcBorders>
              <w:tl2br w:val="nil"/>
              <w:tr2bl w:val="nil"/>
            </w:tcBorders>
            <w:shd w:val="clear" w:color="auto" w:fill="auto"/>
            <w:noWrap/>
            <w:tcMar>
              <w:top w:w="15" w:type="dxa"/>
              <w:left w:w="15" w:type="dxa"/>
              <w:right w:w="15" w:type="dxa"/>
            </w:tcMar>
            <w:vAlign w:val="center"/>
          </w:tcPr>
          <w:p w14:paraId="5586AB2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w:t>
            </w:r>
          </w:p>
        </w:tc>
        <w:tc>
          <w:tcPr>
            <w:tcW w:w="760" w:type="dxa"/>
            <w:tcBorders>
              <w:right w:val="single" w:color="000000" w:sz="4" w:space="0"/>
              <w:tl2br w:val="nil"/>
              <w:tr2bl w:val="nil"/>
            </w:tcBorders>
            <w:shd w:val="clear" w:color="auto" w:fill="auto"/>
            <w:noWrap/>
            <w:tcMar>
              <w:top w:w="15" w:type="dxa"/>
              <w:left w:w="15" w:type="dxa"/>
              <w:right w:w="15" w:type="dxa"/>
            </w:tcMar>
            <w:vAlign w:val="center"/>
          </w:tcPr>
          <w:p w14:paraId="7750B27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锌</w:t>
            </w:r>
          </w:p>
        </w:tc>
        <w:tc>
          <w:tcPr>
            <w:tcW w:w="851" w:type="dxa"/>
            <w:tcBorders>
              <w:left w:val="single" w:color="000000" w:sz="4" w:space="0"/>
              <w:tl2br w:val="nil"/>
              <w:tr2bl w:val="nil"/>
            </w:tcBorders>
            <w:shd w:val="clear" w:color="auto" w:fill="auto"/>
            <w:vAlign w:val="center"/>
          </w:tcPr>
          <w:p w14:paraId="35D28A6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其它</w:t>
            </w:r>
          </w:p>
        </w:tc>
        <w:tc>
          <w:tcPr>
            <w:tcW w:w="1611" w:type="dxa"/>
            <w:tcBorders>
              <w:tl2br w:val="nil"/>
              <w:tr2bl w:val="nil"/>
            </w:tcBorders>
            <w:shd w:val="clear" w:color="auto" w:fill="auto"/>
            <w:noWrap/>
            <w:tcMar>
              <w:top w:w="15" w:type="dxa"/>
              <w:left w:w="15" w:type="dxa"/>
              <w:right w:w="15" w:type="dxa"/>
            </w:tcMar>
            <w:vAlign w:val="center"/>
          </w:tcPr>
          <w:p w14:paraId="2CD22C7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w:t>
            </w:r>
          </w:p>
        </w:tc>
        <w:tc>
          <w:tcPr>
            <w:tcW w:w="1611" w:type="dxa"/>
            <w:tcBorders>
              <w:tl2br w:val="nil"/>
              <w:tr2bl w:val="nil"/>
            </w:tcBorders>
            <w:shd w:val="clear" w:color="auto" w:fill="auto"/>
            <w:noWrap/>
            <w:tcMar>
              <w:top w:w="15" w:type="dxa"/>
              <w:left w:w="15" w:type="dxa"/>
              <w:right w:w="15" w:type="dxa"/>
            </w:tcMar>
            <w:vAlign w:val="center"/>
          </w:tcPr>
          <w:p w14:paraId="3334CE6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w:t>
            </w:r>
          </w:p>
        </w:tc>
        <w:tc>
          <w:tcPr>
            <w:tcW w:w="1612" w:type="dxa"/>
            <w:tcBorders>
              <w:tl2br w:val="nil"/>
              <w:tr2bl w:val="nil"/>
            </w:tcBorders>
            <w:shd w:val="clear" w:color="auto" w:fill="auto"/>
            <w:noWrap/>
            <w:tcMar>
              <w:top w:w="15" w:type="dxa"/>
              <w:left w:w="15" w:type="dxa"/>
              <w:right w:w="15" w:type="dxa"/>
            </w:tcMar>
            <w:vAlign w:val="center"/>
          </w:tcPr>
          <w:p w14:paraId="1E8919E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250</w:t>
            </w:r>
          </w:p>
        </w:tc>
        <w:tc>
          <w:tcPr>
            <w:tcW w:w="1612" w:type="dxa"/>
            <w:tcBorders>
              <w:tl2br w:val="nil"/>
              <w:tr2bl w:val="nil"/>
            </w:tcBorders>
            <w:shd w:val="clear" w:color="auto" w:fill="auto"/>
            <w:noWrap/>
            <w:tcMar>
              <w:top w:w="15" w:type="dxa"/>
              <w:left w:w="15" w:type="dxa"/>
              <w:right w:w="15" w:type="dxa"/>
            </w:tcMar>
            <w:vAlign w:val="center"/>
          </w:tcPr>
          <w:p w14:paraId="2EF8C7F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300</w:t>
            </w:r>
          </w:p>
        </w:tc>
      </w:tr>
    </w:tbl>
    <w:p w14:paraId="45D94299">
      <w:pPr>
        <w:pStyle w:val="2"/>
        <w:spacing w:after="0" w:line="240" w:lineRule="auto"/>
        <w:rPr>
          <w:rFonts w:hint="default" w:ascii="Times New Roman" w:hAnsi="Times New Roman" w:cs="Times New Roman"/>
          <w:b/>
          <w:bCs/>
          <w:color w:val="auto"/>
          <w:kern w:val="0"/>
          <w:sz w:val="18"/>
          <w:szCs w:val="18"/>
          <w:highlight w:val="none"/>
          <w:lang w:bidi="ar"/>
        </w:rPr>
      </w:pPr>
      <w:r>
        <w:rPr>
          <w:rFonts w:hint="default" w:ascii="Times New Roman" w:hAnsi="Times New Roman" w:cs="Times New Roman"/>
          <w:b/>
          <w:bCs/>
          <w:color w:val="auto"/>
          <w:sz w:val="18"/>
          <w:szCs w:val="18"/>
          <w:highlight w:val="none"/>
        </w:rPr>
        <w:t>注：①</w:t>
      </w:r>
      <w:r>
        <w:rPr>
          <w:rFonts w:hint="default" w:ascii="Times New Roman" w:hAnsi="Times New Roman" w:cs="Times New Roman"/>
          <w:b/>
          <w:bCs/>
          <w:color w:val="auto"/>
          <w:kern w:val="0"/>
          <w:sz w:val="18"/>
          <w:szCs w:val="18"/>
          <w:highlight w:val="none"/>
          <w:lang w:bidi="ar"/>
        </w:rPr>
        <w:t>铜</w:t>
      </w:r>
      <w:r>
        <w:rPr>
          <w:rFonts w:hint="default" w:ascii="Times New Roman" w:hAnsi="Times New Roman" w:cs="Times New Roman"/>
          <w:b/>
          <w:bCs/>
          <w:color w:val="auto"/>
          <w:kern w:val="0"/>
          <w:sz w:val="18"/>
          <w:szCs w:val="18"/>
          <w:highlight w:val="none"/>
          <w:lang w:val="en-US" w:eastAsia="zh-CN" w:bidi="ar"/>
        </w:rPr>
        <w:t>其它</w:t>
      </w:r>
      <w:r>
        <w:rPr>
          <w:rFonts w:hint="default" w:ascii="Times New Roman" w:hAnsi="Times New Roman" w:cs="Times New Roman"/>
          <w:b/>
          <w:bCs/>
          <w:color w:val="auto"/>
          <w:kern w:val="0"/>
          <w:sz w:val="18"/>
          <w:szCs w:val="18"/>
          <w:highlight w:val="none"/>
          <w:lang w:bidi="ar"/>
        </w:rPr>
        <w:t>指除“果园”以外其它农用地类型</w:t>
      </w:r>
    </w:p>
    <w:p w14:paraId="2E138F9B">
      <w:pPr>
        <w:pStyle w:val="5"/>
        <w:rPr>
          <w:rFonts w:hint="default" w:ascii="Times New Roman" w:hAnsi="Times New Roman" w:cs="Times New Roman"/>
          <w:color w:val="auto"/>
          <w:highlight w:val="none"/>
        </w:rPr>
      </w:pPr>
      <w:r>
        <w:rPr>
          <w:rFonts w:hint="default" w:ascii="Times New Roman" w:hAnsi="Times New Roman" w:cs="Times New Roman"/>
          <w:color w:val="auto"/>
          <w:highlight w:val="none"/>
        </w:rPr>
        <w:t>土壤背景值</w:t>
      </w:r>
    </w:p>
    <w:p w14:paraId="71BE07FB">
      <w:pPr>
        <w:ind w:firstLine="480" w:firstLineChars="200"/>
        <w:jc w:val="left"/>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由于缺少园区所在区域内土壤环境质量相关数据，本报告参考中国环境监测总站编制的《中国土壤元素背景值》中湖北省土壤中重金属背景值及《土壤环境质量建设用地土壤污染风险管控标准（试行）（GB36600-2018）》（以下简称GB36600）附录A作为区域土壤环境状况背景。</w:t>
      </w:r>
    </w:p>
    <w:p w14:paraId="677734AC">
      <w:pPr>
        <w:pStyle w:val="2"/>
        <w:spacing w:after="0" w:line="240" w:lineRule="auto"/>
        <w:jc w:val="center"/>
        <w:rPr>
          <w:rFonts w:hint="default" w:ascii="Times New Roman" w:hAnsi="Times New Roman" w:eastAsia="黑体" w:cs="Times New Roman"/>
          <w:b/>
          <w:color w:val="auto"/>
          <w:highlight w:val="none"/>
        </w:rPr>
      </w:pPr>
      <w:r>
        <w:rPr>
          <w:rFonts w:hint="default" w:ascii="Times New Roman" w:hAnsi="Times New Roman" w:eastAsia="黑体" w:cs="Times New Roman"/>
          <w:b/>
          <w:color w:val="auto"/>
          <w:highlight w:val="none"/>
        </w:rPr>
        <w:t>表5-1-4 土壤背景值一览表</w:t>
      </w:r>
    </w:p>
    <w:tbl>
      <w:tblPr>
        <w:tblStyle w:val="22"/>
        <w:tblW w:w="4998" w:type="pct"/>
        <w:tblInd w:w="0" w:type="dxa"/>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83"/>
        <w:gridCol w:w="3513"/>
        <w:gridCol w:w="2118"/>
        <w:gridCol w:w="2779"/>
      </w:tblGrid>
      <w:tr w14:paraId="699E558C">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6" w:type="pct"/>
            <w:tcBorders>
              <w:top w:val="single" w:color="auto" w:sz="12" w:space="0"/>
              <w:bottom w:val="single" w:color="auto" w:sz="12" w:space="0"/>
            </w:tcBorders>
            <w:vAlign w:val="center"/>
          </w:tcPr>
          <w:p w14:paraId="0A4EAA90">
            <w:pPr>
              <w:pStyle w:val="2"/>
              <w:spacing w:after="0" w:line="240" w:lineRule="auto"/>
              <w:jc w:val="center"/>
              <w:rPr>
                <w:rFonts w:hint="default" w:ascii="Times New Roman" w:hAnsi="Times New Roman" w:cs="Times New Roman" w:eastAsiaTheme="minorEastAsia"/>
                <w:b/>
                <w:bCs w:val="0"/>
                <w:color w:val="auto"/>
                <w:sz w:val="21"/>
                <w:szCs w:val="21"/>
                <w:highlight w:val="none"/>
              </w:rPr>
            </w:pPr>
            <w:r>
              <w:rPr>
                <w:rFonts w:hint="default" w:ascii="Times New Roman" w:hAnsi="Times New Roman" w:cs="Times New Roman" w:eastAsiaTheme="minorEastAsia"/>
                <w:b/>
                <w:bCs w:val="0"/>
                <w:color w:val="auto"/>
                <w:sz w:val="21"/>
                <w:szCs w:val="21"/>
                <w:highlight w:val="none"/>
              </w:rPr>
              <w:t>序号</w:t>
            </w:r>
          </w:p>
        </w:tc>
        <w:tc>
          <w:tcPr>
            <w:tcW w:w="1793" w:type="pct"/>
            <w:tcBorders>
              <w:top w:val="single" w:color="auto" w:sz="12" w:space="0"/>
              <w:bottom w:val="single" w:color="auto" w:sz="12" w:space="0"/>
            </w:tcBorders>
            <w:vAlign w:val="center"/>
          </w:tcPr>
          <w:p w14:paraId="25D4B6AC">
            <w:pPr>
              <w:pStyle w:val="2"/>
              <w:spacing w:after="0" w:line="240" w:lineRule="auto"/>
              <w:jc w:val="center"/>
              <w:rPr>
                <w:rFonts w:hint="default" w:ascii="Times New Roman" w:hAnsi="Times New Roman" w:cs="Times New Roman" w:eastAsiaTheme="minorEastAsia"/>
                <w:b/>
                <w:bCs w:val="0"/>
                <w:color w:val="auto"/>
                <w:sz w:val="21"/>
                <w:szCs w:val="21"/>
                <w:highlight w:val="none"/>
              </w:rPr>
            </w:pPr>
            <w:r>
              <w:rPr>
                <w:rFonts w:hint="default" w:ascii="Times New Roman" w:hAnsi="Times New Roman" w:cs="Times New Roman" w:eastAsiaTheme="minorEastAsia"/>
                <w:b/>
                <w:bCs w:val="0"/>
                <w:color w:val="auto"/>
                <w:sz w:val="21"/>
                <w:szCs w:val="21"/>
                <w:highlight w:val="none"/>
              </w:rPr>
              <w:t>重金属</w:t>
            </w:r>
          </w:p>
        </w:tc>
        <w:tc>
          <w:tcPr>
            <w:tcW w:w="1081" w:type="pct"/>
            <w:tcBorders>
              <w:top w:val="single" w:color="auto" w:sz="12" w:space="0"/>
              <w:bottom w:val="single" w:color="auto" w:sz="12" w:space="0"/>
            </w:tcBorders>
            <w:vAlign w:val="center"/>
          </w:tcPr>
          <w:p w14:paraId="4C7ABF37">
            <w:pPr>
              <w:pStyle w:val="2"/>
              <w:spacing w:after="0" w:line="240" w:lineRule="auto"/>
              <w:jc w:val="center"/>
              <w:rPr>
                <w:rFonts w:hint="default" w:ascii="Times New Roman" w:hAnsi="Times New Roman" w:cs="Times New Roman" w:eastAsiaTheme="minorEastAsia"/>
                <w:b/>
                <w:bCs w:val="0"/>
                <w:color w:val="auto"/>
                <w:sz w:val="21"/>
                <w:szCs w:val="21"/>
                <w:highlight w:val="none"/>
              </w:rPr>
            </w:pPr>
            <w:r>
              <w:rPr>
                <w:rFonts w:hint="default" w:ascii="Times New Roman" w:hAnsi="Times New Roman" w:cs="Times New Roman" w:eastAsiaTheme="minorEastAsia"/>
                <w:b/>
                <w:bCs w:val="0"/>
                <w:color w:val="auto"/>
                <w:sz w:val="21"/>
                <w:szCs w:val="21"/>
                <w:highlight w:val="none"/>
              </w:rPr>
              <w:t>背景值（mg/kg）</w:t>
            </w:r>
          </w:p>
        </w:tc>
        <w:tc>
          <w:tcPr>
            <w:tcW w:w="1418" w:type="pct"/>
            <w:tcBorders>
              <w:top w:val="single" w:color="auto" w:sz="12" w:space="0"/>
              <w:bottom w:val="single" w:color="auto" w:sz="12" w:space="0"/>
            </w:tcBorders>
            <w:vAlign w:val="center"/>
          </w:tcPr>
          <w:p w14:paraId="258CF3C0">
            <w:pPr>
              <w:pStyle w:val="2"/>
              <w:spacing w:after="0" w:line="240" w:lineRule="auto"/>
              <w:jc w:val="center"/>
              <w:rPr>
                <w:rFonts w:hint="default" w:ascii="Times New Roman" w:hAnsi="Times New Roman" w:cs="Times New Roman" w:eastAsiaTheme="minorEastAsia"/>
                <w:b/>
                <w:bCs w:val="0"/>
                <w:color w:val="auto"/>
                <w:sz w:val="21"/>
                <w:szCs w:val="21"/>
                <w:highlight w:val="none"/>
              </w:rPr>
            </w:pPr>
            <w:r>
              <w:rPr>
                <w:rFonts w:hint="default" w:ascii="Times New Roman" w:hAnsi="Times New Roman" w:cs="Times New Roman" w:eastAsiaTheme="minorEastAsia"/>
                <w:b/>
                <w:bCs w:val="0"/>
                <w:color w:val="auto"/>
                <w:sz w:val="21"/>
                <w:szCs w:val="21"/>
                <w:highlight w:val="none"/>
              </w:rPr>
              <w:t>背景值来源</w:t>
            </w:r>
          </w:p>
        </w:tc>
      </w:tr>
      <w:tr w14:paraId="38381583">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6" w:type="pct"/>
            <w:tcBorders>
              <w:top w:val="single" w:color="auto" w:sz="12" w:space="0"/>
            </w:tcBorders>
            <w:vAlign w:val="center"/>
          </w:tcPr>
          <w:p w14:paraId="03731537">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1</w:t>
            </w:r>
          </w:p>
        </w:tc>
        <w:tc>
          <w:tcPr>
            <w:tcW w:w="1793" w:type="pct"/>
            <w:tcBorders>
              <w:top w:val="single" w:color="auto" w:sz="12" w:space="0"/>
            </w:tcBorders>
            <w:vAlign w:val="center"/>
          </w:tcPr>
          <w:p w14:paraId="3AC68583">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锌</w:t>
            </w:r>
          </w:p>
        </w:tc>
        <w:tc>
          <w:tcPr>
            <w:tcW w:w="1081" w:type="pct"/>
            <w:tcBorders>
              <w:top w:val="single" w:color="auto" w:sz="12" w:space="0"/>
            </w:tcBorders>
            <w:vAlign w:val="center"/>
          </w:tcPr>
          <w:p w14:paraId="7E4DF61A">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144</w:t>
            </w:r>
          </w:p>
        </w:tc>
        <w:tc>
          <w:tcPr>
            <w:tcW w:w="1418" w:type="pct"/>
            <w:vMerge w:val="restart"/>
            <w:tcBorders>
              <w:top w:val="single" w:color="auto" w:sz="12" w:space="0"/>
            </w:tcBorders>
            <w:vAlign w:val="center"/>
          </w:tcPr>
          <w:p w14:paraId="55694A73">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《中国土壤元素背景值》（国家环境保护局 主持</w:t>
            </w:r>
            <w:r>
              <w:rPr>
                <w:rFonts w:hint="default" w:ascii="Times New Roman" w:hAnsi="Times New Roman" w:cs="Times New Roman" w:eastAsiaTheme="minorEastAsia"/>
                <w:bCs/>
                <w:color w:val="auto"/>
                <w:sz w:val="21"/>
                <w:szCs w:val="21"/>
                <w:highlight w:val="none"/>
                <w:lang w:val="en-US" w:eastAsia="zh-CN"/>
              </w:rPr>
              <w:t xml:space="preserve">. </w:t>
            </w:r>
            <w:r>
              <w:rPr>
                <w:rFonts w:hint="default" w:ascii="Times New Roman" w:hAnsi="Times New Roman" w:cs="Times New Roman" w:eastAsiaTheme="minorEastAsia"/>
                <w:bCs/>
                <w:color w:val="auto"/>
                <w:sz w:val="21"/>
                <w:szCs w:val="21"/>
                <w:highlight w:val="none"/>
              </w:rPr>
              <w:t>中国环境监测总站 主编. 中国土壤元素背景值[J].1990.）0-20cm土壤95%置信上限值</w:t>
            </w:r>
          </w:p>
        </w:tc>
      </w:tr>
      <w:tr w14:paraId="48755F02">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53118FBD">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2</w:t>
            </w:r>
          </w:p>
        </w:tc>
        <w:tc>
          <w:tcPr>
            <w:tcW w:w="1793" w:type="pct"/>
            <w:vAlign w:val="center"/>
          </w:tcPr>
          <w:p w14:paraId="5E8E1F57">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镍</w:t>
            </w:r>
          </w:p>
        </w:tc>
        <w:tc>
          <w:tcPr>
            <w:tcW w:w="1081" w:type="pct"/>
            <w:vAlign w:val="center"/>
          </w:tcPr>
          <w:p w14:paraId="641B333B">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54.2</w:t>
            </w:r>
          </w:p>
        </w:tc>
        <w:tc>
          <w:tcPr>
            <w:tcW w:w="1418" w:type="pct"/>
            <w:vMerge w:val="continue"/>
            <w:vAlign w:val="center"/>
          </w:tcPr>
          <w:p w14:paraId="2B106BB7">
            <w:pPr>
              <w:pStyle w:val="2"/>
              <w:spacing w:after="0" w:line="240" w:lineRule="auto"/>
              <w:jc w:val="center"/>
              <w:rPr>
                <w:rFonts w:hint="default" w:ascii="Times New Roman" w:hAnsi="Times New Roman" w:cs="Times New Roman" w:eastAsiaTheme="minorEastAsia"/>
                <w:bCs/>
                <w:color w:val="auto"/>
                <w:sz w:val="21"/>
                <w:szCs w:val="21"/>
                <w:highlight w:val="none"/>
              </w:rPr>
            </w:pPr>
          </w:p>
        </w:tc>
      </w:tr>
      <w:tr w14:paraId="3CDD2BD7">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2FD53EF4">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3</w:t>
            </w:r>
          </w:p>
        </w:tc>
        <w:tc>
          <w:tcPr>
            <w:tcW w:w="1793" w:type="pct"/>
            <w:vAlign w:val="center"/>
          </w:tcPr>
          <w:p w14:paraId="29E034A4">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铬</w:t>
            </w:r>
          </w:p>
        </w:tc>
        <w:tc>
          <w:tcPr>
            <w:tcW w:w="1081" w:type="pct"/>
            <w:vAlign w:val="center"/>
          </w:tcPr>
          <w:p w14:paraId="6E672497">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146.8</w:t>
            </w:r>
          </w:p>
        </w:tc>
        <w:tc>
          <w:tcPr>
            <w:tcW w:w="1418" w:type="pct"/>
            <w:vMerge w:val="continue"/>
            <w:vAlign w:val="center"/>
          </w:tcPr>
          <w:p w14:paraId="0F893618">
            <w:pPr>
              <w:pStyle w:val="2"/>
              <w:spacing w:after="0" w:line="240" w:lineRule="auto"/>
              <w:jc w:val="center"/>
              <w:rPr>
                <w:rFonts w:hint="default" w:ascii="Times New Roman" w:hAnsi="Times New Roman" w:cs="Times New Roman" w:eastAsiaTheme="minorEastAsia"/>
                <w:bCs/>
                <w:color w:val="auto"/>
                <w:sz w:val="21"/>
                <w:szCs w:val="21"/>
                <w:highlight w:val="none"/>
              </w:rPr>
            </w:pPr>
          </w:p>
        </w:tc>
      </w:tr>
      <w:tr w14:paraId="2D226EFE">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3A1226A4">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4</w:t>
            </w:r>
          </w:p>
        </w:tc>
        <w:tc>
          <w:tcPr>
            <w:tcW w:w="1793" w:type="pct"/>
            <w:vAlign w:val="center"/>
          </w:tcPr>
          <w:p w14:paraId="411818FB">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铜</w:t>
            </w:r>
          </w:p>
        </w:tc>
        <w:tc>
          <w:tcPr>
            <w:tcW w:w="1081" w:type="pct"/>
            <w:vAlign w:val="center"/>
          </w:tcPr>
          <w:p w14:paraId="29D9C96E">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56.4</w:t>
            </w:r>
          </w:p>
        </w:tc>
        <w:tc>
          <w:tcPr>
            <w:tcW w:w="1418" w:type="pct"/>
            <w:vMerge w:val="continue"/>
            <w:vAlign w:val="center"/>
          </w:tcPr>
          <w:p w14:paraId="1F14C3C2">
            <w:pPr>
              <w:pStyle w:val="2"/>
              <w:spacing w:after="0" w:line="240" w:lineRule="auto"/>
              <w:jc w:val="center"/>
              <w:rPr>
                <w:rFonts w:hint="default" w:ascii="Times New Roman" w:hAnsi="Times New Roman" w:cs="Times New Roman" w:eastAsiaTheme="minorEastAsia"/>
                <w:bCs/>
                <w:color w:val="auto"/>
                <w:sz w:val="21"/>
                <w:szCs w:val="21"/>
                <w:highlight w:val="none"/>
              </w:rPr>
            </w:pPr>
          </w:p>
        </w:tc>
      </w:tr>
      <w:tr w14:paraId="2557A268">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1E363F35">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5</w:t>
            </w:r>
          </w:p>
        </w:tc>
        <w:tc>
          <w:tcPr>
            <w:tcW w:w="1793" w:type="pct"/>
            <w:vAlign w:val="center"/>
          </w:tcPr>
          <w:p w14:paraId="5CF44172">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镉</w:t>
            </w:r>
          </w:p>
        </w:tc>
        <w:tc>
          <w:tcPr>
            <w:tcW w:w="1081" w:type="pct"/>
            <w:vAlign w:val="center"/>
          </w:tcPr>
          <w:p w14:paraId="02C75BC6">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0.5643</w:t>
            </w:r>
          </w:p>
        </w:tc>
        <w:tc>
          <w:tcPr>
            <w:tcW w:w="1418" w:type="pct"/>
            <w:vMerge w:val="continue"/>
            <w:vAlign w:val="center"/>
          </w:tcPr>
          <w:p w14:paraId="79D984EF">
            <w:pPr>
              <w:pStyle w:val="2"/>
              <w:spacing w:after="0" w:line="240" w:lineRule="auto"/>
              <w:jc w:val="center"/>
              <w:rPr>
                <w:rFonts w:hint="default" w:ascii="Times New Roman" w:hAnsi="Times New Roman" w:cs="Times New Roman" w:eastAsiaTheme="minorEastAsia"/>
                <w:bCs/>
                <w:color w:val="auto"/>
                <w:sz w:val="21"/>
                <w:szCs w:val="21"/>
                <w:highlight w:val="none"/>
              </w:rPr>
            </w:pPr>
          </w:p>
        </w:tc>
      </w:tr>
      <w:tr w14:paraId="36EC09A7">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338BD65E">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6</w:t>
            </w:r>
          </w:p>
        </w:tc>
        <w:tc>
          <w:tcPr>
            <w:tcW w:w="1793" w:type="pct"/>
            <w:vAlign w:val="center"/>
          </w:tcPr>
          <w:p w14:paraId="50A5C426">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汞</w:t>
            </w:r>
          </w:p>
        </w:tc>
        <w:tc>
          <w:tcPr>
            <w:tcW w:w="1081" w:type="pct"/>
            <w:vAlign w:val="center"/>
          </w:tcPr>
          <w:p w14:paraId="4E47B243">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0.193</w:t>
            </w:r>
          </w:p>
        </w:tc>
        <w:tc>
          <w:tcPr>
            <w:tcW w:w="1418" w:type="pct"/>
            <w:vMerge w:val="continue"/>
            <w:vAlign w:val="center"/>
          </w:tcPr>
          <w:p w14:paraId="643493C4">
            <w:pPr>
              <w:pStyle w:val="2"/>
              <w:spacing w:after="0" w:line="240" w:lineRule="auto"/>
              <w:jc w:val="center"/>
              <w:rPr>
                <w:rFonts w:hint="default" w:ascii="Times New Roman" w:hAnsi="Times New Roman" w:cs="Times New Roman" w:eastAsiaTheme="minorEastAsia"/>
                <w:bCs/>
                <w:color w:val="auto"/>
                <w:sz w:val="21"/>
                <w:szCs w:val="21"/>
                <w:highlight w:val="none"/>
              </w:rPr>
            </w:pPr>
          </w:p>
        </w:tc>
      </w:tr>
      <w:tr w14:paraId="1C552E5D">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2B2EEE5F">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7</w:t>
            </w:r>
          </w:p>
        </w:tc>
        <w:tc>
          <w:tcPr>
            <w:tcW w:w="1793" w:type="pct"/>
            <w:vAlign w:val="center"/>
          </w:tcPr>
          <w:p w14:paraId="2FB726EA">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铅</w:t>
            </w:r>
          </w:p>
        </w:tc>
        <w:tc>
          <w:tcPr>
            <w:tcW w:w="1081" w:type="pct"/>
            <w:vAlign w:val="center"/>
          </w:tcPr>
          <w:p w14:paraId="64673BCF">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42.3</w:t>
            </w:r>
          </w:p>
        </w:tc>
        <w:tc>
          <w:tcPr>
            <w:tcW w:w="1418" w:type="pct"/>
            <w:vMerge w:val="continue"/>
            <w:vAlign w:val="center"/>
          </w:tcPr>
          <w:p w14:paraId="1128C643">
            <w:pPr>
              <w:pStyle w:val="2"/>
              <w:spacing w:after="0" w:line="240" w:lineRule="auto"/>
              <w:jc w:val="center"/>
              <w:rPr>
                <w:rFonts w:hint="default" w:ascii="Times New Roman" w:hAnsi="Times New Roman" w:cs="Times New Roman" w:eastAsiaTheme="minorEastAsia"/>
                <w:bCs/>
                <w:color w:val="auto"/>
                <w:sz w:val="21"/>
                <w:szCs w:val="21"/>
                <w:highlight w:val="none"/>
              </w:rPr>
            </w:pPr>
          </w:p>
        </w:tc>
      </w:tr>
      <w:tr w14:paraId="7F3C0982">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2551B99D">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8</w:t>
            </w:r>
          </w:p>
        </w:tc>
        <w:tc>
          <w:tcPr>
            <w:tcW w:w="1793" w:type="pct"/>
            <w:vAlign w:val="center"/>
          </w:tcPr>
          <w:p w14:paraId="143499C5">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钼</w:t>
            </w:r>
          </w:p>
        </w:tc>
        <w:tc>
          <w:tcPr>
            <w:tcW w:w="1081" w:type="pct"/>
            <w:vAlign w:val="center"/>
          </w:tcPr>
          <w:p w14:paraId="4DD2A8E6">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8.9</w:t>
            </w:r>
          </w:p>
        </w:tc>
        <w:tc>
          <w:tcPr>
            <w:tcW w:w="1418" w:type="pct"/>
            <w:vMerge w:val="continue"/>
            <w:vAlign w:val="center"/>
          </w:tcPr>
          <w:p w14:paraId="7E9AC286">
            <w:pPr>
              <w:pStyle w:val="2"/>
              <w:spacing w:after="0" w:line="240" w:lineRule="auto"/>
              <w:jc w:val="center"/>
              <w:rPr>
                <w:rFonts w:hint="default" w:ascii="Times New Roman" w:hAnsi="Times New Roman" w:cs="Times New Roman" w:eastAsiaTheme="minorEastAsia"/>
                <w:bCs/>
                <w:color w:val="auto"/>
                <w:sz w:val="21"/>
                <w:szCs w:val="21"/>
                <w:highlight w:val="none"/>
              </w:rPr>
            </w:pPr>
          </w:p>
        </w:tc>
      </w:tr>
      <w:tr w14:paraId="07EC5505">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755627AF">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9</w:t>
            </w:r>
          </w:p>
        </w:tc>
        <w:tc>
          <w:tcPr>
            <w:tcW w:w="1793" w:type="pct"/>
            <w:vAlign w:val="center"/>
          </w:tcPr>
          <w:p w14:paraId="4D169541">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锑</w:t>
            </w:r>
          </w:p>
        </w:tc>
        <w:tc>
          <w:tcPr>
            <w:tcW w:w="1081" w:type="pct"/>
            <w:vAlign w:val="center"/>
          </w:tcPr>
          <w:p w14:paraId="5C0D7C14">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2.23</w:t>
            </w:r>
          </w:p>
        </w:tc>
        <w:tc>
          <w:tcPr>
            <w:tcW w:w="1418" w:type="pct"/>
            <w:vMerge w:val="continue"/>
            <w:vAlign w:val="center"/>
          </w:tcPr>
          <w:p w14:paraId="792514D2">
            <w:pPr>
              <w:pStyle w:val="2"/>
              <w:spacing w:after="0" w:line="240" w:lineRule="auto"/>
              <w:jc w:val="center"/>
              <w:rPr>
                <w:rFonts w:hint="default" w:ascii="Times New Roman" w:hAnsi="Times New Roman" w:cs="Times New Roman" w:eastAsiaTheme="minorEastAsia"/>
                <w:bCs/>
                <w:color w:val="auto"/>
                <w:sz w:val="21"/>
                <w:szCs w:val="21"/>
                <w:highlight w:val="none"/>
              </w:rPr>
            </w:pPr>
          </w:p>
        </w:tc>
      </w:tr>
      <w:tr w14:paraId="2FFFEA54">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77046489">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10</w:t>
            </w:r>
          </w:p>
        </w:tc>
        <w:tc>
          <w:tcPr>
            <w:tcW w:w="1793" w:type="pct"/>
            <w:vAlign w:val="center"/>
          </w:tcPr>
          <w:p w14:paraId="018BF0E6">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砷</w:t>
            </w:r>
            <w:r>
              <w:rPr>
                <w:rFonts w:hint="default" w:ascii="Times New Roman" w:hAnsi="Times New Roman" w:cs="Times New Roman" w:eastAsiaTheme="minorEastAsia"/>
                <w:b/>
                <w:color w:val="auto"/>
                <w:sz w:val="21"/>
                <w:szCs w:val="21"/>
                <w:highlight w:val="none"/>
                <w:vertAlign w:val="superscript"/>
              </w:rPr>
              <w:t>①</w:t>
            </w:r>
          </w:p>
        </w:tc>
        <w:tc>
          <w:tcPr>
            <w:tcW w:w="1081" w:type="pct"/>
            <w:vAlign w:val="center"/>
          </w:tcPr>
          <w:p w14:paraId="208E1B55">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40</w:t>
            </w:r>
          </w:p>
        </w:tc>
        <w:tc>
          <w:tcPr>
            <w:tcW w:w="1418" w:type="pct"/>
            <w:vMerge w:val="restart"/>
            <w:vAlign w:val="center"/>
          </w:tcPr>
          <w:p w14:paraId="39CE1ED6">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GB36600附录A</w:t>
            </w:r>
          </w:p>
        </w:tc>
      </w:tr>
      <w:tr w14:paraId="79B02A03">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06" w:type="pct"/>
            <w:vAlign w:val="center"/>
          </w:tcPr>
          <w:p w14:paraId="1D9FA121">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11</w:t>
            </w:r>
          </w:p>
        </w:tc>
        <w:tc>
          <w:tcPr>
            <w:tcW w:w="1793" w:type="pct"/>
            <w:vAlign w:val="center"/>
          </w:tcPr>
          <w:p w14:paraId="12FF5836">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钴</w:t>
            </w:r>
            <w:r>
              <w:rPr>
                <w:rFonts w:hint="default" w:ascii="Times New Roman" w:hAnsi="Times New Roman" w:cs="Times New Roman" w:eastAsiaTheme="minorEastAsia"/>
                <w:b/>
                <w:color w:val="auto"/>
                <w:sz w:val="21"/>
                <w:szCs w:val="21"/>
                <w:highlight w:val="none"/>
                <w:vertAlign w:val="superscript"/>
              </w:rPr>
              <w:t>②</w:t>
            </w:r>
          </w:p>
        </w:tc>
        <w:tc>
          <w:tcPr>
            <w:tcW w:w="1081" w:type="pct"/>
            <w:vAlign w:val="center"/>
          </w:tcPr>
          <w:p w14:paraId="4CB68B16">
            <w:pPr>
              <w:pStyle w:val="2"/>
              <w:spacing w:after="0" w:line="240" w:lineRule="auto"/>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40</w:t>
            </w:r>
          </w:p>
        </w:tc>
        <w:tc>
          <w:tcPr>
            <w:tcW w:w="1418" w:type="pct"/>
            <w:vMerge w:val="continue"/>
            <w:vAlign w:val="center"/>
          </w:tcPr>
          <w:p w14:paraId="66B38578">
            <w:pPr>
              <w:pStyle w:val="2"/>
              <w:spacing w:after="0" w:line="240" w:lineRule="auto"/>
              <w:jc w:val="center"/>
              <w:rPr>
                <w:rFonts w:hint="default" w:ascii="Times New Roman" w:hAnsi="Times New Roman" w:cs="Times New Roman" w:eastAsiaTheme="minorEastAsia"/>
                <w:bCs/>
                <w:color w:val="auto"/>
                <w:sz w:val="21"/>
                <w:szCs w:val="21"/>
                <w:highlight w:val="none"/>
              </w:rPr>
            </w:pPr>
          </w:p>
        </w:tc>
      </w:tr>
    </w:tbl>
    <w:p w14:paraId="792A699E">
      <w:pPr>
        <w:pStyle w:val="2"/>
        <w:spacing w:after="0" w:line="240" w:lineRule="auto"/>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注：①②根据“土壤信息服务平台”（http://www.soilinfo.cn/map/index.aspx），</w:t>
      </w:r>
      <w:r>
        <w:rPr>
          <w:rFonts w:hint="default" w:ascii="Times New Roman" w:hAnsi="Times New Roman" w:cs="Times New Roman"/>
          <w:b/>
          <w:bCs/>
          <w:color w:val="auto"/>
          <w:sz w:val="18"/>
          <w:szCs w:val="18"/>
          <w:highlight w:val="none"/>
          <w:lang w:eastAsia="zh-CN"/>
        </w:rPr>
        <w:t>城东产业园（鄂城新区）</w:t>
      </w:r>
      <w:r>
        <w:rPr>
          <w:rFonts w:hint="default" w:ascii="Times New Roman" w:hAnsi="Times New Roman" w:cs="Times New Roman"/>
          <w:b/>
          <w:bCs/>
          <w:color w:val="auto"/>
          <w:sz w:val="18"/>
          <w:szCs w:val="18"/>
          <w:highlight w:val="none"/>
        </w:rPr>
        <w:t>主要土壤类型为水稻土、黄棕壤、红壤，因此参考</w:t>
      </w:r>
      <w:r>
        <w:rPr>
          <w:rFonts w:hint="default" w:ascii="Times New Roman" w:hAnsi="Times New Roman" w:cs="Times New Roman" w:eastAsiaTheme="minorEastAsia"/>
          <w:b/>
          <w:bCs/>
          <w:color w:val="auto"/>
          <w:sz w:val="18"/>
          <w:szCs w:val="18"/>
          <w:highlight w:val="none"/>
        </w:rPr>
        <w:t>GB36600附录A确定砷、钴背景值均为40mg/kg。</w:t>
      </w:r>
    </w:p>
    <w:p w14:paraId="4703FB5A">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地下水评价标准</w:t>
      </w:r>
    </w:p>
    <w:p w14:paraId="0D10CA53">
      <w:pPr>
        <w:ind w:firstLine="480" w:firstLineChars="200"/>
        <w:rPr>
          <w:rFonts w:hint="default" w:ascii="Times New Roman" w:hAnsi="Times New Roman" w:cs="Times New Roman"/>
          <w:color w:val="auto"/>
          <w:szCs w:val="20"/>
          <w:highlight w:val="none"/>
        </w:rPr>
      </w:pPr>
      <w:r>
        <w:rPr>
          <w:rFonts w:hint="default" w:ascii="Times New Roman" w:hAnsi="Times New Roman" w:cs="Times New Roman"/>
          <w:color w:val="auto"/>
          <w:highlight w:val="none"/>
        </w:rPr>
        <w:t>调查园区地下水类型主要为潜水</w:t>
      </w:r>
      <w:r>
        <w:rPr>
          <w:rFonts w:hint="default" w:ascii="Times New Roman" w:hAnsi="Times New Roman" w:cs="Times New Roman"/>
          <w:color w:val="auto"/>
          <w:szCs w:val="20"/>
          <w:highlight w:val="none"/>
        </w:rPr>
        <w:t>，</w:t>
      </w:r>
      <w:r>
        <w:rPr>
          <w:rFonts w:hint="default" w:ascii="Times New Roman" w:hAnsi="Times New Roman" w:cs="Times New Roman"/>
          <w:color w:val="auto"/>
          <w:highlight w:val="none"/>
        </w:rPr>
        <w:t>测试项目包括无机项目、金属类、有机类等共32项，各指标</w:t>
      </w:r>
      <w:r>
        <w:rPr>
          <w:rFonts w:hint="default" w:ascii="Times New Roman" w:hAnsi="Times New Roman" w:cs="Times New Roman"/>
          <w:color w:val="auto"/>
          <w:szCs w:val="20"/>
          <w:highlight w:val="none"/>
        </w:rPr>
        <w:t>评价标准选取原则如下：</w:t>
      </w:r>
    </w:p>
    <w:p w14:paraId="1CFE1467">
      <w:pPr>
        <w:numPr>
          <w:ilvl w:val="0"/>
          <w:numId w:val="11"/>
        </w:num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本次调查钻探的</w:t>
      </w:r>
      <w:r>
        <w:rPr>
          <w:rFonts w:hint="default" w:ascii="Times New Roman" w:hAnsi="Times New Roman" w:cs="Times New Roman"/>
          <w:color w:val="000000" w:themeColor="text1"/>
          <w:szCs w:val="20"/>
          <w:highlight w:val="none"/>
          <w:lang w:val="en-US" w:eastAsia="zh-CN"/>
          <w14:textFill>
            <w14:solidFill>
              <w14:schemeClr w14:val="tx1"/>
            </w14:solidFill>
          </w14:textFill>
        </w:rPr>
        <w:t>XM-W1</w:t>
      </w:r>
      <w:r>
        <w:rPr>
          <w:rFonts w:hint="default" w:ascii="Times New Roman" w:hAnsi="Times New Roman" w:cs="Times New Roman"/>
          <w:color w:val="auto"/>
          <w:highlight w:val="none"/>
        </w:rPr>
        <w:t>地下水类型为潜水，根据《湖北省地下水污染防治规划实施方案（2011-2020年）》，</w:t>
      </w:r>
      <w:r>
        <w:rPr>
          <w:rFonts w:hint="eastAsia" w:cs="Times New Roman"/>
          <w:color w:val="auto"/>
          <w:highlight w:val="none"/>
          <w:lang w:eastAsia="zh-CN"/>
        </w:rPr>
        <w:t>“</w:t>
      </w:r>
      <w:r>
        <w:rPr>
          <w:rFonts w:hint="default" w:ascii="Times New Roman" w:hAnsi="Times New Roman" w:cs="Times New Roman"/>
          <w:color w:val="auto"/>
          <w:highlight w:val="none"/>
        </w:rPr>
        <w:t>全省地下水开发利用较高的分布于沿江城市及江汉平原，利用地下水的城市主要有孝感市、襄阳市，前者主要用于生活，后者用于工、农业、生活等方面</w:t>
      </w:r>
      <w:r>
        <w:rPr>
          <w:rFonts w:hint="eastAsia" w:cs="Times New Roman"/>
          <w:color w:val="auto"/>
          <w:highlight w:val="none"/>
          <w:lang w:eastAsia="zh-CN"/>
        </w:rPr>
        <w:t>”</w:t>
      </w:r>
      <w:r>
        <w:rPr>
          <w:rFonts w:hint="default" w:ascii="Times New Roman" w:hAnsi="Times New Roman" w:cs="Times New Roman"/>
          <w:color w:val="auto"/>
          <w:highlight w:val="none"/>
        </w:rPr>
        <w:t>，</w:t>
      </w:r>
      <w:r>
        <w:rPr>
          <w:rFonts w:hint="default" w:ascii="Times New Roman" w:hAnsi="Times New Roman" w:cs="Times New Roman"/>
          <w:color w:val="000000" w:themeColor="text1"/>
          <w:szCs w:val="20"/>
          <w:highlight w:val="none"/>
          <w:lang w:val="en-US" w:eastAsia="zh-CN"/>
          <w14:textFill>
            <w14:solidFill>
              <w14:schemeClr w14:val="tx1"/>
            </w14:solidFill>
          </w14:textFill>
        </w:rPr>
        <w:t>因此，本次钻探地下水点位XM-W1所在区域</w:t>
      </w:r>
      <w:r>
        <w:rPr>
          <w:rFonts w:hint="default" w:ascii="Times New Roman" w:hAnsi="Times New Roman" w:cs="Times New Roman"/>
          <w:color w:val="000000" w:themeColor="text1"/>
          <w:szCs w:val="20"/>
          <w:highlight w:val="none"/>
          <w14:textFill>
            <w14:solidFill>
              <w14:schemeClr w14:val="tx1"/>
            </w14:solidFill>
          </w14:textFill>
        </w:rPr>
        <w:t>地下水不</w:t>
      </w:r>
      <w:r>
        <w:rPr>
          <w:rFonts w:hint="default" w:ascii="Times New Roman" w:hAnsi="Times New Roman" w:cs="Times New Roman"/>
          <w:color w:val="000000" w:themeColor="text1"/>
          <w:szCs w:val="20"/>
          <w:highlight w:val="none"/>
          <w:lang w:val="en-US" w:eastAsia="zh-CN"/>
          <w14:textFill>
            <w14:solidFill>
              <w14:schemeClr w14:val="tx1"/>
            </w14:solidFill>
          </w14:textFill>
        </w:rPr>
        <w:t>具备</w:t>
      </w:r>
      <w:r>
        <w:rPr>
          <w:rFonts w:hint="default" w:ascii="Times New Roman" w:hAnsi="Times New Roman" w:cs="Times New Roman"/>
          <w:color w:val="000000" w:themeColor="text1"/>
          <w:szCs w:val="20"/>
          <w:highlight w:val="none"/>
          <w14:textFill>
            <w14:solidFill>
              <w14:schemeClr w14:val="tx1"/>
            </w14:solidFill>
          </w14:textFill>
        </w:rPr>
        <w:t>开发利用</w:t>
      </w:r>
      <w:r>
        <w:rPr>
          <w:rFonts w:hint="default" w:ascii="Times New Roman" w:hAnsi="Times New Roman" w:cs="Times New Roman"/>
          <w:color w:val="000000" w:themeColor="text1"/>
          <w:szCs w:val="20"/>
          <w:highlight w:val="none"/>
          <w:lang w:val="en-US" w:eastAsia="zh-CN"/>
          <w14:textFill>
            <w14:solidFill>
              <w14:schemeClr w14:val="tx1"/>
            </w14:solidFill>
          </w14:textFill>
        </w:rPr>
        <w:t>功能</w:t>
      </w:r>
      <w:r>
        <w:rPr>
          <w:rFonts w:hint="eastAsia" w:cs="Times New Roman"/>
          <w:color w:val="000000" w:themeColor="text1"/>
          <w:szCs w:val="20"/>
          <w:highlight w:val="none"/>
          <w:lang w:val="en-US" w:eastAsia="zh-CN"/>
          <w14:textFill>
            <w14:solidFill>
              <w14:schemeClr w14:val="tx1"/>
            </w14:solidFill>
          </w14:textFill>
        </w:rPr>
        <w:t>，</w:t>
      </w:r>
      <w:r>
        <w:rPr>
          <w:rFonts w:hint="default" w:ascii="Times New Roman" w:hAnsi="Times New Roman" w:cs="Times New Roman"/>
          <w:color w:val="auto"/>
          <w:highlight w:val="none"/>
        </w:rPr>
        <w:t>位于</w:t>
      </w:r>
      <w:r>
        <w:rPr>
          <w:rFonts w:hint="eastAsia" w:cs="Times New Roman"/>
          <w:color w:val="auto"/>
          <w:highlight w:val="none"/>
          <w:lang w:eastAsia="zh-CN"/>
        </w:rPr>
        <w:t>工业</w:t>
      </w:r>
      <w:r>
        <w:rPr>
          <w:rFonts w:hint="default" w:ascii="Times New Roman" w:hAnsi="Times New Roman" w:cs="Times New Roman"/>
          <w:color w:val="auto"/>
          <w:highlight w:val="none"/>
        </w:rPr>
        <w:t>企业周边</w:t>
      </w:r>
      <w:r>
        <w:rPr>
          <w:rFonts w:hint="default" w:ascii="Times New Roman" w:hAnsi="Times New Roman" w:cs="Times New Roman"/>
          <w:color w:val="000000" w:themeColor="text1"/>
          <w:szCs w:val="20"/>
          <w:highlight w:val="none"/>
          <w14:textFill>
            <w14:solidFill>
              <w14:schemeClr w14:val="tx1"/>
            </w14:solidFill>
          </w14:textFill>
        </w:rPr>
        <w:t>，</w:t>
      </w:r>
      <w:r>
        <w:rPr>
          <w:rFonts w:hint="default" w:ascii="Times New Roman" w:hAnsi="Times New Roman" w:cs="Times New Roman"/>
          <w:color w:val="000000" w:themeColor="text1"/>
          <w:szCs w:val="20"/>
          <w:highlight w:val="none"/>
          <w:lang w:val="en-US" w:eastAsia="zh-CN"/>
          <w14:textFill>
            <w14:solidFill>
              <w14:schemeClr w14:val="tx1"/>
            </w14:solidFill>
          </w14:textFill>
        </w:rPr>
        <w:t>且</w:t>
      </w:r>
      <w:r>
        <w:rPr>
          <w:rFonts w:hint="default" w:ascii="Times New Roman" w:hAnsi="Times New Roman" w:cs="Times New Roman"/>
          <w:color w:val="000000" w:themeColor="text1"/>
          <w:szCs w:val="20"/>
          <w:highlight w:val="none"/>
          <w14:textFill>
            <w14:solidFill>
              <w14:schemeClr w14:val="tx1"/>
            </w14:solidFill>
          </w14:textFill>
        </w:rPr>
        <w:t>水井点位所在位置不具备集中式生活饮用水水源功能</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auto"/>
          <w:highlight w:val="none"/>
        </w:rPr>
        <w:t>评价时优先选用《地下水质量标准》（GB/T 14848-2017）（以下简称GB/T-14848）Ⅳ类标准限值进行评价；</w:t>
      </w:r>
    </w:p>
    <w:p w14:paraId="59F95C74">
      <w:pPr>
        <w:numPr>
          <w:ilvl w:val="0"/>
          <w:numId w:val="11"/>
        </w:numPr>
        <w:ind w:firstLine="360" w:firstLineChars="15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对于现状为居民水井的点位</w:t>
      </w:r>
      <w:r>
        <w:rPr>
          <w:rFonts w:hint="default" w:ascii="Times New Roman" w:hAnsi="Times New Roman" w:cs="Times New Roman"/>
          <w:color w:val="000000" w:themeColor="text1"/>
          <w:szCs w:val="20"/>
          <w:highlight w:val="none"/>
          <w:lang w:val="en-US" w:eastAsia="zh-CN"/>
          <w14:textFill>
            <w14:solidFill>
              <w14:schemeClr w14:val="tx1"/>
            </w14:solidFill>
          </w14:textFill>
        </w:rPr>
        <w:t>XM-W2</w:t>
      </w:r>
      <w:r>
        <w:rPr>
          <w:rFonts w:hint="default" w:ascii="Times New Roman" w:hAnsi="Times New Roman" w:cs="Times New Roman"/>
          <w:color w:val="auto"/>
          <w:highlight w:val="none"/>
          <w:lang w:val="en-US" w:eastAsia="zh-CN"/>
        </w:rPr>
        <w:t>，由于现状水井具有居民生活用水功能，因此评价时优先选用</w:t>
      </w:r>
      <w:r>
        <w:rPr>
          <w:rFonts w:hint="default" w:ascii="Times New Roman" w:hAnsi="Times New Roman" w:cs="Times New Roman"/>
          <w:color w:val="auto"/>
          <w:highlight w:val="none"/>
        </w:rPr>
        <w:t>《地下水质量标准》（GB/T 14848-2017）（以下简称GB/T-14848）</w:t>
      </w:r>
      <w:r>
        <w:rPr>
          <w:rFonts w:hint="default" w:ascii="Times New Roman" w:hAnsi="Times New Roman" w:cs="Times New Roman"/>
          <w:color w:val="auto"/>
          <w:highlight w:val="none"/>
          <w:lang w:val="en-US" w:eastAsia="zh-CN"/>
        </w:rPr>
        <w:t>III</w:t>
      </w:r>
      <w:r>
        <w:rPr>
          <w:rFonts w:hint="default" w:ascii="Times New Roman" w:hAnsi="Times New Roman" w:cs="Times New Roman"/>
          <w:color w:val="auto"/>
          <w:highlight w:val="none"/>
        </w:rPr>
        <w:t>类标准限值进行评价</w:t>
      </w:r>
      <w:r>
        <w:rPr>
          <w:rFonts w:hint="default" w:ascii="Times New Roman" w:hAnsi="Times New Roman" w:cs="Times New Roman"/>
          <w:color w:val="auto"/>
          <w:highlight w:val="none"/>
          <w:lang w:eastAsia="zh-CN"/>
        </w:rPr>
        <w:t>。</w:t>
      </w:r>
    </w:p>
    <w:p w14:paraId="14E468B5">
      <w:pPr>
        <w:ind w:firstLine="360" w:firstLineChars="150"/>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w:t>
      </w:r>
      <w:r>
        <w:rPr>
          <w:rFonts w:hint="eastAsia" w:cs="Times New Roman"/>
          <w:color w:val="auto"/>
          <w:highlight w:val="none"/>
          <w:lang w:eastAsia="zh-CN"/>
        </w:rPr>
        <w:t>对于</w:t>
      </w:r>
      <w:r>
        <w:rPr>
          <w:rFonts w:hint="default" w:ascii="Times New Roman" w:hAnsi="Times New Roman" w:cs="Times New Roman"/>
          <w:color w:val="auto"/>
          <w:highlight w:val="none"/>
        </w:rPr>
        <w:t>GB 14848中没有规定的指标（如石油类）</w:t>
      </w:r>
      <w:r>
        <w:rPr>
          <w:rFonts w:hint="eastAsia" w:cs="Times New Roman"/>
          <w:color w:val="auto"/>
          <w:highlight w:val="none"/>
          <w:lang w:eastAsia="zh-CN"/>
        </w:rPr>
        <w:t>，</w:t>
      </w:r>
      <w:r>
        <w:rPr>
          <w:rFonts w:hint="default" w:ascii="Times New Roman" w:hAnsi="Times New Roman" w:cs="Times New Roman"/>
          <w:color w:val="auto"/>
          <w:highlight w:val="none"/>
        </w:rPr>
        <w:t>参考《地表水环境质量标准》（GB3838-2002）（以下简称GB3838）</w:t>
      </w:r>
      <w:r>
        <w:rPr>
          <w:rFonts w:hint="default" w:ascii="Times New Roman" w:hAnsi="Times New Roman" w:cs="Times New Roman"/>
          <w:color w:val="auto"/>
          <w:highlight w:val="none"/>
          <w:lang w:val="en-US" w:eastAsia="zh-CN"/>
        </w:rPr>
        <w:t>相应</w:t>
      </w:r>
      <w:r>
        <w:rPr>
          <w:rFonts w:hint="default" w:ascii="Times New Roman" w:hAnsi="Times New Roman" w:cs="Times New Roman"/>
          <w:color w:val="auto"/>
          <w:highlight w:val="none"/>
        </w:rPr>
        <w:t>标准限值进行评价；</w:t>
      </w:r>
    </w:p>
    <w:p w14:paraId="43A23618">
      <w:pPr>
        <w:spacing w:before="165" w:beforeLines="50" w:line="240" w:lineRule="auto"/>
        <w:jc w:val="center"/>
        <w:rPr>
          <w:rFonts w:hint="default" w:ascii="Times New Roman" w:hAnsi="Times New Roman" w:cs="Times New Roman"/>
          <w:color w:val="auto"/>
          <w:highlight w:val="none"/>
        </w:rPr>
      </w:pPr>
      <w:r>
        <w:rPr>
          <w:rFonts w:hint="default" w:ascii="Times New Roman" w:hAnsi="Times New Roman" w:eastAsia="黑体" w:cs="Times New Roman"/>
          <w:b/>
          <w:bCs/>
          <w:color w:val="auto"/>
          <w:highlight w:val="none"/>
        </w:rPr>
        <w:t>表5-1-5  地下水质量指标及限值  （单位：mg/L）</w:t>
      </w:r>
    </w:p>
    <w:tbl>
      <w:tblPr>
        <w:tblStyle w:val="21"/>
        <w:tblW w:w="499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094"/>
        <w:gridCol w:w="2726"/>
        <w:gridCol w:w="968"/>
        <w:gridCol w:w="1171"/>
        <w:gridCol w:w="1479"/>
        <w:gridCol w:w="2161"/>
      </w:tblGrid>
      <w:tr w14:paraId="3BEDDA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blHeader/>
          <w:jc w:val="center"/>
        </w:trPr>
        <w:tc>
          <w:tcPr>
            <w:tcW w:w="570" w:type="pct"/>
            <w:tcBorders>
              <w:bottom w:val="single" w:color="auto" w:sz="12" w:space="0"/>
            </w:tcBorders>
            <w:shd w:val="clear" w:color="auto" w:fill="auto"/>
            <w:noWrap/>
            <w:tcMar>
              <w:top w:w="15" w:type="dxa"/>
              <w:left w:w="15" w:type="dxa"/>
              <w:right w:w="15" w:type="dxa"/>
            </w:tcMar>
            <w:vAlign w:val="center"/>
          </w:tcPr>
          <w:p w14:paraId="0B4DF0E3">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序号</w:t>
            </w:r>
          </w:p>
        </w:tc>
        <w:tc>
          <w:tcPr>
            <w:tcW w:w="1419" w:type="pct"/>
            <w:tcBorders>
              <w:bottom w:val="single" w:color="auto" w:sz="12" w:space="0"/>
            </w:tcBorders>
            <w:shd w:val="clear" w:color="auto" w:fill="auto"/>
            <w:tcMar>
              <w:top w:w="15" w:type="dxa"/>
              <w:left w:w="15" w:type="dxa"/>
              <w:right w:w="15" w:type="dxa"/>
            </w:tcMar>
            <w:vAlign w:val="center"/>
          </w:tcPr>
          <w:p w14:paraId="7C4B0E44">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监测指标</w:t>
            </w:r>
          </w:p>
        </w:tc>
        <w:tc>
          <w:tcPr>
            <w:tcW w:w="504" w:type="pct"/>
            <w:tcBorders>
              <w:bottom w:val="single" w:color="auto" w:sz="12" w:space="0"/>
            </w:tcBorders>
            <w:shd w:val="clear" w:color="auto" w:fill="auto"/>
            <w:tcMar>
              <w:top w:w="15" w:type="dxa"/>
              <w:left w:w="15" w:type="dxa"/>
              <w:right w:w="15" w:type="dxa"/>
            </w:tcMar>
            <w:vAlign w:val="center"/>
          </w:tcPr>
          <w:p w14:paraId="1B88E1FD">
            <w:pPr>
              <w:widowControl/>
              <w:spacing w:line="240" w:lineRule="auto"/>
              <w:jc w:val="center"/>
              <w:textAlignment w:val="center"/>
              <w:rPr>
                <w:rFonts w:hint="default" w:ascii="Times New Roman" w:hAnsi="Times New Roman" w:cs="Times New Roman"/>
                <w:b/>
                <w:bCs/>
                <w:color w:val="auto"/>
                <w:kern w:val="0"/>
                <w:sz w:val="21"/>
                <w:szCs w:val="21"/>
                <w:highlight w:val="none"/>
                <w:lang w:bidi="ar"/>
              </w:rPr>
            </w:pPr>
            <w:r>
              <w:rPr>
                <w:rFonts w:hint="default" w:ascii="Times New Roman" w:hAnsi="Times New Roman" w:cs="Times New Roman"/>
                <w:b/>
                <w:bCs/>
                <w:color w:val="auto"/>
                <w:kern w:val="0"/>
                <w:sz w:val="21"/>
                <w:szCs w:val="21"/>
                <w:highlight w:val="none"/>
                <w:lang w:bidi="ar"/>
              </w:rPr>
              <w:t>单位</w:t>
            </w:r>
          </w:p>
        </w:tc>
        <w:tc>
          <w:tcPr>
            <w:tcW w:w="609" w:type="pct"/>
            <w:tcBorders>
              <w:bottom w:val="single" w:color="auto" w:sz="12" w:space="0"/>
            </w:tcBorders>
            <w:shd w:val="clear" w:color="auto" w:fill="auto"/>
            <w:noWrap/>
            <w:tcMar>
              <w:top w:w="15" w:type="dxa"/>
              <w:left w:w="15" w:type="dxa"/>
              <w:right w:w="15" w:type="dxa"/>
            </w:tcMar>
            <w:vAlign w:val="center"/>
          </w:tcPr>
          <w:p w14:paraId="1A9644A9">
            <w:pPr>
              <w:widowControl/>
              <w:spacing w:line="240" w:lineRule="auto"/>
              <w:jc w:val="center"/>
              <w:textAlignment w:val="top"/>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sz w:val="21"/>
                <w:szCs w:val="21"/>
                <w:highlight w:val="none"/>
                <w:lang w:val="en-US" w:eastAsia="zh-CN"/>
              </w:rPr>
              <w:t>III类标准值</w:t>
            </w:r>
          </w:p>
        </w:tc>
        <w:tc>
          <w:tcPr>
            <w:tcW w:w="770" w:type="pct"/>
            <w:tcBorders>
              <w:bottom w:val="single" w:color="auto" w:sz="12" w:space="0"/>
            </w:tcBorders>
            <w:shd w:val="clear" w:color="auto" w:fill="auto"/>
            <w:noWrap/>
            <w:tcMar>
              <w:top w:w="15" w:type="dxa"/>
              <w:left w:w="15" w:type="dxa"/>
              <w:right w:w="15" w:type="dxa"/>
            </w:tcMar>
            <w:vAlign w:val="center"/>
          </w:tcPr>
          <w:p w14:paraId="44CAC39E">
            <w:pPr>
              <w:widowControl/>
              <w:spacing w:line="240" w:lineRule="auto"/>
              <w:jc w:val="center"/>
              <w:textAlignment w:val="top"/>
              <w:rPr>
                <w:rFonts w:hint="default" w:ascii="Times New Roman" w:hAnsi="Times New Roman" w:cs="Times New Roman"/>
                <w:b/>
                <w:bCs/>
                <w:color w:val="auto"/>
                <w:kern w:val="0"/>
                <w:sz w:val="21"/>
                <w:szCs w:val="21"/>
                <w:highlight w:val="none"/>
                <w:lang w:bidi="ar"/>
              </w:rPr>
            </w:pPr>
            <w:r>
              <w:rPr>
                <w:rFonts w:hint="default" w:ascii="Times New Roman" w:hAnsi="Times New Roman" w:cs="Times New Roman"/>
                <w:b/>
                <w:bCs/>
                <w:color w:val="auto"/>
                <w:sz w:val="21"/>
                <w:szCs w:val="21"/>
                <w:highlight w:val="none"/>
              </w:rPr>
              <w:t>Ⅳ类标准值</w:t>
            </w:r>
          </w:p>
        </w:tc>
        <w:tc>
          <w:tcPr>
            <w:tcW w:w="1125" w:type="pct"/>
            <w:tcBorders>
              <w:bottom w:val="single" w:color="auto" w:sz="12" w:space="0"/>
            </w:tcBorders>
            <w:shd w:val="clear" w:color="auto" w:fill="auto"/>
            <w:noWrap/>
            <w:tcMar>
              <w:top w:w="15" w:type="dxa"/>
              <w:left w:w="15" w:type="dxa"/>
              <w:right w:w="15" w:type="dxa"/>
            </w:tcMar>
            <w:vAlign w:val="center"/>
          </w:tcPr>
          <w:p w14:paraId="56ED90FB">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标准来源</w:t>
            </w:r>
          </w:p>
        </w:tc>
      </w:tr>
      <w:tr w14:paraId="56A46C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op w:val="single" w:color="auto" w:sz="12" w:space="0"/>
              <w:tl2br w:val="nil"/>
              <w:tr2bl w:val="nil"/>
            </w:tcBorders>
            <w:shd w:val="clear" w:color="auto" w:fill="auto"/>
            <w:noWrap/>
            <w:tcMar>
              <w:top w:w="15" w:type="dxa"/>
              <w:left w:w="15" w:type="dxa"/>
              <w:right w:w="15" w:type="dxa"/>
            </w:tcMar>
            <w:vAlign w:val="center"/>
          </w:tcPr>
          <w:p w14:paraId="17E8C73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w:t>
            </w:r>
          </w:p>
        </w:tc>
        <w:tc>
          <w:tcPr>
            <w:tcW w:w="1419" w:type="pct"/>
            <w:tcBorders>
              <w:top w:val="single" w:color="auto" w:sz="12" w:space="0"/>
              <w:tl2br w:val="nil"/>
              <w:tr2bl w:val="nil"/>
            </w:tcBorders>
            <w:shd w:val="clear" w:color="auto" w:fill="auto"/>
            <w:tcMar>
              <w:top w:w="15" w:type="dxa"/>
              <w:left w:w="15" w:type="dxa"/>
              <w:right w:w="15" w:type="dxa"/>
            </w:tcMar>
            <w:vAlign w:val="center"/>
          </w:tcPr>
          <w:p w14:paraId="1D9FC90E">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pH 值</w:t>
            </w:r>
          </w:p>
        </w:tc>
        <w:tc>
          <w:tcPr>
            <w:tcW w:w="504" w:type="pct"/>
            <w:tcBorders>
              <w:top w:val="single" w:color="auto" w:sz="12" w:space="0"/>
              <w:tl2br w:val="nil"/>
              <w:tr2bl w:val="nil"/>
            </w:tcBorders>
            <w:shd w:val="clear" w:color="auto" w:fill="auto"/>
            <w:tcMar>
              <w:top w:w="15" w:type="dxa"/>
              <w:left w:w="15" w:type="dxa"/>
              <w:right w:w="15" w:type="dxa"/>
            </w:tcMar>
            <w:vAlign w:val="center"/>
          </w:tcPr>
          <w:p w14:paraId="49B9C2FF">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无量纲</w:t>
            </w:r>
          </w:p>
        </w:tc>
        <w:tc>
          <w:tcPr>
            <w:tcW w:w="609" w:type="pct"/>
            <w:tcBorders>
              <w:top w:val="single" w:color="auto" w:sz="12" w:space="0"/>
              <w:tl2br w:val="nil"/>
              <w:tr2bl w:val="nil"/>
            </w:tcBorders>
            <w:shd w:val="clear" w:color="auto" w:fill="auto"/>
            <w:tcMar>
              <w:top w:w="15" w:type="dxa"/>
              <w:left w:w="15" w:type="dxa"/>
              <w:right w:w="15" w:type="dxa"/>
            </w:tcMar>
            <w:vAlign w:val="center"/>
          </w:tcPr>
          <w:p w14:paraId="395FDC7E">
            <w:pPr>
              <w:widowControl/>
              <w:spacing w:line="240" w:lineRule="auto"/>
              <w:jc w:val="center"/>
              <w:textAlignment w:val="top"/>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6.5≤pH≤8.5</w:t>
            </w:r>
          </w:p>
        </w:tc>
        <w:tc>
          <w:tcPr>
            <w:tcW w:w="770" w:type="pct"/>
            <w:tcBorders>
              <w:top w:val="single" w:color="auto" w:sz="12" w:space="0"/>
              <w:tl2br w:val="nil"/>
              <w:tr2bl w:val="nil"/>
            </w:tcBorders>
            <w:shd w:val="clear" w:color="auto" w:fill="auto"/>
            <w:tcMar>
              <w:top w:w="15" w:type="dxa"/>
              <w:left w:w="15" w:type="dxa"/>
              <w:right w:w="15" w:type="dxa"/>
            </w:tcMar>
            <w:vAlign w:val="center"/>
          </w:tcPr>
          <w:p w14:paraId="7E81BF98">
            <w:pPr>
              <w:widowControl/>
              <w:spacing w:line="240" w:lineRule="auto"/>
              <w:jc w:val="center"/>
              <w:textAlignment w:val="top"/>
              <w:rPr>
                <w:rFonts w:hint="default" w:ascii="Times New Roman" w:hAnsi="Times New Roman"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5.5≤pH＜6.5</w:t>
            </w:r>
          </w:p>
          <w:p w14:paraId="1775A61C">
            <w:pPr>
              <w:widowControl/>
              <w:spacing w:line="240" w:lineRule="auto"/>
              <w:jc w:val="center"/>
              <w:textAlignment w:val="top"/>
              <w:rPr>
                <w:rFonts w:hint="default" w:ascii="Times New Roman" w:hAnsi="Times New Roman" w:cs="Times New Roman"/>
                <w:color w:val="auto"/>
                <w:highlight w:val="none"/>
              </w:rPr>
            </w:pPr>
            <w:r>
              <w:rPr>
                <w:rFonts w:hint="default" w:ascii="Times New Roman" w:hAnsi="Times New Roman" w:cs="Times New Roman"/>
                <w:color w:val="auto"/>
                <w:kern w:val="0"/>
                <w:sz w:val="21"/>
                <w:szCs w:val="21"/>
                <w:highlight w:val="none"/>
                <w:lang w:val="en-US" w:eastAsia="zh-CN" w:bidi="ar"/>
              </w:rPr>
              <w:t>或8.5＜pH≤9.0</w:t>
            </w:r>
          </w:p>
        </w:tc>
        <w:tc>
          <w:tcPr>
            <w:tcW w:w="1125" w:type="pct"/>
            <w:tcBorders>
              <w:top w:val="single" w:color="auto" w:sz="12" w:space="0"/>
              <w:tl2br w:val="nil"/>
              <w:tr2bl w:val="nil"/>
            </w:tcBorders>
            <w:shd w:val="clear" w:color="auto" w:fill="auto"/>
            <w:tcMar>
              <w:top w:w="15" w:type="dxa"/>
              <w:left w:w="15" w:type="dxa"/>
              <w:right w:w="15" w:type="dxa"/>
            </w:tcMar>
            <w:vAlign w:val="center"/>
          </w:tcPr>
          <w:p w14:paraId="5D8807A1">
            <w:pPr>
              <w:widowControl/>
              <w:spacing w:line="240" w:lineRule="auto"/>
              <w:jc w:val="center"/>
              <w:textAlignment w:val="top"/>
              <w:rPr>
                <w:rFonts w:hint="default" w:ascii="Times New Roman" w:hAnsi="Times New Roman" w:cs="Times New Roman"/>
                <w:color w:val="auto"/>
                <w:highlight w:val="none"/>
              </w:rPr>
            </w:pPr>
            <w:r>
              <w:rPr>
                <w:rFonts w:hint="default" w:ascii="Times New Roman" w:hAnsi="Times New Roman" w:cs="Times New Roman"/>
                <w:color w:val="auto"/>
                <w:kern w:val="0"/>
                <w:sz w:val="21"/>
                <w:szCs w:val="21"/>
                <w:highlight w:val="none"/>
                <w:lang w:bidi="ar"/>
              </w:rPr>
              <w:t>GB/T 14848</w:t>
            </w:r>
            <w:r>
              <w:rPr>
                <w:rFonts w:hint="default" w:ascii="Times New Roman" w:hAnsi="Times New Roman" w:cs="Times New Roman"/>
                <w:color w:val="auto"/>
                <w:kern w:val="0"/>
                <w:sz w:val="21"/>
                <w:szCs w:val="21"/>
                <w:highlight w:val="none"/>
                <w:lang w:val="en-US" w:eastAsia="zh-CN" w:bidi="ar"/>
              </w:rPr>
              <w:t>-2017</w:t>
            </w:r>
          </w:p>
        </w:tc>
      </w:tr>
      <w:tr w14:paraId="5BDC7A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052A09D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w:t>
            </w:r>
          </w:p>
        </w:tc>
        <w:tc>
          <w:tcPr>
            <w:tcW w:w="1419" w:type="pct"/>
            <w:tcBorders>
              <w:tl2br w:val="nil"/>
              <w:tr2bl w:val="nil"/>
            </w:tcBorders>
            <w:shd w:val="clear" w:color="auto" w:fill="auto"/>
            <w:tcMar>
              <w:top w:w="15" w:type="dxa"/>
              <w:left w:w="15" w:type="dxa"/>
              <w:right w:w="15" w:type="dxa"/>
            </w:tcMar>
            <w:vAlign w:val="center"/>
          </w:tcPr>
          <w:p w14:paraId="530D3C9F">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总硬度</w:t>
            </w:r>
          </w:p>
        </w:tc>
        <w:tc>
          <w:tcPr>
            <w:tcW w:w="504" w:type="pct"/>
            <w:tcBorders>
              <w:tl2br w:val="nil"/>
              <w:tr2bl w:val="nil"/>
            </w:tcBorders>
            <w:shd w:val="clear" w:color="auto" w:fill="auto"/>
            <w:tcMar>
              <w:top w:w="15" w:type="dxa"/>
              <w:left w:w="15" w:type="dxa"/>
              <w:right w:w="15" w:type="dxa"/>
            </w:tcMar>
            <w:vAlign w:val="center"/>
          </w:tcPr>
          <w:p w14:paraId="2C8A322C">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7D48EC60">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450</w:t>
            </w:r>
          </w:p>
        </w:tc>
        <w:tc>
          <w:tcPr>
            <w:tcW w:w="770" w:type="pct"/>
            <w:tcBorders>
              <w:tl2br w:val="nil"/>
              <w:tr2bl w:val="nil"/>
            </w:tcBorders>
            <w:shd w:val="clear" w:color="auto" w:fill="auto"/>
            <w:noWrap/>
            <w:tcMar>
              <w:top w:w="15" w:type="dxa"/>
              <w:left w:w="15" w:type="dxa"/>
              <w:right w:w="15" w:type="dxa"/>
            </w:tcMar>
            <w:vAlign w:val="center"/>
          </w:tcPr>
          <w:p w14:paraId="4AB88017">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≤650</w:t>
            </w:r>
          </w:p>
        </w:tc>
        <w:tc>
          <w:tcPr>
            <w:tcW w:w="1125" w:type="pct"/>
            <w:vMerge w:val="restart"/>
            <w:tcBorders>
              <w:tl2br w:val="nil"/>
              <w:tr2bl w:val="nil"/>
            </w:tcBorders>
            <w:shd w:val="clear" w:color="auto" w:fill="auto"/>
            <w:noWrap/>
            <w:tcMar>
              <w:top w:w="15" w:type="dxa"/>
              <w:left w:w="15" w:type="dxa"/>
              <w:right w:w="15" w:type="dxa"/>
            </w:tcMar>
            <w:vAlign w:val="center"/>
          </w:tcPr>
          <w:p w14:paraId="6111DCE6">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GB/T 14848</w:t>
            </w:r>
            <w:r>
              <w:rPr>
                <w:rFonts w:hint="default" w:ascii="Times New Roman" w:hAnsi="Times New Roman" w:cs="Times New Roman"/>
                <w:color w:val="auto"/>
                <w:kern w:val="0"/>
                <w:sz w:val="21"/>
                <w:szCs w:val="21"/>
                <w:highlight w:val="none"/>
                <w:lang w:val="en-US" w:eastAsia="zh-CN" w:bidi="ar"/>
              </w:rPr>
              <w:t>-2017</w:t>
            </w:r>
          </w:p>
        </w:tc>
      </w:tr>
      <w:tr w14:paraId="3E582A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0396BAC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w:t>
            </w:r>
          </w:p>
        </w:tc>
        <w:tc>
          <w:tcPr>
            <w:tcW w:w="1419" w:type="pct"/>
            <w:tcBorders>
              <w:tl2br w:val="nil"/>
              <w:tr2bl w:val="nil"/>
            </w:tcBorders>
            <w:shd w:val="clear" w:color="auto" w:fill="auto"/>
            <w:tcMar>
              <w:top w:w="15" w:type="dxa"/>
              <w:left w:w="15" w:type="dxa"/>
              <w:right w:w="15" w:type="dxa"/>
            </w:tcMar>
            <w:vAlign w:val="center"/>
          </w:tcPr>
          <w:p w14:paraId="66A0FCA1">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溶解性总固体</w:t>
            </w:r>
          </w:p>
        </w:tc>
        <w:tc>
          <w:tcPr>
            <w:tcW w:w="504" w:type="pct"/>
            <w:tcBorders>
              <w:tl2br w:val="nil"/>
              <w:tr2bl w:val="nil"/>
            </w:tcBorders>
            <w:shd w:val="clear" w:color="auto" w:fill="auto"/>
            <w:tcMar>
              <w:top w:w="15" w:type="dxa"/>
              <w:left w:w="15" w:type="dxa"/>
              <w:right w:w="15" w:type="dxa"/>
            </w:tcMar>
            <w:vAlign w:val="center"/>
          </w:tcPr>
          <w:p w14:paraId="108B7FC4">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289CE8F5">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1000</w:t>
            </w:r>
          </w:p>
        </w:tc>
        <w:tc>
          <w:tcPr>
            <w:tcW w:w="770" w:type="pct"/>
            <w:tcBorders>
              <w:tl2br w:val="nil"/>
              <w:tr2bl w:val="nil"/>
            </w:tcBorders>
            <w:shd w:val="clear" w:color="auto" w:fill="auto"/>
            <w:noWrap/>
            <w:tcMar>
              <w:top w:w="15" w:type="dxa"/>
              <w:left w:w="15" w:type="dxa"/>
              <w:right w:w="15" w:type="dxa"/>
            </w:tcMar>
            <w:vAlign w:val="center"/>
          </w:tcPr>
          <w:p w14:paraId="6316EC16">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≤2000</w:t>
            </w:r>
          </w:p>
        </w:tc>
        <w:tc>
          <w:tcPr>
            <w:tcW w:w="1125" w:type="pct"/>
            <w:vMerge w:val="continue"/>
            <w:tcBorders>
              <w:tl2br w:val="nil"/>
              <w:tr2bl w:val="nil"/>
            </w:tcBorders>
            <w:shd w:val="clear" w:color="auto" w:fill="auto"/>
            <w:noWrap/>
            <w:tcMar>
              <w:top w:w="15" w:type="dxa"/>
              <w:left w:w="15" w:type="dxa"/>
              <w:right w:w="15" w:type="dxa"/>
            </w:tcMar>
            <w:vAlign w:val="center"/>
          </w:tcPr>
          <w:p w14:paraId="58080A92">
            <w:pPr>
              <w:spacing w:line="240" w:lineRule="auto"/>
              <w:jc w:val="center"/>
              <w:rPr>
                <w:rFonts w:hint="default" w:ascii="Times New Roman" w:hAnsi="Times New Roman" w:cs="Times New Roman"/>
                <w:color w:val="auto"/>
                <w:sz w:val="21"/>
                <w:szCs w:val="21"/>
                <w:highlight w:val="none"/>
              </w:rPr>
            </w:pPr>
          </w:p>
        </w:tc>
      </w:tr>
      <w:tr w14:paraId="524B46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7537484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w:t>
            </w:r>
          </w:p>
        </w:tc>
        <w:tc>
          <w:tcPr>
            <w:tcW w:w="1419" w:type="pct"/>
            <w:tcBorders>
              <w:tl2br w:val="nil"/>
              <w:tr2bl w:val="nil"/>
            </w:tcBorders>
            <w:shd w:val="clear" w:color="auto" w:fill="auto"/>
            <w:tcMar>
              <w:top w:w="15" w:type="dxa"/>
              <w:left w:w="15" w:type="dxa"/>
              <w:right w:w="15" w:type="dxa"/>
            </w:tcMar>
            <w:vAlign w:val="center"/>
          </w:tcPr>
          <w:p w14:paraId="52F49FC5">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耗氧量（COD</w:t>
            </w:r>
            <w:r>
              <w:rPr>
                <w:rFonts w:hint="default" w:ascii="Times New Roman" w:hAnsi="Times New Roman" w:cs="Times New Roman"/>
                <w:color w:val="auto"/>
                <w:kern w:val="0"/>
                <w:sz w:val="21"/>
                <w:szCs w:val="21"/>
                <w:highlight w:val="none"/>
                <w:vertAlign w:val="subscript"/>
                <w:lang w:bidi="ar"/>
              </w:rPr>
              <w:t>Mn</w:t>
            </w:r>
            <w:r>
              <w:rPr>
                <w:rFonts w:hint="default" w:ascii="Times New Roman" w:hAnsi="Times New Roman" w:cs="Times New Roman"/>
                <w:color w:val="auto"/>
                <w:kern w:val="0"/>
                <w:sz w:val="21"/>
                <w:szCs w:val="21"/>
                <w:highlight w:val="none"/>
                <w:lang w:bidi="ar"/>
              </w:rPr>
              <w:t>法，以O</w:t>
            </w:r>
            <w:r>
              <w:rPr>
                <w:rFonts w:hint="default" w:ascii="Times New Roman" w:hAnsi="Times New Roman" w:cs="Times New Roman"/>
                <w:color w:val="auto"/>
                <w:kern w:val="0"/>
                <w:sz w:val="21"/>
                <w:szCs w:val="21"/>
                <w:highlight w:val="none"/>
                <w:vertAlign w:val="subscript"/>
                <w:lang w:bidi="ar"/>
              </w:rPr>
              <w:t>2</w:t>
            </w:r>
            <w:r>
              <w:rPr>
                <w:rFonts w:hint="default" w:ascii="Times New Roman" w:hAnsi="Times New Roman" w:cs="Times New Roman"/>
                <w:color w:val="auto"/>
                <w:kern w:val="0"/>
                <w:sz w:val="21"/>
                <w:szCs w:val="21"/>
                <w:highlight w:val="none"/>
                <w:lang w:bidi="ar"/>
              </w:rPr>
              <w:t>计）</w:t>
            </w:r>
          </w:p>
        </w:tc>
        <w:tc>
          <w:tcPr>
            <w:tcW w:w="504" w:type="pct"/>
            <w:tcBorders>
              <w:tl2br w:val="nil"/>
              <w:tr2bl w:val="nil"/>
            </w:tcBorders>
            <w:shd w:val="clear" w:color="auto" w:fill="auto"/>
            <w:tcMar>
              <w:top w:w="15" w:type="dxa"/>
              <w:left w:w="15" w:type="dxa"/>
              <w:right w:w="15" w:type="dxa"/>
            </w:tcMar>
            <w:vAlign w:val="center"/>
          </w:tcPr>
          <w:p w14:paraId="24DA03F8">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6F4A4B0C">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3</w:t>
            </w:r>
          </w:p>
        </w:tc>
        <w:tc>
          <w:tcPr>
            <w:tcW w:w="770" w:type="pct"/>
            <w:tcBorders>
              <w:tl2br w:val="nil"/>
              <w:tr2bl w:val="nil"/>
            </w:tcBorders>
            <w:shd w:val="clear" w:color="auto" w:fill="auto"/>
            <w:noWrap/>
            <w:tcMar>
              <w:top w:w="15" w:type="dxa"/>
              <w:left w:w="15" w:type="dxa"/>
              <w:right w:w="15" w:type="dxa"/>
            </w:tcMar>
            <w:vAlign w:val="center"/>
          </w:tcPr>
          <w:p w14:paraId="2E5AE98F">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w:t>
            </w:r>
          </w:p>
        </w:tc>
        <w:tc>
          <w:tcPr>
            <w:tcW w:w="1125" w:type="pct"/>
            <w:vMerge w:val="continue"/>
            <w:tcBorders>
              <w:tl2br w:val="nil"/>
              <w:tr2bl w:val="nil"/>
            </w:tcBorders>
            <w:shd w:val="clear" w:color="auto" w:fill="auto"/>
            <w:noWrap/>
            <w:tcMar>
              <w:top w:w="15" w:type="dxa"/>
              <w:left w:w="15" w:type="dxa"/>
              <w:right w:w="15" w:type="dxa"/>
            </w:tcMar>
            <w:vAlign w:val="center"/>
          </w:tcPr>
          <w:p w14:paraId="57F6C5B8">
            <w:pPr>
              <w:spacing w:line="240" w:lineRule="auto"/>
              <w:jc w:val="center"/>
              <w:rPr>
                <w:rFonts w:hint="default" w:ascii="Times New Roman" w:hAnsi="Times New Roman" w:cs="Times New Roman"/>
                <w:color w:val="auto"/>
                <w:sz w:val="21"/>
                <w:szCs w:val="21"/>
                <w:highlight w:val="none"/>
              </w:rPr>
            </w:pPr>
          </w:p>
        </w:tc>
      </w:tr>
      <w:tr w14:paraId="39EB70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41B46DF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w:t>
            </w:r>
          </w:p>
        </w:tc>
        <w:tc>
          <w:tcPr>
            <w:tcW w:w="1419" w:type="pct"/>
            <w:tcBorders>
              <w:tl2br w:val="nil"/>
              <w:tr2bl w:val="nil"/>
            </w:tcBorders>
            <w:shd w:val="clear" w:color="auto" w:fill="auto"/>
            <w:tcMar>
              <w:top w:w="15" w:type="dxa"/>
              <w:left w:w="15" w:type="dxa"/>
              <w:right w:w="15" w:type="dxa"/>
            </w:tcMar>
            <w:vAlign w:val="center"/>
          </w:tcPr>
          <w:p w14:paraId="044CCD00">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硫酸盐</w:t>
            </w:r>
          </w:p>
        </w:tc>
        <w:tc>
          <w:tcPr>
            <w:tcW w:w="504" w:type="pct"/>
            <w:tcBorders>
              <w:tl2br w:val="nil"/>
              <w:tr2bl w:val="nil"/>
            </w:tcBorders>
            <w:shd w:val="clear" w:color="auto" w:fill="auto"/>
            <w:tcMar>
              <w:top w:w="15" w:type="dxa"/>
              <w:left w:w="15" w:type="dxa"/>
              <w:right w:w="15" w:type="dxa"/>
            </w:tcMar>
            <w:vAlign w:val="center"/>
          </w:tcPr>
          <w:p w14:paraId="4202BE07">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73F5E625">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250</w:t>
            </w:r>
          </w:p>
        </w:tc>
        <w:tc>
          <w:tcPr>
            <w:tcW w:w="770" w:type="pct"/>
            <w:tcBorders>
              <w:tl2br w:val="nil"/>
              <w:tr2bl w:val="nil"/>
            </w:tcBorders>
            <w:shd w:val="clear" w:color="auto" w:fill="auto"/>
            <w:noWrap/>
            <w:tcMar>
              <w:top w:w="15" w:type="dxa"/>
              <w:left w:w="15" w:type="dxa"/>
              <w:right w:w="15" w:type="dxa"/>
            </w:tcMar>
            <w:vAlign w:val="center"/>
          </w:tcPr>
          <w:p w14:paraId="27B6E31A">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≤350</w:t>
            </w:r>
          </w:p>
        </w:tc>
        <w:tc>
          <w:tcPr>
            <w:tcW w:w="1125" w:type="pct"/>
            <w:vMerge w:val="continue"/>
            <w:tcBorders>
              <w:tl2br w:val="nil"/>
              <w:tr2bl w:val="nil"/>
            </w:tcBorders>
            <w:shd w:val="clear" w:color="auto" w:fill="auto"/>
            <w:noWrap/>
            <w:tcMar>
              <w:top w:w="15" w:type="dxa"/>
              <w:left w:w="15" w:type="dxa"/>
              <w:right w:w="15" w:type="dxa"/>
            </w:tcMar>
            <w:vAlign w:val="center"/>
          </w:tcPr>
          <w:p w14:paraId="32C5D5AB">
            <w:pPr>
              <w:spacing w:line="240" w:lineRule="auto"/>
              <w:jc w:val="center"/>
              <w:rPr>
                <w:rFonts w:hint="default" w:ascii="Times New Roman" w:hAnsi="Times New Roman" w:cs="Times New Roman"/>
                <w:color w:val="auto"/>
                <w:sz w:val="21"/>
                <w:szCs w:val="21"/>
                <w:highlight w:val="none"/>
              </w:rPr>
            </w:pPr>
          </w:p>
        </w:tc>
      </w:tr>
      <w:tr w14:paraId="7B5FAD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4CD18A8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w:t>
            </w:r>
          </w:p>
        </w:tc>
        <w:tc>
          <w:tcPr>
            <w:tcW w:w="1419" w:type="pct"/>
            <w:tcBorders>
              <w:tl2br w:val="nil"/>
              <w:tr2bl w:val="nil"/>
            </w:tcBorders>
            <w:shd w:val="clear" w:color="auto" w:fill="auto"/>
            <w:tcMar>
              <w:top w:w="15" w:type="dxa"/>
              <w:left w:w="15" w:type="dxa"/>
              <w:right w:w="15" w:type="dxa"/>
            </w:tcMar>
            <w:vAlign w:val="center"/>
          </w:tcPr>
          <w:p w14:paraId="57866017">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硝酸盐(以N计)</w:t>
            </w:r>
          </w:p>
        </w:tc>
        <w:tc>
          <w:tcPr>
            <w:tcW w:w="504" w:type="pct"/>
            <w:tcBorders>
              <w:tl2br w:val="nil"/>
              <w:tr2bl w:val="nil"/>
            </w:tcBorders>
            <w:shd w:val="clear" w:color="auto" w:fill="auto"/>
            <w:tcMar>
              <w:top w:w="15" w:type="dxa"/>
              <w:left w:w="15" w:type="dxa"/>
              <w:right w:w="15" w:type="dxa"/>
            </w:tcMar>
            <w:vAlign w:val="center"/>
          </w:tcPr>
          <w:p w14:paraId="2EA27CF2">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281861E0">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20</w:t>
            </w:r>
          </w:p>
        </w:tc>
        <w:tc>
          <w:tcPr>
            <w:tcW w:w="770" w:type="pct"/>
            <w:tcBorders>
              <w:tl2br w:val="nil"/>
              <w:tr2bl w:val="nil"/>
            </w:tcBorders>
            <w:shd w:val="clear" w:color="auto" w:fill="auto"/>
            <w:noWrap/>
            <w:tcMar>
              <w:top w:w="15" w:type="dxa"/>
              <w:left w:w="15" w:type="dxa"/>
              <w:right w:w="15" w:type="dxa"/>
            </w:tcMar>
            <w:vAlign w:val="center"/>
          </w:tcPr>
          <w:p w14:paraId="46269B8B">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w:t>
            </w:r>
          </w:p>
        </w:tc>
        <w:tc>
          <w:tcPr>
            <w:tcW w:w="1125" w:type="pct"/>
            <w:vMerge w:val="continue"/>
            <w:tcBorders>
              <w:tl2br w:val="nil"/>
              <w:tr2bl w:val="nil"/>
            </w:tcBorders>
            <w:shd w:val="clear" w:color="auto" w:fill="auto"/>
            <w:noWrap/>
            <w:tcMar>
              <w:top w:w="15" w:type="dxa"/>
              <w:left w:w="15" w:type="dxa"/>
              <w:right w:w="15" w:type="dxa"/>
            </w:tcMar>
            <w:vAlign w:val="center"/>
          </w:tcPr>
          <w:p w14:paraId="06FAFDBA">
            <w:pPr>
              <w:spacing w:line="240" w:lineRule="auto"/>
              <w:jc w:val="center"/>
              <w:rPr>
                <w:rFonts w:hint="default" w:ascii="Times New Roman" w:hAnsi="Times New Roman" w:cs="Times New Roman"/>
                <w:color w:val="auto"/>
                <w:sz w:val="21"/>
                <w:szCs w:val="21"/>
                <w:highlight w:val="none"/>
              </w:rPr>
            </w:pPr>
          </w:p>
        </w:tc>
      </w:tr>
      <w:tr w14:paraId="0DE4B1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24AB7B2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w:t>
            </w:r>
          </w:p>
        </w:tc>
        <w:tc>
          <w:tcPr>
            <w:tcW w:w="1419" w:type="pct"/>
            <w:tcBorders>
              <w:tl2br w:val="nil"/>
              <w:tr2bl w:val="nil"/>
            </w:tcBorders>
            <w:shd w:val="clear" w:color="auto" w:fill="auto"/>
            <w:tcMar>
              <w:top w:w="15" w:type="dxa"/>
              <w:left w:w="15" w:type="dxa"/>
              <w:right w:w="15" w:type="dxa"/>
            </w:tcMar>
            <w:vAlign w:val="center"/>
          </w:tcPr>
          <w:p w14:paraId="4AAFB8FA">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氯化物</w:t>
            </w:r>
          </w:p>
        </w:tc>
        <w:tc>
          <w:tcPr>
            <w:tcW w:w="504" w:type="pct"/>
            <w:tcBorders>
              <w:tl2br w:val="nil"/>
              <w:tr2bl w:val="nil"/>
            </w:tcBorders>
            <w:shd w:val="clear" w:color="auto" w:fill="auto"/>
            <w:tcMar>
              <w:top w:w="15" w:type="dxa"/>
              <w:left w:w="15" w:type="dxa"/>
              <w:right w:w="15" w:type="dxa"/>
            </w:tcMar>
            <w:vAlign w:val="center"/>
          </w:tcPr>
          <w:p w14:paraId="578FF353">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34C61407">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250</w:t>
            </w:r>
          </w:p>
        </w:tc>
        <w:tc>
          <w:tcPr>
            <w:tcW w:w="770" w:type="pct"/>
            <w:tcBorders>
              <w:tl2br w:val="nil"/>
              <w:tr2bl w:val="nil"/>
            </w:tcBorders>
            <w:shd w:val="clear" w:color="auto" w:fill="auto"/>
            <w:noWrap/>
            <w:tcMar>
              <w:top w:w="15" w:type="dxa"/>
              <w:left w:w="15" w:type="dxa"/>
              <w:right w:w="15" w:type="dxa"/>
            </w:tcMar>
            <w:vAlign w:val="center"/>
          </w:tcPr>
          <w:p w14:paraId="2649B5F3">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≤350</w:t>
            </w:r>
          </w:p>
        </w:tc>
        <w:tc>
          <w:tcPr>
            <w:tcW w:w="1125" w:type="pct"/>
            <w:vMerge w:val="continue"/>
            <w:tcBorders>
              <w:tl2br w:val="nil"/>
              <w:tr2bl w:val="nil"/>
            </w:tcBorders>
            <w:shd w:val="clear" w:color="auto" w:fill="auto"/>
            <w:noWrap/>
            <w:tcMar>
              <w:top w:w="15" w:type="dxa"/>
              <w:left w:w="15" w:type="dxa"/>
              <w:right w:w="15" w:type="dxa"/>
            </w:tcMar>
            <w:vAlign w:val="center"/>
          </w:tcPr>
          <w:p w14:paraId="00700A74">
            <w:pPr>
              <w:spacing w:line="240" w:lineRule="auto"/>
              <w:jc w:val="center"/>
              <w:rPr>
                <w:rFonts w:hint="default" w:ascii="Times New Roman" w:hAnsi="Times New Roman" w:cs="Times New Roman"/>
                <w:color w:val="auto"/>
                <w:sz w:val="21"/>
                <w:szCs w:val="21"/>
                <w:highlight w:val="none"/>
              </w:rPr>
            </w:pPr>
          </w:p>
        </w:tc>
      </w:tr>
      <w:tr w14:paraId="06A492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4651B23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8</w:t>
            </w:r>
          </w:p>
        </w:tc>
        <w:tc>
          <w:tcPr>
            <w:tcW w:w="1419" w:type="pct"/>
            <w:tcBorders>
              <w:tl2br w:val="nil"/>
              <w:tr2bl w:val="nil"/>
            </w:tcBorders>
            <w:shd w:val="clear" w:color="auto" w:fill="auto"/>
            <w:tcMar>
              <w:top w:w="15" w:type="dxa"/>
              <w:left w:w="15" w:type="dxa"/>
              <w:right w:w="15" w:type="dxa"/>
            </w:tcMar>
            <w:vAlign w:val="center"/>
          </w:tcPr>
          <w:p w14:paraId="634271ED">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总氟化物</w:t>
            </w:r>
          </w:p>
        </w:tc>
        <w:tc>
          <w:tcPr>
            <w:tcW w:w="504" w:type="pct"/>
            <w:tcBorders>
              <w:tl2br w:val="nil"/>
              <w:tr2bl w:val="nil"/>
            </w:tcBorders>
            <w:shd w:val="clear" w:color="auto" w:fill="auto"/>
            <w:tcMar>
              <w:top w:w="15" w:type="dxa"/>
              <w:left w:w="15" w:type="dxa"/>
              <w:right w:w="15" w:type="dxa"/>
            </w:tcMar>
            <w:vAlign w:val="center"/>
          </w:tcPr>
          <w:p w14:paraId="291CB8AF">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74A1BB8A">
            <w:pPr>
              <w:widowControl/>
              <w:spacing w:line="240" w:lineRule="auto"/>
              <w:jc w:val="center"/>
              <w:textAlignment w:val="top"/>
              <w:rPr>
                <w:rFonts w:hint="default" w:ascii="Times New Roman" w:hAnsi="Times New Roman" w:cs="Times New Roman"/>
                <w:color w:val="auto"/>
                <w:kern w:val="0"/>
                <w:sz w:val="22"/>
                <w:szCs w:val="22"/>
                <w:highlight w:val="none"/>
                <w:lang w:val="en-US"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1.0</w:t>
            </w:r>
          </w:p>
        </w:tc>
        <w:tc>
          <w:tcPr>
            <w:tcW w:w="770" w:type="pct"/>
            <w:tcBorders>
              <w:tl2br w:val="nil"/>
              <w:tr2bl w:val="nil"/>
            </w:tcBorders>
            <w:shd w:val="clear" w:color="auto" w:fill="auto"/>
            <w:noWrap/>
            <w:tcMar>
              <w:top w:w="15" w:type="dxa"/>
              <w:left w:w="15" w:type="dxa"/>
              <w:right w:w="15" w:type="dxa"/>
            </w:tcMar>
            <w:vAlign w:val="center"/>
          </w:tcPr>
          <w:p w14:paraId="416D3DE6">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w:t>
            </w:r>
          </w:p>
        </w:tc>
        <w:tc>
          <w:tcPr>
            <w:tcW w:w="1125" w:type="pct"/>
            <w:vMerge w:val="continue"/>
            <w:tcBorders>
              <w:tl2br w:val="nil"/>
              <w:tr2bl w:val="nil"/>
            </w:tcBorders>
            <w:shd w:val="clear" w:color="auto" w:fill="auto"/>
            <w:noWrap/>
            <w:tcMar>
              <w:top w:w="15" w:type="dxa"/>
              <w:left w:w="15" w:type="dxa"/>
              <w:right w:w="15" w:type="dxa"/>
            </w:tcMar>
            <w:vAlign w:val="center"/>
          </w:tcPr>
          <w:p w14:paraId="0B970EAC">
            <w:pPr>
              <w:spacing w:line="240" w:lineRule="auto"/>
              <w:jc w:val="center"/>
              <w:rPr>
                <w:rFonts w:hint="default" w:ascii="Times New Roman" w:hAnsi="Times New Roman" w:cs="Times New Roman"/>
                <w:color w:val="auto"/>
                <w:sz w:val="21"/>
                <w:szCs w:val="21"/>
                <w:highlight w:val="none"/>
              </w:rPr>
            </w:pPr>
          </w:p>
        </w:tc>
      </w:tr>
      <w:tr w14:paraId="0378E7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6383361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w:t>
            </w:r>
          </w:p>
        </w:tc>
        <w:tc>
          <w:tcPr>
            <w:tcW w:w="1419" w:type="pct"/>
            <w:tcBorders>
              <w:tl2br w:val="nil"/>
              <w:tr2bl w:val="nil"/>
            </w:tcBorders>
            <w:shd w:val="clear" w:color="auto" w:fill="auto"/>
            <w:tcMar>
              <w:top w:w="15" w:type="dxa"/>
              <w:left w:w="15" w:type="dxa"/>
              <w:right w:w="15" w:type="dxa"/>
            </w:tcMar>
            <w:vAlign w:val="center"/>
          </w:tcPr>
          <w:p w14:paraId="5CDF1772">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挥发酚(以苯酚计)</w:t>
            </w:r>
          </w:p>
        </w:tc>
        <w:tc>
          <w:tcPr>
            <w:tcW w:w="504" w:type="pct"/>
            <w:tcBorders>
              <w:tl2br w:val="nil"/>
              <w:tr2bl w:val="nil"/>
            </w:tcBorders>
            <w:shd w:val="clear" w:color="auto" w:fill="auto"/>
            <w:tcMar>
              <w:top w:w="15" w:type="dxa"/>
              <w:left w:w="15" w:type="dxa"/>
              <w:right w:w="15" w:type="dxa"/>
            </w:tcMar>
            <w:vAlign w:val="center"/>
          </w:tcPr>
          <w:p w14:paraId="78390C87">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256FBC91">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0.002</w:t>
            </w:r>
          </w:p>
        </w:tc>
        <w:tc>
          <w:tcPr>
            <w:tcW w:w="770" w:type="pct"/>
            <w:tcBorders>
              <w:tl2br w:val="nil"/>
              <w:tr2bl w:val="nil"/>
            </w:tcBorders>
            <w:shd w:val="clear" w:color="auto" w:fill="auto"/>
            <w:noWrap/>
            <w:tcMar>
              <w:top w:w="15" w:type="dxa"/>
              <w:left w:w="15" w:type="dxa"/>
              <w:right w:w="15" w:type="dxa"/>
            </w:tcMar>
            <w:vAlign w:val="center"/>
          </w:tcPr>
          <w:p w14:paraId="139D647B">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≤0.01</w:t>
            </w:r>
          </w:p>
        </w:tc>
        <w:tc>
          <w:tcPr>
            <w:tcW w:w="1125" w:type="pct"/>
            <w:vMerge w:val="continue"/>
            <w:tcBorders>
              <w:tl2br w:val="nil"/>
              <w:tr2bl w:val="nil"/>
            </w:tcBorders>
            <w:shd w:val="clear" w:color="auto" w:fill="auto"/>
            <w:noWrap/>
            <w:tcMar>
              <w:top w:w="15" w:type="dxa"/>
              <w:left w:w="15" w:type="dxa"/>
              <w:right w:w="15" w:type="dxa"/>
            </w:tcMar>
            <w:vAlign w:val="center"/>
          </w:tcPr>
          <w:p w14:paraId="1BC2D44B">
            <w:pPr>
              <w:spacing w:line="240" w:lineRule="auto"/>
              <w:jc w:val="center"/>
              <w:rPr>
                <w:rFonts w:hint="default" w:ascii="Times New Roman" w:hAnsi="Times New Roman" w:cs="Times New Roman"/>
                <w:color w:val="auto"/>
                <w:sz w:val="21"/>
                <w:szCs w:val="21"/>
                <w:highlight w:val="none"/>
              </w:rPr>
            </w:pPr>
          </w:p>
        </w:tc>
      </w:tr>
      <w:tr w14:paraId="3B05AD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0867F28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1419" w:type="pct"/>
            <w:tcBorders>
              <w:tl2br w:val="nil"/>
              <w:tr2bl w:val="nil"/>
            </w:tcBorders>
            <w:shd w:val="clear" w:color="auto" w:fill="auto"/>
            <w:tcMar>
              <w:top w:w="15" w:type="dxa"/>
              <w:left w:w="15" w:type="dxa"/>
              <w:right w:w="15" w:type="dxa"/>
            </w:tcMar>
            <w:vAlign w:val="center"/>
          </w:tcPr>
          <w:p w14:paraId="317EEF69">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阴离子表面活性剂</w:t>
            </w:r>
          </w:p>
        </w:tc>
        <w:tc>
          <w:tcPr>
            <w:tcW w:w="504" w:type="pct"/>
            <w:tcBorders>
              <w:tl2br w:val="nil"/>
              <w:tr2bl w:val="nil"/>
            </w:tcBorders>
            <w:shd w:val="clear" w:color="auto" w:fill="auto"/>
            <w:tcMar>
              <w:top w:w="15" w:type="dxa"/>
              <w:left w:w="15" w:type="dxa"/>
              <w:right w:w="15" w:type="dxa"/>
            </w:tcMar>
            <w:vAlign w:val="center"/>
          </w:tcPr>
          <w:p w14:paraId="6D1FCEF5">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4683B74A">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0.3</w:t>
            </w:r>
          </w:p>
        </w:tc>
        <w:tc>
          <w:tcPr>
            <w:tcW w:w="770" w:type="pct"/>
            <w:tcBorders>
              <w:tl2br w:val="nil"/>
              <w:tr2bl w:val="nil"/>
            </w:tcBorders>
            <w:shd w:val="clear" w:color="auto" w:fill="auto"/>
            <w:noWrap/>
            <w:tcMar>
              <w:top w:w="15" w:type="dxa"/>
              <w:left w:w="15" w:type="dxa"/>
              <w:right w:w="15" w:type="dxa"/>
            </w:tcMar>
            <w:vAlign w:val="center"/>
          </w:tcPr>
          <w:p w14:paraId="587B3887">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≤0.3</w:t>
            </w:r>
          </w:p>
        </w:tc>
        <w:tc>
          <w:tcPr>
            <w:tcW w:w="1125" w:type="pct"/>
            <w:vMerge w:val="continue"/>
            <w:tcBorders>
              <w:tl2br w:val="nil"/>
              <w:tr2bl w:val="nil"/>
            </w:tcBorders>
            <w:shd w:val="clear" w:color="auto" w:fill="auto"/>
            <w:noWrap/>
            <w:tcMar>
              <w:top w:w="15" w:type="dxa"/>
              <w:left w:w="15" w:type="dxa"/>
              <w:right w:w="15" w:type="dxa"/>
            </w:tcMar>
            <w:vAlign w:val="center"/>
          </w:tcPr>
          <w:p w14:paraId="0325B600">
            <w:pPr>
              <w:spacing w:line="240" w:lineRule="auto"/>
              <w:jc w:val="center"/>
              <w:rPr>
                <w:rFonts w:hint="default" w:ascii="Times New Roman" w:hAnsi="Times New Roman" w:cs="Times New Roman"/>
                <w:color w:val="auto"/>
                <w:sz w:val="21"/>
                <w:szCs w:val="21"/>
                <w:highlight w:val="none"/>
              </w:rPr>
            </w:pPr>
          </w:p>
        </w:tc>
      </w:tr>
      <w:tr w14:paraId="298AA7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03B34C2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w:t>
            </w:r>
          </w:p>
        </w:tc>
        <w:tc>
          <w:tcPr>
            <w:tcW w:w="1419" w:type="pct"/>
            <w:tcBorders>
              <w:tl2br w:val="nil"/>
              <w:tr2bl w:val="nil"/>
            </w:tcBorders>
            <w:shd w:val="clear" w:color="auto" w:fill="auto"/>
            <w:tcMar>
              <w:top w:w="15" w:type="dxa"/>
              <w:left w:w="15" w:type="dxa"/>
              <w:right w:w="15" w:type="dxa"/>
            </w:tcMar>
            <w:vAlign w:val="center"/>
          </w:tcPr>
          <w:p w14:paraId="25A49432">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氨氮（以N计）</w:t>
            </w:r>
          </w:p>
        </w:tc>
        <w:tc>
          <w:tcPr>
            <w:tcW w:w="504" w:type="pct"/>
            <w:tcBorders>
              <w:tl2br w:val="nil"/>
              <w:tr2bl w:val="nil"/>
            </w:tcBorders>
            <w:shd w:val="clear" w:color="auto" w:fill="auto"/>
            <w:tcMar>
              <w:top w:w="15" w:type="dxa"/>
              <w:left w:w="15" w:type="dxa"/>
              <w:right w:w="15" w:type="dxa"/>
            </w:tcMar>
            <w:vAlign w:val="center"/>
          </w:tcPr>
          <w:p w14:paraId="1307EED8">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7DA2AADC">
            <w:pPr>
              <w:widowControl/>
              <w:spacing w:line="240" w:lineRule="auto"/>
              <w:jc w:val="center"/>
              <w:textAlignment w:val="top"/>
              <w:rPr>
                <w:rFonts w:hint="default" w:ascii="Times New Roman" w:hAnsi="Times New Roman" w:cs="Times New Roman"/>
                <w:color w:val="auto"/>
                <w:kern w:val="0"/>
                <w:sz w:val="22"/>
                <w:szCs w:val="22"/>
                <w:highlight w:val="none"/>
                <w:lang w:val="en-US"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0.5</w:t>
            </w:r>
          </w:p>
        </w:tc>
        <w:tc>
          <w:tcPr>
            <w:tcW w:w="770" w:type="pct"/>
            <w:tcBorders>
              <w:tl2br w:val="nil"/>
              <w:tr2bl w:val="nil"/>
            </w:tcBorders>
            <w:shd w:val="clear" w:color="auto" w:fill="auto"/>
            <w:noWrap/>
            <w:tcMar>
              <w:top w:w="15" w:type="dxa"/>
              <w:left w:w="15" w:type="dxa"/>
              <w:right w:w="15" w:type="dxa"/>
            </w:tcMar>
            <w:vAlign w:val="center"/>
          </w:tcPr>
          <w:p w14:paraId="1786CF26">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≤1.50</w:t>
            </w:r>
          </w:p>
        </w:tc>
        <w:tc>
          <w:tcPr>
            <w:tcW w:w="1125" w:type="pct"/>
            <w:vMerge w:val="continue"/>
            <w:tcBorders>
              <w:tl2br w:val="nil"/>
              <w:tr2bl w:val="nil"/>
            </w:tcBorders>
            <w:shd w:val="clear" w:color="auto" w:fill="auto"/>
            <w:noWrap/>
            <w:tcMar>
              <w:top w:w="15" w:type="dxa"/>
              <w:left w:w="15" w:type="dxa"/>
              <w:right w:w="15" w:type="dxa"/>
            </w:tcMar>
            <w:vAlign w:val="center"/>
          </w:tcPr>
          <w:p w14:paraId="4834C520">
            <w:pPr>
              <w:spacing w:line="240" w:lineRule="auto"/>
              <w:jc w:val="center"/>
              <w:rPr>
                <w:rFonts w:hint="default" w:ascii="Times New Roman" w:hAnsi="Times New Roman" w:cs="Times New Roman"/>
                <w:color w:val="auto"/>
                <w:sz w:val="21"/>
                <w:szCs w:val="21"/>
                <w:highlight w:val="none"/>
              </w:rPr>
            </w:pPr>
          </w:p>
        </w:tc>
      </w:tr>
      <w:tr w14:paraId="761A6B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54C6CCE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w:t>
            </w:r>
          </w:p>
        </w:tc>
        <w:tc>
          <w:tcPr>
            <w:tcW w:w="1419" w:type="pct"/>
            <w:tcBorders>
              <w:tl2br w:val="nil"/>
              <w:tr2bl w:val="nil"/>
            </w:tcBorders>
            <w:shd w:val="clear" w:color="auto" w:fill="auto"/>
            <w:tcMar>
              <w:top w:w="15" w:type="dxa"/>
              <w:left w:w="15" w:type="dxa"/>
              <w:right w:w="15" w:type="dxa"/>
            </w:tcMar>
            <w:vAlign w:val="center"/>
          </w:tcPr>
          <w:p w14:paraId="3DC78AB6">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硫化物</w:t>
            </w:r>
          </w:p>
        </w:tc>
        <w:tc>
          <w:tcPr>
            <w:tcW w:w="504" w:type="pct"/>
            <w:tcBorders>
              <w:tl2br w:val="nil"/>
              <w:tr2bl w:val="nil"/>
            </w:tcBorders>
            <w:shd w:val="clear" w:color="auto" w:fill="auto"/>
            <w:tcMar>
              <w:top w:w="15" w:type="dxa"/>
              <w:left w:w="15" w:type="dxa"/>
              <w:right w:w="15" w:type="dxa"/>
            </w:tcMar>
            <w:vAlign w:val="center"/>
          </w:tcPr>
          <w:p w14:paraId="6717BEBD">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4A3C18AF">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0.02</w:t>
            </w:r>
          </w:p>
        </w:tc>
        <w:tc>
          <w:tcPr>
            <w:tcW w:w="770" w:type="pct"/>
            <w:tcBorders>
              <w:tl2br w:val="nil"/>
              <w:tr2bl w:val="nil"/>
            </w:tcBorders>
            <w:shd w:val="clear" w:color="auto" w:fill="auto"/>
            <w:noWrap/>
            <w:tcMar>
              <w:top w:w="15" w:type="dxa"/>
              <w:left w:w="15" w:type="dxa"/>
              <w:right w:w="15" w:type="dxa"/>
            </w:tcMar>
            <w:vAlign w:val="center"/>
          </w:tcPr>
          <w:p w14:paraId="29438459">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≤0.10</w:t>
            </w:r>
          </w:p>
        </w:tc>
        <w:tc>
          <w:tcPr>
            <w:tcW w:w="1125" w:type="pct"/>
            <w:vMerge w:val="continue"/>
            <w:tcBorders>
              <w:tl2br w:val="nil"/>
              <w:tr2bl w:val="nil"/>
            </w:tcBorders>
            <w:shd w:val="clear" w:color="auto" w:fill="auto"/>
            <w:noWrap/>
            <w:tcMar>
              <w:top w:w="15" w:type="dxa"/>
              <w:left w:w="15" w:type="dxa"/>
              <w:right w:w="15" w:type="dxa"/>
            </w:tcMar>
            <w:vAlign w:val="center"/>
          </w:tcPr>
          <w:p w14:paraId="0F53D403">
            <w:pPr>
              <w:spacing w:line="240" w:lineRule="auto"/>
              <w:jc w:val="center"/>
              <w:rPr>
                <w:rFonts w:hint="default" w:ascii="Times New Roman" w:hAnsi="Times New Roman" w:cs="Times New Roman"/>
                <w:color w:val="auto"/>
                <w:sz w:val="21"/>
                <w:szCs w:val="21"/>
                <w:highlight w:val="none"/>
              </w:rPr>
            </w:pPr>
          </w:p>
        </w:tc>
      </w:tr>
      <w:tr w14:paraId="1A0A19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22B1F6C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13</w:t>
            </w:r>
          </w:p>
        </w:tc>
        <w:tc>
          <w:tcPr>
            <w:tcW w:w="1419" w:type="pct"/>
            <w:tcBorders>
              <w:tl2br w:val="nil"/>
              <w:tr2bl w:val="nil"/>
            </w:tcBorders>
            <w:shd w:val="clear" w:color="auto" w:fill="auto"/>
            <w:tcMar>
              <w:top w:w="15" w:type="dxa"/>
              <w:left w:w="15" w:type="dxa"/>
              <w:right w:w="15" w:type="dxa"/>
            </w:tcMar>
            <w:vAlign w:val="center"/>
          </w:tcPr>
          <w:p w14:paraId="01B57CAC">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亚硝酸盐（以N计）</w:t>
            </w:r>
          </w:p>
        </w:tc>
        <w:tc>
          <w:tcPr>
            <w:tcW w:w="504" w:type="pct"/>
            <w:tcBorders>
              <w:tl2br w:val="nil"/>
              <w:tr2bl w:val="nil"/>
            </w:tcBorders>
            <w:shd w:val="clear" w:color="auto" w:fill="auto"/>
            <w:tcMar>
              <w:top w:w="15" w:type="dxa"/>
              <w:left w:w="15" w:type="dxa"/>
              <w:right w:w="15" w:type="dxa"/>
            </w:tcMar>
            <w:vAlign w:val="center"/>
          </w:tcPr>
          <w:p w14:paraId="7393B76A">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2AAD641F">
            <w:pPr>
              <w:widowControl/>
              <w:spacing w:line="240" w:lineRule="auto"/>
              <w:jc w:val="center"/>
              <w:textAlignment w:val="top"/>
              <w:rPr>
                <w:rFonts w:hint="default" w:ascii="Times New Roman" w:hAnsi="Times New Roman" w:cs="Times New Roman"/>
                <w:color w:val="auto"/>
                <w:kern w:val="0"/>
                <w:sz w:val="22"/>
                <w:szCs w:val="22"/>
                <w:highlight w:val="none"/>
                <w:lang w:val="en-US"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1.00</w:t>
            </w:r>
          </w:p>
        </w:tc>
        <w:tc>
          <w:tcPr>
            <w:tcW w:w="770" w:type="pct"/>
            <w:tcBorders>
              <w:tl2br w:val="nil"/>
              <w:tr2bl w:val="nil"/>
            </w:tcBorders>
            <w:shd w:val="clear" w:color="auto" w:fill="auto"/>
            <w:noWrap/>
            <w:tcMar>
              <w:top w:w="15" w:type="dxa"/>
              <w:left w:w="15" w:type="dxa"/>
              <w:right w:w="15" w:type="dxa"/>
            </w:tcMar>
            <w:vAlign w:val="center"/>
          </w:tcPr>
          <w:p w14:paraId="79249456">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≤4.80</w:t>
            </w:r>
          </w:p>
        </w:tc>
        <w:tc>
          <w:tcPr>
            <w:tcW w:w="1125" w:type="pct"/>
            <w:vMerge w:val="continue"/>
            <w:tcBorders>
              <w:tl2br w:val="nil"/>
              <w:tr2bl w:val="nil"/>
            </w:tcBorders>
            <w:shd w:val="clear" w:color="auto" w:fill="auto"/>
            <w:noWrap/>
            <w:tcMar>
              <w:top w:w="15" w:type="dxa"/>
              <w:left w:w="15" w:type="dxa"/>
              <w:right w:w="15" w:type="dxa"/>
            </w:tcMar>
            <w:vAlign w:val="center"/>
          </w:tcPr>
          <w:p w14:paraId="0A3E40F3">
            <w:pPr>
              <w:spacing w:line="240" w:lineRule="auto"/>
              <w:jc w:val="center"/>
              <w:rPr>
                <w:rFonts w:hint="default" w:ascii="Times New Roman" w:hAnsi="Times New Roman" w:cs="Times New Roman"/>
                <w:color w:val="auto"/>
                <w:sz w:val="21"/>
                <w:szCs w:val="21"/>
                <w:highlight w:val="none"/>
              </w:rPr>
            </w:pPr>
          </w:p>
        </w:tc>
      </w:tr>
      <w:tr w14:paraId="3D5AC2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2CBD5CF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14</w:t>
            </w:r>
          </w:p>
        </w:tc>
        <w:tc>
          <w:tcPr>
            <w:tcW w:w="1419" w:type="pct"/>
            <w:tcBorders>
              <w:tl2br w:val="nil"/>
              <w:tr2bl w:val="nil"/>
            </w:tcBorders>
            <w:shd w:val="clear" w:color="auto" w:fill="auto"/>
            <w:tcMar>
              <w:top w:w="15" w:type="dxa"/>
              <w:left w:w="15" w:type="dxa"/>
              <w:right w:w="15" w:type="dxa"/>
            </w:tcMar>
            <w:vAlign w:val="center"/>
          </w:tcPr>
          <w:p w14:paraId="32655E18">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氰化物</w:t>
            </w:r>
          </w:p>
        </w:tc>
        <w:tc>
          <w:tcPr>
            <w:tcW w:w="504" w:type="pct"/>
            <w:tcBorders>
              <w:tl2br w:val="nil"/>
              <w:tr2bl w:val="nil"/>
            </w:tcBorders>
            <w:shd w:val="clear" w:color="auto" w:fill="auto"/>
            <w:tcMar>
              <w:top w:w="15" w:type="dxa"/>
              <w:left w:w="15" w:type="dxa"/>
              <w:right w:w="15" w:type="dxa"/>
            </w:tcMar>
            <w:vAlign w:val="center"/>
          </w:tcPr>
          <w:p w14:paraId="3320204B">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3DDD04F7">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0.05</w:t>
            </w:r>
          </w:p>
        </w:tc>
        <w:tc>
          <w:tcPr>
            <w:tcW w:w="770" w:type="pct"/>
            <w:tcBorders>
              <w:tl2br w:val="nil"/>
              <w:tr2bl w:val="nil"/>
            </w:tcBorders>
            <w:shd w:val="clear" w:color="auto" w:fill="auto"/>
            <w:noWrap/>
            <w:tcMar>
              <w:top w:w="15" w:type="dxa"/>
              <w:left w:w="15" w:type="dxa"/>
              <w:right w:w="15" w:type="dxa"/>
            </w:tcMar>
            <w:vAlign w:val="center"/>
          </w:tcPr>
          <w:p w14:paraId="37CF8416">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w:t>
            </w:r>
          </w:p>
        </w:tc>
        <w:tc>
          <w:tcPr>
            <w:tcW w:w="1125" w:type="pct"/>
            <w:vMerge w:val="continue"/>
            <w:tcBorders>
              <w:tl2br w:val="nil"/>
              <w:tr2bl w:val="nil"/>
            </w:tcBorders>
            <w:shd w:val="clear" w:color="auto" w:fill="auto"/>
            <w:noWrap/>
            <w:tcMar>
              <w:top w:w="15" w:type="dxa"/>
              <w:left w:w="15" w:type="dxa"/>
              <w:right w:w="15" w:type="dxa"/>
            </w:tcMar>
            <w:vAlign w:val="center"/>
          </w:tcPr>
          <w:p w14:paraId="2DE618C1">
            <w:pPr>
              <w:spacing w:line="240" w:lineRule="auto"/>
              <w:jc w:val="center"/>
              <w:rPr>
                <w:rFonts w:hint="default" w:ascii="Times New Roman" w:hAnsi="Times New Roman" w:cs="Times New Roman"/>
                <w:color w:val="auto"/>
                <w:sz w:val="21"/>
                <w:szCs w:val="21"/>
                <w:highlight w:val="none"/>
              </w:rPr>
            </w:pPr>
          </w:p>
        </w:tc>
      </w:tr>
      <w:tr w14:paraId="593651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75FE8F9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15</w:t>
            </w:r>
          </w:p>
        </w:tc>
        <w:tc>
          <w:tcPr>
            <w:tcW w:w="1419" w:type="pct"/>
            <w:tcBorders>
              <w:tl2br w:val="nil"/>
              <w:tr2bl w:val="nil"/>
            </w:tcBorders>
            <w:shd w:val="clear" w:color="auto" w:fill="auto"/>
            <w:tcMar>
              <w:top w:w="15" w:type="dxa"/>
              <w:left w:w="15" w:type="dxa"/>
              <w:right w:w="15" w:type="dxa"/>
            </w:tcMar>
            <w:vAlign w:val="center"/>
          </w:tcPr>
          <w:p w14:paraId="609DF5F7">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铁</w:t>
            </w:r>
          </w:p>
        </w:tc>
        <w:tc>
          <w:tcPr>
            <w:tcW w:w="504" w:type="pct"/>
            <w:tcBorders>
              <w:tl2br w:val="nil"/>
              <w:tr2bl w:val="nil"/>
            </w:tcBorders>
            <w:shd w:val="clear" w:color="auto" w:fill="auto"/>
            <w:tcMar>
              <w:top w:w="15" w:type="dxa"/>
              <w:left w:w="15" w:type="dxa"/>
              <w:right w:w="15" w:type="dxa"/>
            </w:tcMar>
            <w:vAlign w:val="center"/>
          </w:tcPr>
          <w:p w14:paraId="7242504F">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0F147D84">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0.3</w:t>
            </w:r>
          </w:p>
        </w:tc>
        <w:tc>
          <w:tcPr>
            <w:tcW w:w="770" w:type="pct"/>
            <w:tcBorders>
              <w:tl2br w:val="nil"/>
              <w:tr2bl w:val="nil"/>
            </w:tcBorders>
            <w:shd w:val="clear" w:color="auto" w:fill="auto"/>
            <w:noWrap/>
            <w:tcMar>
              <w:top w:w="15" w:type="dxa"/>
              <w:left w:w="15" w:type="dxa"/>
              <w:right w:w="15" w:type="dxa"/>
            </w:tcMar>
            <w:vAlign w:val="center"/>
          </w:tcPr>
          <w:p w14:paraId="6D2EF399">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w:t>
            </w:r>
          </w:p>
        </w:tc>
        <w:tc>
          <w:tcPr>
            <w:tcW w:w="1125" w:type="pct"/>
            <w:vMerge w:val="continue"/>
            <w:tcBorders>
              <w:tl2br w:val="nil"/>
              <w:tr2bl w:val="nil"/>
            </w:tcBorders>
            <w:shd w:val="clear" w:color="auto" w:fill="auto"/>
            <w:noWrap/>
            <w:tcMar>
              <w:top w:w="15" w:type="dxa"/>
              <w:left w:w="15" w:type="dxa"/>
              <w:right w:w="15" w:type="dxa"/>
            </w:tcMar>
            <w:vAlign w:val="center"/>
          </w:tcPr>
          <w:p w14:paraId="5FE2DE0D">
            <w:pPr>
              <w:spacing w:line="240" w:lineRule="auto"/>
              <w:jc w:val="center"/>
              <w:rPr>
                <w:rFonts w:hint="default" w:ascii="Times New Roman" w:hAnsi="Times New Roman" w:cs="Times New Roman"/>
                <w:color w:val="auto"/>
                <w:sz w:val="21"/>
                <w:szCs w:val="21"/>
                <w:highlight w:val="none"/>
              </w:rPr>
            </w:pPr>
          </w:p>
        </w:tc>
      </w:tr>
      <w:tr w14:paraId="7328D3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2C360D0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16</w:t>
            </w:r>
          </w:p>
        </w:tc>
        <w:tc>
          <w:tcPr>
            <w:tcW w:w="1419" w:type="pct"/>
            <w:tcBorders>
              <w:tl2br w:val="nil"/>
              <w:tr2bl w:val="nil"/>
            </w:tcBorders>
            <w:shd w:val="clear" w:color="auto" w:fill="auto"/>
            <w:tcMar>
              <w:top w:w="15" w:type="dxa"/>
              <w:left w:w="15" w:type="dxa"/>
              <w:right w:w="15" w:type="dxa"/>
            </w:tcMar>
            <w:vAlign w:val="center"/>
          </w:tcPr>
          <w:p w14:paraId="14669FBE">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锰</w:t>
            </w:r>
          </w:p>
        </w:tc>
        <w:tc>
          <w:tcPr>
            <w:tcW w:w="504" w:type="pct"/>
            <w:tcBorders>
              <w:tl2br w:val="nil"/>
              <w:tr2bl w:val="nil"/>
            </w:tcBorders>
            <w:shd w:val="clear" w:color="auto" w:fill="auto"/>
            <w:tcMar>
              <w:top w:w="15" w:type="dxa"/>
              <w:left w:w="15" w:type="dxa"/>
              <w:right w:w="15" w:type="dxa"/>
            </w:tcMar>
            <w:vAlign w:val="center"/>
          </w:tcPr>
          <w:p w14:paraId="45C07836">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33BAB43A">
            <w:pPr>
              <w:widowControl/>
              <w:spacing w:line="240" w:lineRule="auto"/>
              <w:jc w:val="center"/>
              <w:textAlignment w:val="top"/>
              <w:rPr>
                <w:rFonts w:hint="default" w:ascii="Times New Roman" w:hAnsi="Times New Roman" w:cs="Times New Roman"/>
                <w:color w:val="auto"/>
                <w:kern w:val="0"/>
                <w:sz w:val="22"/>
                <w:szCs w:val="22"/>
                <w:highlight w:val="none"/>
                <w:lang w:val="en-US"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0.10</w:t>
            </w:r>
          </w:p>
        </w:tc>
        <w:tc>
          <w:tcPr>
            <w:tcW w:w="770" w:type="pct"/>
            <w:tcBorders>
              <w:tl2br w:val="nil"/>
              <w:tr2bl w:val="nil"/>
            </w:tcBorders>
            <w:shd w:val="clear" w:color="auto" w:fill="auto"/>
            <w:noWrap/>
            <w:tcMar>
              <w:top w:w="15" w:type="dxa"/>
              <w:left w:w="15" w:type="dxa"/>
              <w:right w:w="15" w:type="dxa"/>
            </w:tcMar>
          </w:tcPr>
          <w:p w14:paraId="0B481FCD">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≤1.50</w:t>
            </w:r>
          </w:p>
        </w:tc>
        <w:tc>
          <w:tcPr>
            <w:tcW w:w="1125" w:type="pct"/>
            <w:vMerge w:val="continue"/>
            <w:tcBorders>
              <w:tl2br w:val="nil"/>
              <w:tr2bl w:val="nil"/>
            </w:tcBorders>
            <w:shd w:val="clear" w:color="auto" w:fill="auto"/>
            <w:noWrap/>
            <w:tcMar>
              <w:top w:w="15" w:type="dxa"/>
              <w:left w:w="15" w:type="dxa"/>
              <w:right w:w="15" w:type="dxa"/>
            </w:tcMar>
            <w:vAlign w:val="center"/>
          </w:tcPr>
          <w:p w14:paraId="297754EA">
            <w:pPr>
              <w:spacing w:line="240" w:lineRule="auto"/>
              <w:jc w:val="center"/>
              <w:rPr>
                <w:rFonts w:hint="default" w:ascii="Times New Roman" w:hAnsi="Times New Roman" w:cs="Times New Roman"/>
                <w:color w:val="auto"/>
                <w:sz w:val="21"/>
                <w:szCs w:val="21"/>
                <w:highlight w:val="none"/>
              </w:rPr>
            </w:pPr>
          </w:p>
        </w:tc>
      </w:tr>
      <w:tr w14:paraId="47596A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6078F5C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17</w:t>
            </w:r>
          </w:p>
        </w:tc>
        <w:tc>
          <w:tcPr>
            <w:tcW w:w="1419" w:type="pct"/>
            <w:tcBorders>
              <w:tl2br w:val="nil"/>
              <w:tr2bl w:val="nil"/>
            </w:tcBorders>
            <w:shd w:val="clear" w:color="auto" w:fill="auto"/>
            <w:tcMar>
              <w:top w:w="15" w:type="dxa"/>
              <w:left w:w="15" w:type="dxa"/>
              <w:right w:w="15" w:type="dxa"/>
            </w:tcMar>
            <w:vAlign w:val="center"/>
          </w:tcPr>
          <w:p w14:paraId="52764486">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铜</w:t>
            </w:r>
          </w:p>
        </w:tc>
        <w:tc>
          <w:tcPr>
            <w:tcW w:w="504" w:type="pct"/>
            <w:tcBorders>
              <w:tl2br w:val="nil"/>
              <w:tr2bl w:val="nil"/>
            </w:tcBorders>
            <w:shd w:val="clear" w:color="auto" w:fill="auto"/>
            <w:tcMar>
              <w:top w:w="15" w:type="dxa"/>
              <w:left w:w="15" w:type="dxa"/>
              <w:right w:w="15" w:type="dxa"/>
            </w:tcMar>
            <w:vAlign w:val="center"/>
          </w:tcPr>
          <w:p w14:paraId="378F2A8B">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2058BB8C">
            <w:pPr>
              <w:widowControl/>
              <w:spacing w:line="240" w:lineRule="auto"/>
              <w:jc w:val="center"/>
              <w:textAlignment w:val="top"/>
              <w:rPr>
                <w:rFonts w:hint="default" w:ascii="Times New Roman" w:hAnsi="Times New Roman" w:cs="Times New Roman"/>
                <w:color w:val="auto"/>
                <w:kern w:val="0"/>
                <w:sz w:val="22"/>
                <w:szCs w:val="22"/>
                <w:highlight w:val="none"/>
                <w:lang w:val="en-US"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1.00</w:t>
            </w:r>
          </w:p>
        </w:tc>
        <w:tc>
          <w:tcPr>
            <w:tcW w:w="770" w:type="pct"/>
            <w:tcBorders>
              <w:tl2br w:val="nil"/>
              <w:tr2bl w:val="nil"/>
            </w:tcBorders>
            <w:shd w:val="clear" w:color="auto" w:fill="auto"/>
            <w:noWrap/>
            <w:tcMar>
              <w:top w:w="15" w:type="dxa"/>
              <w:left w:w="15" w:type="dxa"/>
              <w:right w:w="15" w:type="dxa"/>
            </w:tcMar>
          </w:tcPr>
          <w:p w14:paraId="3EF76FD5">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w:t>
            </w:r>
            <w:r>
              <w:rPr>
                <w:rFonts w:hint="default" w:ascii="Times New Roman" w:hAnsi="Times New Roman" w:cs="Times New Roman"/>
                <w:color w:val="auto"/>
                <w:kern w:val="0"/>
                <w:sz w:val="22"/>
                <w:szCs w:val="22"/>
                <w:highlight w:val="none"/>
                <w:lang w:bidi="ar"/>
              </w:rPr>
              <w:t>50</w:t>
            </w:r>
          </w:p>
        </w:tc>
        <w:tc>
          <w:tcPr>
            <w:tcW w:w="1125" w:type="pct"/>
            <w:vMerge w:val="continue"/>
            <w:tcBorders>
              <w:tl2br w:val="nil"/>
              <w:tr2bl w:val="nil"/>
            </w:tcBorders>
            <w:shd w:val="clear" w:color="auto" w:fill="auto"/>
            <w:noWrap/>
            <w:tcMar>
              <w:top w:w="15" w:type="dxa"/>
              <w:left w:w="15" w:type="dxa"/>
              <w:right w:w="15" w:type="dxa"/>
            </w:tcMar>
            <w:vAlign w:val="center"/>
          </w:tcPr>
          <w:p w14:paraId="6F28905A">
            <w:pPr>
              <w:spacing w:line="240" w:lineRule="auto"/>
              <w:jc w:val="center"/>
              <w:rPr>
                <w:rFonts w:hint="default" w:ascii="Times New Roman" w:hAnsi="Times New Roman" w:cs="Times New Roman"/>
                <w:color w:val="auto"/>
                <w:sz w:val="21"/>
                <w:szCs w:val="21"/>
                <w:highlight w:val="none"/>
              </w:rPr>
            </w:pPr>
          </w:p>
        </w:tc>
      </w:tr>
      <w:tr w14:paraId="44CB01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03B492F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18</w:t>
            </w:r>
          </w:p>
        </w:tc>
        <w:tc>
          <w:tcPr>
            <w:tcW w:w="1419" w:type="pct"/>
            <w:tcBorders>
              <w:tl2br w:val="nil"/>
              <w:tr2bl w:val="nil"/>
            </w:tcBorders>
            <w:shd w:val="clear" w:color="auto" w:fill="auto"/>
            <w:tcMar>
              <w:top w:w="15" w:type="dxa"/>
              <w:left w:w="15" w:type="dxa"/>
              <w:right w:w="15" w:type="dxa"/>
            </w:tcMar>
            <w:vAlign w:val="center"/>
          </w:tcPr>
          <w:p w14:paraId="14B9612D">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铝</w:t>
            </w:r>
          </w:p>
        </w:tc>
        <w:tc>
          <w:tcPr>
            <w:tcW w:w="504" w:type="pct"/>
            <w:tcBorders>
              <w:tl2br w:val="nil"/>
              <w:tr2bl w:val="nil"/>
            </w:tcBorders>
            <w:shd w:val="clear" w:color="auto" w:fill="auto"/>
            <w:tcMar>
              <w:top w:w="15" w:type="dxa"/>
              <w:left w:w="15" w:type="dxa"/>
              <w:right w:w="15" w:type="dxa"/>
            </w:tcMar>
            <w:vAlign w:val="center"/>
          </w:tcPr>
          <w:p w14:paraId="38F872B5">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33D1B653">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0.2</w:t>
            </w:r>
          </w:p>
        </w:tc>
        <w:tc>
          <w:tcPr>
            <w:tcW w:w="770" w:type="pct"/>
            <w:tcBorders>
              <w:tl2br w:val="nil"/>
              <w:tr2bl w:val="nil"/>
            </w:tcBorders>
            <w:shd w:val="clear" w:color="auto" w:fill="auto"/>
            <w:noWrap/>
            <w:tcMar>
              <w:top w:w="15" w:type="dxa"/>
              <w:left w:w="15" w:type="dxa"/>
              <w:right w:w="15" w:type="dxa"/>
            </w:tcMar>
          </w:tcPr>
          <w:p w14:paraId="3ED49F8F">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≤0.50</w:t>
            </w:r>
          </w:p>
        </w:tc>
        <w:tc>
          <w:tcPr>
            <w:tcW w:w="1125" w:type="pct"/>
            <w:vMerge w:val="continue"/>
            <w:tcBorders>
              <w:tl2br w:val="nil"/>
              <w:tr2bl w:val="nil"/>
            </w:tcBorders>
            <w:shd w:val="clear" w:color="auto" w:fill="auto"/>
            <w:noWrap/>
            <w:tcMar>
              <w:top w:w="15" w:type="dxa"/>
              <w:left w:w="15" w:type="dxa"/>
              <w:right w:w="15" w:type="dxa"/>
            </w:tcMar>
            <w:vAlign w:val="center"/>
          </w:tcPr>
          <w:p w14:paraId="17F0B637">
            <w:pPr>
              <w:spacing w:line="240" w:lineRule="auto"/>
              <w:jc w:val="center"/>
              <w:rPr>
                <w:rFonts w:hint="default" w:ascii="Times New Roman" w:hAnsi="Times New Roman" w:cs="Times New Roman"/>
                <w:color w:val="auto"/>
                <w:sz w:val="21"/>
                <w:szCs w:val="21"/>
                <w:highlight w:val="none"/>
              </w:rPr>
            </w:pPr>
          </w:p>
        </w:tc>
      </w:tr>
      <w:tr w14:paraId="014487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4910FCC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19</w:t>
            </w:r>
          </w:p>
        </w:tc>
        <w:tc>
          <w:tcPr>
            <w:tcW w:w="1419" w:type="pct"/>
            <w:tcBorders>
              <w:tl2br w:val="nil"/>
              <w:tr2bl w:val="nil"/>
            </w:tcBorders>
            <w:shd w:val="clear" w:color="auto" w:fill="auto"/>
            <w:tcMar>
              <w:top w:w="15" w:type="dxa"/>
              <w:left w:w="15" w:type="dxa"/>
              <w:right w:w="15" w:type="dxa"/>
            </w:tcMar>
            <w:vAlign w:val="center"/>
          </w:tcPr>
          <w:p w14:paraId="35DADAD8">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钠</w:t>
            </w:r>
          </w:p>
        </w:tc>
        <w:tc>
          <w:tcPr>
            <w:tcW w:w="504" w:type="pct"/>
            <w:tcBorders>
              <w:tl2br w:val="nil"/>
              <w:tr2bl w:val="nil"/>
            </w:tcBorders>
            <w:shd w:val="clear" w:color="auto" w:fill="auto"/>
            <w:tcMar>
              <w:top w:w="15" w:type="dxa"/>
              <w:left w:w="15" w:type="dxa"/>
              <w:right w:w="15" w:type="dxa"/>
            </w:tcMar>
            <w:vAlign w:val="center"/>
          </w:tcPr>
          <w:p w14:paraId="089A2FF3">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01417CB9">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200</w:t>
            </w:r>
          </w:p>
        </w:tc>
        <w:tc>
          <w:tcPr>
            <w:tcW w:w="770" w:type="pct"/>
            <w:tcBorders>
              <w:tl2br w:val="nil"/>
              <w:tr2bl w:val="nil"/>
            </w:tcBorders>
            <w:shd w:val="clear" w:color="auto" w:fill="auto"/>
            <w:noWrap/>
            <w:tcMar>
              <w:top w:w="15" w:type="dxa"/>
              <w:left w:w="15" w:type="dxa"/>
              <w:right w:w="15" w:type="dxa"/>
            </w:tcMar>
          </w:tcPr>
          <w:p w14:paraId="332BB51A">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≤400</w:t>
            </w:r>
          </w:p>
        </w:tc>
        <w:tc>
          <w:tcPr>
            <w:tcW w:w="1125" w:type="pct"/>
            <w:vMerge w:val="continue"/>
            <w:tcBorders>
              <w:tl2br w:val="nil"/>
              <w:tr2bl w:val="nil"/>
            </w:tcBorders>
            <w:shd w:val="clear" w:color="auto" w:fill="auto"/>
            <w:noWrap/>
            <w:tcMar>
              <w:top w:w="15" w:type="dxa"/>
              <w:left w:w="15" w:type="dxa"/>
              <w:right w:w="15" w:type="dxa"/>
            </w:tcMar>
            <w:vAlign w:val="center"/>
          </w:tcPr>
          <w:p w14:paraId="76E030D0">
            <w:pPr>
              <w:spacing w:line="240" w:lineRule="auto"/>
              <w:jc w:val="center"/>
              <w:rPr>
                <w:rFonts w:hint="default" w:ascii="Times New Roman" w:hAnsi="Times New Roman" w:cs="Times New Roman"/>
                <w:color w:val="auto"/>
                <w:sz w:val="21"/>
                <w:szCs w:val="21"/>
                <w:highlight w:val="none"/>
              </w:rPr>
            </w:pPr>
          </w:p>
        </w:tc>
      </w:tr>
      <w:tr w14:paraId="4289AB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131CB5A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w:t>
            </w:r>
          </w:p>
        </w:tc>
        <w:tc>
          <w:tcPr>
            <w:tcW w:w="1419" w:type="pct"/>
            <w:tcBorders>
              <w:tl2br w:val="nil"/>
              <w:tr2bl w:val="nil"/>
            </w:tcBorders>
            <w:shd w:val="clear" w:color="auto" w:fill="auto"/>
            <w:tcMar>
              <w:top w:w="15" w:type="dxa"/>
              <w:left w:w="15" w:type="dxa"/>
              <w:right w:w="15" w:type="dxa"/>
            </w:tcMar>
            <w:vAlign w:val="center"/>
          </w:tcPr>
          <w:p w14:paraId="5BB7A067">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锌</w:t>
            </w:r>
          </w:p>
        </w:tc>
        <w:tc>
          <w:tcPr>
            <w:tcW w:w="504" w:type="pct"/>
            <w:tcBorders>
              <w:tl2br w:val="nil"/>
              <w:tr2bl w:val="nil"/>
            </w:tcBorders>
            <w:shd w:val="clear" w:color="auto" w:fill="auto"/>
            <w:tcMar>
              <w:top w:w="15" w:type="dxa"/>
              <w:left w:w="15" w:type="dxa"/>
              <w:right w:w="15" w:type="dxa"/>
            </w:tcMar>
            <w:vAlign w:val="center"/>
          </w:tcPr>
          <w:p w14:paraId="0310AA16">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6A05DA46">
            <w:pPr>
              <w:widowControl/>
              <w:spacing w:line="240" w:lineRule="auto"/>
              <w:jc w:val="center"/>
              <w:textAlignment w:val="top"/>
              <w:rPr>
                <w:rFonts w:hint="default" w:ascii="Times New Roman" w:hAnsi="Times New Roman" w:cs="Times New Roman"/>
                <w:color w:val="auto"/>
                <w:kern w:val="0"/>
                <w:sz w:val="22"/>
                <w:szCs w:val="22"/>
                <w:highlight w:val="none"/>
                <w:lang w:val="en-US"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1.00</w:t>
            </w:r>
          </w:p>
        </w:tc>
        <w:tc>
          <w:tcPr>
            <w:tcW w:w="770" w:type="pct"/>
            <w:tcBorders>
              <w:tl2br w:val="nil"/>
              <w:tr2bl w:val="nil"/>
            </w:tcBorders>
            <w:shd w:val="clear" w:color="auto" w:fill="auto"/>
            <w:noWrap/>
            <w:tcMar>
              <w:top w:w="15" w:type="dxa"/>
              <w:left w:w="15" w:type="dxa"/>
              <w:right w:w="15" w:type="dxa"/>
            </w:tcMar>
          </w:tcPr>
          <w:p w14:paraId="54275752">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≤5.00</w:t>
            </w:r>
          </w:p>
        </w:tc>
        <w:tc>
          <w:tcPr>
            <w:tcW w:w="1125" w:type="pct"/>
            <w:vMerge w:val="continue"/>
            <w:tcBorders>
              <w:tl2br w:val="nil"/>
              <w:tr2bl w:val="nil"/>
            </w:tcBorders>
            <w:shd w:val="clear" w:color="auto" w:fill="auto"/>
            <w:noWrap/>
            <w:tcMar>
              <w:top w:w="15" w:type="dxa"/>
              <w:left w:w="15" w:type="dxa"/>
              <w:right w:w="15" w:type="dxa"/>
            </w:tcMar>
            <w:vAlign w:val="center"/>
          </w:tcPr>
          <w:p w14:paraId="15EB56E1">
            <w:pPr>
              <w:spacing w:line="240" w:lineRule="auto"/>
              <w:jc w:val="center"/>
              <w:rPr>
                <w:rFonts w:hint="default" w:ascii="Times New Roman" w:hAnsi="Times New Roman" w:cs="Times New Roman"/>
                <w:color w:val="auto"/>
                <w:sz w:val="21"/>
                <w:szCs w:val="21"/>
                <w:highlight w:val="none"/>
              </w:rPr>
            </w:pPr>
          </w:p>
        </w:tc>
      </w:tr>
      <w:tr w14:paraId="52AF70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10D3B53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21</w:t>
            </w:r>
          </w:p>
        </w:tc>
        <w:tc>
          <w:tcPr>
            <w:tcW w:w="1419" w:type="pct"/>
            <w:tcBorders>
              <w:tl2br w:val="nil"/>
              <w:tr2bl w:val="nil"/>
            </w:tcBorders>
            <w:shd w:val="clear" w:color="auto" w:fill="auto"/>
            <w:tcMar>
              <w:top w:w="15" w:type="dxa"/>
              <w:left w:w="15" w:type="dxa"/>
              <w:right w:w="15" w:type="dxa"/>
            </w:tcMar>
            <w:vAlign w:val="center"/>
          </w:tcPr>
          <w:p w14:paraId="5EF3B6BB">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铬</w:t>
            </w:r>
          </w:p>
        </w:tc>
        <w:tc>
          <w:tcPr>
            <w:tcW w:w="504" w:type="pct"/>
            <w:tcBorders>
              <w:tl2br w:val="nil"/>
              <w:tr2bl w:val="nil"/>
            </w:tcBorders>
            <w:shd w:val="clear" w:color="auto" w:fill="auto"/>
            <w:tcMar>
              <w:top w:w="15" w:type="dxa"/>
              <w:left w:w="15" w:type="dxa"/>
              <w:right w:w="15" w:type="dxa"/>
            </w:tcMar>
            <w:vAlign w:val="center"/>
          </w:tcPr>
          <w:p w14:paraId="5B894195">
            <w:pPr>
              <w:widowControl/>
              <w:spacing w:line="240" w:lineRule="auto"/>
              <w:jc w:val="center"/>
              <w:textAlignment w:val="top"/>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43897A23">
            <w:pPr>
              <w:widowControl/>
              <w:spacing w:line="240" w:lineRule="auto"/>
              <w:jc w:val="center"/>
              <w:textAlignment w:val="top"/>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w:t>
            </w:r>
          </w:p>
        </w:tc>
        <w:tc>
          <w:tcPr>
            <w:tcW w:w="770" w:type="pct"/>
            <w:tcBorders>
              <w:tl2br w:val="nil"/>
              <w:tr2bl w:val="nil"/>
            </w:tcBorders>
            <w:shd w:val="clear" w:color="auto" w:fill="auto"/>
            <w:noWrap/>
            <w:tcMar>
              <w:top w:w="15" w:type="dxa"/>
              <w:left w:w="15" w:type="dxa"/>
              <w:right w:w="15" w:type="dxa"/>
            </w:tcMar>
            <w:vAlign w:val="center"/>
          </w:tcPr>
          <w:p w14:paraId="70F91725">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p>
        </w:tc>
        <w:tc>
          <w:tcPr>
            <w:tcW w:w="1125" w:type="pct"/>
            <w:tcBorders>
              <w:tl2br w:val="nil"/>
              <w:tr2bl w:val="nil"/>
            </w:tcBorders>
            <w:shd w:val="clear" w:color="auto" w:fill="auto"/>
            <w:noWrap/>
            <w:tcMar>
              <w:top w:w="15" w:type="dxa"/>
              <w:left w:w="15" w:type="dxa"/>
              <w:right w:w="15" w:type="dxa"/>
            </w:tcMar>
            <w:vAlign w:val="center"/>
          </w:tcPr>
          <w:p w14:paraId="3A667D5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32914F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346CFBA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22</w:t>
            </w:r>
          </w:p>
        </w:tc>
        <w:tc>
          <w:tcPr>
            <w:tcW w:w="1419" w:type="pct"/>
            <w:tcBorders>
              <w:tl2br w:val="nil"/>
              <w:tr2bl w:val="nil"/>
            </w:tcBorders>
            <w:shd w:val="clear" w:color="auto" w:fill="auto"/>
            <w:tcMar>
              <w:top w:w="15" w:type="dxa"/>
              <w:left w:w="15" w:type="dxa"/>
              <w:right w:w="15" w:type="dxa"/>
            </w:tcMar>
            <w:vAlign w:val="center"/>
          </w:tcPr>
          <w:p w14:paraId="00E4B700">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汞</w:t>
            </w:r>
          </w:p>
        </w:tc>
        <w:tc>
          <w:tcPr>
            <w:tcW w:w="504" w:type="pct"/>
            <w:tcBorders>
              <w:tl2br w:val="nil"/>
              <w:tr2bl w:val="nil"/>
            </w:tcBorders>
            <w:shd w:val="clear" w:color="auto" w:fill="auto"/>
            <w:tcMar>
              <w:top w:w="15" w:type="dxa"/>
              <w:left w:w="15" w:type="dxa"/>
              <w:right w:w="15" w:type="dxa"/>
            </w:tcMar>
            <w:vAlign w:val="center"/>
          </w:tcPr>
          <w:p w14:paraId="208FB0D4">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3A7DA8F4">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0.001</w:t>
            </w:r>
          </w:p>
        </w:tc>
        <w:tc>
          <w:tcPr>
            <w:tcW w:w="770" w:type="pct"/>
            <w:tcBorders>
              <w:tl2br w:val="nil"/>
              <w:tr2bl w:val="nil"/>
            </w:tcBorders>
            <w:shd w:val="clear" w:color="auto" w:fill="auto"/>
            <w:noWrap/>
            <w:tcMar>
              <w:top w:w="15" w:type="dxa"/>
              <w:left w:w="15" w:type="dxa"/>
              <w:right w:w="15" w:type="dxa"/>
            </w:tcMar>
          </w:tcPr>
          <w:p w14:paraId="006D7CC0">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bidi="ar"/>
              </w:rPr>
              <w:t>0.002</w:t>
            </w:r>
          </w:p>
        </w:tc>
        <w:tc>
          <w:tcPr>
            <w:tcW w:w="1125" w:type="pct"/>
            <w:vMerge w:val="restart"/>
            <w:tcBorders>
              <w:tl2br w:val="nil"/>
              <w:tr2bl w:val="nil"/>
            </w:tcBorders>
            <w:shd w:val="clear" w:color="auto" w:fill="auto"/>
            <w:noWrap/>
            <w:tcMar>
              <w:top w:w="15" w:type="dxa"/>
              <w:left w:w="15" w:type="dxa"/>
              <w:right w:w="15" w:type="dxa"/>
            </w:tcMar>
            <w:vAlign w:val="center"/>
          </w:tcPr>
          <w:p w14:paraId="5B11D1E1">
            <w:pPr>
              <w:pStyle w:val="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GB/T 14848</w:t>
            </w:r>
            <w:r>
              <w:rPr>
                <w:rFonts w:hint="default" w:ascii="Times New Roman" w:hAnsi="Times New Roman" w:cs="Times New Roman"/>
                <w:color w:val="auto"/>
                <w:sz w:val="21"/>
                <w:szCs w:val="21"/>
                <w:highlight w:val="none"/>
                <w:lang w:val="en-US" w:eastAsia="zh-CN"/>
              </w:rPr>
              <w:t>-2017</w:t>
            </w:r>
          </w:p>
        </w:tc>
      </w:tr>
      <w:tr w14:paraId="2B9774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6527EDA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23</w:t>
            </w:r>
          </w:p>
        </w:tc>
        <w:tc>
          <w:tcPr>
            <w:tcW w:w="1419" w:type="pct"/>
            <w:tcBorders>
              <w:tl2br w:val="nil"/>
              <w:tr2bl w:val="nil"/>
            </w:tcBorders>
            <w:shd w:val="clear" w:color="auto" w:fill="auto"/>
            <w:tcMar>
              <w:top w:w="15" w:type="dxa"/>
              <w:left w:w="15" w:type="dxa"/>
              <w:right w:w="15" w:type="dxa"/>
            </w:tcMar>
            <w:vAlign w:val="center"/>
          </w:tcPr>
          <w:p w14:paraId="56712FDC">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砷</w:t>
            </w:r>
          </w:p>
        </w:tc>
        <w:tc>
          <w:tcPr>
            <w:tcW w:w="504" w:type="pct"/>
            <w:tcBorders>
              <w:tl2br w:val="nil"/>
              <w:tr2bl w:val="nil"/>
            </w:tcBorders>
            <w:shd w:val="clear" w:color="auto" w:fill="auto"/>
            <w:tcMar>
              <w:top w:w="15" w:type="dxa"/>
              <w:left w:w="15" w:type="dxa"/>
              <w:right w:w="15" w:type="dxa"/>
            </w:tcMar>
            <w:vAlign w:val="center"/>
          </w:tcPr>
          <w:p w14:paraId="3B51E42F">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3BC60D97">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0.01</w:t>
            </w:r>
          </w:p>
        </w:tc>
        <w:tc>
          <w:tcPr>
            <w:tcW w:w="770" w:type="pct"/>
            <w:tcBorders>
              <w:tl2br w:val="nil"/>
              <w:tr2bl w:val="nil"/>
            </w:tcBorders>
            <w:shd w:val="clear" w:color="auto" w:fill="auto"/>
            <w:noWrap/>
            <w:tcMar>
              <w:top w:w="15" w:type="dxa"/>
              <w:left w:w="15" w:type="dxa"/>
              <w:right w:w="15" w:type="dxa"/>
            </w:tcMar>
          </w:tcPr>
          <w:p w14:paraId="2297B197">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bidi="ar"/>
              </w:rPr>
              <w:t>0.05</w:t>
            </w:r>
          </w:p>
        </w:tc>
        <w:tc>
          <w:tcPr>
            <w:tcW w:w="1125" w:type="pct"/>
            <w:vMerge w:val="continue"/>
            <w:tcBorders>
              <w:tl2br w:val="nil"/>
              <w:tr2bl w:val="nil"/>
            </w:tcBorders>
            <w:shd w:val="clear" w:color="auto" w:fill="auto"/>
            <w:noWrap/>
            <w:tcMar>
              <w:top w:w="15" w:type="dxa"/>
              <w:left w:w="15" w:type="dxa"/>
              <w:right w:w="15" w:type="dxa"/>
            </w:tcMar>
            <w:vAlign w:val="center"/>
          </w:tcPr>
          <w:p w14:paraId="76DAB499">
            <w:pPr>
              <w:spacing w:line="240" w:lineRule="auto"/>
              <w:jc w:val="center"/>
              <w:rPr>
                <w:rFonts w:hint="default" w:ascii="Times New Roman" w:hAnsi="Times New Roman" w:cs="Times New Roman"/>
                <w:color w:val="auto"/>
                <w:sz w:val="21"/>
                <w:szCs w:val="21"/>
                <w:highlight w:val="none"/>
              </w:rPr>
            </w:pPr>
          </w:p>
        </w:tc>
      </w:tr>
      <w:tr w14:paraId="2A9ABC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77F311E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24</w:t>
            </w:r>
          </w:p>
        </w:tc>
        <w:tc>
          <w:tcPr>
            <w:tcW w:w="1419" w:type="pct"/>
            <w:tcBorders>
              <w:tl2br w:val="nil"/>
              <w:tr2bl w:val="nil"/>
            </w:tcBorders>
            <w:shd w:val="clear" w:color="auto" w:fill="auto"/>
            <w:tcMar>
              <w:top w:w="15" w:type="dxa"/>
              <w:left w:w="15" w:type="dxa"/>
              <w:right w:w="15" w:type="dxa"/>
            </w:tcMar>
            <w:vAlign w:val="center"/>
          </w:tcPr>
          <w:p w14:paraId="7C167387">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硒</w:t>
            </w:r>
          </w:p>
        </w:tc>
        <w:tc>
          <w:tcPr>
            <w:tcW w:w="504" w:type="pct"/>
            <w:tcBorders>
              <w:tl2br w:val="nil"/>
              <w:tr2bl w:val="nil"/>
            </w:tcBorders>
            <w:shd w:val="clear" w:color="auto" w:fill="auto"/>
            <w:tcMar>
              <w:top w:w="15" w:type="dxa"/>
              <w:left w:w="15" w:type="dxa"/>
              <w:right w:w="15" w:type="dxa"/>
            </w:tcMar>
            <w:vAlign w:val="center"/>
          </w:tcPr>
          <w:p w14:paraId="2928A3EC">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2F69F888">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0.01</w:t>
            </w:r>
          </w:p>
        </w:tc>
        <w:tc>
          <w:tcPr>
            <w:tcW w:w="770" w:type="pct"/>
            <w:tcBorders>
              <w:tl2br w:val="nil"/>
              <w:tr2bl w:val="nil"/>
            </w:tcBorders>
            <w:shd w:val="clear" w:color="auto" w:fill="auto"/>
            <w:noWrap/>
            <w:tcMar>
              <w:top w:w="15" w:type="dxa"/>
              <w:left w:w="15" w:type="dxa"/>
              <w:right w:w="15" w:type="dxa"/>
            </w:tcMar>
          </w:tcPr>
          <w:p w14:paraId="5691F585">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bidi="ar"/>
              </w:rPr>
              <w:t>0.1</w:t>
            </w:r>
          </w:p>
        </w:tc>
        <w:tc>
          <w:tcPr>
            <w:tcW w:w="1125" w:type="pct"/>
            <w:vMerge w:val="continue"/>
            <w:tcBorders>
              <w:tl2br w:val="nil"/>
              <w:tr2bl w:val="nil"/>
            </w:tcBorders>
            <w:shd w:val="clear" w:color="auto" w:fill="auto"/>
            <w:noWrap/>
            <w:tcMar>
              <w:top w:w="15" w:type="dxa"/>
              <w:left w:w="15" w:type="dxa"/>
              <w:right w:w="15" w:type="dxa"/>
            </w:tcMar>
            <w:vAlign w:val="center"/>
          </w:tcPr>
          <w:p w14:paraId="3534B32D">
            <w:pPr>
              <w:spacing w:line="240" w:lineRule="auto"/>
              <w:jc w:val="center"/>
              <w:rPr>
                <w:rFonts w:hint="default" w:ascii="Times New Roman" w:hAnsi="Times New Roman" w:cs="Times New Roman"/>
                <w:color w:val="auto"/>
                <w:sz w:val="21"/>
                <w:szCs w:val="21"/>
                <w:highlight w:val="none"/>
              </w:rPr>
            </w:pPr>
          </w:p>
        </w:tc>
      </w:tr>
      <w:tr w14:paraId="2D1F57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340A1CC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25</w:t>
            </w:r>
          </w:p>
        </w:tc>
        <w:tc>
          <w:tcPr>
            <w:tcW w:w="1419" w:type="pct"/>
            <w:tcBorders>
              <w:tl2br w:val="nil"/>
              <w:tr2bl w:val="nil"/>
            </w:tcBorders>
            <w:shd w:val="clear" w:color="auto" w:fill="auto"/>
            <w:tcMar>
              <w:top w:w="15" w:type="dxa"/>
              <w:left w:w="15" w:type="dxa"/>
              <w:right w:w="15" w:type="dxa"/>
            </w:tcMar>
            <w:vAlign w:val="center"/>
          </w:tcPr>
          <w:p w14:paraId="7BDCEB49">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铅</w:t>
            </w:r>
          </w:p>
        </w:tc>
        <w:tc>
          <w:tcPr>
            <w:tcW w:w="504" w:type="pct"/>
            <w:tcBorders>
              <w:tl2br w:val="nil"/>
              <w:tr2bl w:val="nil"/>
            </w:tcBorders>
            <w:shd w:val="clear" w:color="auto" w:fill="auto"/>
            <w:tcMar>
              <w:top w:w="15" w:type="dxa"/>
              <w:left w:w="15" w:type="dxa"/>
              <w:right w:w="15" w:type="dxa"/>
            </w:tcMar>
            <w:vAlign w:val="center"/>
          </w:tcPr>
          <w:p w14:paraId="36ED7BDE">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298FDE0C">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0.05</w:t>
            </w:r>
          </w:p>
        </w:tc>
        <w:tc>
          <w:tcPr>
            <w:tcW w:w="770" w:type="pct"/>
            <w:tcBorders>
              <w:tl2br w:val="nil"/>
              <w:tr2bl w:val="nil"/>
            </w:tcBorders>
            <w:shd w:val="clear" w:color="auto" w:fill="auto"/>
            <w:noWrap/>
            <w:tcMar>
              <w:top w:w="15" w:type="dxa"/>
              <w:left w:w="15" w:type="dxa"/>
              <w:right w:w="15" w:type="dxa"/>
            </w:tcMar>
          </w:tcPr>
          <w:p w14:paraId="5C864C8C">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bidi="ar"/>
              </w:rPr>
              <w:t>0.10</w:t>
            </w:r>
          </w:p>
        </w:tc>
        <w:tc>
          <w:tcPr>
            <w:tcW w:w="1125" w:type="pct"/>
            <w:vMerge w:val="continue"/>
            <w:tcBorders>
              <w:tl2br w:val="nil"/>
              <w:tr2bl w:val="nil"/>
            </w:tcBorders>
            <w:shd w:val="clear" w:color="auto" w:fill="auto"/>
            <w:noWrap/>
            <w:tcMar>
              <w:top w:w="15" w:type="dxa"/>
              <w:left w:w="15" w:type="dxa"/>
              <w:right w:w="15" w:type="dxa"/>
            </w:tcMar>
            <w:vAlign w:val="center"/>
          </w:tcPr>
          <w:p w14:paraId="0F022D95">
            <w:pPr>
              <w:spacing w:line="240" w:lineRule="auto"/>
              <w:jc w:val="center"/>
              <w:rPr>
                <w:rFonts w:hint="default" w:ascii="Times New Roman" w:hAnsi="Times New Roman" w:cs="Times New Roman"/>
                <w:color w:val="auto"/>
                <w:sz w:val="21"/>
                <w:szCs w:val="21"/>
                <w:highlight w:val="none"/>
              </w:rPr>
            </w:pPr>
          </w:p>
        </w:tc>
      </w:tr>
      <w:tr w14:paraId="01F050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4DE0F99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26</w:t>
            </w:r>
          </w:p>
        </w:tc>
        <w:tc>
          <w:tcPr>
            <w:tcW w:w="1419" w:type="pct"/>
            <w:tcBorders>
              <w:tl2br w:val="nil"/>
              <w:tr2bl w:val="nil"/>
            </w:tcBorders>
            <w:shd w:val="clear" w:color="auto" w:fill="auto"/>
            <w:tcMar>
              <w:top w:w="15" w:type="dxa"/>
              <w:left w:w="15" w:type="dxa"/>
              <w:right w:w="15" w:type="dxa"/>
            </w:tcMar>
            <w:vAlign w:val="center"/>
          </w:tcPr>
          <w:p w14:paraId="61728FF6">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镉</w:t>
            </w:r>
          </w:p>
        </w:tc>
        <w:tc>
          <w:tcPr>
            <w:tcW w:w="504" w:type="pct"/>
            <w:tcBorders>
              <w:tl2br w:val="nil"/>
              <w:tr2bl w:val="nil"/>
            </w:tcBorders>
            <w:shd w:val="clear" w:color="auto" w:fill="auto"/>
            <w:tcMar>
              <w:top w:w="15" w:type="dxa"/>
              <w:left w:w="15" w:type="dxa"/>
              <w:right w:w="15" w:type="dxa"/>
            </w:tcMar>
            <w:vAlign w:val="center"/>
          </w:tcPr>
          <w:p w14:paraId="51BE04F0">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7EDA7A04">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0.005</w:t>
            </w:r>
          </w:p>
        </w:tc>
        <w:tc>
          <w:tcPr>
            <w:tcW w:w="770" w:type="pct"/>
            <w:tcBorders>
              <w:tl2br w:val="nil"/>
              <w:tr2bl w:val="nil"/>
            </w:tcBorders>
            <w:shd w:val="clear" w:color="auto" w:fill="auto"/>
            <w:noWrap/>
            <w:tcMar>
              <w:top w:w="15" w:type="dxa"/>
              <w:left w:w="15" w:type="dxa"/>
              <w:right w:w="15" w:type="dxa"/>
            </w:tcMar>
          </w:tcPr>
          <w:p w14:paraId="11D34B43">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bidi="ar"/>
              </w:rPr>
              <w:t>0.01</w:t>
            </w:r>
          </w:p>
        </w:tc>
        <w:tc>
          <w:tcPr>
            <w:tcW w:w="1125" w:type="pct"/>
            <w:vMerge w:val="continue"/>
            <w:tcBorders>
              <w:tl2br w:val="nil"/>
              <w:tr2bl w:val="nil"/>
            </w:tcBorders>
            <w:shd w:val="clear" w:color="auto" w:fill="auto"/>
            <w:noWrap/>
            <w:tcMar>
              <w:top w:w="15" w:type="dxa"/>
              <w:left w:w="15" w:type="dxa"/>
              <w:right w:w="15" w:type="dxa"/>
            </w:tcMar>
            <w:vAlign w:val="center"/>
          </w:tcPr>
          <w:p w14:paraId="3E0AC052">
            <w:pPr>
              <w:spacing w:line="240" w:lineRule="auto"/>
              <w:jc w:val="center"/>
              <w:rPr>
                <w:rFonts w:hint="default" w:ascii="Times New Roman" w:hAnsi="Times New Roman" w:cs="Times New Roman"/>
                <w:color w:val="auto"/>
                <w:sz w:val="21"/>
                <w:szCs w:val="21"/>
                <w:highlight w:val="none"/>
              </w:rPr>
            </w:pPr>
          </w:p>
        </w:tc>
      </w:tr>
      <w:tr w14:paraId="3A8C81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09DC5EE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27</w:t>
            </w:r>
          </w:p>
        </w:tc>
        <w:tc>
          <w:tcPr>
            <w:tcW w:w="1419" w:type="pct"/>
            <w:tcBorders>
              <w:tl2br w:val="nil"/>
              <w:tr2bl w:val="nil"/>
            </w:tcBorders>
            <w:shd w:val="clear" w:color="auto" w:fill="auto"/>
            <w:tcMar>
              <w:top w:w="15" w:type="dxa"/>
              <w:left w:w="15" w:type="dxa"/>
              <w:right w:w="15" w:type="dxa"/>
            </w:tcMar>
            <w:vAlign w:val="center"/>
          </w:tcPr>
          <w:p w14:paraId="6ABD4F24">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铬(六价)</w:t>
            </w:r>
          </w:p>
        </w:tc>
        <w:tc>
          <w:tcPr>
            <w:tcW w:w="504" w:type="pct"/>
            <w:tcBorders>
              <w:tl2br w:val="nil"/>
              <w:tr2bl w:val="nil"/>
            </w:tcBorders>
            <w:shd w:val="clear" w:color="auto" w:fill="auto"/>
            <w:tcMar>
              <w:top w:w="15" w:type="dxa"/>
              <w:left w:w="15" w:type="dxa"/>
              <w:right w:w="15" w:type="dxa"/>
            </w:tcMar>
            <w:vAlign w:val="center"/>
          </w:tcPr>
          <w:p w14:paraId="6D7355E9">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7360A909">
            <w:pPr>
              <w:widowControl/>
              <w:spacing w:line="240" w:lineRule="auto"/>
              <w:jc w:val="center"/>
              <w:textAlignment w:val="top"/>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0.05</w:t>
            </w:r>
          </w:p>
        </w:tc>
        <w:tc>
          <w:tcPr>
            <w:tcW w:w="770" w:type="pct"/>
            <w:tcBorders>
              <w:tl2br w:val="nil"/>
              <w:tr2bl w:val="nil"/>
            </w:tcBorders>
            <w:shd w:val="clear" w:color="auto" w:fill="auto"/>
            <w:noWrap/>
            <w:tcMar>
              <w:top w:w="15" w:type="dxa"/>
              <w:left w:w="15" w:type="dxa"/>
              <w:right w:w="15" w:type="dxa"/>
            </w:tcMar>
          </w:tcPr>
          <w:p w14:paraId="4E28D439">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bidi="ar"/>
              </w:rPr>
              <w:t>0.10</w:t>
            </w:r>
          </w:p>
        </w:tc>
        <w:tc>
          <w:tcPr>
            <w:tcW w:w="1125" w:type="pct"/>
            <w:vMerge w:val="continue"/>
            <w:tcBorders>
              <w:tl2br w:val="nil"/>
              <w:tr2bl w:val="nil"/>
            </w:tcBorders>
            <w:shd w:val="clear" w:color="auto" w:fill="auto"/>
            <w:noWrap/>
            <w:tcMar>
              <w:top w:w="15" w:type="dxa"/>
              <w:left w:w="15" w:type="dxa"/>
              <w:right w:w="15" w:type="dxa"/>
            </w:tcMar>
            <w:vAlign w:val="center"/>
          </w:tcPr>
          <w:p w14:paraId="470B9741">
            <w:pPr>
              <w:spacing w:line="240" w:lineRule="auto"/>
              <w:jc w:val="center"/>
              <w:rPr>
                <w:rFonts w:hint="default" w:ascii="Times New Roman" w:hAnsi="Times New Roman" w:cs="Times New Roman"/>
                <w:color w:val="auto"/>
                <w:sz w:val="21"/>
                <w:szCs w:val="21"/>
                <w:highlight w:val="none"/>
              </w:rPr>
            </w:pPr>
          </w:p>
        </w:tc>
      </w:tr>
      <w:tr w14:paraId="0ABF64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5FF2F8C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28</w:t>
            </w:r>
          </w:p>
        </w:tc>
        <w:tc>
          <w:tcPr>
            <w:tcW w:w="1419" w:type="pct"/>
            <w:tcBorders>
              <w:tl2br w:val="nil"/>
              <w:tr2bl w:val="nil"/>
            </w:tcBorders>
            <w:shd w:val="clear" w:color="auto" w:fill="auto"/>
            <w:tcMar>
              <w:top w:w="15" w:type="dxa"/>
              <w:left w:w="15" w:type="dxa"/>
              <w:right w:w="15" w:type="dxa"/>
            </w:tcMar>
            <w:vAlign w:val="center"/>
          </w:tcPr>
          <w:p w14:paraId="1E23C762">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石油类</w:t>
            </w:r>
          </w:p>
        </w:tc>
        <w:tc>
          <w:tcPr>
            <w:tcW w:w="504" w:type="pct"/>
            <w:tcBorders>
              <w:tl2br w:val="nil"/>
              <w:tr2bl w:val="nil"/>
            </w:tcBorders>
            <w:shd w:val="clear" w:color="auto" w:fill="auto"/>
            <w:tcMar>
              <w:top w:w="15" w:type="dxa"/>
              <w:left w:w="15" w:type="dxa"/>
              <w:right w:w="15" w:type="dxa"/>
            </w:tcMar>
            <w:vAlign w:val="center"/>
          </w:tcPr>
          <w:p w14:paraId="01D2FDF8">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eastAsia="黑体" w:cs="Times New Roman"/>
                <w:color w:val="auto"/>
                <w:sz w:val="21"/>
                <w:szCs w:val="21"/>
                <w:highlight w:val="none"/>
              </w:rPr>
              <w:t>mg/L</w:t>
            </w:r>
          </w:p>
        </w:tc>
        <w:tc>
          <w:tcPr>
            <w:tcW w:w="609" w:type="pct"/>
            <w:tcBorders>
              <w:tl2br w:val="nil"/>
              <w:tr2bl w:val="nil"/>
            </w:tcBorders>
            <w:shd w:val="clear" w:color="auto" w:fill="auto"/>
            <w:noWrap/>
            <w:tcMar>
              <w:top w:w="15" w:type="dxa"/>
              <w:left w:w="15" w:type="dxa"/>
              <w:right w:w="15" w:type="dxa"/>
            </w:tcMar>
            <w:vAlign w:val="center"/>
          </w:tcPr>
          <w:p w14:paraId="58F4F922">
            <w:pPr>
              <w:widowControl/>
              <w:spacing w:line="240" w:lineRule="auto"/>
              <w:jc w:val="center"/>
              <w:textAlignment w:val="top"/>
              <w:rPr>
                <w:rFonts w:hint="default" w:ascii="Times New Roman" w:hAnsi="Times New Roman" w:cs="Times New Roman"/>
                <w:color w:val="auto"/>
                <w:kern w:val="0"/>
                <w:sz w:val="22"/>
                <w:szCs w:val="22"/>
                <w:highlight w:val="none"/>
                <w:lang w:val="en-US" w:eastAsia="zh-CN"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0.05</w:t>
            </w:r>
          </w:p>
        </w:tc>
        <w:tc>
          <w:tcPr>
            <w:tcW w:w="770" w:type="pct"/>
            <w:tcBorders>
              <w:tl2br w:val="nil"/>
              <w:tr2bl w:val="nil"/>
            </w:tcBorders>
            <w:shd w:val="clear" w:color="auto" w:fill="auto"/>
            <w:noWrap/>
            <w:tcMar>
              <w:top w:w="15" w:type="dxa"/>
              <w:left w:w="15" w:type="dxa"/>
              <w:right w:w="15" w:type="dxa"/>
            </w:tcMar>
            <w:vAlign w:val="center"/>
          </w:tcPr>
          <w:p w14:paraId="5DA3BE47">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≤0.5</w:t>
            </w:r>
          </w:p>
        </w:tc>
        <w:tc>
          <w:tcPr>
            <w:tcW w:w="1125" w:type="pct"/>
            <w:tcBorders>
              <w:tl2br w:val="nil"/>
              <w:tr2bl w:val="nil"/>
            </w:tcBorders>
            <w:shd w:val="clear" w:color="auto" w:fill="auto"/>
            <w:noWrap/>
            <w:tcMar>
              <w:top w:w="15" w:type="dxa"/>
              <w:left w:w="15" w:type="dxa"/>
              <w:right w:w="15" w:type="dxa"/>
            </w:tcMar>
            <w:vAlign w:val="center"/>
          </w:tcPr>
          <w:p w14:paraId="06CFF59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GB</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3838</w:t>
            </w:r>
            <w:r>
              <w:rPr>
                <w:rFonts w:hint="default" w:ascii="Times New Roman" w:hAnsi="Times New Roman" w:cs="Times New Roman"/>
                <w:color w:val="auto"/>
                <w:sz w:val="21"/>
                <w:szCs w:val="21"/>
                <w:highlight w:val="none"/>
                <w:lang w:val="en-US" w:eastAsia="zh-CN"/>
              </w:rPr>
              <w:t>-2002</w:t>
            </w:r>
          </w:p>
        </w:tc>
      </w:tr>
      <w:tr w14:paraId="4F36C0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2996DDF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29</w:t>
            </w:r>
          </w:p>
        </w:tc>
        <w:tc>
          <w:tcPr>
            <w:tcW w:w="1419" w:type="pct"/>
            <w:tcBorders>
              <w:tl2br w:val="nil"/>
              <w:tr2bl w:val="nil"/>
            </w:tcBorders>
            <w:shd w:val="clear" w:color="auto" w:fill="auto"/>
            <w:tcMar>
              <w:top w:w="15" w:type="dxa"/>
              <w:left w:w="15" w:type="dxa"/>
              <w:right w:w="15" w:type="dxa"/>
            </w:tcMar>
            <w:vAlign w:val="center"/>
          </w:tcPr>
          <w:p w14:paraId="6384CB8D">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氯仿</w:t>
            </w:r>
          </w:p>
        </w:tc>
        <w:tc>
          <w:tcPr>
            <w:tcW w:w="504" w:type="pct"/>
            <w:tcBorders>
              <w:tl2br w:val="nil"/>
              <w:tr2bl w:val="nil"/>
            </w:tcBorders>
            <w:shd w:val="clear" w:color="auto" w:fill="auto"/>
            <w:tcMar>
              <w:top w:w="15" w:type="dxa"/>
              <w:left w:w="15" w:type="dxa"/>
              <w:right w:w="15" w:type="dxa"/>
            </w:tcMar>
            <w:vAlign w:val="center"/>
          </w:tcPr>
          <w:p w14:paraId="4BB6A3FF">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μg/L</w:t>
            </w:r>
          </w:p>
        </w:tc>
        <w:tc>
          <w:tcPr>
            <w:tcW w:w="609" w:type="pct"/>
            <w:tcBorders>
              <w:tl2br w:val="nil"/>
              <w:tr2bl w:val="nil"/>
            </w:tcBorders>
            <w:shd w:val="clear" w:color="auto" w:fill="auto"/>
            <w:noWrap/>
            <w:tcMar>
              <w:top w:w="15" w:type="dxa"/>
              <w:left w:w="15" w:type="dxa"/>
              <w:right w:w="15" w:type="dxa"/>
            </w:tcMar>
            <w:vAlign w:val="center"/>
          </w:tcPr>
          <w:p w14:paraId="1A6361B0">
            <w:pPr>
              <w:widowControl/>
              <w:spacing w:line="240" w:lineRule="auto"/>
              <w:jc w:val="center"/>
              <w:textAlignment w:val="top"/>
              <w:rPr>
                <w:rFonts w:hint="default" w:ascii="Times New Roman" w:hAnsi="Times New Roman" w:cs="Times New Roman"/>
                <w:color w:val="auto"/>
                <w:kern w:val="0"/>
                <w:sz w:val="22"/>
                <w:szCs w:val="22"/>
                <w:highlight w:val="none"/>
                <w:lang w:val="en-US" w:eastAsia="zh-CN"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60</w:t>
            </w:r>
          </w:p>
        </w:tc>
        <w:tc>
          <w:tcPr>
            <w:tcW w:w="770" w:type="pct"/>
            <w:tcBorders>
              <w:tl2br w:val="nil"/>
              <w:tr2bl w:val="nil"/>
            </w:tcBorders>
            <w:shd w:val="clear" w:color="auto" w:fill="auto"/>
            <w:noWrap/>
            <w:tcMar>
              <w:top w:w="15" w:type="dxa"/>
              <w:left w:w="15" w:type="dxa"/>
              <w:right w:w="15" w:type="dxa"/>
            </w:tcMar>
            <w:vAlign w:val="center"/>
          </w:tcPr>
          <w:p w14:paraId="01F68F97">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≤300</w:t>
            </w:r>
          </w:p>
        </w:tc>
        <w:tc>
          <w:tcPr>
            <w:tcW w:w="1125" w:type="pct"/>
            <w:vMerge w:val="restart"/>
            <w:tcBorders>
              <w:tl2br w:val="nil"/>
              <w:tr2bl w:val="nil"/>
            </w:tcBorders>
            <w:shd w:val="clear" w:color="auto" w:fill="auto"/>
            <w:noWrap/>
            <w:tcMar>
              <w:top w:w="15" w:type="dxa"/>
              <w:left w:w="15" w:type="dxa"/>
              <w:right w:w="15" w:type="dxa"/>
            </w:tcMar>
            <w:vAlign w:val="center"/>
          </w:tcPr>
          <w:p w14:paraId="3952A90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GB/T 14848</w:t>
            </w:r>
            <w:r>
              <w:rPr>
                <w:rFonts w:hint="default" w:ascii="Times New Roman" w:hAnsi="Times New Roman" w:cs="Times New Roman"/>
                <w:color w:val="auto"/>
                <w:sz w:val="21"/>
                <w:szCs w:val="21"/>
                <w:highlight w:val="none"/>
                <w:lang w:val="en-US" w:eastAsia="zh-CN"/>
              </w:rPr>
              <w:t>-2017</w:t>
            </w:r>
          </w:p>
        </w:tc>
      </w:tr>
      <w:tr w14:paraId="2E5551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1B79C1F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30</w:t>
            </w:r>
          </w:p>
        </w:tc>
        <w:tc>
          <w:tcPr>
            <w:tcW w:w="1419" w:type="pct"/>
            <w:tcBorders>
              <w:tl2br w:val="nil"/>
              <w:tr2bl w:val="nil"/>
            </w:tcBorders>
            <w:shd w:val="clear" w:color="auto" w:fill="auto"/>
            <w:tcMar>
              <w:top w:w="15" w:type="dxa"/>
              <w:left w:w="15" w:type="dxa"/>
              <w:right w:w="15" w:type="dxa"/>
            </w:tcMar>
            <w:vAlign w:val="center"/>
          </w:tcPr>
          <w:p w14:paraId="02F5AFD3">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四氯化碳</w:t>
            </w:r>
          </w:p>
        </w:tc>
        <w:tc>
          <w:tcPr>
            <w:tcW w:w="504" w:type="pct"/>
            <w:tcBorders>
              <w:tl2br w:val="nil"/>
              <w:tr2bl w:val="nil"/>
            </w:tcBorders>
            <w:shd w:val="clear" w:color="auto" w:fill="auto"/>
            <w:tcMar>
              <w:top w:w="15" w:type="dxa"/>
              <w:left w:w="15" w:type="dxa"/>
              <w:right w:w="15" w:type="dxa"/>
            </w:tcMar>
            <w:vAlign w:val="center"/>
          </w:tcPr>
          <w:p w14:paraId="619C2CEE">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μg/L</w:t>
            </w:r>
          </w:p>
        </w:tc>
        <w:tc>
          <w:tcPr>
            <w:tcW w:w="609" w:type="pct"/>
            <w:tcBorders>
              <w:tl2br w:val="nil"/>
              <w:tr2bl w:val="nil"/>
            </w:tcBorders>
            <w:shd w:val="clear" w:color="auto" w:fill="auto"/>
            <w:noWrap/>
            <w:tcMar>
              <w:top w:w="15" w:type="dxa"/>
              <w:left w:w="15" w:type="dxa"/>
              <w:right w:w="15" w:type="dxa"/>
            </w:tcMar>
            <w:vAlign w:val="center"/>
          </w:tcPr>
          <w:p w14:paraId="1F15590F">
            <w:pPr>
              <w:widowControl/>
              <w:spacing w:line="240" w:lineRule="auto"/>
              <w:jc w:val="center"/>
              <w:textAlignment w:val="top"/>
              <w:rPr>
                <w:rFonts w:hint="default" w:ascii="Times New Roman" w:hAnsi="Times New Roman" w:cs="Times New Roman"/>
                <w:color w:val="auto"/>
                <w:kern w:val="0"/>
                <w:sz w:val="22"/>
                <w:szCs w:val="22"/>
                <w:highlight w:val="none"/>
                <w:lang w:val="en-US" w:eastAsia="zh-CN"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2</w:t>
            </w:r>
          </w:p>
        </w:tc>
        <w:tc>
          <w:tcPr>
            <w:tcW w:w="770" w:type="pct"/>
            <w:tcBorders>
              <w:tl2br w:val="nil"/>
              <w:tr2bl w:val="nil"/>
            </w:tcBorders>
            <w:shd w:val="clear" w:color="auto" w:fill="auto"/>
            <w:noWrap/>
            <w:tcMar>
              <w:top w:w="15" w:type="dxa"/>
              <w:left w:w="15" w:type="dxa"/>
              <w:right w:w="15" w:type="dxa"/>
            </w:tcMar>
            <w:vAlign w:val="center"/>
          </w:tcPr>
          <w:p w14:paraId="63681D90">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≤50</w:t>
            </w:r>
          </w:p>
        </w:tc>
        <w:tc>
          <w:tcPr>
            <w:tcW w:w="1125" w:type="pct"/>
            <w:vMerge w:val="continue"/>
            <w:tcBorders>
              <w:tl2br w:val="nil"/>
              <w:tr2bl w:val="nil"/>
            </w:tcBorders>
            <w:shd w:val="clear" w:color="auto" w:fill="auto"/>
            <w:noWrap/>
            <w:tcMar>
              <w:top w:w="15" w:type="dxa"/>
              <w:left w:w="15" w:type="dxa"/>
              <w:right w:w="15" w:type="dxa"/>
            </w:tcMar>
            <w:vAlign w:val="center"/>
          </w:tcPr>
          <w:p w14:paraId="4147C774">
            <w:pPr>
              <w:spacing w:line="240" w:lineRule="auto"/>
              <w:jc w:val="center"/>
              <w:rPr>
                <w:rFonts w:hint="default" w:ascii="Times New Roman" w:hAnsi="Times New Roman" w:cs="Times New Roman"/>
                <w:color w:val="auto"/>
                <w:sz w:val="21"/>
                <w:szCs w:val="21"/>
                <w:highlight w:val="none"/>
              </w:rPr>
            </w:pPr>
          </w:p>
        </w:tc>
      </w:tr>
      <w:tr w14:paraId="62BF04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6EA1C9A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31</w:t>
            </w:r>
          </w:p>
        </w:tc>
        <w:tc>
          <w:tcPr>
            <w:tcW w:w="1419" w:type="pct"/>
            <w:tcBorders>
              <w:tl2br w:val="nil"/>
              <w:tr2bl w:val="nil"/>
            </w:tcBorders>
            <w:shd w:val="clear" w:color="auto" w:fill="auto"/>
            <w:tcMar>
              <w:top w:w="15" w:type="dxa"/>
              <w:left w:w="15" w:type="dxa"/>
              <w:right w:w="15" w:type="dxa"/>
            </w:tcMar>
            <w:vAlign w:val="center"/>
          </w:tcPr>
          <w:p w14:paraId="043C1D5C">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苯</w:t>
            </w:r>
          </w:p>
        </w:tc>
        <w:tc>
          <w:tcPr>
            <w:tcW w:w="504" w:type="pct"/>
            <w:tcBorders>
              <w:tl2br w:val="nil"/>
              <w:tr2bl w:val="nil"/>
            </w:tcBorders>
            <w:shd w:val="clear" w:color="auto" w:fill="auto"/>
            <w:tcMar>
              <w:top w:w="15" w:type="dxa"/>
              <w:left w:w="15" w:type="dxa"/>
              <w:right w:w="15" w:type="dxa"/>
            </w:tcMar>
            <w:vAlign w:val="center"/>
          </w:tcPr>
          <w:p w14:paraId="78882AA9">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μg/L</w:t>
            </w:r>
          </w:p>
        </w:tc>
        <w:tc>
          <w:tcPr>
            <w:tcW w:w="609" w:type="pct"/>
            <w:tcBorders>
              <w:tl2br w:val="nil"/>
              <w:tr2bl w:val="nil"/>
            </w:tcBorders>
            <w:shd w:val="clear" w:color="auto" w:fill="auto"/>
            <w:noWrap/>
            <w:tcMar>
              <w:top w:w="15" w:type="dxa"/>
              <w:left w:w="15" w:type="dxa"/>
              <w:right w:w="15" w:type="dxa"/>
            </w:tcMar>
            <w:vAlign w:val="center"/>
          </w:tcPr>
          <w:p w14:paraId="5A5F76EF">
            <w:pPr>
              <w:widowControl/>
              <w:spacing w:line="240" w:lineRule="auto"/>
              <w:jc w:val="center"/>
              <w:textAlignment w:val="top"/>
              <w:rPr>
                <w:rFonts w:hint="default" w:ascii="Times New Roman" w:hAnsi="Times New Roman" w:cs="Times New Roman"/>
                <w:color w:val="auto"/>
                <w:kern w:val="0"/>
                <w:sz w:val="22"/>
                <w:szCs w:val="22"/>
                <w:highlight w:val="none"/>
                <w:lang w:val="en-US" w:eastAsia="zh-CN"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10</w:t>
            </w:r>
          </w:p>
        </w:tc>
        <w:tc>
          <w:tcPr>
            <w:tcW w:w="770" w:type="pct"/>
            <w:tcBorders>
              <w:tl2br w:val="nil"/>
              <w:tr2bl w:val="nil"/>
            </w:tcBorders>
            <w:shd w:val="clear" w:color="auto" w:fill="auto"/>
            <w:noWrap/>
            <w:tcMar>
              <w:top w:w="15" w:type="dxa"/>
              <w:left w:w="15" w:type="dxa"/>
              <w:right w:w="15" w:type="dxa"/>
            </w:tcMar>
            <w:vAlign w:val="center"/>
          </w:tcPr>
          <w:p w14:paraId="0F69307A">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≤120</w:t>
            </w:r>
          </w:p>
        </w:tc>
        <w:tc>
          <w:tcPr>
            <w:tcW w:w="1125" w:type="pct"/>
            <w:vMerge w:val="continue"/>
            <w:tcBorders>
              <w:tl2br w:val="nil"/>
              <w:tr2bl w:val="nil"/>
            </w:tcBorders>
            <w:shd w:val="clear" w:color="auto" w:fill="auto"/>
            <w:noWrap/>
            <w:tcMar>
              <w:top w:w="15" w:type="dxa"/>
              <w:left w:w="15" w:type="dxa"/>
              <w:right w:w="15" w:type="dxa"/>
            </w:tcMar>
            <w:vAlign w:val="center"/>
          </w:tcPr>
          <w:p w14:paraId="6934DCA9">
            <w:pPr>
              <w:spacing w:line="240" w:lineRule="auto"/>
              <w:jc w:val="center"/>
              <w:rPr>
                <w:rFonts w:hint="default" w:ascii="Times New Roman" w:hAnsi="Times New Roman" w:cs="Times New Roman"/>
                <w:color w:val="auto"/>
                <w:sz w:val="21"/>
                <w:szCs w:val="21"/>
                <w:highlight w:val="none"/>
              </w:rPr>
            </w:pPr>
          </w:p>
        </w:tc>
      </w:tr>
      <w:tr w14:paraId="07A854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70" w:type="pct"/>
            <w:tcBorders>
              <w:tl2br w:val="nil"/>
              <w:tr2bl w:val="nil"/>
            </w:tcBorders>
            <w:shd w:val="clear" w:color="auto" w:fill="auto"/>
            <w:noWrap/>
            <w:tcMar>
              <w:top w:w="15" w:type="dxa"/>
              <w:left w:w="15" w:type="dxa"/>
              <w:right w:w="15" w:type="dxa"/>
            </w:tcMar>
            <w:vAlign w:val="center"/>
          </w:tcPr>
          <w:p w14:paraId="052FA0A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32</w:t>
            </w:r>
          </w:p>
        </w:tc>
        <w:tc>
          <w:tcPr>
            <w:tcW w:w="1419" w:type="pct"/>
            <w:tcBorders>
              <w:tl2br w:val="nil"/>
              <w:tr2bl w:val="nil"/>
            </w:tcBorders>
            <w:shd w:val="clear" w:color="auto" w:fill="auto"/>
            <w:tcMar>
              <w:top w:w="15" w:type="dxa"/>
              <w:left w:w="15" w:type="dxa"/>
              <w:right w:w="15" w:type="dxa"/>
            </w:tcMar>
            <w:vAlign w:val="center"/>
          </w:tcPr>
          <w:p w14:paraId="69433602">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甲苯</w:t>
            </w:r>
          </w:p>
        </w:tc>
        <w:tc>
          <w:tcPr>
            <w:tcW w:w="504" w:type="pct"/>
            <w:tcBorders>
              <w:tl2br w:val="nil"/>
              <w:tr2bl w:val="nil"/>
            </w:tcBorders>
            <w:shd w:val="clear" w:color="auto" w:fill="auto"/>
            <w:noWrap/>
            <w:tcMar>
              <w:top w:w="15" w:type="dxa"/>
              <w:left w:w="15" w:type="dxa"/>
              <w:right w:w="15" w:type="dxa"/>
            </w:tcMar>
            <w:vAlign w:val="center"/>
          </w:tcPr>
          <w:p w14:paraId="42499FF1">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μg/L</w:t>
            </w:r>
          </w:p>
        </w:tc>
        <w:tc>
          <w:tcPr>
            <w:tcW w:w="609" w:type="pct"/>
            <w:tcBorders>
              <w:tl2br w:val="nil"/>
              <w:tr2bl w:val="nil"/>
            </w:tcBorders>
            <w:shd w:val="clear" w:color="auto" w:fill="auto"/>
            <w:noWrap/>
            <w:tcMar>
              <w:top w:w="15" w:type="dxa"/>
              <w:left w:w="15" w:type="dxa"/>
              <w:right w:w="15" w:type="dxa"/>
            </w:tcMar>
            <w:vAlign w:val="center"/>
          </w:tcPr>
          <w:p w14:paraId="5BF84A67">
            <w:pPr>
              <w:widowControl/>
              <w:spacing w:line="240" w:lineRule="auto"/>
              <w:jc w:val="center"/>
              <w:textAlignment w:val="top"/>
              <w:rPr>
                <w:rFonts w:hint="default" w:ascii="Times New Roman" w:hAnsi="Times New Roman" w:cs="Times New Roman"/>
                <w:color w:val="auto"/>
                <w:kern w:val="0"/>
                <w:sz w:val="22"/>
                <w:szCs w:val="22"/>
                <w:highlight w:val="none"/>
                <w:lang w:val="en-US" w:eastAsia="zh-CN"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2"/>
                <w:szCs w:val="22"/>
                <w:highlight w:val="none"/>
                <w:lang w:val="en-US" w:eastAsia="zh-CN" w:bidi="ar"/>
              </w:rPr>
              <w:t>700</w:t>
            </w:r>
          </w:p>
        </w:tc>
        <w:tc>
          <w:tcPr>
            <w:tcW w:w="770" w:type="pct"/>
            <w:tcBorders>
              <w:tl2br w:val="nil"/>
              <w:tr2bl w:val="nil"/>
            </w:tcBorders>
            <w:shd w:val="clear" w:color="auto" w:fill="auto"/>
            <w:noWrap/>
            <w:tcMar>
              <w:top w:w="15" w:type="dxa"/>
              <w:left w:w="15" w:type="dxa"/>
              <w:right w:w="15" w:type="dxa"/>
            </w:tcMar>
            <w:vAlign w:val="center"/>
          </w:tcPr>
          <w:p w14:paraId="3AA14DD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≤1400</w:t>
            </w:r>
          </w:p>
        </w:tc>
        <w:tc>
          <w:tcPr>
            <w:tcW w:w="1125" w:type="pct"/>
            <w:vMerge w:val="continue"/>
            <w:tcBorders>
              <w:tl2br w:val="nil"/>
              <w:tr2bl w:val="nil"/>
            </w:tcBorders>
            <w:shd w:val="clear" w:color="auto" w:fill="auto"/>
            <w:noWrap/>
            <w:tcMar>
              <w:top w:w="15" w:type="dxa"/>
              <w:left w:w="15" w:type="dxa"/>
              <w:right w:w="15" w:type="dxa"/>
            </w:tcMar>
            <w:vAlign w:val="center"/>
          </w:tcPr>
          <w:p w14:paraId="1CE8E880">
            <w:pPr>
              <w:spacing w:line="240" w:lineRule="auto"/>
              <w:jc w:val="center"/>
              <w:rPr>
                <w:rFonts w:hint="default" w:ascii="Times New Roman" w:hAnsi="Times New Roman" w:cs="Times New Roman"/>
                <w:color w:val="auto"/>
                <w:sz w:val="21"/>
                <w:szCs w:val="21"/>
                <w:highlight w:val="none"/>
              </w:rPr>
            </w:pPr>
          </w:p>
        </w:tc>
      </w:tr>
    </w:tbl>
    <w:p w14:paraId="7DF2BCB3">
      <w:pPr>
        <w:pStyle w:val="4"/>
        <w:tabs>
          <w:tab w:val="clear" w:pos="425"/>
        </w:tabs>
        <w:rPr>
          <w:rFonts w:hint="default" w:ascii="Times New Roman" w:hAnsi="Times New Roman" w:cs="Times New Roman"/>
          <w:color w:val="auto"/>
          <w:highlight w:val="none"/>
        </w:rPr>
      </w:pPr>
      <w:bookmarkStart w:id="38" w:name="_Toc23394"/>
      <w:bookmarkStart w:id="39" w:name="_Toc55399882"/>
      <w:r>
        <w:rPr>
          <w:rFonts w:hint="default" w:ascii="Times New Roman" w:hAnsi="Times New Roman" w:cs="Times New Roman"/>
          <w:color w:val="auto"/>
          <w:highlight w:val="none"/>
        </w:rPr>
        <w:t>结果分析方法</w:t>
      </w:r>
      <w:bookmarkEnd w:id="38"/>
    </w:p>
    <w:p w14:paraId="49903BD5">
      <w:pPr>
        <w:pStyle w:val="5"/>
        <w:tabs>
          <w:tab w:val="left" w:pos="425"/>
        </w:tabs>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监测结果对标分析</w:t>
      </w:r>
    </w:p>
    <w:p w14:paraId="608973A9">
      <w:pPr>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土壤检测结果根据表5-1-1中各点位对应的用地类型及参考标准进行评估，采用逐个比对法进行分析：</w:t>
      </w:r>
    </w:p>
    <w:p w14:paraId="59D71F88">
      <w:pPr>
        <w:pStyle w:val="30"/>
        <w:numPr>
          <w:ilvl w:val="0"/>
          <w:numId w:val="12"/>
        </w:numPr>
        <w:spacing w:after="0"/>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当样品监测值低于或等于参考标准值时，则认为达标；</w:t>
      </w:r>
    </w:p>
    <w:p w14:paraId="7FB865CF">
      <w:pPr>
        <w:pStyle w:val="30"/>
        <w:numPr>
          <w:ilvl w:val="0"/>
          <w:numId w:val="12"/>
        </w:numPr>
        <w:spacing w:after="0"/>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当样品监测值高于参考标准值时，则认为不达标。对于</w:t>
      </w:r>
      <w:r>
        <w:rPr>
          <w:rFonts w:hint="default" w:ascii="Times New Roman" w:hAnsi="Times New Roman" w:cs="Times New Roman"/>
          <w:color w:val="auto"/>
          <w:szCs w:val="24"/>
          <w:highlight w:val="none"/>
        </w:rPr>
        <w:t>超标的污染物统计其超标倍数及超标率。超标倍数及超标率公式如下：</w:t>
      </w:r>
    </w:p>
    <w:p w14:paraId="606C5FBC">
      <w:pPr>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①土壤污染超标倍数=（土壤某项污染检测值-土壤环境质量标准）/土壤环境质量标准；</w:t>
      </w:r>
    </w:p>
    <w:p w14:paraId="3E00908E">
      <w:pPr>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②超标率=（土壤样品超标总数/土壤调查检测样品总数）×100%。</w:t>
      </w:r>
    </w:p>
    <w:p w14:paraId="06EB5A34">
      <w:pPr>
        <w:pStyle w:val="5"/>
        <w:tabs>
          <w:tab w:val="left" w:pos="425"/>
        </w:tabs>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土壤环境质量分析</w:t>
      </w:r>
    </w:p>
    <w:p w14:paraId="62181F6E">
      <w:pPr>
        <w:pStyle w:val="6"/>
        <w:numPr>
          <w:ilvl w:val="0"/>
          <w:numId w:val="0"/>
        </w:numPr>
        <w:spacing w:after="0"/>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5.2.2.1 污染指数评价</w:t>
      </w:r>
    </w:p>
    <w:p w14:paraId="57F9EAF5">
      <w:pPr>
        <w:pStyle w:val="2"/>
        <w:spacing w:after="0"/>
        <w:ind w:firstLine="42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土壤环境质量评价一般以单项污染指数为主，指数小污染轻，指数大污染则重。根据</w:t>
      </w:r>
      <w:r>
        <w:rPr>
          <w:rFonts w:hint="default" w:ascii="Times New Roman" w:hAnsi="Times New Roman" w:cs="Times New Roman"/>
          <w:color w:val="auto"/>
          <w:kern w:val="0"/>
          <w:highlight w:val="none"/>
        </w:rPr>
        <w:t>《全国土壤污染状况评价技术规定》</w:t>
      </w:r>
      <w:r>
        <w:rPr>
          <w:rFonts w:hint="default" w:ascii="Times New Roman" w:hAnsi="Times New Roman" w:cs="Times New Roman"/>
          <w:color w:val="auto"/>
          <w:highlight w:val="none"/>
          <w:shd w:val="clear" w:color="auto" w:fill="FFFFFF"/>
        </w:rPr>
        <w:t>（环发[2008]39号），</w:t>
      </w:r>
      <w:r>
        <w:rPr>
          <w:rFonts w:hint="default" w:ascii="Times New Roman" w:hAnsi="Times New Roman" w:cs="Times New Roman"/>
          <w:color w:val="auto"/>
          <w:highlight w:val="none"/>
        </w:rPr>
        <w:t>单因子污染指数的计算公式可表示为：</w:t>
      </w:r>
      <w:r>
        <w:rPr>
          <w:rFonts w:hint="default" w:ascii="Times New Roman" w:hAnsi="Times New Roman" w:cs="Times New Roman"/>
          <w:color w:val="auto"/>
          <w:highlight w:val="none"/>
        </w:rPr>
        <w:drawing>
          <wp:inline distT="0" distB="0" distL="114300" distR="114300">
            <wp:extent cx="552450" cy="390525"/>
            <wp:effectExtent l="0" t="0" r="0" b="889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37"/>
                    <a:stretch>
                      <a:fillRect/>
                    </a:stretch>
                  </pic:blipFill>
                  <pic:spPr>
                    <a:xfrm>
                      <a:off x="0" y="0"/>
                      <a:ext cx="552450" cy="390525"/>
                    </a:xfrm>
                    <a:prstGeom prst="rect">
                      <a:avLst/>
                    </a:prstGeom>
                    <a:noFill/>
                    <a:ln>
                      <a:noFill/>
                    </a:ln>
                  </pic:spPr>
                </pic:pic>
              </a:graphicData>
            </a:graphic>
          </wp:inline>
        </w:drawing>
      </w:r>
    </w:p>
    <w:p w14:paraId="70143A9E">
      <w:pPr>
        <w:pStyle w:val="2"/>
        <w:numPr>
          <w:ilvl w:val="255"/>
          <w:numId w:val="0"/>
        </w:numPr>
        <w:spacing w:after="0"/>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式中：</w:t>
      </w:r>
    </w:p>
    <w:p w14:paraId="7FF8D65E">
      <w:pPr>
        <w:pStyle w:val="2"/>
        <w:numPr>
          <w:ilvl w:val="255"/>
          <w:numId w:val="0"/>
        </w:numPr>
        <w:spacing w:after="0"/>
        <w:ind w:firstLine="42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P</w:t>
      </w:r>
      <w:r>
        <w:rPr>
          <w:rFonts w:hint="default" w:ascii="Times New Roman" w:hAnsi="Times New Roman" w:cs="Times New Roman"/>
          <w:color w:val="auto"/>
          <w:highlight w:val="none"/>
          <w:vertAlign w:val="subscript"/>
        </w:rPr>
        <w:t>i</w:t>
      </w:r>
      <w:r>
        <w:rPr>
          <w:rFonts w:hint="default" w:ascii="Times New Roman" w:hAnsi="Times New Roman" w:cs="Times New Roman"/>
          <w:color w:val="auto"/>
          <w:highlight w:val="none"/>
          <w:vertAlign w:val="baseline"/>
          <w:lang w:eastAsia="zh-CN"/>
        </w:rPr>
        <w:t>：</w:t>
      </w:r>
      <w:r>
        <w:rPr>
          <w:rFonts w:hint="default" w:ascii="Times New Roman" w:hAnsi="Times New Roman" w:cs="Times New Roman"/>
          <w:color w:val="auto"/>
          <w:highlight w:val="none"/>
        </w:rPr>
        <w:t>某评价因子的单因子污染指数，无量纲；</w:t>
      </w:r>
    </w:p>
    <w:p w14:paraId="74CD5B2D">
      <w:pPr>
        <w:pStyle w:val="2"/>
        <w:numPr>
          <w:ilvl w:val="255"/>
          <w:numId w:val="0"/>
        </w:numPr>
        <w:spacing w:after="0"/>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C</w:t>
      </w:r>
      <w:r>
        <w:rPr>
          <w:rFonts w:hint="default" w:ascii="Times New Roman" w:hAnsi="Times New Roman" w:cs="Times New Roman"/>
          <w:color w:val="auto"/>
          <w:highlight w:val="none"/>
          <w:vertAlign w:val="subscript"/>
        </w:rPr>
        <w:t>i</w:t>
      </w:r>
      <w:r>
        <w:rPr>
          <w:rFonts w:hint="default" w:ascii="Times New Roman" w:hAnsi="Times New Roman" w:cs="Times New Roman"/>
          <w:color w:val="auto"/>
          <w:highlight w:val="none"/>
          <w:vertAlign w:val="baseline"/>
          <w:lang w:eastAsia="zh-CN"/>
        </w:rPr>
        <w:t>：</w:t>
      </w:r>
      <w:r>
        <w:rPr>
          <w:rFonts w:hint="default" w:ascii="Times New Roman" w:hAnsi="Times New Roman" w:cs="Times New Roman"/>
          <w:color w:val="auto"/>
          <w:highlight w:val="none"/>
        </w:rPr>
        <w:t>某评价因子的实测值，单位由实测值给出；</w:t>
      </w:r>
    </w:p>
    <w:p w14:paraId="06A0ED80">
      <w:pPr>
        <w:pStyle w:val="2"/>
        <w:numPr>
          <w:ilvl w:val="255"/>
          <w:numId w:val="0"/>
        </w:numPr>
        <w:spacing w:after="0"/>
        <w:ind w:firstLine="42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C</w:t>
      </w:r>
      <w:r>
        <w:rPr>
          <w:rFonts w:hint="default" w:ascii="Times New Roman" w:hAnsi="Times New Roman" w:cs="Times New Roman"/>
          <w:color w:val="auto"/>
          <w:highlight w:val="none"/>
          <w:vertAlign w:val="subscript"/>
        </w:rPr>
        <w:t>0</w:t>
      </w:r>
      <w:r>
        <w:rPr>
          <w:rFonts w:hint="default" w:ascii="Times New Roman" w:hAnsi="Times New Roman" w:cs="Times New Roman"/>
          <w:color w:val="auto"/>
          <w:highlight w:val="none"/>
          <w:vertAlign w:val="baseline"/>
          <w:lang w:eastAsia="zh-CN"/>
        </w:rPr>
        <w:t>：</w:t>
      </w:r>
      <w:r>
        <w:rPr>
          <w:rFonts w:hint="default" w:ascii="Times New Roman" w:hAnsi="Times New Roman" w:cs="Times New Roman"/>
          <w:color w:val="auto"/>
          <w:highlight w:val="none"/>
        </w:rPr>
        <w:t>某评价因子的筛选值，单位同实测值</w:t>
      </w:r>
      <w:r>
        <w:rPr>
          <w:rFonts w:hint="default" w:ascii="Times New Roman" w:hAnsi="Times New Roman" w:cs="Times New Roman"/>
          <w:color w:val="auto"/>
          <w:highlight w:val="none"/>
          <w:lang w:eastAsia="zh-CN"/>
        </w:rPr>
        <w:t>。</w:t>
      </w:r>
    </w:p>
    <w:p w14:paraId="42881B2A">
      <w:pPr>
        <w:pStyle w:val="2"/>
        <w:numPr>
          <w:ilvl w:val="255"/>
          <w:numId w:val="0"/>
        </w:numPr>
        <w:spacing w:after="0"/>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单因子污染指数的评价标准见表5-2-1。</w:t>
      </w:r>
    </w:p>
    <w:p w14:paraId="2C8A3C59">
      <w:pPr>
        <w:pStyle w:val="2"/>
        <w:keepNext w:val="0"/>
        <w:keepLines w:val="0"/>
        <w:pageBreakBefore w:val="0"/>
        <w:widowControl w:val="0"/>
        <w:kinsoku/>
        <w:wordWrap/>
        <w:overflowPunct/>
        <w:topLinePunct w:val="0"/>
        <w:autoSpaceDE/>
        <w:autoSpaceDN/>
        <w:bidi w:val="0"/>
        <w:adjustRightInd/>
        <w:snapToGrid/>
        <w:spacing w:before="166" w:beforeLines="50" w:after="0" w:line="240" w:lineRule="auto"/>
        <w:jc w:val="center"/>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表5-2-1 土壤单因子污染指数评价标准</w:t>
      </w:r>
    </w:p>
    <w:tbl>
      <w:tblPr>
        <w:tblStyle w:val="21"/>
        <w:tblW w:w="961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203"/>
        <w:gridCol w:w="3204"/>
        <w:gridCol w:w="3204"/>
      </w:tblGrid>
      <w:tr w14:paraId="391244F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bottom w:val="single" w:color="000000" w:sz="12" w:space="0"/>
            </w:tcBorders>
            <w:shd w:val="clear" w:color="auto" w:fill="auto"/>
            <w:tcMar>
              <w:top w:w="15" w:type="dxa"/>
              <w:left w:w="15" w:type="dxa"/>
              <w:right w:w="15" w:type="dxa"/>
            </w:tcMar>
            <w:vAlign w:val="center"/>
          </w:tcPr>
          <w:p w14:paraId="7230004C">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等级</w:t>
            </w:r>
          </w:p>
        </w:tc>
        <w:tc>
          <w:tcPr>
            <w:tcW w:w="3204" w:type="dxa"/>
            <w:tcBorders>
              <w:bottom w:val="single" w:color="000000" w:sz="12" w:space="0"/>
            </w:tcBorders>
            <w:shd w:val="clear" w:color="auto" w:fill="auto"/>
            <w:tcMar>
              <w:top w:w="15" w:type="dxa"/>
              <w:left w:w="15" w:type="dxa"/>
              <w:right w:w="15" w:type="dxa"/>
            </w:tcMar>
            <w:vAlign w:val="center"/>
          </w:tcPr>
          <w:p w14:paraId="2ACCFEAF">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单因子污染指数</w:t>
            </w:r>
          </w:p>
        </w:tc>
        <w:tc>
          <w:tcPr>
            <w:tcW w:w="3204" w:type="dxa"/>
            <w:tcBorders>
              <w:bottom w:val="single" w:color="000000" w:sz="12" w:space="0"/>
            </w:tcBorders>
            <w:shd w:val="clear" w:color="auto" w:fill="auto"/>
            <w:tcMar>
              <w:top w:w="15" w:type="dxa"/>
              <w:left w:w="15" w:type="dxa"/>
              <w:right w:w="15" w:type="dxa"/>
            </w:tcMar>
            <w:vAlign w:val="center"/>
          </w:tcPr>
          <w:p w14:paraId="20AF40A5">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污染程度</w:t>
            </w:r>
          </w:p>
        </w:tc>
      </w:tr>
      <w:tr w14:paraId="7B62F5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top w:val="single" w:color="000000" w:sz="12" w:space="0"/>
              <w:tl2br w:val="nil"/>
              <w:tr2bl w:val="nil"/>
            </w:tcBorders>
            <w:shd w:val="clear" w:color="auto" w:fill="auto"/>
            <w:tcMar>
              <w:top w:w="15" w:type="dxa"/>
              <w:left w:w="15" w:type="dxa"/>
              <w:right w:w="15" w:type="dxa"/>
            </w:tcMar>
            <w:vAlign w:val="center"/>
          </w:tcPr>
          <w:p w14:paraId="5DDD1ED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Ⅰ</w:t>
            </w:r>
          </w:p>
        </w:tc>
        <w:tc>
          <w:tcPr>
            <w:tcW w:w="3204" w:type="dxa"/>
            <w:tcBorders>
              <w:top w:val="single" w:color="000000" w:sz="12" w:space="0"/>
              <w:tl2br w:val="nil"/>
              <w:tr2bl w:val="nil"/>
            </w:tcBorders>
            <w:shd w:val="clear" w:color="auto" w:fill="auto"/>
            <w:tcMar>
              <w:top w:w="15" w:type="dxa"/>
              <w:left w:w="15" w:type="dxa"/>
              <w:right w:w="15" w:type="dxa"/>
            </w:tcMar>
            <w:vAlign w:val="center"/>
          </w:tcPr>
          <w:p w14:paraId="4F67791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P</w:t>
            </w:r>
            <w:r>
              <w:rPr>
                <w:rFonts w:hint="default" w:ascii="Times New Roman" w:hAnsi="Times New Roman" w:cs="Times New Roman"/>
                <w:color w:val="auto"/>
                <w:kern w:val="0"/>
                <w:sz w:val="21"/>
                <w:szCs w:val="21"/>
                <w:highlight w:val="none"/>
                <w:vertAlign w:val="subscript"/>
                <w:lang w:bidi="ar"/>
              </w:rPr>
              <w:t>i</w:t>
            </w:r>
            <w:r>
              <w:rPr>
                <w:rFonts w:hint="default" w:ascii="Times New Roman" w:hAnsi="Times New Roman" w:cs="Times New Roman"/>
                <w:color w:val="auto"/>
                <w:kern w:val="0"/>
                <w:sz w:val="21"/>
                <w:szCs w:val="21"/>
                <w:highlight w:val="none"/>
                <w:lang w:bidi="ar"/>
              </w:rPr>
              <w:t>＜1</w:t>
            </w:r>
          </w:p>
        </w:tc>
        <w:tc>
          <w:tcPr>
            <w:tcW w:w="3204" w:type="dxa"/>
            <w:tcBorders>
              <w:top w:val="single" w:color="000000" w:sz="12" w:space="0"/>
              <w:tl2br w:val="nil"/>
              <w:tr2bl w:val="nil"/>
            </w:tcBorders>
            <w:shd w:val="clear" w:color="auto" w:fill="auto"/>
            <w:tcMar>
              <w:top w:w="15" w:type="dxa"/>
              <w:left w:w="15" w:type="dxa"/>
              <w:right w:w="15" w:type="dxa"/>
            </w:tcMar>
            <w:vAlign w:val="center"/>
          </w:tcPr>
          <w:p w14:paraId="5EE54CE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无污染</w:t>
            </w:r>
          </w:p>
        </w:tc>
      </w:tr>
      <w:tr w14:paraId="6E34BD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tl2br w:val="nil"/>
              <w:tr2bl w:val="nil"/>
            </w:tcBorders>
            <w:shd w:val="clear" w:color="auto" w:fill="auto"/>
            <w:tcMar>
              <w:top w:w="15" w:type="dxa"/>
              <w:left w:w="15" w:type="dxa"/>
              <w:right w:w="15" w:type="dxa"/>
            </w:tcMar>
            <w:vAlign w:val="center"/>
          </w:tcPr>
          <w:p w14:paraId="0183985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Ⅱ</w:t>
            </w:r>
          </w:p>
        </w:tc>
        <w:tc>
          <w:tcPr>
            <w:tcW w:w="3204" w:type="dxa"/>
            <w:tcBorders>
              <w:tl2br w:val="nil"/>
              <w:tr2bl w:val="nil"/>
            </w:tcBorders>
            <w:shd w:val="clear" w:color="auto" w:fill="auto"/>
            <w:tcMar>
              <w:top w:w="15" w:type="dxa"/>
              <w:left w:w="15" w:type="dxa"/>
              <w:right w:w="15" w:type="dxa"/>
            </w:tcMar>
            <w:vAlign w:val="center"/>
          </w:tcPr>
          <w:p w14:paraId="616C1DB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1＜P</w:t>
            </w:r>
            <w:r>
              <w:rPr>
                <w:rFonts w:hint="default" w:ascii="Times New Roman" w:hAnsi="Times New Roman" w:cs="Times New Roman"/>
                <w:color w:val="auto"/>
                <w:kern w:val="0"/>
                <w:sz w:val="21"/>
                <w:szCs w:val="21"/>
                <w:highlight w:val="none"/>
                <w:vertAlign w:val="subscript"/>
                <w:lang w:bidi="ar"/>
              </w:rPr>
              <w:t>i</w:t>
            </w:r>
            <w:r>
              <w:rPr>
                <w:rFonts w:hint="default" w:ascii="Times New Roman" w:hAnsi="Times New Roman" w:cs="Times New Roman"/>
                <w:color w:val="auto"/>
                <w:kern w:val="0"/>
                <w:sz w:val="21"/>
                <w:szCs w:val="21"/>
                <w:highlight w:val="none"/>
                <w:lang w:bidi="ar"/>
              </w:rPr>
              <w:t>≤2</w:t>
            </w:r>
          </w:p>
        </w:tc>
        <w:tc>
          <w:tcPr>
            <w:tcW w:w="3204" w:type="dxa"/>
            <w:tcBorders>
              <w:tl2br w:val="nil"/>
              <w:tr2bl w:val="nil"/>
            </w:tcBorders>
            <w:shd w:val="clear" w:color="auto" w:fill="auto"/>
            <w:tcMar>
              <w:top w:w="15" w:type="dxa"/>
              <w:left w:w="15" w:type="dxa"/>
              <w:right w:w="15" w:type="dxa"/>
            </w:tcMar>
            <w:vAlign w:val="center"/>
          </w:tcPr>
          <w:p w14:paraId="06E0434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轻微污染</w:t>
            </w:r>
          </w:p>
        </w:tc>
      </w:tr>
      <w:tr w14:paraId="58675A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tl2br w:val="nil"/>
              <w:tr2bl w:val="nil"/>
            </w:tcBorders>
            <w:shd w:val="clear" w:color="auto" w:fill="auto"/>
            <w:tcMar>
              <w:top w:w="15" w:type="dxa"/>
              <w:left w:w="15" w:type="dxa"/>
              <w:right w:w="15" w:type="dxa"/>
            </w:tcMar>
            <w:vAlign w:val="center"/>
          </w:tcPr>
          <w:p w14:paraId="535FEEA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Ⅲ</w:t>
            </w:r>
          </w:p>
        </w:tc>
        <w:tc>
          <w:tcPr>
            <w:tcW w:w="3204" w:type="dxa"/>
            <w:tcBorders>
              <w:tl2br w:val="nil"/>
              <w:tr2bl w:val="nil"/>
            </w:tcBorders>
            <w:shd w:val="clear" w:color="auto" w:fill="auto"/>
            <w:tcMar>
              <w:top w:w="15" w:type="dxa"/>
              <w:left w:w="15" w:type="dxa"/>
              <w:right w:w="15" w:type="dxa"/>
            </w:tcMar>
            <w:vAlign w:val="center"/>
          </w:tcPr>
          <w:p w14:paraId="7020469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2＜P</w:t>
            </w:r>
            <w:r>
              <w:rPr>
                <w:rFonts w:hint="default" w:ascii="Times New Roman" w:hAnsi="Times New Roman" w:cs="Times New Roman"/>
                <w:color w:val="auto"/>
                <w:kern w:val="0"/>
                <w:sz w:val="21"/>
                <w:szCs w:val="21"/>
                <w:highlight w:val="none"/>
                <w:vertAlign w:val="subscript"/>
                <w:lang w:bidi="ar"/>
              </w:rPr>
              <w:t>i</w:t>
            </w:r>
            <w:r>
              <w:rPr>
                <w:rFonts w:hint="default" w:ascii="Times New Roman" w:hAnsi="Times New Roman" w:cs="Times New Roman"/>
                <w:color w:val="auto"/>
                <w:kern w:val="0"/>
                <w:sz w:val="21"/>
                <w:szCs w:val="21"/>
                <w:highlight w:val="none"/>
                <w:lang w:bidi="ar"/>
              </w:rPr>
              <w:t>≤3</w:t>
            </w:r>
          </w:p>
        </w:tc>
        <w:tc>
          <w:tcPr>
            <w:tcW w:w="3204" w:type="dxa"/>
            <w:tcBorders>
              <w:tl2br w:val="nil"/>
              <w:tr2bl w:val="nil"/>
            </w:tcBorders>
            <w:shd w:val="clear" w:color="auto" w:fill="auto"/>
            <w:tcMar>
              <w:top w:w="15" w:type="dxa"/>
              <w:left w:w="15" w:type="dxa"/>
              <w:right w:w="15" w:type="dxa"/>
            </w:tcMar>
            <w:vAlign w:val="center"/>
          </w:tcPr>
          <w:p w14:paraId="44AD3D7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轻度污染</w:t>
            </w:r>
          </w:p>
        </w:tc>
      </w:tr>
      <w:tr w14:paraId="7216FA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3203" w:type="dxa"/>
            <w:tcBorders>
              <w:tl2br w:val="nil"/>
              <w:tr2bl w:val="nil"/>
            </w:tcBorders>
            <w:shd w:val="clear" w:color="auto" w:fill="auto"/>
            <w:tcMar>
              <w:top w:w="15" w:type="dxa"/>
              <w:left w:w="15" w:type="dxa"/>
              <w:right w:w="15" w:type="dxa"/>
            </w:tcMar>
            <w:vAlign w:val="center"/>
          </w:tcPr>
          <w:p w14:paraId="09EFC19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Ⅳ</w:t>
            </w:r>
          </w:p>
        </w:tc>
        <w:tc>
          <w:tcPr>
            <w:tcW w:w="3204" w:type="dxa"/>
            <w:tcBorders>
              <w:tl2br w:val="nil"/>
              <w:tr2bl w:val="nil"/>
            </w:tcBorders>
            <w:shd w:val="clear" w:color="auto" w:fill="auto"/>
            <w:tcMar>
              <w:top w:w="15" w:type="dxa"/>
              <w:left w:w="15" w:type="dxa"/>
              <w:right w:w="15" w:type="dxa"/>
            </w:tcMar>
            <w:vAlign w:val="center"/>
          </w:tcPr>
          <w:p w14:paraId="13C91E3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3＜P</w:t>
            </w:r>
            <w:r>
              <w:rPr>
                <w:rFonts w:hint="default" w:ascii="Times New Roman" w:hAnsi="Times New Roman" w:cs="Times New Roman"/>
                <w:color w:val="auto"/>
                <w:kern w:val="0"/>
                <w:sz w:val="21"/>
                <w:szCs w:val="21"/>
                <w:highlight w:val="none"/>
                <w:vertAlign w:val="subscript"/>
                <w:lang w:bidi="ar"/>
              </w:rPr>
              <w:t>i</w:t>
            </w:r>
            <w:r>
              <w:rPr>
                <w:rFonts w:hint="default" w:ascii="Times New Roman" w:hAnsi="Times New Roman" w:cs="Times New Roman"/>
                <w:color w:val="auto"/>
                <w:kern w:val="0"/>
                <w:sz w:val="21"/>
                <w:szCs w:val="21"/>
                <w:highlight w:val="none"/>
                <w:lang w:bidi="ar"/>
              </w:rPr>
              <w:t>≤5</w:t>
            </w:r>
          </w:p>
        </w:tc>
        <w:tc>
          <w:tcPr>
            <w:tcW w:w="3204" w:type="dxa"/>
            <w:tcBorders>
              <w:tl2br w:val="nil"/>
              <w:tr2bl w:val="nil"/>
            </w:tcBorders>
            <w:shd w:val="clear" w:color="auto" w:fill="auto"/>
            <w:tcMar>
              <w:top w:w="15" w:type="dxa"/>
              <w:left w:w="15" w:type="dxa"/>
              <w:right w:w="15" w:type="dxa"/>
            </w:tcMar>
            <w:vAlign w:val="center"/>
          </w:tcPr>
          <w:p w14:paraId="59F9425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中度污染</w:t>
            </w:r>
          </w:p>
        </w:tc>
      </w:tr>
      <w:tr w14:paraId="6DA498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tl2br w:val="nil"/>
              <w:tr2bl w:val="nil"/>
            </w:tcBorders>
            <w:shd w:val="clear" w:color="auto" w:fill="auto"/>
            <w:tcMar>
              <w:top w:w="15" w:type="dxa"/>
              <w:left w:w="15" w:type="dxa"/>
              <w:right w:w="15" w:type="dxa"/>
            </w:tcMar>
            <w:vAlign w:val="center"/>
          </w:tcPr>
          <w:p w14:paraId="6FF8E99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fldChar w:fldCharType="begin"/>
            </w:r>
            <w:r>
              <w:rPr>
                <w:rFonts w:hint="default" w:ascii="Times New Roman" w:hAnsi="Times New Roman" w:cs="Times New Roman"/>
                <w:color w:val="auto"/>
                <w:sz w:val="21"/>
                <w:szCs w:val="21"/>
                <w:highlight w:val="none"/>
              </w:rPr>
              <w:instrText xml:space="preserve"> = 5 \* ROMAN \* MERGEFORMAT </w:instrText>
            </w:r>
            <w:r>
              <w:rPr>
                <w:rFonts w:hint="default" w:ascii="Times New Roman" w:hAnsi="Times New Roman" w:cs="Times New Roman"/>
                <w:color w:val="auto"/>
                <w:sz w:val="21"/>
                <w:szCs w:val="21"/>
                <w:highlight w:val="none"/>
              </w:rPr>
              <w:fldChar w:fldCharType="separate"/>
            </w:r>
            <w:r>
              <w:rPr>
                <w:rFonts w:hint="default" w:ascii="Times New Roman" w:hAnsi="Times New Roman" w:cs="Times New Roman"/>
                <w:color w:val="auto"/>
                <w:sz w:val="21"/>
                <w:szCs w:val="21"/>
                <w:highlight w:val="none"/>
              </w:rPr>
              <w:t>V</w:t>
            </w:r>
            <w:r>
              <w:rPr>
                <w:rFonts w:hint="default" w:ascii="Times New Roman" w:hAnsi="Times New Roman" w:cs="Times New Roman"/>
                <w:color w:val="auto"/>
                <w:sz w:val="21"/>
                <w:szCs w:val="21"/>
                <w:highlight w:val="none"/>
              </w:rPr>
              <w:fldChar w:fldCharType="end"/>
            </w:r>
          </w:p>
        </w:tc>
        <w:tc>
          <w:tcPr>
            <w:tcW w:w="3204" w:type="dxa"/>
            <w:tcBorders>
              <w:tl2br w:val="nil"/>
              <w:tr2bl w:val="nil"/>
            </w:tcBorders>
            <w:shd w:val="clear" w:color="auto" w:fill="auto"/>
            <w:tcMar>
              <w:top w:w="15" w:type="dxa"/>
              <w:left w:w="15" w:type="dxa"/>
              <w:right w:w="15" w:type="dxa"/>
            </w:tcMar>
            <w:vAlign w:val="center"/>
          </w:tcPr>
          <w:p w14:paraId="3573CF5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P</w:t>
            </w:r>
            <w:r>
              <w:rPr>
                <w:rFonts w:hint="default" w:ascii="Times New Roman" w:hAnsi="Times New Roman" w:cs="Times New Roman"/>
                <w:color w:val="auto"/>
                <w:kern w:val="0"/>
                <w:sz w:val="21"/>
                <w:szCs w:val="21"/>
                <w:highlight w:val="none"/>
                <w:vertAlign w:val="subscript"/>
                <w:lang w:bidi="ar"/>
              </w:rPr>
              <w:t>i</w:t>
            </w:r>
            <w:r>
              <w:rPr>
                <w:rFonts w:hint="default" w:ascii="Times New Roman" w:hAnsi="Times New Roman" w:cs="Times New Roman"/>
                <w:color w:val="auto"/>
                <w:kern w:val="0"/>
                <w:sz w:val="21"/>
                <w:szCs w:val="21"/>
                <w:highlight w:val="none"/>
                <w:lang w:bidi="ar"/>
              </w:rPr>
              <w:t>＞5</w:t>
            </w:r>
          </w:p>
        </w:tc>
        <w:tc>
          <w:tcPr>
            <w:tcW w:w="3204" w:type="dxa"/>
            <w:tcBorders>
              <w:tl2br w:val="nil"/>
              <w:tr2bl w:val="nil"/>
            </w:tcBorders>
            <w:shd w:val="clear" w:color="auto" w:fill="auto"/>
            <w:tcMar>
              <w:top w:w="15" w:type="dxa"/>
              <w:left w:w="15" w:type="dxa"/>
              <w:right w:w="15" w:type="dxa"/>
            </w:tcMar>
            <w:vAlign w:val="center"/>
          </w:tcPr>
          <w:p w14:paraId="277455B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重度污染</w:t>
            </w:r>
          </w:p>
        </w:tc>
      </w:tr>
    </w:tbl>
    <w:p w14:paraId="5FEB69D7">
      <w:pPr>
        <w:pStyle w:val="6"/>
        <w:numPr>
          <w:ilvl w:val="0"/>
          <w:numId w:val="0"/>
        </w:numPr>
        <w:spacing w:after="0"/>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5.2.2.2内梅罗污染指数评价</w:t>
      </w:r>
    </w:p>
    <w:p w14:paraId="1849A95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内梅罗指数反映了各污染物对土壤的作用，同时突出了高浓度污染物对土壤环境质量的影响，可按内梅罗污染指数，划定污染等级。内梅罗指数计算公式如下：</w:t>
      </w:r>
    </w:p>
    <w:p w14:paraId="690AA5CF">
      <w:pPr>
        <w:ind w:firstLine="420"/>
        <w:rPr>
          <w:rFonts w:hint="default" w:ascii="Times New Roman" w:hAnsi="Times New Roman" w:cs="Times New Roman"/>
          <w:color w:val="auto"/>
          <w:highlight w:val="none"/>
          <w:vertAlign w:val="superscript"/>
        </w:rPr>
      </w:pPr>
      <w:r>
        <w:rPr>
          <w:rFonts w:hint="default" w:ascii="Times New Roman" w:hAnsi="Times New Roman" w:cs="Times New Roman"/>
          <w:color w:val="auto"/>
          <w:highlight w:val="none"/>
        </w:rPr>
        <w:t>内梅罗污染指数（P</w:t>
      </w:r>
      <w:r>
        <w:rPr>
          <w:rFonts w:hint="default" w:ascii="Times New Roman" w:hAnsi="Times New Roman" w:cs="Times New Roman"/>
          <w:color w:val="auto"/>
          <w:highlight w:val="none"/>
          <w:vertAlign w:val="subscript"/>
        </w:rPr>
        <w:t>N</w:t>
      </w:r>
      <w:r>
        <w:rPr>
          <w:rFonts w:hint="default" w:ascii="Times New Roman" w:hAnsi="Times New Roman" w:cs="Times New Roman"/>
          <w:color w:val="auto"/>
          <w:highlight w:val="none"/>
        </w:rPr>
        <w:t xml:space="preserve">）= ｛［（Pi </w:t>
      </w:r>
      <w:r>
        <w:rPr>
          <w:rFonts w:hint="default" w:ascii="Times New Roman" w:hAnsi="Times New Roman" w:cs="Times New Roman"/>
          <w:color w:val="auto"/>
          <w:highlight w:val="none"/>
          <w:vertAlign w:val="subscript"/>
        </w:rPr>
        <w:t>均</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 xml:space="preserve">）+ （Pi </w:t>
      </w:r>
      <w:r>
        <w:rPr>
          <w:rFonts w:hint="default" w:ascii="Times New Roman" w:hAnsi="Times New Roman" w:cs="Times New Roman"/>
          <w:color w:val="auto"/>
          <w:highlight w:val="none"/>
          <w:vertAlign w:val="subscript"/>
        </w:rPr>
        <w:t>最大</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］/2｝</w:t>
      </w:r>
      <w:r>
        <w:rPr>
          <w:rFonts w:hint="default" w:ascii="Times New Roman" w:hAnsi="Times New Roman" w:cs="Times New Roman"/>
          <w:color w:val="auto"/>
          <w:highlight w:val="none"/>
          <w:vertAlign w:val="superscript"/>
        </w:rPr>
        <w:t>1/2</w:t>
      </w:r>
    </w:p>
    <w:p w14:paraId="0E38CA7A">
      <w:pPr>
        <w:pStyle w:val="2"/>
        <w:spacing w:after="0"/>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式中 Pi </w:t>
      </w:r>
      <w:r>
        <w:rPr>
          <w:rFonts w:hint="default" w:ascii="Times New Roman" w:hAnsi="Times New Roman" w:cs="Times New Roman"/>
          <w:color w:val="auto"/>
          <w:highlight w:val="none"/>
          <w:vertAlign w:val="subscript"/>
        </w:rPr>
        <w:t>均</w:t>
      </w:r>
      <w:r>
        <w:rPr>
          <w:rFonts w:hint="default" w:ascii="Times New Roman" w:hAnsi="Times New Roman" w:cs="Times New Roman"/>
          <w:color w:val="auto"/>
          <w:highlight w:val="none"/>
        </w:rPr>
        <w:t xml:space="preserve">和 Pi </w:t>
      </w:r>
      <w:r>
        <w:rPr>
          <w:rFonts w:hint="default" w:ascii="Times New Roman" w:hAnsi="Times New Roman" w:cs="Times New Roman"/>
          <w:color w:val="auto"/>
          <w:highlight w:val="none"/>
          <w:vertAlign w:val="subscript"/>
        </w:rPr>
        <w:t>最大</w:t>
      </w:r>
      <w:r>
        <w:rPr>
          <w:rFonts w:hint="default" w:ascii="Times New Roman" w:hAnsi="Times New Roman" w:cs="Times New Roman"/>
          <w:color w:val="auto"/>
          <w:highlight w:val="none"/>
        </w:rPr>
        <w:t>分别是平均单项污染指数和最大单项污染指数。</w:t>
      </w:r>
    </w:p>
    <w:p w14:paraId="6613D523">
      <w:pPr>
        <w:pStyle w:val="2"/>
        <w:spacing w:after="0"/>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内梅罗指数土壤污染评价标准见表5-2-2。 </w:t>
      </w:r>
    </w:p>
    <w:p w14:paraId="54539735">
      <w:pPr>
        <w:pStyle w:val="2"/>
        <w:spacing w:before="165" w:beforeLines="50" w:after="0" w:line="240" w:lineRule="auto"/>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表5-2-2 土壤内梅罗污染指数评价标准</w:t>
      </w:r>
    </w:p>
    <w:tbl>
      <w:tblPr>
        <w:tblStyle w:val="21"/>
        <w:tblW w:w="961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203"/>
        <w:gridCol w:w="3204"/>
        <w:gridCol w:w="3204"/>
      </w:tblGrid>
      <w:tr w14:paraId="30F0A7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bottom w:val="single" w:color="000000" w:sz="12" w:space="0"/>
            </w:tcBorders>
            <w:shd w:val="clear" w:color="auto" w:fill="auto"/>
            <w:tcMar>
              <w:top w:w="15" w:type="dxa"/>
              <w:left w:w="15" w:type="dxa"/>
              <w:right w:w="15" w:type="dxa"/>
            </w:tcMar>
            <w:vAlign w:val="center"/>
          </w:tcPr>
          <w:p w14:paraId="1FB2F17F">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等级</w:t>
            </w:r>
          </w:p>
        </w:tc>
        <w:tc>
          <w:tcPr>
            <w:tcW w:w="3204" w:type="dxa"/>
            <w:tcBorders>
              <w:bottom w:val="single" w:color="000000" w:sz="12" w:space="0"/>
            </w:tcBorders>
            <w:shd w:val="clear" w:color="auto" w:fill="auto"/>
            <w:tcMar>
              <w:top w:w="15" w:type="dxa"/>
              <w:left w:w="15" w:type="dxa"/>
              <w:right w:w="15" w:type="dxa"/>
            </w:tcMar>
            <w:vAlign w:val="center"/>
          </w:tcPr>
          <w:p w14:paraId="187DAF18">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内梅罗污染指数</w:t>
            </w:r>
          </w:p>
        </w:tc>
        <w:tc>
          <w:tcPr>
            <w:tcW w:w="3204" w:type="dxa"/>
            <w:tcBorders>
              <w:bottom w:val="single" w:color="000000" w:sz="12" w:space="0"/>
            </w:tcBorders>
            <w:shd w:val="clear" w:color="auto" w:fill="auto"/>
            <w:tcMar>
              <w:top w:w="15" w:type="dxa"/>
              <w:left w:w="15" w:type="dxa"/>
              <w:right w:w="15" w:type="dxa"/>
            </w:tcMar>
            <w:vAlign w:val="center"/>
          </w:tcPr>
          <w:p w14:paraId="54C38D32">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污染等级</w:t>
            </w:r>
          </w:p>
        </w:tc>
      </w:tr>
      <w:tr w14:paraId="4159B8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top w:val="single" w:color="000000" w:sz="12" w:space="0"/>
              <w:tl2br w:val="nil"/>
              <w:tr2bl w:val="nil"/>
            </w:tcBorders>
            <w:shd w:val="clear" w:color="auto" w:fill="auto"/>
            <w:tcMar>
              <w:top w:w="15" w:type="dxa"/>
              <w:left w:w="15" w:type="dxa"/>
              <w:right w:w="15" w:type="dxa"/>
            </w:tcMar>
            <w:vAlign w:val="center"/>
          </w:tcPr>
          <w:p w14:paraId="5727D3D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Ⅰ</w:t>
            </w:r>
          </w:p>
        </w:tc>
        <w:tc>
          <w:tcPr>
            <w:tcW w:w="3204" w:type="dxa"/>
            <w:tcBorders>
              <w:top w:val="single" w:color="000000" w:sz="12" w:space="0"/>
              <w:tl2br w:val="nil"/>
              <w:tr2bl w:val="nil"/>
            </w:tcBorders>
            <w:shd w:val="clear" w:color="auto" w:fill="auto"/>
            <w:tcMar>
              <w:top w:w="15" w:type="dxa"/>
              <w:left w:w="15" w:type="dxa"/>
              <w:right w:w="15" w:type="dxa"/>
            </w:tcMar>
            <w:vAlign w:val="center"/>
          </w:tcPr>
          <w:p w14:paraId="7B8BD4E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P</w:t>
            </w:r>
            <w:r>
              <w:rPr>
                <w:rFonts w:hint="default" w:ascii="Times New Roman" w:hAnsi="Times New Roman" w:cs="Times New Roman"/>
                <w:color w:val="auto"/>
                <w:kern w:val="0"/>
                <w:sz w:val="21"/>
                <w:szCs w:val="21"/>
                <w:highlight w:val="none"/>
                <w:vertAlign w:val="subscript"/>
                <w:lang w:bidi="ar"/>
              </w:rPr>
              <w:t>N</w:t>
            </w:r>
            <w:r>
              <w:rPr>
                <w:rFonts w:hint="default" w:ascii="Times New Roman" w:hAnsi="Times New Roman" w:cs="Times New Roman"/>
                <w:color w:val="auto"/>
                <w:kern w:val="0"/>
                <w:sz w:val="21"/>
                <w:szCs w:val="21"/>
                <w:highlight w:val="none"/>
                <w:lang w:bidi="ar"/>
              </w:rPr>
              <w:t>≤0.7</w:t>
            </w:r>
          </w:p>
        </w:tc>
        <w:tc>
          <w:tcPr>
            <w:tcW w:w="3204" w:type="dxa"/>
            <w:tcBorders>
              <w:top w:val="single" w:color="000000" w:sz="12" w:space="0"/>
              <w:tl2br w:val="nil"/>
              <w:tr2bl w:val="nil"/>
            </w:tcBorders>
            <w:shd w:val="clear" w:color="auto" w:fill="auto"/>
            <w:tcMar>
              <w:top w:w="15" w:type="dxa"/>
              <w:left w:w="15" w:type="dxa"/>
              <w:right w:w="15" w:type="dxa"/>
            </w:tcMar>
            <w:vAlign w:val="center"/>
          </w:tcPr>
          <w:p w14:paraId="5BEB952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清洁（安全）</w:t>
            </w:r>
          </w:p>
        </w:tc>
      </w:tr>
      <w:tr w14:paraId="0B14E1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tl2br w:val="nil"/>
              <w:tr2bl w:val="nil"/>
            </w:tcBorders>
            <w:shd w:val="clear" w:color="auto" w:fill="auto"/>
            <w:tcMar>
              <w:top w:w="15" w:type="dxa"/>
              <w:left w:w="15" w:type="dxa"/>
              <w:right w:w="15" w:type="dxa"/>
            </w:tcMar>
            <w:vAlign w:val="center"/>
          </w:tcPr>
          <w:p w14:paraId="34ED2F9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Ⅱ</w:t>
            </w:r>
          </w:p>
        </w:tc>
        <w:tc>
          <w:tcPr>
            <w:tcW w:w="3204" w:type="dxa"/>
            <w:tcBorders>
              <w:tl2br w:val="nil"/>
              <w:tr2bl w:val="nil"/>
            </w:tcBorders>
            <w:shd w:val="clear" w:color="auto" w:fill="auto"/>
            <w:tcMar>
              <w:top w:w="15" w:type="dxa"/>
              <w:left w:w="15" w:type="dxa"/>
              <w:right w:w="15" w:type="dxa"/>
            </w:tcMar>
            <w:vAlign w:val="center"/>
          </w:tcPr>
          <w:p w14:paraId="40343B6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0.7＜P</w:t>
            </w:r>
            <w:r>
              <w:rPr>
                <w:rFonts w:hint="default" w:ascii="Times New Roman" w:hAnsi="Times New Roman" w:cs="Times New Roman"/>
                <w:color w:val="auto"/>
                <w:kern w:val="0"/>
                <w:sz w:val="21"/>
                <w:szCs w:val="21"/>
                <w:highlight w:val="none"/>
                <w:vertAlign w:val="subscript"/>
                <w:lang w:bidi="ar"/>
              </w:rPr>
              <w:t>N</w:t>
            </w:r>
            <w:r>
              <w:rPr>
                <w:rFonts w:hint="default" w:ascii="Times New Roman" w:hAnsi="Times New Roman" w:cs="Times New Roman"/>
                <w:color w:val="auto"/>
                <w:kern w:val="0"/>
                <w:sz w:val="21"/>
                <w:szCs w:val="21"/>
                <w:highlight w:val="none"/>
                <w:lang w:bidi="ar"/>
              </w:rPr>
              <w:t>≤1.0</w:t>
            </w:r>
          </w:p>
        </w:tc>
        <w:tc>
          <w:tcPr>
            <w:tcW w:w="3204" w:type="dxa"/>
            <w:tcBorders>
              <w:tl2br w:val="nil"/>
              <w:tr2bl w:val="nil"/>
            </w:tcBorders>
            <w:shd w:val="clear" w:color="auto" w:fill="auto"/>
            <w:tcMar>
              <w:top w:w="15" w:type="dxa"/>
              <w:left w:w="15" w:type="dxa"/>
              <w:right w:w="15" w:type="dxa"/>
            </w:tcMar>
            <w:vAlign w:val="center"/>
          </w:tcPr>
          <w:p w14:paraId="6B74838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尚清洁（警戒线）</w:t>
            </w:r>
          </w:p>
        </w:tc>
      </w:tr>
      <w:tr w14:paraId="50B5AF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tl2br w:val="nil"/>
              <w:tr2bl w:val="nil"/>
            </w:tcBorders>
            <w:shd w:val="clear" w:color="auto" w:fill="auto"/>
            <w:tcMar>
              <w:top w:w="15" w:type="dxa"/>
              <w:left w:w="15" w:type="dxa"/>
              <w:right w:w="15" w:type="dxa"/>
            </w:tcMar>
            <w:vAlign w:val="center"/>
          </w:tcPr>
          <w:p w14:paraId="3E37F57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Ⅲ</w:t>
            </w:r>
          </w:p>
        </w:tc>
        <w:tc>
          <w:tcPr>
            <w:tcW w:w="3204" w:type="dxa"/>
            <w:tcBorders>
              <w:tl2br w:val="nil"/>
              <w:tr2bl w:val="nil"/>
            </w:tcBorders>
            <w:shd w:val="clear" w:color="auto" w:fill="auto"/>
            <w:tcMar>
              <w:top w:w="15" w:type="dxa"/>
              <w:left w:w="15" w:type="dxa"/>
              <w:right w:w="15" w:type="dxa"/>
            </w:tcMar>
            <w:vAlign w:val="center"/>
          </w:tcPr>
          <w:p w14:paraId="7BC1AE5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1.0＜P</w:t>
            </w:r>
            <w:r>
              <w:rPr>
                <w:rFonts w:hint="default" w:ascii="Times New Roman" w:hAnsi="Times New Roman" w:cs="Times New Roman"/>
                <w:color w:val="auto"/>
                <w:kern w:val="0"/>
                <w:sz w:val="21"/>
                <w:szCs w:val="21"/>
                <w:highlight w:val="none"/>
                <w:vertAlign w:val="subscript"/>
                <w:lang w:bidi="ar"/>
              </w:rPr>
              <w:t>N</w:t>
            </w:r>
            <w:r>
              <w:rPr>
                <w:rFonts w:hint="default" w:ascii="Times New Roman" w:hAnsi="Times New Roman" w:cs="Times New Roman"/>
                <w:color w:val="auto"/>
                <w:kern w:val="0"/>
                <w:sz w:val="21"/>
                <w:szCs w:val="21"/>
                <w:highlight w:val="none"/>
                <w:lang w:bidi="ar"/>
              </w:rPr>
              <w:t>≤2.0</w:t>
            </w:r>
          </w:p>
        </w:tc>
        <w:tc>
          <w:tcPr>
            <w:tcW w:w="3204" w:type="dxa"/>
            <w:tcBorders>
              <w:tl2br w:val="nil"/>
              <w:tr2bl w:val="nil"/>
            </w:tcBorders>
            <w:shd w:val="clear" w:color="auto" w:fill="auto"/>
            <w:tcMar>
              <w:top w:w="15" w:type="dxa"/>
              <w:left w:w="15" w:type="dxa"/>
              <w:right w:w="15" w:type="dxa"/>
            </w:tcMar>
            <w:vAlign w:val="center"/>
          </w:tcPr>
          <w:p w14:paraId="550102C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轻度污染</w:t>
            </w:r>
          </w:p>
        </w:tc>
      </w:tr>
      <w:tr w14:paraId="04AE91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3203" w:type="dxa"/>
            <w:tcBorders>
              <w:tl2br w:val="nil"/>
              <w:tr2bl w:val="nil"/>
            </w:tcBorders>
            <w:shd w:val="clear" w:color="auto" w:fill="auto"/>
            <w:tcMar>
              <w:top w:w="15" w:type="dxa"/>
              <w:left w:w="15" w:type="dxa"/>
              <w:right w:w="15" w:type="dxa"/>
            </w:tcMar>
            <w:vAlign w:val="center"/>
          </w:tcPr>
          <w:p w14:paraId="2E0FD93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Ⅳ</w:t>
            </w:r>
          </w:p>
        </w:tc>
        <w:tc>
          <w:tcPr>
            <w:tcW w:w="3204" w:type="dxa"/>
            <w:tcBorders>
              <w:tl2br w:val="nil"/>
              <w:tr2bl w:val="nil"/>
            </w:tcBorders>
            <w:shd w:val="clear" w:color="auto" w:fill="auto"/>
            <w:tcMar>
              <w:top w:w="15" w:type="dxa"/>
              <w:left w:w="15" w:type="dxa"/>
              <w:right w:w="15" w:type="dxa"/>
            </w:tcMar>
            <w:vAlign w:val="center"/>
          </w:tcPr>
          <w:p w14:paraId="12D3AC4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2.0＜P</w:t>
            </w:r>
            <w:r>
              <w:rPr>
                <w:rFonts w:hint="default" w:ascii="Times New Roman" w:hAnsi="Times New Roman" w:cs="Times New Roman"/>
                <w:color w:val="auto"/>
                <w:kern w:val="0"/>
                <w:sz w:val="21"/>
                <w:szCs w:val="21"/>
                <w:highlight w:val="none"/>
                <w:vertAlign w:val="subscript"/>
                <w:lang w:bidi="ar"/>
              </w:rPr>
              <w:t>N</w:t>
            </w:r>
            <w:r>
              <w:rPr>
                <w:rFonts w:hint="default" w:ascii="Times New Roman" w:hAnsi="Times New Roman" w:cs="Times New Roman"/>
                <w:color w:val="auto"/>
                <w:kern w:val="0"/>
                <w:sz w:val="21"/>
                <w:szCs w:val="21"/>
                <w:highlight w:val="none"/>
                <w:lang w:bidi="ar"/>
              </w:rPr>
              <w:t>≤3.0</w:t>
            </w:r>
          </w:p>
        </w:tc>
        <w:tc>
          <w:tcPr>
            <w:tcW w:w="3204" w:type="dxa"/>
            <w:tcBorders>
              <w:tl2br w:val="nil"/>
              <w:tr2bl w:val="nil"/>
            </w:tcBorders>
            <w:shd w:val="clear" w:color="auto" w:fill="auto"/>
            <w:tcMar>
              <w:top w:w="15" w:type="dxa"/>
              <w:left w:w="15" w:type="dxa"/>
              <w:right w:w="15" w:type="dxa"/>
            </w:tcMar>
            <w:vAlign w:val="center"/>
          </w:tcPr>
          <w:p w14:paraId="2F009A0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中度污染</w:t>
            </w:r>
          </w:p>
        </w:tc>
      </w:tr>
      <w:tr w14:paraId="08F583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203" w:type="dxa"/>
            <w:tcBorders>
              <w:tl2br w:val="nil"/>
              <w:tr2bl w:val="nil"/>
            </w:tcBorders>
            <w:shd w:val="clear" w:color="auto" w:fill="auto"/>
            <w:tcMar>
              <w:top w:w="15" w:type="dxa"/>
              <w:left w:w="15" w:type="dxa"/>
              <w:right w:w="15" w:type="dxa"/>
            </w:tcMar>
            <w:vAlign w:val="center"/>
          </w:tcPr>
          <w:p w14:paraId="72FB408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fldChar w:fldCharType="begin"/>
            </w:r>
            <w:r>
              <w:rPr>
                <w:rFonts w:hint="default" w:ascii="Times New Roman" w:hAnsi="Times New Roman" w:cs="Times New Roman"/>
                <w:color w:val="auto"/>
                <w:sz w:val="21"/>
                <w:szCs w:val="21"/>
                <w:highlight w:val="none"/>
              </w:rPr>
              <w:instrText xml:space="preserve"> = 5 \* ROMAN \* MERGEFORMAT </w:instrText>
            </w:r>
            <w:r>
              <w:rPr>
                <w:rFonts w:hint="default" w:ascii="Times New Roman" w:hAnsi="Times New Roman" w:cs="Times New Roman"/>
                <w:color w:val="auto"/>
                <w:sz w:val="21"/>
                <w:szCs w:val="21"/>
                <w:highlight w:val="none"/>
              </w:rPr>
              <w:fldChar w:fldCharType="separate"/>
            </w:r>
            <w:r>
              <w:rPr>
                <w:rFonts w:hint="default" w:ascii="Times New Roman" w:hAnsi="Times New Roman" w:cs="Times New Roman"/>
                <w:color w:val="auto"/>
                <w:sz w:val="21"/>
                <w:szCs w:val="21"/>
                <w:highlight w:val="none"/>
              </w:rPr>
              <w:t>V</w:t>
            </w:r>
            <w:r>
              <w:rPr>
                <w:rFonts w:hint="default" w:ascii="Times New Roman" w:hAnsi="Times New Roman" w:cs="Times New Roman"/>
                <w:color w:val="auto"/>
                <w:sz w:val="21"/>
                <w:szCs w:val="21"/>
                <w:highlight w:val="none"/>
              </w:rPr>
              <w:fldChar w:fldCharType="end"/>
            </w:r>
          </w:p>
        </w:tc>
        <w:tc>
          <w:tcPr>
            <w:tcW w:w="3204" w:type="dxa"/>
            <w:tcBorders>
              <w:tl2br w:val="nil"/>
              <w:tr2bl w:val="nil"/>
            </w:tcBorders>
            <w:shd w:val="clear" w:color="auto" w:fill="auto"/>
            <w:tcMar>
              <w:top w:w="15" w:type="dxa"/>
              <w:left w:w="15" w:type="dxa"/>
              <w:right w:w="15" w:type="dxa"/>
            </w:tcMar>
            <w:vAlign w:val="center"/>
          </w:tcPr>
          <w:p w14:paraId="680C88B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P</w:t>
            </w:r>
            <w:r>
              <w:rPr>
                <w:rFonts w:hint="default" w:ascii="Times New Roman" w:hAnsi="Times New Roman" w:cs="Times New Roman"/>
                <w:color w:val="auto"/>
                <w:kern w:val="0"/>
                <w:sz w:val="21"/>
                <w:szCs w:val="21"/>
                <w:highlight w:val="none"/>
                <w:vertAlign w:val="subscript"/>
                <w:lang w:bidi="ar"/>
              </w:rPr>
              <w:t>N</w:t>
            </w:r>
            <w:r>
              <w:rPr>
                <w:rFonts w:hint="default" w:ascii="Times New Roman" w:hAnsi="Times New Roman" w:cs="Times New Roman"/>
                <w:color w:val="auto"/>
                <w:kern w:val="0"/>
                <w:sz w:val="21"/>
                <w:szCs w:val="21"/>
                <w:highlight w:val="none"/>
                <w:lang w:bidi="ar"/>
              </w:rPr>
              <w:t>＞0.7</w:t>
            </w:r>
          </w:p>
        </w:tc>
        <w:tc>
          <w:tcPr>
            <w:tcW w:w="3204" w:type="dxa"/>
            <w:tcBorders>
              <w:tl2br w:val="nil"/>
              <w:tr2bl w:val="nil"/>
            </w:tcBorders>
            <w:shd w:val="clear" w:color="auto" w:fill="auto"/>
            <w:tcMar>
              <w:top w:w="15" w:type="dxa"/>
              <w:left w:w="15" w:type="dxa"/>
              <w:right w:w="15" w:type="dxa"/>
            </w:tcMar>
            <w:vAlign w:val="center"/>
          </w:tcPr>
          <w:p w14:paraId="5F07CCA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重污染</w:t>
            </w:r>
          </w:p>
        </w:tc>
      </w:tr>
    </w:tbl>
    <w:p w14:paraId="1C2EC4BE">
      <w:pPr>
        <w:pStyle w:val="4"/>
        <w:tabs>
          <w:tab w:val="left" w:leader="dot" w:pos="0"/>
          <w:tab w:val="clear" w:pos="425"/>
        </w:tabs>
        <w:rPr>
          <w:rFonts w:hint="default" w:ascii="Times New Roman" w:hAnsi="Times New Roman" w:cs="Times New Roman"/>
          <w:color w:val="auto"/>
          <w:highlight w:val="none"/>
        </w:rPr>
      </w:pPr>
      <w:bookmarkStart w:id="40" w:name="_Toc20326"/>
      <w:r>
        <w:rPr>
          <w:rFonts w:hint="default" w:ascii="Times New Roman" w:hAnsi="Times New Roman" w:cs="Times New Roman"/>
          <w:color w:val="auto"/>
          <w:highlight w:val="none"/>
        </w:rPr>
        <w:t>监测结果对标分析</w:t>
      </w:r>
      <w:bookmarkEnd w:id="39"/>
      <w:bookmarkEnd w:id="40"/>
    </w:p>
    <w:p w14:paraId="7C35CFD9">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土壤</w:t>
      </w:r>
      <w:r>
        <w:rPr>
          <w:rStyle w:val="65"/>
          <w:rFonts w:hint="default" w:ascii="Times New Roman" w:hAnsi="Times New Roman" w:cs="Times New Roman"/>
          <w:b/>
          <w:bCs/>
          <w:color w:val="auto"/>
          <w:highlight w:val="none"/>
        </w:rPr>
        <w:t>样品检测结</w:t>
      </w:r>
      <w:r>
        <w:rPr>
          <w:rFonts w:hint="default" w:ascii="Times New Roman" w:hAnsi="Times New Roman" w:cs="Times New Roman"/>
          <w:color w:val="auto"/>
          <w:highlight w:val="none"/>
        </w:rPr>
        <w:t>果分析</w:t>
      </w:r>
    </w:p>
    <w:p w14:paraId="187B70E9">
      <w:pPr>
        <w:ind w:firstLine="480" w:firstLineChars="200"/>
        <w:rPr>
          <w:rFonts w:hint="default" w:ascii="Times New Roman" w:hAnsi="Times New Roman" w:cs="Times New Roman"/>
          <w:color w:val="auto"/>
          <w:highlight w:val="none"/>
        </w:rPr>
      </w:pPr>
      <w:bookmarkStart w:id="41" w:name="_Toc481482864"/>
      <w:bookmarkEnd w:id="41"/>
      <w:r>
        <w:rPr>
          <w:rFonts w:hint="default" w:ascii="Times New Roman" w:hAnsi="Times New Roman" w:cs="Times New Roman"/>
          <w:color w:val="auto"/>
          <w:highlight w:val="none"/>
        </w:rPr>
        <w:t>本次调查园区内共采集14个土壤样品</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不含质控样品</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，所有样品全部送检，测试项目包括基本项目：pH值、重金属（9项）、挥发性有机物（27项）、半挥发性有机物（11项），园区增测项目（</w:t>
      </w:r>
      <w:r>
        <w:rPr>
          <w:rFonts w:hint="default" w:ascii="Times New Roman" w:hAnsi="Times New Roman" w:cs="Times New Roman"/>
          <w:color w:val="auto"/>
          <w:kern w:val="0"/>
          <w:highlight w:val="none"/>
        </w:rPr>
        <w:t>石油烃（C</w:t>
      </w:r>
      <w:r>
        <w:rPr>
          <w:rFonts w:hint="default" w:ascii="Times New Roman" w:hAnsi="Times New Roman" w:cs="Times New Roman"/>
          <w:color w:val="auto"/>
          <w:kern w:val="0"/>
          <w:highlight w:val="none"/>
          <w:vertAlign w:val="subscript"/>
        </w:rPr>
        <w:t>10</w:t>
      </w:r>
      <w:r>
        <w:rPr>
          <w:rFonts w:hint="default" w:ascii="Times New Roman" w:hAnsi="Times New Roman" w:cs="Times New Roman"/>
          <w:color w:val="auto"/>
          <w:kern w:val="0"/>
          <w:highlight w:val="none"/>
        </w:rPr>
        <w:t>-C</w:t>
      </w:r>
      <w:r>
        <w:rPr>
          <w:rFonts w:hint="default" w:ascii="Times New Roman" w:hAnsi="Times New Roman" w:cs="Times New Roman"/>
          <w:color w:val="auto"/>
          <w:kern w:val="0"/>
          <w:highlight w:val="none"/>
          <w:vertAlign w:val="subscript"/>
        </w:rPr>
        <w:t>40</w:t>
      </w:r>
      <w:r>
        <w:rPr>
          <w:rFonts w:hint="default" w:ascii="Times New Roman" w:hAnsi="Times New Roman" w:cs="Times New Roman"/>
          <w:color w:val="auto"/>
          <w:kern w:val="0"/>
          <w:highlight w:val="none"/>
        </w:rPr>
        <w:t>）、总氟化物、钴、钼、锑共</w:t>
      </w:r>
      <w:r>
        <w:rPr>
          <w:rFonts w:hint="default" w:ascii="Times New Roman" w:hAnsi="Times New Roman" w:cs="Times New Roman"/>
          <w:color w:val="auto"/>
          <w:highlight w:val="none"/>
        </w:rPr>
        <w:t>5项），</w:t>
      </w:r>
      <w:r>
        <w:rPr>
          <w:rFonts w:hint="default" w:ascii="Times New Roman" w:hAnsi="Times New Roman" w:cs="Times New Roman"/>
          <w:color w:val="auto"/>
          <w:highlight w:val="none"/>
          <w:lang w:eastAsia="zh-CN"/>
        </w:rPr>
        <w:t>其它增测项目</w:t>
      </w:r>
      <w:r>
        <w:rPr>
          <w:rFonts w:hint="default" w:ascii="Times New Roman" w:hAnsi="Times New Roman" w:cs="Times New Roman"/>
          <w:color w:val="auto"/>
          <w:highlight w:val="none"/>
        </w:rPr>
        <w:t>（</w:t>
      </w:r>
      <w:r>
        <w:rPr>
          <w:rFonts w:hint="default" w:ascii="Times New Roman" w:hAnsi="Times New Roman" w:cs="Times New Roman"/>
          <w:color w:val="auto"/>
          <w:kern w:val="0"/>
          <w:highlight w:val="none"/>
        </w:rPr>
        <w:t>苯酚、</w:t>
      </w:r>
      <w:r>
        <w:rPr>
          <w:rFonts w:hint="default" w:ascii="Times New Roman" w:hAnsi="Times New Roman" w:cs="Times New Roman"/>
          <w:color w:val="auto"/>
          <w:kern w:val="0"/>
          <w:highlight w:val="none"/>
          <w:lang w:eastAsia="zh-CN"/>
        </w:rPr>
        <w:t>2-甲基苯酚</w:t>
      </w:r>
      <w:r>
        <w:rPr>
          <w:rFonts w:hint="default" w:ascii="Times New Roman" w:hAnsi="Times New Roman" w:cs="Times New Roman"/>
          <w:color w:val="auto"/>
          <w:kern w:val="0"/>
          <w:highlight w:val="none"/>
        </w:rPr>
        <w:t>、</w:t>
      </w:r>
      <w:r>
        <w:rPr>
          <w:rFonts w:hint="default" w:ascii="Times New Roman" w:hAnsi="Times New Roman" w:cs="Times New Roman"/>
          <w:color w:val="auto"/>
          <w:kern w:val="0"/>
          <w:highlight w:val="none"/>
          <w:lang w:eastAsia="zh-CN"/>
        </w:rPr>
        <w:t>4-甲基苯酚</w:t>
      </w:r>
      <w:r>
        <w:rPr>
          <w:rFonts w:hint="default" w:ascii="Times New Roman" w:hAnsi="Times New Roman" w:cs="Times New Roman"/>
          <w:color w:val="auto"/>
          <w:kern w:val="0"/>
          <w:highlight w:val="none"/>
        </w:rPr>
        <w:t>、二硫化碳、1,2,4-三甲基苯、1,3,5-三甲基苯、二噁英共7项）</w:t>
      </w:r>
      <w:r>
        <w:rPr>
          <w:rFonts w:hint="default" w:ascii="Times New Roman" w:hAnsi="Times New Roman" w:cs="Times New Roman"/>
          <w:color w:val="auto"/>
          <w:highlight w:val="none"/>
        </w:rPr>
        <w:t>，共计60项。重金属检测指标除铬（六价）外均有检出，除XM-JJ-</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点位的挥发性有机物</w:t>
      </w:r>
      <w:r>
        <w:rPr>
          <w:rFonts w:hint="default" w:ascii="Times New Roman" w:hAnsi="Times New Roman" w:cs="Times New Roman"/>
          <w:color w:val="auto"/>
          <w:highlight w:val="none"/>
          <w:lang w:val="en-US" w:eastAsia="zh-CN"/>
        </w:rPr>
        <w:t>邻-二甲苯、</w:t>
      </w:r>
      <w:r>
        <w:rPr>
          <w:rFonts w:hint="default" w:ascii="Times New Roman" w:hAnsi="Times New Roman" w:cs="Times New Roman"/>
          <w:color w:val="auto"/>
          <w:highlight w:val="none"/>
        </w:rPr>
        <w:t>XM-JJ-1点位的挥发性有机物甲苯、间-二甲苯和对-二甲苯、苯乙烯有检出以外，其它样品的挥发性有机物和半挥发性有机物均未检出。本节在检测结果统计分析时仅对14个土壤样品</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不含质控样品</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进行分析。</w:t>
      </w:r>
    </w:p>
    <w:p w14:paraId="29390070">
      <w:pPr>
        <w:numPr>
          <w:ilvl w:val="0"/>
          <w:numId w:val="13"/>
        </w:numPr>
        <w:ind w:firstLine="42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pH值</w:t>
      </w:r>
    </w:p>
    <w:p w14:paraId="30A05F8C">
      <w:pPr>
        <w:jc w:val="left"/>
        <w:rPr>
          <w:rFonts w:hint="default" w:ascii="Times New Roman" w:hAnsi="Times New Roman" w:eastAsia="黑体" w:cs="Times New Roman"/>
          <w:b/>
          <w:bCs/>
          <w:color w:val="auto"/>
          <w:highlight w:val="none"/>
        </w:rPr>
      </w:pPr>
      <w:r>
        <w:rPr>
          <w:rFonts w:hint="default" w:ascii="Times New Roman" w:hAnsi="Times New Roman" w:cs="Times New Roman"/>
          <w:color w:val="auto"/>
          <w:highlight w:val="none"/>
        </w:rPr>
        <w:tab/>
      </w:r>
      <w:r>
        <w:rPr>
          <w:rFonts w:hint="default" w:ascii="Times New Roman" w:hAnsi="Times New Roman" w:cs="Times New Roman"/>
          <w:color w:val="auto"/>
          <w:highlight w:val="none"/>
        </w:rPr>
        <w:t>检测结果显示，园区内14个土壤样品（不含质控样品），pH值区间为4.88~8.51，平均值为7.57。具体监测值见表5-3-1。</w:t>
      </w:r>
    </w:p>
    <w:p w14:paraId="2BCAE3B3">
      <w:pPr>
        <w:spacing w:line="240" w:lineRule="auto"/>
        <w:jc w:val="center"/>
        <w:rPr>
          <w:rFonts w:hint="default" w:ascii="Times New Roman" w:hAnsi="Times New Roman" w:eastAsia="黑体" w:cs="Times New Roman"/>
          <w:b/>
          <w:bCs/>
          <w:color w:val="auto"/>
          <w:highlight w:val="none"/>
        </w:rPr>
      </w:pPr>
      <w:r>
        <w:rPr>
          <w:rFonts w:hint="default" w:ascii="Times New Roman" w:hAnsi="Times New Roman" w:eastAsia="黑体" w:cs="Times New Roman"/>
          <w:b/>
          <w:bCs/>
          <w:color w:val="auto"/>
          <w:highlight w:val="none"/>
        </w:rPr>
        <w:t>表5-3-1 土壤样品pH值监测值</w:t>
      </w:r>
    </w:p>
    <w:tbl>
      <w:tblPr>
        <w:tblStyle w:val="21"/>
        <w:tblW w:w="499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897"/>
        <w:gridCol w:w="1870"/>
        <w:gridCol w:w="3927"/>
        <w:gridCol w:w="2911"/>
      </w:tblGrid>
      <w:tr w14:paraId="122210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467" w:type="pct"/>
            <w:tcBorders>
              <w:bottom w:val="single" w:color="000000" w:sz="12" w:space="0"/>
            </w:tcBorders>
            <w:shd w:val="clear" w:color="auto" w:fill="auto"/>
            <w:noWrap/>
            <w:tcMar>
              <w:top w:w="15" w:type="dxa"/>
              <w:left w:w="15" w:type="dxa"/>
              <w:right w:w="15" w:type="dxa"/>
            </w:tcMar>
            <w:vAlign w:val="center"/>
          </w:tcPr>
          <w:p w14:paraId="6CA7E179">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序号</w:t>
            </w:r>
          </w:p>
        </w:tc>
        <w:tc>
          <w:tcPr>
            <w:tcW w:w="973" w:type="pct"/>
            <w:tcBorders>
              <w:bottom w:val="single" w:color="000000" w:sz="12" w:space="0"/>
            </w:tcBorders>
            <w:shd w:val="clear" w:color="auto" w:fill="auto"/>
            <w:noWrap/>
            <w:tcMar>
              <w:top w:w="15" w:type="dxa"/>
              <w:left w:w="15" w:type="dxa"/>
              <w:right w:w="15" w:type="dxa"/>
            </w:tcMar>
            <w:vAlign w:val="center"/>
          </w:tcPr>
          <w:p w14:paraId="3320DACD">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样品编号</w:t>
            </w:r>
          </w:p>
        </w:tc>
        <w:tc>
          <w:tcPr>
            <w:tcW w:w="2043" w:type="pct"/>
            <w:tcBorders>
              <w:bottom w:val="single" w:color="000000" w:sz="12" w:space="0"/>
            </w:tcBorders>
            <w:shd w:val="clear" w:color="auto" w:fill="auto"/>
            <w:noWrap/>
            <w:tcMar>
              <w:top w:w="15" w:type="dxa"/>
              <w:left w:w="15" w:type="dxa"/>
              <w:right w:w="15" w:type="dxa"/>
            </w:tcMar>
            <w:vAlign w:val="center"/>
          </w:tcPr>
          <w:p w14:paraId="73149E76">
            <w:pPr>
              <w:widowControl/>
              <w:spacing w:line="240" w:lineRule="auto"/>
              <w:jc w:val="center"/>
              <w:textAlignment w:val="center"/>
              <w:rPr>
                <w:rFonts w:hint="default" w:ascii="Times New Roman" w:hAnsi="Times New Roman" w:cs="Times New Roman"/>
                <w:b/>
                <w:color w:val="auto"/>
                <w:kern w:val="0"/>
                <w:sz w:val="21"/>
                <w:szCs w:val="21"/>
                <w:highlight w:val="none"/>
                <w:lang w:val="en-US" w:eastAsia="zh-CN" w:bidi="ar"/>
              </w:rPr>
            </w:pPr>
            <w:r>
              <w:rPr>
                <w:rFonts w:hint="default" w:ascii="Times New Roman" w:hAnsi="Times New Roman" w:cs="Times New Roman"/>
                <w:b/>
                <w:color w:val="auto"/>
                <w:kern w:val="0"/>
                <w:sz w:val="21"/>
                <w:szCs w:val="21"/>
                <w:highlight w:val="none"/>
                <w:lang w:val="en-US" w:eastAsia="zh-CN" w:bidi="ar"/>
              </w:rPr>
              <w:t>点位位置</w:t>
            </w:r>
          </w:p>
        </w:tc>
        <w:tc>
          <w:tcPr>
            <w:tcW w:w="1515" w:type="pct"/>
            <w:tcBorders>
              <w:bottom w:val="single" w:color="000000" w:sz="12" w:space="0"/>
            </w:tcBorders>
            <w:shd w:val="clear" w:color="auto" w:fill="auto"/>
            <w:noWrap/>
            <w:tcMar>
              <w:top w:w="15" w:type="dxa"/>
              <w:left w:w="15" w:type="dxa"/>
              <w:right w:w="15" w:type="dxa"/>
            </w:tcMar>
            <w:vAlign w:val="center"/>
          </w:tcPr>
          <w:p w14:paraId="77051AA5">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pH值</w:t>
            </w:r>
          </w:p>
        </w:tc>
      </w:tr>
      <w:tr w14:paraId="5D4B72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467" w:type="pct"/>
            <w:tcBorders>
              <w:top w:val="single" w:color="000000" w:sz="12" w:space="0"/>
              <w:tl2br w:val="nil"/>
              <w:tr2bl w:val="nil"/>
            </w:tcBorders>
            <w:shd w:val="clear" w:color="auto" w:fill="auto"/>
            <w:noWrap/>
            <w:tcMar>
              <w:top w:w="15" w:type="dxa"/>
              <w:left w:w="15" w:type="dxa"/>
              <w:right w:w="15" w:type="dxa"/>
            </w:tcMar>
            <w:vAlign w:val="center"/>
          </w:tcPr>
          <w:p w14:paraId="0F44EC8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w:t>
            </w:r>
          </w:p>
        </w:tc>
        <w:tc>
          <w:tcPr>
            <w:tcW w:w="973" w:type="pct"/>
            <w:tcBorders>
              <w:top w:val="single" w:color="000000" w:sz="12" w:space="0"/>
              <w:tl2br w:val="nil"/>
              <w:tr2bl w:val="nil"/>
            </w:tcBorders>
            <w:shd w:val="clear" w:color="auto" w:fill="auto"/>
            <w:noWrap/>
            <w:tcMar>
              <w:top w:w="15" w:type="dxa"/>
              <w:left w:w="15" w:type="dxa"/>
              <w:right w:w="15" w:type="dxa"/>
            </w:tcMar>
            <w:vAlign w:val="center"/>
          </w:tcPr>
          <w:p w14:paraId="6628FA8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XM-1-75</w:t>
            </w:r>
          </w:p>
        </w:tc>
        <w:tc>
          <w:tcPr>
            <w:tcW w:w="2043" w:type="pct"/>
            <w:tcBorders>
              <w:top w:val="single" w:color="000000" w:sz="12" w:space="0"/>
              <w:tl2br w:val="nil"/>
              <w:tr2bl w:val="nil"/>
            </w:tcBorders>
            <w:shd w:val="clear" w:color="auto" w:fill="auto"/>
            <w:noWrap/>
            <w:tcMar>
              <w:top w:w="15" w:type="dxa"/>
              <w:left w:w="15" w:type="dxa"/>
              <w:right w:w="15" w:type="dxa"/>
            </w:tcMar>
            <w:vAlign w:val="center"/>
          </w:tcPr>
          <w:p w14:paraId="60A1C3F8">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园区边界西侧下风向75m</w:t>
            </w:r>
          </w:p>
        </w:tc>
        <w:tc>
          <w:tcPr>
            <w:tcW w:w="1515" w:type="pct"/>
            <w:tcBorders>
              <w:top w:val="single" w:color="000000" w:sz="12" w:space="0"/>
              <w:tl2br w:val="nil"/>
              <w:tr2bl w:val="nil"/>
            </w:tcBorders>
            <w:shd w:val="clear" w:color="auto" w:fill="auto"/>
            <w:noWrap/>
            <w:tcMar>
              <w:top w:w="15" w:type="dxa"/>
              <w:left w:w="15" w:type="dxa"/>
              <w:right w:w="15" w:type="dxa"/>
            </w:tcMar>
            <w:vAlign w:val="center"/>
          </w:tcPr>
          <w:p w14:paraId="4AD4629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8.41</w:t>
            </w:r>
          </w:p>
        </w:tc>
      </w:tr>
      <w:tr w14:paraId="2A1AF9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467" w:type="pct"/>
            <w:tcBorders>
              <w:tl2br w:val="nil"/>
              <w:tr2bl w:val="nil"/>
            </w:tcBorders>
            <w:shd w:val="clear" w:color="auto" w:fill="auto"/>
            <w:noWrap/>
            <w:tcMar>
              <w:top w:w="15" w:type="dxa"/>
              <w:left w:w="15" w:type="dxa"/>
              <w:right w:w="15" w:type="dxa"/>
            </w:tcMar>
            <w:vAlign w:val="center"/>
          </w:tcPr>
          <w:p w14:paraId="4AC9A5F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w:t>
            </w:r>
          </w:p>
        </w:tc>
        <w:tc>
          <w:tcPr>
            <w:tcW w:w="973" w:type="pct"/>
            <w:tcBorders>
              <w:tl2br w:val="nil"/>
              <w:tr2bl w:val="nil"/>
            </w:tcBorders>
            <w:shd w:val="clear" w:color="auto" w:fill="auto"/>
            <w:noWrap/>
            <w:tcMar>
              <w:top w:w="15" w:type="dxa"/>
              <w:left w:w="15" w:type="dxa"/>
              <w:right w:w="15" w:type="dxa"/>
            </w:tcMar>
            <w:vAlign w:val="center"/>
          </w:tcPr>
          <w:p w14:paraId="4D14013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XM-1-200</w:t>
            </w:r>
          </w:p>
        </w:tc>
        <w:tc>
          <w:tcPr>
            <w:tcW w:w="2043" w:type="pct"/>
            <w:tcBorders>
              <w:tl2br w:val="nil"/>
              <w:tr2bl w:val="nil"/>
            </w:tcBorders>
            <w:shd w:val="clear" w:color="auto" w:fill="auto"/>
            <w:noWrap/>
            <w:tcMar>
              <w:top w:w="15" w:type="dxa"/>
              <w:left w:w="15" w:type="dxa"/>
              <w:right w:w="15" w:type="dxa"/>
            </w:tcMar>
            <w:vAlign w:val="center"/>
          </w:tcPr>
          <w:p w14:paraId="76E2AA14">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园区边界西侧下风向200m</w:t>
            </w:r>
          </w:p>
        </w:tc>
        <w:tc>
          <w:tcPr>
            <w:tcW w:w="1515" w:type="pct"/>
            <w:tcBorders>
              <w:tl2br w:val="nil"/>
              <w:tr2bl w:val="nil"/>
            </w:tcBorders>
            <w:shd w:val="clear" w:color="auto" w:fill="auto"/>
            <w:noWrap/>
            <w:tcMar>
              <w:top w:w="15" w:type="dxa"/>
              <w:left w:w="15" w:type="dxa"/>
              <w:right w:w="15" w:type="dxa"/>
            </w:tcMar>
            <w:vAlign w:val="center"/>
          </w:tcPr>
          <w:p w14:paraId="2EEC293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8.51</w:t>
            </w:r>
          </w:p>
        </w:tc>
      </w:tr>
      <w:tr w14:paraId="183B7C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467" w:type="pct"/>
            <w:tcBorders>
              <w:tl2br w:val="nil"/>
              <w:tr2bl w:val="nil"/>
            </w:tcBorders>
            <w:shd w:val="clear" w:color="auto" w:fill="auto"/>
            <w:noWrap/>
            <w:tcMar>
              <w:top w:w="15" w:type="dxa"/>
              <w:left w:w="15" w:type="dxa"/>
              <w:right w:w="15" w:type="dxa"/>
            </w:tcMar>
            <w:vAlign w:val="center"/>
          </w:tcPr>
          <w:p w14:paraId="4076DDF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w:t>
            </w:r>
          </w:p>
        </w:tc>
        <w:tc>
          <w:tcPr>
            <w:tcW w:w="973" w:type="pct"/>
            <w:tcBorders>
              <w:tl2br w:val="nil"/>
              <w:tr2bl w:val="nil"/>
            </w:tcBorders>
            <w:shd w:val="clear" w:color="auto" w:fill="auto"/>
            <w:noWrap/>
            <w:tcMar>
              <w:top w:w="15" w:type="dxa"/>
              <w:left w:w="15" w:type="dxa"/>
              <w:right w:w="15" w:type="dxa"/>
            </w:tcMar>
            <w:vAlign w:val="center"/>
          </w:tcPr>
          <w:p w14:paraId="5DE4E7D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XM-1-400</w:t>
            </w:r>
          </w:p>
        </w:tc>
        <w:tc>
          <w:tcPr>
            <w:tcW w:w="2043" w:type="pct"/>
            <w:tcBorders>
              <w:tl2br w:val="nil"/>
              <w:tr2bl w:val="nil"/>
            </w:tcBorders>
            <w:shd w:val="clear" w:color="auto" w:fill="auto"/>
            <w:noWrap/>
            <w:tcMar>
              <w:top w:w="15" w:type="dxa"/>
              <w:left w:w="15" w:type="dxa"/>
              <w:right w:w="15" w:type="dxa"/>
            </w:tcMar>
            <w:vAlign w:val="center"/>
          </w:tcPr>
          <w:p w14:paraId="4F0B414B">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园区边界西侧下风向400m</w:t>
            </w:r>
          </w:p>
        </w:tc>
        <w:tc>
          <w:tcPr>
            <w:tcW w:w="1515" w:type="pct"/>
            <w:tcBorders>
              <w:tl2br w:val="nil"/>
              <w:tr2bl w:val="nil"/>
            </w:tcBorders>
            <w:shd w:val="clear" w:color="auto" w:fill="auto"/>
            <w:noWrap/>
            <w:tcMar>
              <w:top w:w="15" w:type="dxa"/>
              <w:left w:w="15" w:type="dxa"/>
              <w:right w:w="15" w:type="dxa"/>
            </w:tcMar>
            <w:vAlign w:val="center"/>
          </w:tcPr>
          <w:p w14:paraId="5499FEC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8.40</w:t>
            </w:r>
          </w:p>
        </w:tc>
      </w:tr>
      <w:tr w14:paraId="59998B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467" w:type="pct"/>
            <w:tcBorders>
              <w:tl2br w:val="nil"/>
              <w:tr2bl w:val="nil"/>
            </w:tcBorders>
            <w:shd w:val="clear" w:color="auto" w:fill="auto"/>
            <w:noWrap/>
            <w:tcMar>
              <w:top w:w="15" w:type="dxa"/>
              <w:left w:w="15" w:type="dxa"/>
              <w:right w:w="15" w:type="dxa"/>
            </w:tcMar>
            <w:vAlign w:val="center"/>
          </w:tcPr>
          <w:p w14:paraId="2509DF7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w:t>
            </w:r>
          </w:p>
        </w:tc>
        <w:tc>
          <w:tcPr>
            <w:tcW w:w="973" w:type="pct"/>
            <w:tcBorders>
              <w:tl2br w:val="nil"/>
              <w:tr2bl w:val="nil"/>
            </w:tcBorders>
            <w:shd w:val="clear" w:color="auto" w:fill="auto"/>
            <w:noWrap/>
            <w:tcMar>
              <w:top w:w="15" w:type="dxa"/>
              <w:left w:w="15" w:type="dxa"/>
              <w:right w:w="15" w:type="dxa"/>
            </w:tcMar>
            <w:vAlign w:val="center"/>
          </w:tcPr>
          <w:p w14:paraId="7250B03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XM-2-75</w:t>
            </w:r>
          </w:p>
        </w:tc>
        <w:tc>
          <w:tcPr>
            <w:tcW w:w="2043" w:type="pct"/>
            <w:tcBorders>
              <w:tl2br w:val="nil"/>
              <w:tr2bl w:val="nil"/>
            </w:tcBorders>
            <w:shd w:val="clear" w:color="auto" w:fill="auto"/>
            <w:noWrap/>
            <w:tcMar>
              <w:top w:w="15" w:type="dxa"/>
              <w:left w:w="15" w:type="dxa"/>
              <w:right w:w="15" w:type="dxa"/>
            </w:tcMar>
            <w:vAlign w:val="center"/>
          </w:tcPr>
          <w:p w14:paraId="51202E55">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w:t>
            </w:r>
            <w:r>
              <w:rPr>
                <w:rFonts w:hint="eastAsia" w:cs="Times New Roman"/>
                <w:color w:val="auto"/>
                <w:sz w:val="21"/>
                <w:szCs w:val="21"/>
                <w:highlight w:val="none"/>
                <w:lang w:val="en-US" w:eastAsia="zh-CN"/>
              </w:rPr>
              <w:t>东</w:t>
            </w:r>
            <w:r>
              <w:rPr>
                <w:rFonts w:hint="default" w:ascii="Times New Roman" w:hAnsi="Times New Roman" w:cs="Times New Roman"/>
                <w:color w:val="auto"/>
                <w:sz w:val="21"/>
                <w:szCs w:val="21"/>
                <w:highlight w:val="none"/>
                <w:lang w:val="en-US" w:eastAsia="zh-CN"/>
              </w:rPr>
              <w:t>侧下风向75m</w:t>
            </w:r>
          </w:p>
        </w:tc>
        <w:tc>
          <w:tcPr>
            <w:tcW w:w="1515" w:type="pct"/>
            <w:tcBorders>
              <w:tl2br w:val="nil"/>
              <w:tr2bl w:val="nil"/>
            </w:tcBorders>
            <w:shd w:val="clear" w:color="auto" w:fill="auto"/>
            <w:noWrap/>
            <w:tcMar>
              <w:top w:w="15" w:type="dxa"/>
              <w:left w:w="15" w:type="dxa"/>
              <w:right w:w="15" w:type="dxa"/>
            </w:tcMar>
            <w:vAlign w:val="center"/>
          </w:tcPr>
          <w:p w14:paraId="29E4AE7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8.47</w:t>
            </w:r>
          </w:p>
        </w:tc>
      </w:tr>
      <w:tr w14:paraId="3FDEB8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467" w:type="pct"/>
            <w:tcBorders>
              <w:tl2br w:val="nil"/>
              <w:tr2bl w:val="nil"/>
            </w:tcBorders>
            <w:shd w:val="clear" w:color="auto" w:fill="auto"/>
            <w:noWrap/>
            <w:tcMar>
              <w:top w:w="15" w:type="dxa"/>
              <w:left w:w="15" w:type="dxa"/>
              <w:right w:w="15" w:type="dxa"/>
            </w:tcMar>
            <w:vAlign w:val="center"/>
          </w:tcPr>
          <w:p w14:paraId="433DC5E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w:t>
            </w:r>
          </w:p>
        </w:tc>
        <w:tc>
          <w:tcPr>
            <w:tcW w:w="973" w:type="pct"/>
            <w:tcBorders>
              <w:tl2br w:val="nil"/>
              <w:tr2bl w:val="nil"/>
            </w:tcBorders>
            <w:shd w:val="clear" w:color="auto" w:fill="auto"/>
            <w:noWrap/>
            <w:tcMar>
              <w:top w:w="15" w:type="dxa"/>
              <w:left w:w="15" w:type="dxa"/>
              <w:right w:w="15" w:type="dxa"/>
            </w:tcMar>
            <w:vAlign w:val="center"/>
          </w:tcPr>
          <w:p w14:paraId="28BBAC0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XM-2-200</w:t>
            </w:r>
          </w:p>
        </w:tc>
        <w:tc>
          <w:tcPr>
            <w:tcW w:w="2043" w:type="pct"/>
            <w:tcBorders>
              <w:tl2br w:val="nil"/>
              <w:tr2bl w:val="nil"/>
            </w:tcBorders>
            <w:shd w:val="clear" w:color="auto" w:fill="auto"/>
            <w:noWrap/>
            <w:tcMar>
              <w:top w:w="15" w:type="dxa"/>
              <w:left w:w="15" w:type="dxa"/>
              <w:right w:w="15" w:type="dxa"/>
            </w:tcMar>
            <w:vAlign w:val="center"/>
          </w:tcPr>
          <w:p w14:paraId="26A06B35">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w:t>
            </w:r>
            <w:r>
              <w:rPr>
                <w:rFonts w:hint="eastAsia" w:cs="Times New Roman"/>
                <w:color w:val="auto"/>
                <w:sz w:val="21"/>
                <w:szCs w:val="21"/>
                <w:highlight w:val="none"/>
                <w:lang w:val="en-US" w:eastAsia="zh-CN"/>
              </w:rPr>
              <w:t>东</w:t>
            </w:r>
            <w:r>
              <w:rPr>
                <w:rFonts w:hint="default" w:ascii="Times New Roman" w:hAnsi="Times New Roman" w:cs="Times New Roman"/>
                <w:color w:val="auto"/>
                <w:sz w:val="21"/>
                <w:szCs w:val="21"/>
                <w:highlight w:val="none"/>
                <w:lang w:val="en-US" w:eastAsia="zh-CN"/>
              </w:rPr>
              <w:t>侧下风向200m</w:t>
            </w:r>
          </w:p>
        </w:tc>
        <w:tc>
          <w:tcPr>
            <w:tcW w:w="1515" w:type="pct"/>
            <w:tcBorders>
              <w:tl2br w:val="nil"/>
              <w:tr2bl w:val="nil"/>
            </w:tcBorders>
            <w:shd w:val="clear" w:color="auto" w:fill="auto"/>
            <w:noWrap/>
            <w:tcMar>
              <w:top w:w="15" w:type="dxa"/>
              <w:left w:w="15" w:type="dxa"/>
              <w:right w:w="15" w:type="dxa"/>
            </w:tcMar>
            <w:vAlign w:val="center"/>
          </w:tcPr>
          <w:p w14:paraId="719AC87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8.34</w:t>
            </w:r>
          </w:p>
        </w:tc>
      </w:tr>
      <w:tr w14:paraId="2B7E4F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467" w:type="pct"/>
            <w:tcBorders>
              <w:tl2br w:val="nil"/>
              <w:tr2bl w:val="nil"/>
            </w:tcBorders>
            <w:shd w:val="clear" w:color="auto" w:fill="auto"/>
            <w:noWrap/>
            <w:tcMar>
              <w:top w:w="15" w:type="dxa"/>
              <w:left w:w="15" w:type="dxa"/>
              <w:right w:w="15" w:type="dxa"/>
            </w:tcMar>
            <w:vAlign w:val="center"/>
          </w:tcPr>
          <w:p w14:paraId="180FDAC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w:t>
            </w:r>
          </w:p>
        </w:tc>
        <w:tc>
          <w:tcPr>
            <w:tcW w:w="973" w:type="pct"/>
            <w:tcBorders>
              <w:tl2br w:val="nil"/>
              <w:tr2bl w:val="nil"/>
            </w:tcBorders>
            <w:shd w:val="clear" w:color="auto" w:fill="auto"/>
            <w:noWrap/>
            <w:tcMar>
              <w:top w:w="15" w:type="dxa"/>
              <w:left w:w="15" w:type="dxa"/>
              <w:right w:w="15" w:type="dxa"/>
            </w:tcMar>
            <w:vAlign w:val="center"/>
          </w:tcPr>
          <w:p w14:paraId="7893942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XM-2-400</w:t>
            </w:r>
          </w:p>
        </w:tc>
        <w:tc>
          <w:tcPr>
            <w:tcW w:w="2043" w:type="pct"/>
            <w:tcBorders>
              <w:tl2br w:val="nil"/>
              <w:tr2bl w:val="nil"/>
            </w:tcBorders>
            <w:shd w:val="clear" w:color="auto" w:fill="auto"/>
            <w:noWrap/>
            <w:tcMar>
              <w:top w:w="15" w:type="dxa"/>
              <w:left w:w="15" w:type="dxa"/>
              <w:right w:w="15" w:type="dxa"/>
            </w:tcMar>
            <w:vAlign w:val="center"/>
          </w:tcPr>
          <w:p w14:paraId="580C39F9">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w:t>
            </w:r>
            <w:r>
              <w:rPr>
                <w:rFonts w:hint="eastAsia" w:cs="Times New Roman"/>
                <w:color w:val="auto"/>
                <w:sz w:val="21"/>
                <w:szCs w:val="21"/>
                <w:highlight w:val="none"/>
                <w:lang w:val="en-US" w:eastAsia="zh-CN"/>
              </w:rPr>
              <w:t>东</w:t>
            </w:r>
            <w:r>
              <w:rPr>
                <w:rFonts w:hint="default" w:ascii="Times New Roman" w:hAnsi="Times New Roman" w:cs="Times New Roman"/>
                <w:color w:val="auto"/>
                <w:sz w:val="21"/>
                <w:szCs w:val="21"/>
                <w:highlight w:val="none"/>
                <w:lang w:val="en-US" w:eastAsia="zh-CN"/>
              </w:rPr>
              <w:t>侧下风向400m</w:t>
            </w:r>
          </w:p>
        </w:tc>
        <w:tc>
          <w:tcPr>
            <w:tcW w:w="1515" w:type="pct"/>
            <w:tcBorders>
              <w:tl2br w:val="nil"/>
              <w:tr2bl w:val="nil"/>
            </w:tcBorders>
            <w:shd w:val="clear" w:color="auto" w:fill="auto"/>
            <w:noWrap/>
            <w:tcMar>
              <w:top w:w="15" w:type="dxa"/>
              <w:left w:w="15" w:type="dxa"/>
              <w:right w:w="15" w:type="dxa"/>
            </w:tcMar>
            <w:vAlign w:val="center"/>
          </w:tcPr>
          <w:p w14:paraId="33C617A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7.84</w:t>
            </w:r>
          </w:p>
        </w:tc>
      </w:tr>
      <w:tr w14:paraId="1E509F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467" w:type="pct"/>
            <w:tcBorders>
              <w:tl2br w:val="nil"/>
              <w:tr2bl w:val="nil"/>
            </w:tcBorders>
            <w:shd w:val="clear" w:color="auto" w:fill="auto"/>
            <w:noWrap/>
            <w:tcMar>
              <w:top w:w="15" w:type="dxa"/>
              <w:left w:w="15" w:type="dxa"/>
              <w:right w:w="15" w:type="dxa"/>
            </w:tcMar>
            <w:vAlign w:val="center"/>
          </w:tcPr>
          <w:p w14:paraId="7981D41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w:t>
            </w:r>
          </w:p>
        </w:tc>
        <w:tc>
          <w:tcPr>
            <w:tcW w:w="973" w:type="pct"/>
            <w:tcBorders>
              <w:tl2br w:val="nil"/>
              <w:tr2bl w:val="nil"/>
            </w:tcBorders>
            <w:shd w:val="clear" w:color="auto" w:fill="auto"/>
            <w:noWrap/>
            <w:tcMar>
              <w:top w:w="15" w:type="dxa"/>
              <w:left w:w="15" w:type="dxa"/>
              <w:right w:w="15" w:type="dxa"/>
            </w:tcMar>
            <w:vAlign w:val="center"/>
          </w:tcPr>
          <w:p w14:paraId="15E579B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XM-3-75</w:t>
            </w:r>
          </w:p>
        </w:tc>
        <w:tc>
          <w:tcPr>
            <w:tcW w:w="2043" w:type="pct"/>
            <w:tcBorders>
              <w:tl2br w:val="nil"/>
              <w:tr2bl w:val="nil"/>
            </w:tcBorders>
            <w:shd w:val="clear" w:color="auto" w:fill="auto"/>
            <w:noWrap/>
            <w:tcMar>
              <w:top w:w="15" w:type="dxa"/>
              <w:left w:w="15" w:type="dxa"/>
              <w:right w:w="15" w:type="dxa"/>
            </w:tcMar>
            <w:vAlign w:val="center"/>
          </w:tcPr>
          <w:p w14:paraId="4BDE5C6E">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园区边界南侧下风向75m</w:t>
            </w:r>
          </w:p>
        </w:tc>
        <w:tc>
          <w:tcPr>
            <w:tcW w:w="1515" w:type="pct"/>
            <w:tcBorders>
              <w:tl2br w:val="nil"/>
              <w:tr2bl w:val="nil"/>
            </w:tcBorders>
            <w:shd w:val="clear" w:color="auto" w:fill="auto"/>
            <w:noWrap/>
            <w:tcMar>
              <w:top w:w="15" w:type="dxa"/>
              <w:left w:w="15" w:type="dxa"/>
              <w:right w:w="15" w:type="dxa"/>
            </w:tcMar>
            <w:vAlign w:val="center"/>
          </w:tcPr>
          <w:p w14:paraId="5B3C8D4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6.44</w:t>
            </w:r>
          </w:p>
        </w:tc>
      </w:tr>
      <w:tr w14:paraId="7FE234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467" w:type="pct"/>
            <w:tcBorders>
              <w:tl2br w:val="nil"/>
              <w:tr2bl w:val="nil"/>
            </w:tcBorders>
            <w:shd w:val="clear" w:color="auto" w:fill="auto"/>
            <w:noWrap/>
            <w:tcMar>
              <w:top w:w="15" w:type="dxa"/>
              <w:left w:w="15" w:type="dxa"/>
              <w:right w:w="15" w:type="dxa"/>
            </w:tcMar>
            <w:vAlign w:val="center"/>
          </w:tcPr>
          <w:p w14:paraId="042DDE6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8</w:t>
            </w:r>
          </w:p>
        </w:tc>
        <w:tc>
          <w:tcPr>
            <w:tcW w:w="973" w:type="pct"/>
            <w:tcBorders>
              <w:tl2br w:val="nil"/>
              <w:tr2bl w:val="nil"/>
            </w:tcBorders>
            <w:shd w:val="clear" w:color="auto" w:fill="auto"/>
            <w:noWrap/>
            <w:tcMar>
              <w:top w:w="15" w:type="dxa"/>
              <w:left w:w="15" w:type="dxa"/>
              <w:right w:w="15" w:type="dxa"/>
            </w:tcMar>
            <w:vAlign w:val="center"/>
          </w:tcPr>
          <w:p w14:paraId="61A976E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XM-3-200</w:t>
            </w:r>
          </w:p>
        </w:tc>
        <w:tc>
          <w:tcPr>
            <w:tcW w:w="2043" w:type="pct"/>
            <w:tcBorders>
              <w:tl2br w:val="nil"/>
              <w:tr2bl w:val="nil"/>
            </w:tcBorders>
            <w:shd w:val="clear" w:color="auto" w:fill="auto"/>
            <w:noWrap/>
            <w:tcMar>
              <w:top w:w="15" w:type="dxa"/>
              <w:left w:w="15" w:type="dxa"/>
              <w:right w:w="15" w:type="dxa"/>
            </w:tcMar>
            <w:vAlign w:val="center"/>
          </w:tcPr>
          <w:p w14:paraId="16F1947F">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园区边界南侧下风向200m</w:t>
            </w:r>
          </w:p>
        </w:tc>
        <w:tc>
          <w:tcPr>
            <w:tcW w:w="1515" w:type="pct"/>
            <w:tcBorders>
              <w:tl2br w:val="nil"/>
              <w:tr2bl w:val="nil"/>
            </w:tcBorders>
            <w:shd w:val="clear" w:color="auto" w:fill="auto"/>
            <w:noWrap/>
            <w:tcMar>
              <w:top w:w="15" w:type="dxa"/>
              <w:left w:w="15" w:type="dxa"/>
              <w:right w:w="15" w:type="dxa"/>
            </w:tcMar>
            <w:vAlign w:val="center"/>
          </w:tcPr>
          <w:p w14:paraId="2D8DEAF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6.50</w:t>
            </w:r>
          </w:p>
        </w:tc>
      </w:tr>
      <w:tr w14:paraId="218449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467" w:type="pct"/>
            <w:tcBorders>
              <w:tl2br w:val="nil"/>
              <w:tr2bl w:val="nil"/>
            </w:tcBorders>
            <w:shd w:val="clear" w:color="auto" w:fill="auto"/>
            <w:noWrap/>
            <w:tcMar>
              <w:top w:w="15" w:type="dxa"/>
              <w:left w:w="15" w:type="dxa"/>
              <w:right w:w="15" w:type="dxa"/>
            </w:tcMar>
            <w:vAlign w:val="center"/>
          </w:tcPr>
          <w:p w14:paraId="7D3F559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w:t>
            </w:r>
          </w:p>
        </w:tc>
        <w:tc>
          <w:tcPr>
            <w:tcW w:w="973" w:type="pct"/>
            <w:tcBorders>
              <w:tl2br w:val="nil"/>
              <w:tr2bl w:val="nil"/>
            </w:tcBorders>
            <w:shd w:val="clear" w:color="auto" w:fill="auto"/>
            <w:noWrap/>
            <w:tcMar>
              <w:top w:w="15" w:type="dxa"/>
              <w:left w:w="15" w:type="dxa"/>
              <w:right w:w="15" w:type="dxa"/>
            </w:tcMar>
            <w:vAlign w:val="center"/>
          </w:tcPr>
          <w:p w14:paraId="4675754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XM-3-400</w:t>
            </w:r>
          </w:p>
        </w:tc>
        <w:tc>
          <w:tcPr>
            <w:tcW w:w="2043" w:type="pct"/>
            <w:tcBorders>
              <w:tl2br w:val="nil"/>
              <w:tr2bl w:val="nil"/>
            </w:tcBorders>
            <w:shd w:val="clear" w:color="auto" w:fill="auto"/>
            <w:noWrap/>
            <w:tcMar>
              <w:top w:w="15" w:type="dxa"/>
              <w:left w:w="15" w:type="dxa"/>
              <w:right w:w="15" w:type="dxa"/>
            </w:tcMar>
            <w:vAlign w:val="center"/>
          </w:tcPr>
          <w:p w14:paraId="5F992F27">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园区边界南侧下风向400m</w:t>
            </w:r>
          </w:p>
        </w:tc>
        <w:tc>
          <w:tcPr>
            <w:tcW w:w="1515" w:type="pct"/>
            <w:tcBorders>
              <w:tl2br w:val="nil"/>
              <w:tr2bl w:val="nil"/>
            </w:tcBorders>
            <w:shd w:val="clear" w:color="auto" w:fill="auto"/>
            <w:noWrap/>
            <w:tcMar>
              <w:top w:w="15" w:type="dxa"/>
              <w:left w:w="15" w:type="dxa"/>
              <w:right w:w="15" w:type="dxa"/>
            </w:tcMar>
            <w:vAlign w:val="center"/>
          </w:tcPr>
          <w:p w14:paraId="1ABB430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4.88</w:t>
            </w:r>
          </w:p>
        </w:tc>
      </w:tr>
      <w:tr w14:paraId="4735A0E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467" w:type="pct"/>
            <w:tcBorders>
              <w:tl2br w:val="nil"/>
              <w:tr2bl w:val="nil"/>
            </w:tcBorders>
            <w:shd w:val="clear" w:color="auto" w:fill="auto"/>
            <w:noWrap/>
            <w:tcMar>
              <w:top w:w="15" w:type="dxa"/>
              <w:left w:w="15" w:type="dxa"/>
              <w:right w:w="15" w:type="dxa"/>
            </w:tcMar>
            <w:vAlign w:val="center"/>
          </w:tcPr>
          <w:p w14:paraId="308AC40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973" w:type="pct"/>
            <w:tcBorders>
              <w:tl2br w:val="nil"/>
              <w:tr2bl w:val="nil"/>
            </w:tcBorders>
            <w:shd w:val="clear" w:color="auto" w:fill="auto"/>
            <w:noWrap/>
            <w:tcMar>
              <w:top w:w="15" w:type="dxa"/>
              <w:left w:w="15" w:type="dxa"/>
              <w:right w:w="15" w:type="dxa"/>
            </w:tcMar>
            <w:vAlign w:val="center"/>
          </w:tcPr>
          <w:p w14:paraId="4F8ED22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XM-4</w:t>
            </w:r>
          </w:p>
        </w:tc>
        <w:tc>
          <w:tcPr>
            <w:tcW w:w="2043" w:type="pct"/>
            <w:tcBorders>
              <w:tl2br w:val="nil"/>
              <w:tr2bl w:val="nil"/>
            </w:tcBorders>
            <w:shd w:val="clear" w:color="auto" w:fill="auto"/>
            <w:noWrap/>
            <w:tcMar>
              <w:top w:w="15" w:type="dxa"/>
              <w:left w:w="15" w:type="dxa"/>
              <w:right w:w="15" w:type="dxa"/>
            </w:tcMar>
            <w:vAlign w:val="center"/>
          </w:tcPr>
          <w:p w14:paraId="6D0E2A10">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园区边界北侧上风向20m以外</w:t>
            </w:r>
          </w:p>
        </w:tc>
        <w:tc>
          <w:tcPr>
            <w:tcW w:w="1515" w:type="pct"/>
            <w:tcBorders>
              <w:tl2br w:val="nil"/>
              <w:tr2bl w:val="nil"/>
            </w:tcBorders>
            <w:shd w:val="clear" w:color="auto" w:fill="auto"/>
            <w:noWrap/>
            <w:tcMar>
              <w:top w:w="15" w:type="dxa"/>
              <w:left w:w="15" w:type="dxa"/>
              <w:right w:w="15" w:type="dxa"/>
            </w:tcMar>
            <w:vAlign w:val="center"/>
          </w:tcPr>
          <w:p w14:paraId="631BAF8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8.38</w:t>
            </w:r>
          </w:p>
        </w:tc>
      </w:tr>
      <w:tr w14:paraId="1622F8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467" w:type="pct"/>
            <w:tcBorders>
              <w:tl2br w:val="nil"/>
              <w:tr2bl w:val="nil"/>
            </w:tcBorders>
            <w:shd w:val="clear" w:color="auto" w:fill="auto"/>
            <w:noWrap/>
            <w:tcMar>
              <w:top w:w="15" w:type="dxa"/>
              <w:left w:w="15" w:type="dxa"/>
              <w:right w:w="15" w:type="dxa"/>
            </w:tcMar>
            <w:vAlign w:val="center"/>
          </w:tcPr>
          <w:p w14:paraId="55C5040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w:t>
            </w:r>
          </w:p>
        </w:tc>
        <w:tc>
          <w:tcPr>
            <w:tcW w:w="973" w:type="pct"/>
            <w:tcBorders>
              <w:tl2br w:val="nil"/>
              <w:tr2bl w:val="nil"/>
            </w:tcBorders>
            <w:shd w:val="clear" w:color="auto" w:fill="auto"/>
            <w:noWrap/>
            <w:tcMar>
              <w:top w:w="15" w:type="dxa"/>
              <w:left w:w="15" w:type="dxa"/>
              <w:right w:w="15" w:type="dxa"/>
            </w:tcMar>
            <w:vAlign w:val="center"/>
          </w:tcPr>
          <w:p w14:paraId="25E6F5C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XM-JJ-1</w:t>
            </w:r>
          </w:p>
        </w:tc>
        <w:tc>
          <w:tcPr>
            <w:tcW w:w="3927" w:type="dxa"/>
            <w:tcBorders>
              <w:tl2br w:val="nil"/>
              <w:tr2bl w:val="nil"/>
            </w:tcBorders>
            <w:shd w:val="clear" w:color="auto" w:fill="auto"/>
            <w:noWrap/>
            <w:tcMar>
              <w:top w:w="15" w:type="dxa"/>
              <w:left w:w="15" w:type="dxa"/>
              <w:right w:w="15" w:type="dxa"/>
            </w:tcMar>
            <w:vAlign w:val="center"/>
          </w:tcPr>
          <w:p w14:paraId="39EED7C5">
            <w:pPr>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企业聚集区西侧</w:t>
            </w:r>
          </w:p>
        </w:tc>
        <w:tc>
          <w:tcPr>
            <w:tcW w:w="1515" w:type="pct"/>
            <w:tcBorders>
              <w:tl2br w:val="nil"/>
              <w:tr2bl w:val="nil"/>
            </w:tcBorders>
            <w:shd w:val="clear" w:color="auto" w:fill="auto"/>
            <w:noWrap/>
            <w:tcMar>
              <w:top w:w="15" w:type="dxa"/>
              <w:left w:w="15" w:type="dxa"/>
              <w:right w:w="15" w:type="dxa"/>
            </w:tcMar>
            <w:vAlign w:val="center"/>
          </w:tcPr>
          <w:p w14:paraId="66FE875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7.38</w:t>
            </w:r>
          </w:p>
        </w:tc>
      </w:tr>
      <w:tr w14:paraId="3A7487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467" w:type="pct"/>
            <w:tcBorders>
              <w:tl2br w:val="nil"/>
              <w:tr2bl w:val="nil"/>
            </w:tcBorders>
            <w:shd w:val="clear" w:color="auto" w:fill="auto"/>
            <w:noWrap/>
            <w:tcMar>
              <w:top w:w="15" w:type="dxa"/>
              <w:left w:w="15" w:type="dxa"/>
              <w:right w:w="15" w:type="dxa"/>
            </w:tcMar>
            <w:vAlign w:val="center"/>
          </w:tcPr>
          <w:p w14:paraId="15898DC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w:t>
            </w:r>
          </w:p>
        </w:tc>
        <w:tc>
          <w:tcPr>
            <w:tcW w:w="973" w:type="pct"/>
            <w:tcBorders>
              <w:tl2br w:val="nil"/>
              <w:tr2bl w:val="nil"/>
            </w:tcBorders>
            <w:shd w:val="clear" w:color="auto" w:fill="auto"/>
            <w:noWrap/>
            <w:tcMar>
              <w:top w:w="15" w:type="dxa"/>
              <w:left w:w="15" w:type="dxa"/>
              <w:right w:w="15" w:type="dxa"/>
            </w:tcMar>
            <w:vAlign w:val="center"/>
          </w:tcPr>
          <w:p w14:paraId="50CD279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XM-JJ-2</w:t>
            </w:r>
          </w:p>
        </w:tc>
        <w:tc>
          <w:tcPr>
            <w:tcW w:w="3927" w:type="dxa"/>
            <w:tcBorders>
              <w:tl2br w:val="nil"/>
              <w:tr2bl w:val="nil"/>
            </w:tcBorders>
            <w:shd w:val="clear" w:color="auto" w:fill="auto"/>
            <w:noWrap/>
            <w:tcMar>
              <w:top w:w="15" w:type="dxa"/>
              <w:left w:w="15" w:type="dxa"/>
              <w:right w:w="15" w:type="dxa"/>
            </w:tcMar>
            <w:vAlign w:val="center"/>
          </w:tcPr>
          <w:p w14:paraId="0A4FF9ED">
            <w:pPr>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企业聚集区南侧</w:t>
            </w:r>
          </w:p>
        </w:tc>
        <w:tc>
          <w:tcPr>
            <w:tcW w:w="1515" w:type="pct"/>
            <w:tcBorders>
              <w:tl2br w:val="nil"/>
              <w:tr2bl w:val="nil"/>
            </w:tcBorders>
            <w:shd w:val="clear" w:color="auto" w:fill="auto"/>
            <w:noWrap/>
            <w:tcMar>
              <w:top w:w="15" w:type="dxa"/>
              <w:left w:w="15" w:type="dxa"/>
              <w:right w:w="15" w:type="dxa"/>
            </w:tcMar>
            <w:vAlign w:val="center"/>
          </w:tcPr>
          <w:p w14:paraId="7F0A9F2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7.25</w:t>
            </w:r>
          </w:p>
        </w:tc>
      </w:tr>
      <w:tr w14:paraId="6A701B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467" w:type="pct"/>
            <w:tcBorders>
              <w:tl2br w:val="nil"/>
              <w:tr2bl w:val="nil"/>
            </w:tcBorders>
            <w:shd w:val="clear" w:color="auto" w:fill="auto"/>
            <w:noWrap/>
            <w:tcMar>
              <w:top w:w="15" w:type="dxa"/>
              <w:left w:w="15" w:type="dxa"/>
              <w:right w:w="15" w:type="dxa"/>
            </w:tcMar>
            <w:vAlign w:val="center"/>
          </w:tcPr>
          <w:p w14:paraId="3AA413E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13</w:t>
            </w:r>
          </w:p>
        </w:tc>
        <w:tc>
          <w:tcPr>
            <w:tcW w:w="973" w:type="pct"/>
            <w:tcBorders>
              <w:tl2br w:val="nil"/>
              <w:tr2bl w:val="nil"/>
            </w:tcBorders>
            <w:shd w:val="clear" w:color="auto" w:fill="auto"/>
            <w:noWrap/>
            <w:tcMar>
              <w:top w:w="15" w:type="dxa"/>
              <w:left w:w="15" w:type="dxa"/>
              <w:right w:w="15" w:type="dxa"/>
            </w:tcMar>
            <w:vAlign w:val="center"/>
          </w:tcPr>
          <w:p w14:paraId="549DA27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XM-JJ-3</w:t>
            </w:r>
          </w:p>
        </w:tc>
        <w:tc>
          <w:tcPr>
            <w:tcW w:w="3927" w:type="dxa"/>
            <w:tcBorders>
              <w:tl2br w:val="nil"/>
              <w:tr2bl w:val="nil"/>
            </w:tcBorders>
            <w:shd w:val="clear" w:color="auto" w:fill="auto"/>
            <w:noWrap/>
            <w:tcMar>
              <w:top w:w="15" w:type="dxa"/>
              <w:left w:w="15" w:type="dxa"/>
              <w:right w:w="15" w:type="dxa"/>
            </w:tcMar>
            <w:vAlign w:val="center"/>
          </w:tcPr>
          <w:p w14:paraId="629E713A">
            <w:pPr>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企业聚集区西侧</w:t>
            </w:r>
          </w:p>
        </w:tc>
        <w:tc>
          <w:tcPr>
            <w:tcW w:w="1515" w:type="pct"/>
            <w:tcBorders>
              <w:tl2br w:val="nil"/>
              <w:tr2bl w:val="nil"/>
            </w:tcBorders>
            <w:shd w:val="clear" w:color="auto" w:fill="auto"/>
            <w:noWrap/>
            <w:tcMar>
              <w:top w:w="15" w:type="dxa"/>
              <w:left w:w="15" w:type="dxa"/>
              <w:right w:w="15" w:type="dxa"/>
            </w:tcMar>
            <w:vAlign w:val="center"/>
          </w:tcPr>
          <w:p w14:paraId="5B532E9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7.15</w:t>
            </w:r>
          </w:p>
        </w:tc>
      </w:tr>
      <w:tr w14:paraId="2D617F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467" w:type="pct"/>
            <w:tcBorders>
              <w:tl2br w:val="nil"/>
              <w:tr2bl w:val="nil"/>
            </w:tcBorders>
            <w:shd w:val="clear" w:color="auto" w:fill="auto"/>
            <w:noWrap/>
            <w:tcMar>
              <w:top w:w="15" w:type="dxa"/>
              <w:left w:w="15" w:type="dxa"/>
              <w:right w:w="15" w:type="dxa"/>
            </w:tcMar>
            <w:vAlign w:val="center"/>
          </w:tcPr>
          <w:p w14:paraId="6D06FA4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14</w:t>
            </w:r>
          </w:p>
        </w:tc>
        <w:tc>
          <w:tcPr>
            <w:tcW w:w="973" w:type="pct"/>
            <w:tcBorders>
              <w:tl2br w:val="nil"/>
              <w:tr2bl w:val="nil"/>
            </w:tcBorders>
            <w:shd w:val="clear" w:color="auto" w:fill="auto"/>
            <w:noWrap/>
            <w:tcMar>
              <w:top w:w="15" w:type="dxa"/>
              <w:left w:w="15" w:type="dxa"/>
              <w:right w:w="15" w:type="dxa"/>
            </w:tcMar>
            <w:vAlign w:val="center"/>
          </w:tcPr>
          <w:p w14:paraId="11C188B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XM-JJ-4</w:t>
            </w:r>
          </w:p>
        </w:tc>
        <w:tc>
          <w:tcPr>
            <w:tcW w:w="3927" w:type="dxa"/>
            <w:tcBorders>
              <w:tl2br w:val="nil"/>
              <w:tr2bl w:val="nil"/>
            </w:tcBorders>
            <w:shd w:val="clear" w:color="auto" w:fill="auto"/>
            <w:noWrap/>
            <w:tcMar>
              <w:top w:w="15" w:type="dxa"/>
              <w:left w:w="15" w:type="dxa"/>
              <w:right w:w="15" w:type="dxa"/>
            </w:tcMar>
            <w:vAlign w:val="center"/>
          </w:tcPr>
          <w:p w14:paraId="5207FFB5">
            <w:pPr>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企业聚集区南侧</w:t>
            </w:r>
          </w:p>
        </w:tc>
        <w:tc>
          <w:tcPr>
            <w:tcW w:w="1515" w:type="pct"/>
            <w:tcBorders>
              <w:tl2br w:val="nil"/>
              <w:tr2bl w:val="nil"/>
            </w:tcBorders>
            <w:shd w:val="clear" w:color="auto" w:fill="auto"/>
            <w:noWrap/>
            <w:tcMar>
              <w:top w:w="15" w:type="dxa"/>
              <w:left w:w="15" w:type="dxa"/>
              <w:right w:w="15" w:type="dxa"/>
            </w:tcMar>
            <w:vAlign w:val="center"/>
          </w:tcPr>
          <w:p w14:paraId="6C21DA6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8.08</w:t>
            </w:r>
          </w:p>
        </w:tc>
      </w:tr>
      <w:tr w14:paraId="0BAE09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3484" w:type="pct"/>
            <w:gridSpan w:val="3"/>
            <w:tcBorders>
              <w:tl2br w:val="nil"/>
              <w:tr2bl w:val="nil"/>
            </w:tcBorders>
            <w:shd w:val="clear" w:color="auto" w:fill="auto"/>
            <w:noWrap/>
            <w:tcMar>
              <w:top w:w="15" w:type="dxa"/>
              <w:left w:w="15" w:type="dxa"/>
              <w:right w:w="15" w:type="dxa"/>
            </w:tcMar>
            <w:vAlign w:val="center"/>
          </w:tcPr>
          <w:p w14:paraId="4C1F1BF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最大值</w:t>
            </w:r>
          </w:p>
        </w:tc>
        <w:tc>
          <w:tcPr>
            <w:tcW w:w="1515" w:type="pct"/>
            <w:tcBorders>
              <w:tl2br w:val="nil"/>
              <w:tr2bl w:val="nil"/>
            </w:tcBorders>
            <w:shd w:val="clear" w:color="auto" w:fill="auto"/>
            <w:noWrap/>
            <w:tcMar>
              <w:top w:w="15" w:type="dxa"/>
              <w:left w:w="15" w:type="dxa"/>
              <w:right w:w="15" w:type="dxa"/>
            </w:tcMar>
            <w:vAlign w:val="center"/>
          </w:tcPr>
          <w:p w14:paraId="6476053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8.51</w:t>
            </w:r>
          </w:p>
        </w:tc>
      </w:tr>
      <w:tr w14:paraId="33D041B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3484" w:type="pct"/>
            <w:gridSpan w:val="3"/>
            <w:tcBorders>
              <w:tl2br w:val="nil"/>
              <w:tr2bl w:val="nil"/>
            </w:tcBorders>
            <w:shd w:val="clear" w:color="auto" w:fill="auto"/>
            <w:noWrap/>
            <w:tcMar>
              <w:top w:w="15" w:type="dxa"/>
              <w:left w:w="15" w:type="dxa"/>
              <w:right w:w="15" w:type="dxa"/>
            </w:tcMar>
            <w:vAlign w:val="center"/>
          </w:tcPr>
          <w:p w14:paraId="507C716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最小值</w:t>
            </w:r>
          </w:p>
        </w:tc>
        <w:tc>
          <w:tcPr>
            <w:tcW w:w="1515" w:type="pct"/>
            <w:tcBorders>
              <w:tl2br w:val="nil"/>
              <w:tr2bl w:val="nil"/>
            </w:tcBorders>
            <w:shd w:val="clear" w:color="auto" w:fill="auto"/>
            <w:noWrap/>
            <w:tcMar>
              <w:top w:w="15" w:type="dxa"/>
              <w:left w:w="15" w:type="dxa"/>
              <w:right w:w="15" w:type="dxa"/>
            </w:tcMar>
            <w:vAlign w:val="center"/>
          </w:tcPr>
          <w:p w14:paraId="1C62EC2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4.88</w:t>
            </w:r>
          </w:p>
        </w:tc>
      </w:tr>
      <w:tr w14:paraId="6E7DEA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3484" w:type="pct"/>
            <w:gridSpan w:val="3"/>
            <w:tcBorders>
              <w:tl2br w:val="nil"/>
              <w:tr2bl w:val="nil"/>
            </w:tcBorders>
            <w:shd w:val="clear" w:color="auto" w:fill="auto"/>
            <w:noWrap/>
            <w:tcMar>
              <w:top w:w="15" w:type="dxa"/>
              <w:left w:w="15" w:type="dxa"/>
              <w:right w:w="15" w:type="dxa"/>
            </w:tcMar>
            <w:vAlign w:val="center"/>
          </w:tcPr>
          <w:p w14:paraId="6CF06F2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平均值</w:t>
            </w:r>
          </w:p>
        </w:tc>
        <w:tc>
          <w:tcPr>
            <w:tcW w:w="1515" w:type="pct"/>
            <w:tcBorders>
              <w:tl2br w:val="nil"/>
              <w:tr2bl w:val="nil"/>
            </w:tcBorders>
            <w:shd w:val="clear" w:color="auto" w:fill="auto"/>
            <w:noWrap/>
            <w:tcMar>
              <w:top w:w="15" w:type="dxa"/>
              <w:left w:w="15" w:type="dxa"/>
              <w:right w:w="15" w:type="dxa"/>
            </w:tcMar>
            <w:vAlign w:val="center"/>
          </w:tcPr>
          <w:p w14:paraId="64EB575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7.57</w:t>
            </w:r>
          </w:p>
        </w:tc>
      </w:tr>
    </w:tbl>
    <w:p w14:paraId="63BBE250">
      <w:pPr>
        <w:ind w:firstLine="420"/>
        <w:rPr>
          <w:rFonts w:hint="default" w:ascii="Times New Roman" w:hAnsi="Times New Roman" w:cs="Times New Roman"/>
          <w:color w:val="auto"/>
          <w:highlight w:val="none"/>
        </w:rPr>
      </w:pPr>
      <w:bookmarkStart w:id="42" w:name="_Toc28171_WPSOffice_Level2"/>
      <w:bookmarkEnd w:id="42"/>
      <w:r>
        <w:rPr>
          <w:rFonts w:hint="default" w:ascii="Times New Roman" w:hAnsi="Times New Roman" w:cs="Times New Roman"/>
          <w:color w:val="auto"/>
          <w:highlight w:val="none"/>
        </w:rPr>
        <w:t>各点位pH值散点分布图如下：</w:t>
      </w:r>
    </w:p>
    <w:tbl>
      <w:tblPr>
        <w:tblStyle w:val="22"/>
        <w:tblW w:w="88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26"/>
      </w:tblGrid>
      <w:tr w14:paraId="38422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29D52D20">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4890135" cy="3839845"/>
                  <wp:effectExtent l="9525" t="0" r="22860" b="52070"/>
                  <wp:docPr id="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8EB0ACA">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图5-3-1 pH指标分布情况图</w:t>
            </w:r>
          </w:p>
        </w:tc>
      </w:tr>
    </w:tbl>
    <w:p w14:paraId="2788A8F0">
      <w:pPr>
        <w:numPr>
          <w:ilvl w:val="0"/>
          <w:numId w:val="13"/>
        </w:numPr>
        <w:ind w:firstLine="42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总氟化物</w:t>
      </w:r>
    </w:p>
    <w:p w14:paraId="7CB7B91B">
      <w:pPr>
        <w:pStyle w:val="2"/>
        <w:spacing w:after="0"/>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园区</w:t>
      </w:r>
      <w:r>
        <w:rPr>
          <w:rFonts w:hint="default" w:ascii="Times New Roman" w:hAnsi="Times New Roman" w:cs="Times New Roman"/>
          <w:color w:val="auto"/>
          <w:highlight w:val="none"/>
        </w:rPr>
        <w:t>14个土壤样品（不含质控样品）总氟化物均有检出，检出率100%。检测结果显示，最小值为4</w:t>
      </w:r>
      <w:r>
        <w:rPr>
          <w:rFonts w:hint="default" w:ascii="Times New Roman" w:hAnsi="Times New Roman" w:cs="Times New Roman"/>
          <w:color w:val="auto"/>
          <w:highlight w:val="none"/>
          <w:lang w:val="en-US" w:eastAsia="zh-CN"/>
        </w:rPr>
        <w:t>21</w:t>
      </w:r>
      <w:r>
        <w:rPr>
          <w:rFonts w:hint="default" w:ascii="Times New Roman" w:hAnsi="Times New Roman" w:cs="Times New Roman"/>
          <w:color w:val="auto"/>
          <w:highlight w:val="none"/>
        </w:rPr>
        <w:t>mg/kg，最大值为</w:t>
      </w:r>
      <w:r>
        <w:rPr>
          <w:rFonts w:hint="default" w:ascii="Times New Roman" w:hAnsi="Times New Roman" w:cs="Times New Roman"/>
          <w:color w:val="auto"/>
          <w:highlight w:val="none"/>
          <w:lang w:val="en-US" w:eastAsia="zh-CN"/>
        </w:rPr>
        <w:t>71</w:t>
      </w:r>
      <w:r>
        <w:rPr>
          <w:rFonts w:hint="default" w:ascii="Times New Roman" w:hAnsi="Times New Roman" w:cs="Times New Roman"/>
          <w:color w:val="auto"/>
          <w:highlight w:val="none"/>
        </w:rPr>
        <w:t>3mg/kg，见表5-3-2。</w:t>
      </w:r>
    </w:p>
    <w:p w14:paraId="30841934">
      <w:pPr>
        <w:pStyle w:val="2"/>
        <w:spacing w:after="0"/>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本次调查所有送检土壤样品总氟化物检测值均低于对应的参考标准值，各点位总氟化物监测结果达标。</w:t>
      </w:r>
    </w:p>
    <w:p w14:paraId="6A9FCE5E">
      <w:pPr>
        <w:pStyle w:val="2"/>
        <w:spacing w:after="0"/>
        <w:jc w:val="center"/>
        <w:rPr>
          <w:rFonts w:hint="default" w:ascii="Times New Roman" w:hAnsi="Times New Roman" w:eastAsia="黑体" w:cs="Times New Roman"/>
          <w:color w:val="auto"/>
          <w:highlight w:val="none"/>
        </w:rPr>
      </w:pPr>
      <w:r>
        <w:rPr>
          <w:rFonts w:hint="default" w:ascii="Times New Roman" w:hAnsi="Times New Roman" w:eastAsia="黑体" w:cs="Times New Roman"/>
          <w:b/>
          <w:bCs/>
          <w:color w:val="auto"/>
          <w:highlight w:val="none"/>
        </w:rPr>
        <w:t>表5-3-2 土壤样品总氟化物监测值（单位：mg/kg）</w:t>
      </w:r>
    </w:p>
    <w:tbl>
      <w:tblPr>
        <w:tblStyle w:val="21"/>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567"/>
        <w:gridCol w:w="1165"/>
        <w:gridCol w:w="3538"/>
        <w:gridCol w:w="3242"/>
        <w:gridCol w:w="1095"/>
      </w:tblGrid>
      <w:tr w14:paraId="576D59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blHeader/>
          <w:jc w:val="center"/>
        </w:trPr>
        <w:tc>
          <w:tcPr>
            <w:tcW w:w="295" w:type="pct"/>
            <w:tcBorders>
              <w:bottom w:val="single" w:color="000000" w:sz="12" w:space="0"/>
            </w:tcBorders>
            <w:shd w:val="clear" w:color="auto" w:fill="auto"/>
            <w:noWrap/>
            <w:tcMar>
              <w:top w:w="15" w:type="dxa"/>
              <w:left w:w="15" w:type="dxa"/>
              <w:right w:w="15" w:type="dxa"/>
            </w:tcMar>
            <w:vAlign w:val="center"/>
          </w:tcPr>
          <w:p w14:paraId="234140CD">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序号</w:t>
            </w:r>
          </w:p>
        </w:tc>
        <w:tc>
          <w:tcPr>
            <w:tcW w:w="606" w:type="pct"/>
            <w:tcBorders>
              <w:bottom w:val="single" w:color="000000" w:sz="12" w:space="0"/>
            </w:tcBorders>
            <w:shd w:val="clear" w:color="auto" w:fill="auto"/>
            <w:noWrap/>
            <w:tcMar>
              <w:top w:w="15" w:type="dxa"/>
              <w:left w:w="15" w:type="dxa"/>
              <w:right w:w="15" w:type="dxa"/>
            </w:tcMar>
            <w:vAlign w:val="center"/>
          </w:tcPr>
          <w:p w14:paraId="3B516891">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样品编号</w:t>
            </w:r>
          </w:p>
        </w:tc>
        <w:tc>
          <w:tcPr>
            <w:tcW w:w="1841" w:type="pct"/>
            <w:tcBorders>
              <w:bottom w:val="single" w:color="000000" w:sz="12" w:space="0"/>
            </w:tcBorders>
            <w:shd w:val="clear" w:color="auto" w:fill="auto"/>
            <w:noWrap/>
            <w:tcMar>
              <w:top w:w="15" w:type="dxa"/>
              <w:left w:w="15" w:type="dxa"/>
              <w:right w:w="15" w:type="dxa"/>
            </w:tcMar>
            <w:vAlign w:val="center"/>
          </w:tcPr>
          <w:p w14:paraId="1F6E2118">
            <w:pPr>
              <w:widowControl/>
              <w:spacing w:line="240" w:lineRule="auto"/>
              <w:jc w:val="center"/>
              <w:textAlignment w:val="center"/>
              <w:rPr>
                <w:rFonts w:hint="default" w:ascii="Times New Roman" w:hAnsi="Times New Roman" w:eastAsia="宋体" w:cs="Times New Roman"/>
                <w:b/>
                <w:color w:val="auto"/>
                <w:kern w:val="0"/>
                <w:sz w:val="21"/>
                <w:szCs w:val="21"/>
                <w:highlight w:val="none"/>
                <w:lang w:val="en-US" w:eastAsia="zh-CN" w:bidi="ar"/>
              </w:rPr>
            </w:pPr>
            <w:r>
              <w:rPr>
                <w:rFonts w:hint="default" w:ascii="Times New Roman" w:hAnsi="Times New Roman" w:cs="Times New Roman"/>
                <w:b/>
                <w:color w:val="auto"/>
                <w:kern w:val="0"/>
                <w:sz w:val="21"/>
                <w:szCs w:val="21"/>
                <w:highlight w:val="none"/>
                <w:lang w:val="en-US" w:eastAsia="zh-CN" w:bidi="ar"/>
              </w:rPr>
              <w:t>点位位置</w:t>
            </w:r>
          </w:p>
        </w:tc>
        <w:tc>
          <w:tcPr>
            <w:tcW w:w="1685" w:type="pct"/>
            <w:tcBorders>
              <w:bottom w:val="single" w:color="000000" w:sz="12" w:space="0"/>
            </w:tcBorders>
            <w:shd w:val="clear" w:color="auto" w:fill="auto"/>
            <w:noWrap/>
            <w:tcMar>
              <w:top w:w="15" w:type="dxa"/>
              <w:left w:w="15" w:type="dxa"/>
              <w:right w:w="15" w:type="dxa"/>
            </w:tcMar>
            <w:vAlign w:val="center"/>
          </w:tcPr>
          <w:p w14:paraId="2E5821DD">
            <w:pPr>
              <w:widowControl/>
              <w:spacing w:line="240" w:lineRule="auto"/>
              <w:jc w:val="center"/>
              <w:textAlignment w:val="center"/>
              <w:rPr>
                <w:rFonts w:hint="default" w:ascii="Times New Roman" w:hAnsi="Times New Roman" w:eastAsia="宋体" w:cs="Times New Roman"/>
                <w:b/>
                <w:color w:val="auto"/>
                <w:kern w:val="0"/>
                <w:sz w:val="21"/>
                <w:szCs w:val="21"/>
                <w:highlight w:val="none"/>
                <w:lang w:val="en-US" w:eastAsia="zh-CN" w:bidi="ar"/>
              </w:rPr>
            </w:pPr>
            <w:r>
              <w:rPr>
                <w:rFonts w:hint="default" w:ascii="Times New Roman" w:hAnsi="Times New Roman" w:cs="Times New Roman"/>
                <w:b/>
                <w:bCs/>
                <w:color w:val="auto"/>
                <w:kern w:val="0"/>
                <w:sz w:val="21"/>
                <w:szCs w:val="21"/>
                <w:highlight w:val="none"/>
                <w:lang w:bidi="ar"/>
              </w:rPr>
              <w:t>参考标准</w:t>
            </w:r>
            <w:r>
              <w:rPr>
                <w:rFonts w:hint="default" w:ascii="Times New Roman" w:hAnsi="Times New Roman" w:cs="Times New Roman"/>
                <w:b/>
                <w:bCs/>
                <w:color w:val="auto"/>
                <w:kern w:val="0"/>
                <w:sz w:val="18"/>
                <w:szCs w:val="18"/>
                <w:highlight w:val="none"/>
                <w:vertAlign w:val="superscript"/>
                <w:lang w:val="en-US" w:eastAsia="zh-CN"/>
              </w:rPr>
              <w:t>①</w:t>
            </w:r>
          </w:p>
        </w:tc>
        <w:tc>
          <w:tcPr>
            <w:tcW w:w="570" w:type="pct"/>
            <w:tcBorders>
              <w:bottom w:val="single" w:color="000000" w:sz="12" w:space="0"/>
            </w:tcBorders>
            <w:shd w:val="clear" w:color="auto" w:fill="auto"/>
            <w:noWrap/>
            <w:tcMar>
              <w:top w:w="15" w:type="dxa"/>
              <w:left w:w="15" w:type="dxa"/>
              <w:right w:w="15" w:type="dxa"/>
            </w:tcMar>
            <w:vAlign w:val="center"/>
          </w:tcPr>
          <w:p w14:paraId="59724C62">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总氟化物</w:t>
            </w:r>
          </w:p>
        </w:tc>
      </w:tr>
      <w:tr w14:paraId="6841F4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95" w:type="pct"/>
            <w:tcBorders>
              <w:top w:val="single" w:color="000000" w:sz="12" w:space="0"/>
              <w:tl2br w:val="nil"/>
              <w:tr2bl w:val="nil"/>
            </w:tcBorders>
            <w:shd w:val="clear" w:color="auto" w:fill="auto"/>
            <w:noWrap/>
            <w:tcMar>
              <w:top w:w="15" w:type="dxa"/>
              <w:left w:w="15" w:type="dxa"/>
              <w:right w:w="15" w:type="dxa"/>
            </w:tcMar>
            <w:vAlign w:val="center"/>
          </w:tcPr>
          <w:p w14:paraId="285AFC6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w:t>
            </w:r>
          </w:p>
        </w:tc>
        <w:tc>
          <w:tcPr>
            <w:tcW w:w="606" w:type="pct"/>
            <w:tcBorders>
              <w:top w:val="single" w:color="000000" w:sz="12" w:space="0"/>
              <w:tl2br w:val="nil"/>
              <w:tr2bl w:val="nil"/>
            </w:tcBorders>
            <w:shd w:val="clear" w:color="auto" w:fill="auto"/>
            <w:noWrap/>
            <w:tcMar>
              <w:top w:w="15" w:type="dxa"/>
              <w:left w:w="15" w:type="dxa"/>
              <w:right w:w="15" w:type="dxa"/>
            </w:tcMar>
          </w:tcPr>
          <w:p w14:paraId="75E8E81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XM-1-75</w:t>
            </w:r>
          </w:p>
        </w:tc>
        <w:tc>
          <w:tcPr>
            <w:tcW w:w="1841" w:type="pct"/>
            <w:tcBorders>
              <w:top w:val="single" w:color="000000" w:sz="12" w:space="0"/>
              <w:tl2br w:val="nil"/>
              <w:tr2bl w:val="nil"/>
            </w:tcBorders>
            <w:shd w:val="clear" w:color="auto" w:fill="auto"/>
            <w:noWrap/>
            <w:tcMar>
              <w:top w:w="15" w:type="dxa"/>
              <w:left w:w="15" w:type="dxa"/>
              <w:right w:w="15" w:type="dxa"/>
            </w:tcMar>
            <w:vAlign w:val="center"/>
          </w:tcPr>
          <w:p w14:paraId="2E7253F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lang w:val="en-US" w:eastAsia="zh-CN"/>
              </w:rPr>
              <w:t>园区边界西侧下风向75m</w:t>
            </w:r>
          </w:p>
        </w:tc>
        <w:tc>
          <w:tcPr>
            <w:tcW w:w="1685" w:type="pct"/>
            <w:tcBorders>
              <w:top w:val="single" w:color="000000" w:sz="12" w:space="0"/>
              <w:tl2br w:val="nil"/>
              <w:tr2bl w:val="nil"/>
            </w:tcBorders>
            <w:shd w:val="clear" w:color="auto" w:fill="auto"/>
            <w:noWrap/>
            <w:tcMar>
              <w:top w:w="15" w:type="dxa"/>
              <w:left w:w="15" w:type="dxa"/>
              <w:right w:w="15" w:type="dxa"/>
            </w:tcMar>
            <w:vAlign w:val="center"/>
          </w:tcPr>
          <w:p w14:paraId="028607E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第一类用地筛选值</w:t>
            </w:r>
          </w:p>
        </w:tc>
        <w:tc>
          <w:tcPr>
            <w:tcW w:w="570" w:type="pct"/>
            <w:tcBorders>
              <w:top w:val="single" w:color="000000" w:sz="12" w:space="0"/>
              <w:tl2br w:val="nil"/>
              <w:tr2bl w:val="nil"/>
            </w:tcBorders>
            <w:shd w:val="clear" w:color="auto" w:fill="auto"/>
            <w:noWrap/>
            <w:tcMar>
              <w:top w:w="15" w:type="dxa"/>
              <w:left w:w="15" w:type="dxa"/>
              <w:right w:w="15" w:type="dxa"/>
            </w:tcMar>
          </w:tcPr>
          <w:p w14:paraId="690E4CA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687</w:t>
            </w:r>
          </w:p>
        </w:tc>
      </w:tr>
      <w:tr w14:paraId="7A6AFC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95" w:type="pct"/>
            <w:tcBorders>
              <w:tl2br w:val="nil"/>
              <w:tr2bl w:val="nil"/>
            </w:tcBorders>
            <w:shd w:val="clear" w:color="auto" w:fill="auto"/>
            <w:noWrap/>
            <w:tcMar>
              <w:top w:w="15" w:type="dxa"/>
              <w:left w:w="15" w:type="dxa"/>
              <w:right w:w="15" w:type="dxa"/>
            </w:tcMar>
            <w:vAlign w:val="center"/>
          </w:tcPr>
          <w:p w14:paraId="61C1FB0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w:t>
            </w:r>
          </w:p>
        </w:tc>
        <w:tc>
          <w:tcPr>
            <w:tcW w:w="606" w:type="pct"/>
            <w:tcBorders>
              <w:tl2br w:val="nil"/>
              <w:tr2bl w:val="nil"/>
            </w:tcBorders>
            <w:shd w:val="clear" w:color="auto" w:fill="auto"/>
            <w:noWrap/>
            <w:tcMar>
              <w:top w:w="15" w:type="dxa"/>
              <w:left w:w="15" w:type="dxa"/>
              <w:right w:w="15" w:type="dxa"/>
            </w:tcMar>
          </w:tcPr>
          <w:p w14:paraId="691DE48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XM-1-200</w:t>
            </w:r>
          </w:p>
        </w:tc>
        <w:tc>
          <w:tcPr>
            <w:tcW w:w="1841" w:type="pct"/>
            <w:tcBorders>
              <w:tl2br w:val="nil"/>
              <w:tr2bl w:val="nil"/>
            </w:tcBorders>
            <w:shd w:val="clear" w:color="auto" w:fill="auto"/>
            <w:noWrap/>
            <w:tcMar>
              <w:top w:w="15" w:type="dxa"/>
              <w:left w:w="15" w:type="dxa"/>
              <w:right w:w="15" w:type="dxa"/>
            </w:tcMar>
            <w:vAlign w:val="center"/>
          </w:tcPr>
          <w:p w14:paraId="1F6DD48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lang w:val="en-US" w:eastAsia="zh-CN"/>
              </w:rPr>
              <w:t>园区边界西侧下风向200m</w:t>
            </w:r>
          </w:p>
        </w:tc>
        <w:tc>
          <w:tcPr>
            <w:tcW w:w="1685" w:type="pct"/>
            <w:tcBorders>
              <w:tl2br w:val="nil"/>
              <w:tr2bl w:val="nil"/>
            </w:tcBorders>
            <w:shd w:val="clear" w:color="auto" w:fill="auto"/>
            <w:noWrap/>
            <w:tcMar>
              <w:top w:w="15" w:type="dxa"/>
              <w:left w:w="15" w:type="dxa"/>
              <w:right w:w="15" w:type="dxa"/>
            </w:tcMar>
            <w:vAlign w:val="center"/>
          </w:tcPr>
          <w:p w14:paraId="7810873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第一类用地筛选值</w:t>
            </w:r>
          </w:p>
        </w:tc>
        <w:tc>
          <w:tcPr>
            <w:tcW w:w="570" w:type="pct"/>
            <w:tcBorders>
              <w:tl2br w:val="nil"/>
              <w:tr2bl w:val="nil"/>
            </w:tcBorders>
            <w:shd w:val="clear" w:color="auto" w:fill="auto"/>
            <w:noWrap/>
            <w:tcMar>
              <w:top w:w="15" w:type="dxa"/>
              <w:left w:w="15" w:type="dxa"/>
              <w:right w:w="15" w:type="dxa"/>
            </w:tcMar>
          </w:tcPr>
          <w:p w14:paraId="3ACEB97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628</w:t>
            </w:r>
          </w:p>
        </w:tc>
      </w:tr>
      <w:tr w14:paraId="1E4D90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95" w:type="pct"/>
            <w:tcBorders>
              <w:tl2br w:val="nil"/>
              <w:tr2bl w:val="nil"/>
            </w:tcBorders>
            <w:shd w:val="clear" w:color="auto" w:fill="auto"/>
            <w:noWrap/>
            <w:tcMar>
              <w:top w:w="15" w:type="dxa"/>
              <w:left w:w="15" w:type="dxa"/>
              <w:right w:w="15" w:type="dxa"/>
            </w:tcMar>
            <w:vAlign w:val="center"/>
          </w:tcPr>
          <w:p w14:paraId="45F2A6B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w:t>
            </w:r>
          </w:p>
        </w:tc>
        <w:tc>
          <w:tcPr>
            <w:tcW w:w="606" w:type="pct"/>
            <w:tcBorders>
              <w:tl2br w:val="nil"/>
              <w:tr2bl w:val="nil"/>
            </w:tcBorders>
            <w:shd w:val="clear" w:color="auto" w:fill="auto"/>
            <w:noWrap/>
            <w:tcMar>
              <w:top w:w="15" w:type="dxa"/>
              <w:left w:w="15" w:type="dxa"/>
              <w:right w:w="15" w:type="dxa"/>
            </w:tcMar>
          </w:tcPr>
          <w:p w14:paraId="7731080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XM-1-400</w:t>
            </w:r>
          </w:p>
        </w:tc>
        <w:tc>
          <w:tcPr>
            <w:tcW w:w="1841" w:type="pct"/>
            <w:tcBorders>
              <w:tl2br w:val="nil"/>
              <w:tr2bl w:val="nil"/>
            </w:tcBorders>
            <w:shd w:val="clear" w:color="auto" w:fill="auto"/>
            <w:noWrap/>
            <w:tcMar>
              <w:top w:w="15" w:type="dxa"/>
              <w:left w:w="15" w:type="dxa"/>
              <w:right w:w="15" w:type="dxa"/>
            </w:tcMar>
            <w:vAlign w:val="center"/>
          </w:tcPr>
          <w:p w14:paraId="1920C9E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lang w:val="en-US" w:eastAsia="zh-CN"/>
              </w:rPr>
              <w:t>园区边界西侧下风向400m</w:t>
            </w:r>
          </w:p>
        </w:tc>
        <w:tc>
          <w:tcPr>
            <w:tcW w:w="1685" w:type="pct"/>
            <w:tcBorders>
              <w:tl2br w:val="nil"/>
              <w:tr2bl w:val="nil"/>
            </w:tcBorders>
            <w:shd w:val="clear" w:color="auto" w:fill="auto"/>
            <w:noWrap/>
            <w:tcMar>
              <w:top w:w="15" w:type="dxa"/>
              <w:left w:w="15" w:type="dxa"/>
              <w:right w:w="15" w:type="dxa"/>
            </w:tcMar>
            <w:vAlign w:val="center"/>
          </w:tcPr>
          <w:p w14:paraId="2085891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第一类用地筛选值</w:t>
            </w:r>
          </w:p>
        </w:tc>
        <w:tc>
          <w:tcPr>
            <w:tcW w:w="570" w:type="pct"/>
            <w:tcBorders>
              <w:tl2br w:val="nil"/>
              <w:tr2bl w:val="nil"/>
            </w:tcBorders>
            <w:shd w:val="clear" w:color="auto" w:fill="auto"/>
            <w:noWrap/>
            <w:tcMar>
              <w:top w:w="15" w:type="dxa"/>
              <w:left w:w="15" w:type="dxa"/>
              <w:right w:w="15" w:type="dxa"/>
            </w:tcMar>
          </w:tcPr>
          <w:p w14:paraId="75BB853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626</w:t>
            </w:r>
          </w:p>
        </w:tc>
      </w:tr>
      <w:tr w14:paraId="6F966D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95" w:type="pct"/>
            <w:tcBorders>
              <w:tl2br w:val="nil"/>
              <w:tr2bl w:val="nil"/>
            </w:tcBorders>
            <w:shd w:val="clear" w:color="auto" w:fill="auto"/>
            <w:noWrap/>
            <w:tcMar>
              <w:top w:w="15" w:type="dxa"/>
              <w:left w:w="15" w:type="dxa"/>
              <w:right w:w="15" w:type="dxa"/>
            </w:tcMar>
            <w:vAlign w:val="center"/>
          </w:tcPr>
          <w:p w14:paraId="10F7D77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w:t>
            </w:r>
          </w:p>
        </w:tc>
        <w:tc>
          <w:tcPr>
            <w:tcW w:w="606" w:type="pct"/>
            <w:tcBorders>
              <w:tl2br w:val="nil"/>
              <w:tr2bl w:val="nil"/>
            </w:tcBorders>
            <w:shd w:val="clear" w:color="auto" w:fill="auto"/>
            <w:noWrap/>
            <w:tcMar>
              <w:top w:w="15" w:type="dxa"/>
              <w:left w:w="15" w:type="dxa"/>
              <w:right w:w="15" w:type="dxa"/>
            </w:tcMar>
          </w:tcPr>
          <w:p w14:paraId="01A5784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XM-2-75</w:t>
            </w:r>
          </w:p>
        </w:tc>
        <w:tc>
          <w:tcPr>
            <w:tcW w:w="1841" w:type="pct"/>
            <w:tcBorders>
              <w:tl2br w:val="nil"/>
              <w:tr2bl w:val="nil"/>
            </w:tcBorders>
            <w:shd w:val="clear" w:color="auto" w:fill="auto"/>
            <w:noWrap/>
            <w:tcMar>
              <w:top w:w="15" w:type="dxa"/>
              <w:left w:w="15" w:type="dxa"/>
              <w:right w:w="15" w:type="dxa"/>
            </w:tcMar>
            <w:vAlign w:val="center"/>
          </w:tcPr>
          <w:p w14:paraId="43C6507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lang w:val="en-US" w:eastAsia="zh-CN"/>
              </w:rPr>
              <w:t>园区边界</w:t>
            </w:r>
            <w:r>
              <w:rPr>
                <w:rFonts w:hint="eastAsia" w:cs="Times New Roman"/>
                <w:color w:val="auto"/>
                <w:sz w:val="21"/>
                <w:szCs w:val="21"/>
                <w:highlight w:val="none"/>
                <w:lang w:val="en-US" w:eastAsia="zh-CN"/>
              </w:rPr>
              <w:t>东</w:t>
            </w:r>
            <w:r>
              <w:rPr>
                <w:rFonts w:hint="default" w:ascii="Times New Roman" w:hAnsi="Times New Roman" w:cs="Times New Roman"/>
                <w:color w:val="auto"/>
                <w:sz w:val="21"/>
                <w:szCs w:val="21"/>
                <w:highlight w:val="none"/>
                <w:lang w:val="en-US" w:eastAsia="zh-CN"/>
              </w:rPr>
              <w:t>侧下风向75m</w:t>
            </w:r>
          </w:p>
        </w:tc>
        <w:tc>
          <w:tcPr>
            <w:tcW w:w="1685" w:type="pct"/>
            <w:tcBorders>
              <w:tl2br w:val="nil"/>
              <w:tr2bl w:val="nil"/>
            </w:tcBorders>
            <w:shd w:val="clear" w:color="auto" w:fill="auto"/>
            <w:noWrap/>
            <w:tcMar>
              <w:top w:w="15" w:type="dxa"/>
              <w:left w:w="15" w:type="dxa"/>
              <w:right w:w="15" w:type="dxa"/>
            </w:tcMar>
            <w:vAlign w:val="center"/>
          </w:tcPr>
          <w:p w14:paraId="6A754C0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第二类用地筛选值</w:t>
            </w:r>
          </w:p>
        </w:tc>
        <w:tc>
          <w:tcPr>
            <w:tcW w:w="570" w:type="pct"/>
            <w:tcBorders>
              <w:tl2br w:val="nil"/>
              <w:tr2bl w:val="nil"/>
            </w:tcBorders>
            <w:shd w:val="clear" w:color="auto" w:fill="auto"/>
            <w:noWrap/>
            <w:tcMar>
              <w:top w:w="15" w:type="dxa"/>
              <w:left w:w="15" w:type="dxa"/>
              <w:right w:w="15" w:type="dxa"/>
            </w:tcMar>
          </w:tcPr>
          <w:p w14:paraId="398233E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557</w:t>
            </w:r>
          </w:p>
        </w:tc>
      </w:tr>
      <w:tr w14:paraId="2F8667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95" w:type="pct"/>
            <w:tcBorders>
              <w:tl2br w:val="nil"/>
              <w:tr2bl w:val="nil"/>
            </w:tcBorders>
            <w:shd w:val="clear" w:color="auto" w:fill="auto"/>
            <w:noWrap/>
            <w:tcMar>
              <w:top w:w="15" w:type="dxa"/>
              <w:left w:w="15" w:type="dxa"/>
              <w:right w:w="15" w:type="dxa"/>
            </w:tcMar>
            <w:vAlign w:val="center"/>
          </w:tcPr>
          <w:p w14:paraId="058E860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w:t>
            </w:r>
          </w:p>
        </w:tc>
        <w:tc>
          <w:tcPr>
            <w:tcW w:w="606" w:type="pct"/>
            <w:tcBorders>
              <w:tl2br w:val="nil"/>
              <w:tr2bl w:val="nil"/>
            </w:tcBorders>
            <w:shd w:val="clear" w:color="auto" w:fill="auto"/>
            <w:noWrap/>
            <w:tcMar>
              <w:top w:w="15" w:type="dxa"/>
              <w:left w:w="15" w:type="dxa"/>
              <w:right w:w="15" w:type="dxa"/>
            </w:tcMar>
          </w:tcPr>
          <w:p w14:paraId="62CE31A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XM-2-200</w:t>
            </w:r>
          </w:p>
        </w:tc>
        <w:tc>
          <w:tcPr>
            <w:tcW w:w="1841" w:type="pct"/>
            <w:tcBorders>
              <w:tl2br w:val="nil"/>
              <w:tr2bl w:val="nil"/>
            </w:tcBorders>
            <w:shd w:val="clear" w:color="auto" w:fill="auto"/>
            <w:noWrap/>
            <w:tcMar>
              <w:top w:w="15" w:type="dxa"/>
              <w:left w:w="15" w:type="dxa"/>
              <w:right w:w="15" w:type="dxa"/>
            </w:tcMar>
            <w:vAlign w:val="center"/>
          </w:tcPr>
          <w:p w14:paraId="0C6EBF7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lang w:val="en-US" w:eastAsia="zh-CN"/>
              </w:rPr>
              <w:t>园区边界</w:t>
            </w:r>
            <w:r>
              <w:rPr>
                <w:rFonts w:hint="eastAsia" w:cs="Times New Roman"/>
                <w:color w:val="auto"/>
                <w:sz w:val="21"/>
                <w:szCs w:val="21"/>
                <w:highlight w:val="none"/>
                <w:lang w:val="en-US" w:eastAsia="zh-CN"/>
              </w:rPr>
              <w:t>东</w:t>
            </w:r>
            <w:r>
              <w:rPr>
                <w:rFonts w:hint="default" w:ascii="Times New Roman" w:hAnsi="Times New Roman" w:cs="Times New Roman"/>
                <w:color w:val="auto"/>
                <w:sz w:val="21"/>
                <w:szCs w:val="21"/>
                <w:highlight w:val="none"/>
                <w:lang w:val="en-US" w:eastAsia="zh-CN"/>
              </w:rPr>
              <w:t>侧下风向200m</w:t>
            </w:r>
          </w:p>
        </w:tc>
        <w:tc>
          <w:tcPr>
            <w:tcW w:w="1685" w:type="pct"/>
            <w:tcBorders>
              <w:tl2br w:val="nil"/>
              <w:tr2bl w:val="nil"/>
            </w:tcBorders>
            <w:shd w:val="clear" w:color="auto" w:fill="auto"/>
            <w:noWrap/>
            <w:tcMar>
              <w:top w:w="15" w:type="dxa"/>
              <w:left w:w="15" w:type="dxa"/>
              <w:right w:w="15" w:type="dxa"/>
            </w:tcMar>
            <w:vAlign w:val="center"/>
          </w:tcPr>
          <w:p w14:paraId="5FCFE85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第二类用地筛选值</w:t>
            </w:r>
          </w:p>
        </w:tc>
        <w:tc>
          <w:tcPr>
            <w:tcW w:w="570" w:type="pct"/>
            <w:tcBorders>
              <w:tl2br w:val="nil"/>
              <w:tr2bl w:val="nil"/>
            </w:tcBorders>
            <w:shd w:val="clear" w:color="auto" w:fill="auto"/>
            <w:noWrap/>
            <w:tcMar>
              <w:top w:w="15" w:type="dxa"/>
              <w:left w:w="15" w:type="dxa"/>
              <w:right w:w="15" w:type="dxa"/>
            </w:tcMar>
          </w:tcPr>
          <w:p w14:paraId="7EEFFC7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610</w:t>
            </w:r>
          </w:p>
        </w:tc>
      </w:tr>
      <w:tr w14:paraId="42F8A0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95" w:type="pct"/>
            <w:tcBorders>
              <w:tl2br w:val="nil"/>
              <w:tr2bl w:val="nil"/>
            </w:tcBorders>
            <w:shd w:val="clear" w:color="auto" w:fill="auto"/>
            <w:noWrap/>
            <w:tcMar>
              <w:top w:w="15" w:type="dxa"/>
              <w:left w:w="15" w:type="dxa"/>
              <w:right w:w="15" w:type="dxa"/>
            </w:tcMar>
            <w:vAlign w:val="center"/>
          </w:tcPr>
          <w:p w14:paraId="073DB5F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w:t>
            </w:r>
          </w:p>
        </w:tc>
        <w:tc>
          <w:tcPr>
            <w:tcW w:w="606" w:type="pct"/>
            <w:tcBorders>
              <w:tl2br w:val="nil"/>
              <w:tr2bl w:val="nil"/>
            </w:tcBorders>
            <w:shd w:val="clear" w:color="auto" w:fill="auto"/>
            <w:noWrap/>
            <w:tcMar>
              <w:top w:w="15" w:type="dxa"/>
              <w:left w:w="15" w:type="dxa"/>
              <w:right w:w="15" w:type="dxa"/>
            </w:tcMar>
          </w:tcPr>
          <w:p w14:paraId="63BC490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XM-2-400</w:t>
            </w:r>
          </w:p>
        </w:tc>
        <w:tc>
          <w:tcPr>
            <w:tcW w:w="1841" w:type="pct"/>
            <w:tcBorders>
              <w:tl2br w:val="nil"/>
              <w:tr2bl w:val="nil"/>
            </w:tcBorders>
            <w:shd w:val="clear" w:color="auto" w:fill="auto"/>
            <w:noWrap/>
            <w:tcMar>
              <w:top w:w="15" w:type="dxa"/>
              <w:left w:w="15" w:type="dxa"/>
              <w:right w:w="15" w:type="dxa"/>
            </w:tcMar>
            <w:vAlign w:val="center"/>
          </w:tcPr>
          <w:p w14:paraId="781E792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lang w:val="en-US" w:eastAsia="zh-CN"/>
              </w:rPr>
              <w:t>园区边界</w:t>
            </w:r>
            <w:r>
              <w:rPr>
                <w:rFonts w:hint="eastAsia" w:cs="Times New Roman"/>
                <w:color w:val="auto"/>
                <w:sz w:val="21"/>
                <w:szCs w:val="21"/>
                <w:highlight w:val="none"/>
                <w:lang w:val="en-US" w:eastAsia="zh-CN"/>
              </w:rPr>
              <w:t>东</w:t>
            </w:r>
            <w:r>
              <w:rPr>
                <w:rFonts w:hint="default" w:ascii="Times New Roman" w:hAnsi="Times New Roman" w:cs="Times New Roman"/>
                <w:color w:val="auto"/>
                <w:sz w:val="21"/>
                <w:szCs w:val="21"/>
                <w:highlight w:val="none"/>
                <w:lang w:val="en-US" w:eastAsia="zh-CN"/>
              </w:rPr>
              <w:t>侧下风向400m</w:t>
            </w:r>
          </w:p>
        </w:tc>
        <w:tc>
          <w:tcPr>
            <w:tcW w:w="1685" w:type="pct"/>
            <w:tcBorders>
              <w:tl2br w:val="nil"/>
              <w:tr2bl w:val="nil"/>
            </w:tcBorders>
            <w:shd w:val="clear" w:color="auto" w:fill="auto"/>
            <w:noWrap/>
            <w:tcMar>
              <w:top w:w="15" w:type="dxa"/>
              <w:left w:w="15" w:type="dxa"/>
              <w:right w:w="15" w:type="dxa"/>
            </w:tcMar>
            <w:vAlign w:val="center"/>
          </w:tcPr>
          <w:p w14:paraId="6F1D425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第二类用地筛选值</w:t>
            </w:r>
          </w:p>
        </w:tc>
        <w:tc>
          <w:tcPr>
            <w:tcW w:w="570" w:type="pct"/>
            <w:tcBorders>
              <w:tl2br w:val="nil"/>
              <w:tr2bl w:val="nil"/>
            </w:tcBorders>
            <w:shd w:val="clear" w:color="auto" w:fill="auto"/>
            <w:noWrap/>
            <w:tcMar>
              <w:top w:w="15" w:type="dxa"/>
              <w:left w:w="15" w:type="dxa"/>
              <w:right w:w="15" w:type="dxa"/>
            </w:tcMar>
          </w:tcPr>
          <w:p w14:paraId="04E95E9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583</w:t>
            </w:r>
          </w:p>
        </w:tc>
      </w:tr>
      <w:tr w14:paraId="7B6567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95" w:type="pct"/>
            <w:tcBorders>
              <w:tl2br w:val="nil"/>
              <w:tr2bl w:val="nil"/>
            </w:tcBorders>
            <w:shd w:val="clear" w:color="auto" w:fill="auto"/>
            <w:noWrap/>
            <w:tcMar>
              <w:top w:w="15" w:type="dxa"/>
              <w:left w:w="15" w:type="dxa"/>
              <w:right w:w="15" w:type="dxa"/>
            </w:tcMar>
            <w:vAlign w:val="center"/>
          </w:tcPr>
          <w:p w14:paraId="64BAF2F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w:t>
            </w:r>
          </w:p>
        </w:tc>
        <w:tc>
          <w:tcPr>
            <w:tcW w:w="606" w:type="pct"/>
            <w:tcBorders>
              <w:tl2br w:val="nil"/>
              <w:tr2bl w:val="nil"/>
            </w:tcBorders>
            <w:shd w:val="clear" w:color="auto" w:fill="auto"/>
            <w:noWrap/>
            <w:tcMar>
              <w:top w:w="15" w:type="dxa"/>
              <w:left w:w="15" w:type="dxa"/>
              <w:right w:w="15" w:type="dxa"/>
            </w:tcMar>
          </w:tcPr>
          <w:p w14:paraId="1D52769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XM-3-75</w:t>
            </w:r>
          </w:p>
        </w:tc>
        <w:tc>
          <w:tcPr>
            <w:tcW w:w="1841" w:type="pct"/>
            <w:tcBorders>
              <w:tl2br w:val="nil"/>
              <w:tr2bl w:val="nil"/>
            </w:tcBorders>
            <w:shd w:val="clear" w:color="auto" w:fill="auto"/>
            <w:noWrap/>
            <w:tcMar>
              <w:top w:w="15" w:type="dxa"/>
              <w:left w:w="15" w:type="dxa"/>
              <w:right w:w="15" w:type="dxa"/>
            </w:tcMar>
            <w:vAlign w:val="center"/>
          </w:tcPr>
          <w:p w14:paraId="07F6374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lang w:val="en-US" w:eastAsia="zh-CN"/>
              </w:rPr>
              <w:t>园区边界南侧下风向75m</w:t>
            </w:r>
          </w:p>
        </w:tc>
        <w:tc>
          <w:tcPr>
            <w:tcW w:w="1685" w:type="pct"/>
            <w:tcBorders>
              <w:tl2br w:val="nil"/>
              <w:tr2bl w:val="nil"/>
            </w:tcBorders>
            <w:shd w:val="clear" w:color="auto" w:fill="auto"/>
            <w:noWrap/>
            <w:tcMar>
              <w:top w:w="15" w:type="dxa"/>
              <w:left w:w="15" w:type="dxa"/>
              <w:right w:w="15" w:type="dxa"/>
            </w:tcMar>
            <w:vAlign w:val="center"/>
          </w:tcPr>
          <w:p w14:paraId="73C64F1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第一类用地筛选值</w:t>
            </w:r>
          </w:p>
        </w:tc>
        <w:tc>
          <w:tcPr>
            <w:tcW w:w="570" w:type="pct"/>
            <w:tcBorders>
              <w:tl2br w:val="nil"/>
              <w:tr2bl w:val="nil"/>
            </w:tcBorders>
            <w:shd w:val="clear" w:color="auto" w:fill="auto"/>
            <w:noWrap/>
            <w:tcMar>
              <w:top w:w="15" w:type="dxa"/>
              <w:left w:w="15" w:type="dxa"/>
              <w:right w:w="15" w:type="dxa"/>
            </w:tcMar>
          </w:tcPr>
          <w:p w14:paraId="48E8E54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454</w:t>
            </w:r>
          </w:p>
        </w:tc>
      </w:tr>
      <w:tr w14:paraId="268FE8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95" w:type="pct"/>
            <w:tcBorders>
              <w:tl2br w:val="nil"/>
              <w:tr2bl w:val="nil"/>
            </w:tcBorders>
            <w:shd w:val="clear" w:color="auto" w:fill="auto"/>
            <w:noWrap/>
            <w:tcMar>
              <w:top w:w="15" w:type="dxa"/>
              <w:left w:w="15" w:type="dxa"/>
              <w:right w:w="15" w:type="dxa"/>
            </w:tcMar>
            <w:vAlign w:val="center"/>
          </w:tcPr>
          <w:p w14:paraId="6C6E331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8</w:t>
            </w:r>
          </w:p>
        </w:tc>
        <w:tc>
          <w:tcPr>
            <w:tcW w:w="606" w:type="pct"/>
            <w:tcBorders>
              <w:tl2br w:val="nil"/>
              <w:tr2bl w:val="nil"/>
            </w:tcBorders>
            <w:shd w:val="clear" w:color="auto" w:fill="auto"/>
            <w:noWrap/>
            <w:tcMar>
              <w:top w:w="15" w:type="dxa"/>
              <w:left w:w="15" w:type="dxa"/>
              <w:right w:w="15" w:type="dxa"/>
            </w:tcMar>
          </w:tcPr>
          <w:p w14:paraId="33F3672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XM-3-200</w:t>
            </w:r>
          </w:p>
        </w:tc>
        <w:tc>
          <w:tcPr>
            <w:tcW w:w="1841" w:type="pct"/>
            <w:tcBorders>
              <w:tl2br w:val="nil"/>
              <w:tr2bl w:val="nil"/>
            </w:tcBorders>
            <w:shd w:val="clear" w:color="auto" w:fill="auto"/>
            <w:noWrap/>
            <w:tcMar>
              <w:top w:w="15" w:type="dxa"/>
              <w:left w:w="15" w:type="dxa"/>
              <w:right w:w="15" w:type="dxa"/>
            </w:tcMar>
            <w:vAlign w:val="center"/>
          </w:tcPr>
          <w:p w14:paraId="678D83B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lang w:val="en-US" w:eastAsia="zh-CN"/>
              </w:rPr>
              <w:t>园区边界南侧下风向200m</w:t>
            </w:r>
          </w:p>
        </w:tc>
        <w:tc>
          <w:tcPr>
            <w:tcW w:w="1685" w:type="pct"/>
            <w:tcBorders>
              <w:tl2br w:val="nil"/>
              <w:tr2bl w:val="nil"/>
            </w:tcBorders>
            <w:shd w:val="clear" w:color="auto" w:fill="auto"/>
            <w:noWrap/>
            <w:tcMar>
              <w:top w:w="15" w:type="dxa"/>
              <w:left w:w="15" w:type="dxa"/>
              <w:right w:w="15" w:type="dxa"/>
            </w:tcMar>
            <w:vAlign w:val="center"/>
          </w:tcPr>
          <w:p w14:paraId="296637B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第一类用地筛选值</w:t>
            </w:r>
          </w:p>
        </w:tc>
        <w:tc>
          <w:tcPr>
            <w:tcW w:w="570" w:type="pct"/>
            <w:tcBorders>
              <w:tl2br w:val="nil"/>
              <w:tr2bl w:val="nil"/>
            </w:tcBorders>
            <w:shd w:val="clear" w:color="auto" w:fill="auto"/>
            <w:noWrap/>
            <w:tcMar>
              <w:top w:w="15" w:type="dxa"/>
              <w:left w:w="15" w:type="dxa"/>
              <w:right w:w="15" w:type="dxa"/>
            </w:tcMar>
          </w:tcPr>
          <w:p w14:paraId="7CF9FBE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499</w:t>
            </w:r>
          </w:p>
        </w:tc>
      </w:tr>
      <w:tr w14:paraId="2FFD15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95" w:type="pct"/>
            <w:tcBorders>
              <w:tl2br w:val="nil"/>
              <w:tr2bl w:val="nil"/>
            </w:tcBorders>
            <w:shd w:val="clear" w:color="auto" w:fill="auto"/>
            <w:noWrap/>
            <w:tcMar>
              <w:top w:w="15" w:type="dxa"/>
              <w:left w:w="15" w:type="dxa"/>
              <w:right w:w="15" w:type="dxa"/>
            </w:tcMar>
            <w:vAlign w:val="center"/>
          </w:tcPr>
          <w:p w14:paraId="15F714C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w:t>
            </w:r>
          </w:p>
        </w:tc>
        <w:tc>
          <w:tcPr>
            <w:tcW w:w="606" w:type="pct"/>
            <w:tcBorders>
              <w:tl2br w:val="nil"/>
              <w:tr2bl w:val="nil"/>
            </w:tcBorders>
            <w:shd w:val="clear" w:color="auto" w:fill="auto"/>
            <w:noWrap/>
            <w:tcMar>
              <w:top w:w="15" w:type="dxa"/>
              <w:left w:w="15" w:type="dxa"/>
              <w:right w:w="15" w:type="dxa"/>
            </w:tcMar>
          </w:tcPr>
          <w:p w14:paraId="113EE9A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XM-3-400</w:t>
            </w:r>
          </w:p>
        </w:tc>
        <w:tc>
          <w:tcPr>
            <w:tcW w:w="1841" w:type="pct"/>
            <w:tcBorders>
              <w:tl2br w:val="nil"/>
              <w:tr2bl w:val="nil"/>
            </w:tcBorders>
            <w:shd w:val="clear" w:color="auto" w:fill="auto"/>
            <w:noWrap/>
            <w:tcMar>
              <w:top w:w="15" w:type="dxa"/>
              <w:left w:w="15" w:type="dxa"/>
              <w:right w:w="15" w:type="dxa"/>
            </w:tcMar>
            <w:vAlign w:val="center"/>
          </w:tcPr>
          <w:p w14:paraId="52F8ACB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lang w:val="en-US" w:eastAsia="zh-CN"/>
              </w:rPr>
              <w:t>园区边界南侧下风向400m</w:t>
            </w:r>
          </w:p>
        </w:tc>
        <w:tc>
          <w:tcPr>
            <w:tcW w:w="1685" w:type="pct"/>
            <w:tcBorders>
              <w:tl2br w:val="nil"/>
              <w:tr2bl w:val="nil"/>
            </w:tcBorders>
            <w:shd w:val="clear" w:color="auto" w:fill="auto"/>
            <w:noWrap/>
            <w:tcMar>
              <w:top w:w="15" w:type="dxa"/>
              <w:left w:w="15" w:type="dxa"/>
              <w:right w:w="15" w:type="dxa"/>
            </w:tcMar>
            <w:vAlign w:val="center"/>
          </w:tcPr>
          <w:p w14:paraId="42B64FE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第一类用地筛选值</w:t>
            </w:r>
          </w:p>
        </w:tc>
        <w:tc>
          <w:tcPr>
            <w:tcW w:w="570" w:type="pct"/>
            <w:tcBorders>
              <w:tl2br w:val="nil"/>
              <w:tr2bl w:val="nil"/>
            </w:tcBorders>
            <w:shd w:val="clear" w:color="auto" w:fill="auto"/>
            <w:noWrap/>
            <w:tcMar>
              <w:top w:w="15" w:type="dxa"/>
              <w:left w:w="15" w:type="dxa"/>
              <w:right w:w="15" w:type="dxa"/>
            </w:tcMar>
          </w:tcPr>
          <w:p w14:paraId="4FC9ED6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421</w:t>
            </w:r>
          </w:p>
        </w:tc>
      </w:tr>
      <w:tr w14:paraId="6A1B80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95" w:type="pct"/>
            <w:tcBorders>
              <w:tl2br w:val="nil"/>
              <w:tr2bl w:val="nil"/>
            </w:tcBorders>
            <w:shd w:val="clear" w:color="auto" w:fill="auto"/>
            <w:noWrap/>
            <w:tcMar>
              <w:top w:w="15" w:type="dxa"/>
              <w:left w:w="15" w:type="dxa"/>
              <w:right w:w="15" w:type="dxa"/>
            </w:tcMar>
            <w:vAlign w:val="center"/>
          </w:tcPr>
          <w:p w14:paraId="3405E4C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606" w:type="pct"/>
            <w:tcBorders>
              <w:tl2br w:val="nil"/>
              <w:tr2bl w:val="nil"/>
            </w:tcBorders>
            <w:shd w:val="clear" w:color="auto" w:fill="auto"/>
            <w:noWrap/>
            <w:tcMar>
              <w:top w:w="15" w:type="dxa"/>
              <w:left w:w="15" w:type="dxa"/>
              <w:right w:w="15" w:type="dxa"/>
            </w:tcMar>
          </w:tcPr>
          <w:p w14:paraId="30143FC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XM-4</w:t>
            </w:r>
          </w:p>
        </w:tc>
        <w:tc>
          <w:tcPr>
            <w:tcW w:w="1841" w:type="pct"/>
            <w:tcBorders>
              <w:tl2br w:val="nil"/>
              <w:tr2bl w:val="nil"/>
            </w:tcBorders>
            <w:shd w:val="clear" w:color="auto" w:fill="auto"/>
            <w:noWrap/>
            <w:tcMar>
              <w:top w:w="15" w:type="dxa"/>
              <w:left w:w="15" w:type="dxa"/>
              <w:right w:w="15" w:type="dxa"/>
            </w:tcMar>
            <w:vAlign w:val="center"/>
          </w:tcPr>
          <w:p w14:paraId="71319B4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lang w:val="en-US" w:eastAsia="zh-CN"/>
              </w:rPr>
              <w:t>园区边界北侧上风向20m以外</w:t>
            </w:r>
          </w:p>
        </w:tc>
        <w:tc>
          <w:tcPr>
            <w:tcW w:w="1685" w:type="pct"/>
            <w:tcBorders>
              <w:tl2br w:val="nil"/>
              <w:tr2bl w:val="nil"/>
            </w:tcBorders>
            <w:shd w:val="clear" w:color="auto" w:fill="auto"/>
            <w:noWrap/>
            <w:tcMar>
              <w:top w:w="15" w:type="dxa"/>
              <w:left w:w="15" w:type="dxa"/>
              <w:right w:w="15" w:type="dxa"/>
            </w:tcMar>
            <w:vAlign w:val="center"/>
          </w:tcPr>
          <w:p w14:paraId="49E712E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第二类用地筛选值</w:t>
            </w:r>
          </w:p>
        </w:tc>
        <w:tc>
          <w:tcPr>
            <w:tcW w:w="570" w:type="pct"/>
            <w:tcBorders>
              <w:tl2br w:val="nil"/>
              <w:tr2bl w:val="nil"/>
            </w:tcBorders>
            <w:shd w:val="clear" w:color="auto" w:fill="auto"/>
            <w:noWrap/>
            <w:tcMar>
              <w:top w:w="15" w:type="dxa"/>
              <w:left w:w="15" w:type="dxa"/>
              <w:right w:w="15" w:type="dxa"/>
            </w:tcMar>
          </w:tcPr>
          <w:p w14:paraId="34AE5BF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560</w:t>
            </w:r>
          </w:p>
        </w:tc>
      </w:tr>
      <w:tr w14:paraId="378331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95" w:type="pct"/>
            <w:tcBorders>
              <w:tl2br w:val="nil"/>
              <w:tr2bl w:val="nil"/>
            </w:tcBorders>
            <w:shd w:val="clear" w:color="auto" w:fill="auto"/>
            <w:noWrap/>
            <w:tcMar>
              <w:top w:w="15" w:type="dxa"/>
              <w:left w:w="15" w:type="dxa"/>
              <w:right w:w="15" w:type="dxa"/>
            </w:tcMar>
            <w:vAlign w:val="center"/>
          </w:tcPr>
          <w:p w14:paraId="6181C6A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w:t>
            </w:r>
          </w:p>
        </w:tc>
        <w:tc>
          <w:tcPr>
            <w:tcW w:w="606" w:type="pct"/>
            <w:tcBorders>
              <w:tl2br w:val="nil"/>
              <w:tr2bl w:val="nil"/>
            </w:tcBorders>
            <w:shd w:val="clear" w:color="auto" w:fill="auto"/>
            <w:noWrap/>
            <w:tcMar>
              <w:top w:w="15" w:type="dxa"/>
              <w:left w:w="15" w:type="dxa"/>
              <w:right w:w="15" w:type="dxa"/>
            </w:tcMar>
          </w:tcPr>
          <w:p w14:paraId="419EAB5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XM-JJ-1</w:t>
            </w:r>
          </w:p>
        </w:tc>
        <w:tc>
          <w:tcPr>
            <w:tcW w:w="3538" w:type="dxa"/>
            <w:tcBorders>
              <w:tl2br w:val="nil"/>
              <w:tr2bl w:val="nil"/>
            </w:tcBorders>
            <w:shd w:val="clear" w:color="auto" w:fill="auto"/>
            <w:noWrap/>
            <w:tcMar>
              <w:top w:w="15" w:type="dxa"/>
              <w:left w:w="15" w:type="dxa"/>
              <w:right w:w="15" w:type="dxa"/>
            </w:tcMar>
            <w:vAlign w:val="center"/>
          </w:tcPr>
          <w:p w14:paraId="35DD2EC1">
            <w:pPr>
              <w:spacing w:line="240" w:lineRule="auto"/>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企业聚集区西侧</w:t>
            </w:r>
          </w:p>
        </w:tc>
        <w:tc>
          <w:tcPr>
            <w:tcW w:w="1685" w:type="pct"/>
            <w:tcBorders>
              <w:tl2br w:val="nil"/>
              <w:tr2bl w:val="nil"/>
            </w:tcBorders>
            <w:shd w:val="clear" w:color="auto" w:fill="auto"/>
            <w:noWrap/>
            <w:tcMar>
              <w:top w:w="15" w:type="dxa"/>
              <w:left w:w="15" w:type="dxa"/>
              <w:right w:w="15" w:type="dxa"/>
            </w:tcMar>
            <w:vAlign w:val="center"/>
          </w:tcPr>
          <w:p w14:paraId="5EF3CEF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第一类用地筛选值</w:t>
            </w:r>
          </w:p>
        </w:tc>
        <w:tc>
          <w:tcPr>
            <w:tcW w:w="570" w:type="pct"/>
            <w:tcBorders>
              <w:tl2br w:val="nil"/>
              <w:tr2bl w:val="nil"/>
            </w:tcBorders>
            <w:shd w:val="clear" w:color="auto" w:fill="auto"/>
            <w:noWrap/>
            <w:tcMar>
              <w:top w:w="15" w:type="dxa"/>
              <w:left w:w="15" w:type="dxa"/>
              <w:right w:w="15" w:type="dxa"/>
            </w:tcMar>
          </w:tcPr>
          <w:p w14:paraId="359FEEA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454</w:t>
            </w:r>
          </w:p>
        </w:tc>
      </w:tr>
      <w:tr w14:paraId="1365E5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95" w:type="pct"/>
            <w:tcBorders>
              <w:tl2br w:val="nil"/>
              <w:tr2bl w:val="nil"/>
            </w:tcBorders>
            <w:shd w:val="clear" w:color="auto" w:fill="auto"/>
            <w:noWrap/>
            <w:tcMar>
              <w:top w:w="15" w:type="dxa"/>
              <w:left w:w="15" w:type="dxa"/>
              <w:right w:w="15" w:type="dxa"/>
            </w:tcMar>
            <w:vAlign w:val="center"/>
          </w:tcPr>
          <w:p w14:paraId="2B11A13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w:t>
            </w:r>
          </w:p>
        </w:tc>
        <w:tc>
          <w:tcPr>
            <w:tcW w:w="606" w:type="pct"/>
            <w:tcBorders>
              <w:tl2br w:val="nil"/>
              <w:tr2bl w:val="nil"/>
            </w:tcBorders>
            <w:shd w:val="clear" w:color="auto" w:fill="auto"/>
            <w:noWrap/>
            <w:tcMar>
              <w:top w:w="15" w:type="dxa"/>
              <w:left w:w="15" w:type="dxa"/>
              <w:right w:w="15" w:type="dxa"/>
            </w:tcMar>
          </w:tcPr>
          <w:p w14:paraId="7342B30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XM-JJ-2</w:t>
            </w:r>
          </w:p>
        </w:tc>
        <w:tc>
          <w:tcPr>
            <w:tcW w:w="3538" w:type="dxa"/>
            <w:tcBorders>
              <w:tl2br w:val="nil"/>
              <w:tr2bl w:val="nil"/>
            </w:tcBorders>
            <w:shd w:val="clear" w:color="auto" w:fill="auto"/>
            <w:noWrap/>
            <w:tcMar>
              <w:top w:w="15" w:type="dxa"/>
              <w:left w:w="15" w:type="dxa"/>
              <w:right w:w="15" w:type="dxa"/>
            </w:tcMar>
            <w:vAlign w:val="center"/>
          </w:tcPr>
          <w:p w14:paraId="7C08C002">
            <w:pPr>
              <w:spacing w:line="240" w:lineRule="auto"/>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企业聚集区南侧</w:t>
            </w:r>
          </w:p>
        </w:tc>
        <w:tc>
          <w:tcPr>
            <w:tcW w:w="1685" w:type="pct"/>
            <w:tcBorders>
              <w:tl2br w:val="nil"/>
              <w:tr2bl w:val="nil"/>
            </w:tcBorders>
            <w:shd w:val="clear" w:color="auto" w:fill="auto"/>
            <w:noWrap/>
            <w:tcMar>
              <w:top w:w="15" w:type="dxa"/>
              <w:left w:w="15" w:type="dxa"/>
              <w:right w:w="15" w:type="dxa"/>
            </w:tcMar>
            <w:vAlign w:val="center"/>
          </w:tcPr>
          <w:p w14:paraId="719D4C9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第二类用地筛选值</w:t>
            </w:r>
          </w:p>
        </w:tc>
        <w:tc>
          <w:tcPr>
            <w:tcW w:w="570" w:type="pct"/>
            <w:tcBorders>
              <w:tl2br w:val="nil"/>
              <w:tr2bl w:val="nil"/>
            </w:tcBorders>
            <w:shd w:val="clear" w:color="auto" w:fill="auto"/>
            <w:noWrap/>
            <w:tcMar>
              <w:top w:w="15" w:type="dxa"/>
              <w:left w:w="15" w:type="dxa"/>
              <w:right w:w="15" w:type="dxa"/>
            </w:tcMar>
          </w:tcPr>
          <w:p w14:paraId="179BA85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433</w:t>
            </w:r>
          </w:p>
        </w:tc>
      </w:tr>
      <w:tr w14:paraId="135562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95" w:type="pct"/>
            <w:tcBorders>
              <w:tl2br w:val="nil"/>
              <w:tr2bl w:val="nil"/>
            </w:tcBorders>
            <w:shd w:val="clear" w:color="auto" w:fill="auto"/>
            <w:noWrap/>
            <w:tcMar>
              <w:top w:w="15" w:type="dxa"/>
              <w:left w:w="15" w:type="dxa"/>
              <w:right w:w="15" w:type="dxa"/>
            </w:tcMar>
            <w:vAlign w:val="center"/>
          </w:tcPr>
          <w:p w14:paraId="57CACCD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13</w:t>
            </w:r>
          </w:p>
        </w:tc>
        <w:tc>
          <w:tcPr>
            <w:tcW w:w="606" w:type="pct"/>
            <w:tcBorders>
              <w:tl2br w:val="nil"/>
              <w:tr2bl w:val="nil"/>
            </w:tcBorders>
            <w:shd w:val="clear" w:color="auto" w:fill="auto"/>
            <w:noWrap/>
            <w:tcMar>
              <w:top w:w="15" w:type="dxa"/>
              <w:left w:w="15" w:type="dxa"/>
              <w:right w:w="15" w:type="dxa"/>
            </w:tcMar>
          </w:tcPr>
          <w:p w14:paraId="4904B40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XM-JJ-3</w:t>
            </w:r>
          </w:p>
        </w:tc>
        <w:tc>
          <w:tcPr>
            <w:tcW w:w="3538" w:type="dxa"/>
            <w:tcBorders>
              <w:tl2br w:val="nil"/>
              <w:tr2bl w:val="nil"/>
            </w:tcBorders>
            <w:shd w:val="clear" w:color="auto" w:fill="auto"/>
            <w:noWrap/>
            <w:tcMar>
              <w:top w:w="15" w:type="dxa"/>
              <w:left w:w="15" w:type="dxa"/>
              <w:right w:w="15" w:type="dxa"/>
            </w:tcMar>
            <w:vAlign w:val="center"/>
          </w:tcPr>
          <w:p w14:paraId="7334CF96">
            <w:pPr>
              <w:spacing w:line="240" w:lineRule="auto"/>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企业聚集区西侧</w:t>
            </w:r>
          </w:p>
        </w:tc>
        <w:tc>
          <w:tcPr>
            <w:tcW w:w="1685" w:type="pct"/>
            <w:tcBorders>
              <w:tl2br w:val="nil"/>
              <w:tr2bl w:val="nil"/>
            </w:tcBorders>
            <w:shd w:val="clear" w:color="auto" w:fill="auto"/>
            <w:noWrap/>
            <w:tcMar>
              <w:top w:w="15" w:type="dxa"/>
              <w:left w:w="15" w:type="dxa"/>
              <w:right w:w="15" w:type="dxa"/>
            </w:tcMar>
            <w:vAlign w:val="center"/>
          </w:tcPr>
          <w:p w14:paraId="3A6D899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第一类用地筛选值</w:t>
            </w:r>
          </w:p>
        </w:tc>
        <w:tc>
          <w:tcPr>
            <w:tcW w:w="570" w:type="pct"/>
            <w:tcBorders>
              <w:tl2br w:val="nil"/>
              <w:tr2bl w:val="nil"/>
            </w:tcBorders>
            <w:shd w:val="clear" w:color="auto" w:fill="auto"/>
            <w:noWrap/>
            <w:tcMar>
              <w:top w:w="15" w:type="dxa"/>
              <w:left w:w="15" w:type="dxa"/>
              <w:right w:w="15" w:type="dxa"/>
            </w:tcMar>
          </w:tcPr>
          <w:p w14:paraId="19281C2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562</w:t>
            </w:r>
          </w:p>
        </w:tc>
      </w:tr>
      <w:tr w14:paraId="2CE656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295" w:type="pct"/>
            <w:tcBorders>
              <w:tl2br w:val="nil"/>
              <w:tr2bl w:val="nil"/>
            </w:tcBorders>
            <w:shd w:val="clear" w:color="auto" w:fill="auto"/>
            <w:noWrap/>
            <w:tcMar>
              <w:top w:w="15" w:type="dxa"/>
              <w:left w:w="15" w:type="dxa"/>
              <w:right w:w="15" w:type="dxa"/>
            </w:tcMar>
            <w:vAlign w:val="center"/>
          </w:tcPr>
          <w:p w14:paraId="58F20E5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14</w:t>
            </w:r>
          </w:p>
        </w:tc>
        <w:tc>
          <w:tcPr>
            <w:tcW w:w="606" w:type="pct"/>
            <w:tcBorders>
              <w:tl2br w:val="nil"/>
              <w:tr2bl w:val="nil"/>
            </w:tcBorders>
            <w:shd w:val="clear" w:color="auto" w:fill="auto"/>
            <w:noWrap/>
            <w:tcMar>
              <w:top w:w="15" w:type="dxa"/>
              <w:left w:w="15" w:type="dxa"/>
              <w:right w:w="15" w:type="dxa"/>
            </w:tcMar>
          </w:tcPr>
          <w:p w14:paraId="6BA4E6F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XM-JJ-4</w:t>
            </w:r>
          </w:p>
        </w:tc>
        <w:tc>
          <w:tcPr>
            <w:tcW w:w="3538" w:type="dxa"/>
            <w:tcBorders>
              <w:tl2br w:val="nil"/>
              <w:tr2bl w:val="nil"/>
            </w:tcBorders>
            <w:shd w:val="clear" w:color="auto" w:fill="auto"/>
            <w:noWrap/>
            <w:tcMar>
              <w:top w:w="15" w:type="dxa"/>
              <w:left w:w="15" w:type="dxa"/>
              <w:right w:w="15" w:type="dxa"/>
            </w:tcMar>
            <w:vAlign w:val="center"/>
          </w:tcPr>
          <w:p w14:paraId="7FA407CD">
            <w:pPr>
              <w:spacing w:line="240" w:lineRule="auto"/>
              <w:jc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企业聚集区南侧</w:t>
            </w:r>
          </w:p>
        </w:tc>
        <w:tc>
          <w:tcPr>
            <w:tcW w:w="1685" w:type="pct"/>
            <w:tcBorders>
              <w:tl2br w:val="nil"/>
              <w:tr2bl w:val="nil"/>
            </w:tcBorders>
            <w:shd w:val="clear" w:color="auto" w:fill="auto"/>
            <w:noWrap/>
            <w:tcMar>
              <w:top w:w="15" w:type="dxa"/>
              <w:left w:w="15" w:type="dxa"/>
              <w:right w:w="15" w:type="dxa"/>
            </w:tcMar>
            <w:vAlign w:val="center"/>
          </w:tcPr>
          <w:p w14:paraId="6DACFF9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第二类用地筛选值</w:t>
            </w:r>
          </w:p>
        </w:tc>
        <w:tc>
          <w:tcPr>
            <w:tcW w:w="570" w:type="pct"/>
            <w:tcBorders>
              <w:tl2br w:val="nil"/>
              <w:tr2bl w:val="nil"/>
            </w:tcBorders>
            <w:shd w:val="clear" w:color="auto" w:fill="auto"/>
            <w:noWrap/>
            <w:tcMar>
              <w:top w:w="15" w:type="dxa"/>
              <w:left w:w="15" w:type="dxa"/>
              <w:right w:w="15" w:type="dxa"/>
            </w:tcMar>
          </w:tcPr>
          <w:p w14:paraId="0167498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713</w:t>
            </w:r>
          </w:p>
        </w:tc>
      </w:tr>
      <w:tr w14:paraId="5D6523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4429" w:type="pct"/>
            <w:gridSpan w:val="4"/>
            <w:tcBorders>
              <w:tl2br w:val="nil"/>
              <w:tr2bl w:val="nil"/>
            </w:tcBorders>
            <w:shd w:val="clear" w:color="auto" w:fill="auto"/>
            <w:noWrap/>
            <w:tcMar>
              <w:top w:w="15" w:type="dxa"/>
              <w:left w:w="15" w:type="dxa"/>
              <w:right w:w="15" w:type="dxa"/>
            </w:tcMar>
            <w:vAlign w:val="center"/>
          </w:tcPr>
          <w:p w14:paraId="7F368C6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最大值</w:t>
            </w:r>
          </w:p>
        </w:tc>
        <w:tc>
          <w:tcPr>
            <w:tcW w:w="570" w:type="pct"/>
            <w:tcBorders>
              <w:tl2br w:val="nil"/>
              <w:tr2bl w:val="nil"/>
            </w:tcBorders>
            <w:shd w:val="clear" w:color="auto" w:fill="auto"/>
            <w:noWrap/>
            <w:tcMar>
              <w:top w:w="15" w:type="dxa"/>
              <w:left w:w="15" w:type="dxa"/>
              <w:right w:w="15" w:type="dxa"/>
            </w:tcMar>
            <w:vAlign w:val="center"/>
          </w:tcPr>
          <w:p w14:paraId="3EE73B1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713</w:t>
            </w:r>
          </w:p>
        </w:tc>
      </w:tr>
      <w:tr w14:paraId="6B7F96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4429" w:type="pct"/>
            <w:gridSpan w:val="4"/>
            <w:tcBorders>
              <w:tl2br w:val="nil"/>
              <w:tr2bl w:val="nil"/>
            </w:tcBorders>
            <w:shd w:val="clear" w:color="auto" w:fill="auto"/>
            <w:noWrap/>
            <w:tcMar>
              <w:top w:w="15" w:type="dxa"/>
              <w:left w:w="15" w:type="dxa"/>
              <w:right w:w="15" w:type="dxa"/>
            </w:tcMar>
            <w:vAlign w:val="center"/>
          </w:tcPr>
          <w:p w14:paraId="2637C97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最小值</w:t>
            </w:r>
          </w:p>
        </w:tc>
        <w:tc>
          <w:tcPr>
            <w:tcW w:w="570" w:type="pct"/>
            <w:tcBorders>
              <w:tl2br w:val="nil"/>
              <w:tr2bl w:val="nil"/>
            </w:tcBorders>
            <w:shd w:val="clear" w:color="auto" w:fill="auto"/>
            <w:noWrap/>
            <w:tcMar>
              <w:top w:w="15" w:type="dxa"/>
              <w:left w:w="15" w:type="dxa"/>
              <w:right w:w="15" w:type="dxa"/>
            </w:tcMar>
            <w:vAlign w:val="center"/>
          </w:tcPr>
          <w:p w14:paraId="4F2136C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421</w:t>
            </w:r>
          </w:p>
        </w:tc>
      </w:tr>
      <w:tr w14:paraId="6B800E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4429" w:type="pct"/>
            <w:gridSpan w:val="4"/>
            <w:tcBorders>
              <w:tl2br w:val="nil"/>
              <w:tr2bl w:val="nil"/>
            </w:tcBorders>
            <w:shd w:val="clear" w:color="auto" w:fill="auto"/>
            <w:noWrap/>
            <w:tcMar>
              <w:top w:w="15" w:type="dxa"/>
              <w:left w:w="15" w:type="dxa"/>
              <w:right w:w="15" w:type="dxa"/>
            </w:tcMar>
            <w:vAlign w:val="center"/>
          </w:tcPr>
          <w:p w14:paraId="05FC42D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平均值</w:t>
            </w:r>
          </w:p>
        </w:tc>
        <w:tc>
          <w:tcPr>
            <w:tcW w:w="570" w:type="pct"/>
            <w:tcBorders>
              <w:tl2br w:val="nil"/>
              <w:tr2bl w:val="nil"/>
            </w:tcBorders>
            <w:shd w:val="clear" w:color="auto" w:fill="auto"/>
            <w:noWrap/>
            <w:tcMar>
              <w:top w:w="15" w:type="dxa"/>
              <w:left w:w="15" w:type="dxa"/>
              <w:right w:w="15" w:type="dxa"/>
            </w:tcMar>
            <w:vAlign w:val="center"/>
          </w:tcPr>
          <w:p w14:paraId="640A1E5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556</w:t>
            </w:r>
          </w:p>
        </w:tc>
      </w:tr>
      <w:tr w14:paraId="002305E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4429" w:type="pct"/>
            <w:gridSpan w:val="4"/>
            <w:tcBorders>
              <w:tl2br w:val="nil"/>
              <w:tr2bl w:val="nil"/>
            </w:tcBorders>
            <w:shd w:val="clear" w:color="auto" w:fill="auto"/>
            <w:noWrap/>
            <w:tcMar>
              <w:top w:w="15" w:type="dxa"/>
              <w:left w:w="15" w:type="dxa"/>
              <w:right w:w="15" w:type="dxa"/>
            </w:tcMar>
            <w:vAlign w:val="center"/>
          </w:tcPr>
          <w:p w14:paraId="3DEB3AF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检出率</w:t>
            </w:r>
          </w:p>
        </w:tc>
        <w:tc>
          <w:tcPr>
            <w:tcW w:w="570" w:type="pct"/>
            <w:tcBorders>
              <w:tl2br w:val="nil"/>
              <w:tr2bl w:val="nil"/>
            </w:tcBorders>
            <w:shd w:val="clear" w:color="auto" w:fill="auto"/>
            <w:noWrap/>
            <w:tcMar>
              <w:top w:w="15" w:type="dxa"/>
              <w:left w:w="15" w:type="dxa"/>
              <w:right w:w="15" w:type="dxa"/>
            </w:tcMar>
            <w:vAlign w:val="center"/>
          </w:tcPr>
          <w:p w14:paraId="3918A99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r>
      <w:tr w14:paraId="47CFB8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4429" w:type="pct"/>
            <w:gridSpan w:val="4"/>
            <w:tcBorders>
              <w:tl2br w:val="nil"/>
              <w:tr2bl w:val="nil"/>
            </w:tcBorders>
            <w:shd w:val="clear" w:color="auto" w:fill="auto"/>
            <w:noWrap/>
            <w:tcMar>
              <w:top w:w="15" w:type="dxa"/>
              <w:left w:w="15" w:type="dxa"/>
              <w:right w:w="15" w:type="dxa"/>
            </w:tcMar>
            <w:vAlign w:val="center"/>
          </w:tcPr>
          <w:p w14:paraId="4E3A8DD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建设用地第一类用地筛选值</w:t>
            </w:r>
          </w:p>
        </w:tc>
        <w:tc>
          <w:tcPr>
            <w:tcW w:w="570" w:type="pct"/>
            <w:tcBorders>
              <w:tl2br w:val="nil"/>
              <w:tr2bl w:val="nil"/>
            </w:tcBorders>
            <w:shd w:val="clear" w:color="auto" w:fill="auto"/>
            <w:noWrap/>
            <w:tcMar>
              <w:top w:w="15" w:type="dxa"/>
              <w:left w:w="15" w:type="dxa"/>
              <w:right w:w="15" w:type="dxa"/>
            </w:tcMar>
            <w:vAlign w:val="center"/>
          </w:tcPr>
          <w:p w14:paraId="03CDAD5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1960</w:t>
            </w:r>
          </w:p>
        </w:tc>
      </w:tr>
      <w:tr w14:paraId="3F47E5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4429" w:type="pct"/>
            <w:gridSpan w:val="4"/>
            <w:tcBorders>
              <w:tl2br w:val="nil"/>
              <w:tr2bl w:val="nil"/>
            </w:tcBorders>
            <w:shd w:val="clear" w:color="auto" w:fill="auto"/>
            <w:noWrap/>
            <w:tcMar>
              <w:top w:w="15" w:type="dxa"/>
              <w:left w:w="15" w:type="dxa"/>
              <w:right w:w="15" w:type="dxa"/>
            </w:tcMar>
            <w:vAlign w:val="center"/>
          </w:tcPr>
          <w:p w14:paraId="6119996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建设用地第二类用地筛选值</w:t>
            </w:r>
          </w:p>
        </w:tc>
        <w:tc>
          <w:tcPr>
            <w:tcW w:w="570" w:type="pct"/>
            <w:tcBorders>
              <w:tl2br w:val="nil"/>
              <w:tr2bl w:val="nil"/>
            </w:tcBorders>
            <w:shd w:val="clear" w:color="auto" w:fill="auto"/>
            <w:noWrap/>
            <w:tcMar>
              <w:top w:w="15" w:type="dxa"/>
              <w:left w:w="15" w:type="dxa"/>
              <w:right w:w="15" w:type="dxa"/>
            </w:tcMar>
            <w:vAlign w:val="center"/>
          </w:tcPr>
          <w:p w14:paraId="5398354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10000</w:t>
            </w:r>
          </w:p>
        </w:tc>
      </w:tr>
      <w:tr w14:paraId="380D99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cantSplit/>
          <w:trHeight w:val="23" w:hRule="atLeast"/>
          <w:jc w:val="center"/>
        </w:trPr>
        <w:tc>
          <w:tcPr>
            <w:tcW w:w="4429" w:type="pct"/>
            <w:gridSpan w:val="4"/>
            <w:tcBorders>
              <w:tl2br w:val="nil"/>
              <w:tr2bl w:val="nil"/>
            </w:tcBorders>
            <w:shd w:val="clear" w:color="auto" w:fill="auto"/>
            <w:noWrap/>
            <w:tcMar>
              <w:top w:w="15" w:type="dxa"/>
              <w:left w:w="15" w:type="dxa"/>
              <w:right w:w="15" w:type="dxa"/>
            </w:tcMar>
            <w:vAlign w:val="center"/>
          </w:tcPr>
          <w:p w14:paraId="0D7BD73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达标情况</w:t>
            </w:r>
          </w:p>
        </w:tc>
        <w:tc>
          <w:tcPr>
            <w:tcW w:w="570" w:type="pct"/>
            <w:tcBorders>
              <w:tl2br w:val="nil"/>
              <w:tr2bl w:val="nil"/>
            </w:tcBorders>
            <w:shd w:val="clear" w:color="auto" w:fill="auto"/>
            <w:noWrap/>
            <w:tcMar>
              <w:top w:w="15" w:type="dxa"/>
              <w:left w:w="15" w:type="dxa"/>
              <w:right w:w="15" w:type="dxa"/>
            </w:tcMar>
            <w:vAlign w:val="center"/>
          </w:tcPr>
          <w:p w14:paraId="2439165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达标</w:t>
            </w:r>
          </w:p>
        </w:tc>
      </w:tr>
    </w:tbl>
    <w:p w14:paraId="6040F883">
      <w:pPr>
        <w:spacing w:line="240" w:lineRule="auto"/>
        <w:rPr>
          <w:rFonts w:hint="default" w:ascii="Times New Roman" w:hAnsi="Times New Roman" w:cs="Times New Roman"/>
          <w:color w:val="auto"/>
          <w:highlight w:val="none"/>
          <w:lang w:val="en-US"/>
        </w:rPr>
      </w:pPr>
      <w:r>
        <w:rPr>
          <w:rFonts w:hint="default" w:ascii="Times New Roman" w:hAnsi="Times New Roman" w:cs="Times New Roman"/>
          <w:b/>
          <w:bCs/>
          <w:color w:val="auto"/>
          <w:kern w:val="0"/>
          <w:sz w:val="18"/>
          <w:szCs w:val="18"/>
          <w:highlight w:val="none"/>
          <w:lang w:val="en-US" w:eastAsia="zh-CN"/>
        </w:rPr>
        <w:t>①表列参考标准选取依据详见5.1.1节表5-1-1相关内容，下同。</w:t>
      </w:r>
    </w:p>
    <w:p w14:paraId="5EB00037">
      <w:pPr>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各点位总氟化物监测浓度散点分布图如下：</w:t>
      </w:r>
    </w:p>
    <w:tbl>
      <w:tblPr>
        <w:tblStyle w:val="22"/>
        <w:tblW w:w="88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26"/>
      </w:tblGrid>
      <w:tr w14:paraId="37A74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0704F15A">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highlight w:val="none"/>
              </w:rPr>
              <w:drawing>
                <wp:inline distT="0" distB="0" distL="114300" distR="114300">
                  <wp:extent cx="4890135" cy="3839845"/>
                  <wp:effectExtent l="9525" t="0" r="22860" b="52070"/>
                  <wp:docPr id="2"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0ECB5E4">
            <w:pPr>
              <w:pStyle w:val="2"/>
              <w:spacing w:after="0" w:line="240" w:lineRule="auto"/>
              <w:jc w:val="left"/>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注：①各点位对应的参考标准均远大于监测浓度值，故不在分布图中展现，下同；</w:t>
            </w:r>
          </w:p>
          <w:p w14:paraId="173170C7">
            <w:pPr>
              <w:pStyle w:val="2"/>
              <w:spacing w:after="0" w:line="240" w:lineRule="auto"/>
              <w:ind w:firstLine="361" w:firstLineChars="200"/>
              <w:jc w:val="left"/>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②已检出指标的检出限均远小于监测浓度值，故不在分布图中展现，下同。</w:t>
            </w:r>
          </w:p>
          <w:p w14:paraId="487F6B73">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图5-3-2 总氟化物指标分布情况图</w:t>
            </w:r>
          </w:p>
        </w:tc>
      </w:tr>
    </w:tbl>
    <w:p w14:paraId="6917B243">
      <w:pPr>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由图可知，各点位总氟化物监测值差别较小，各检测值与均值差别较小。</w:t>
      </w:r>
    </w:p>
    <w:p w14:paraId="2318BE4E">
      <w:pPr>
        <w:spacing w:before="165" w:beforeLines="50"/>
        <w:ind w:firstLine="420"/>
        <w:rPr>
          <w:rFonts w:hint="default" w:ascii="Times New Roman" w:hAnsi="Times New Roman" w:cs="Times New Roman"/>
          <w:b/>
          <w:bCs/>
          <w:color w:val="auto"/>
          <w:highlight w:val="none"/>
        </w:rPr>
      </w:pPr>
      <w:r>
        <w:rPr>
          <w:rStyle w:val="64"/>
          <w:rFonts w:hint="default" w:ascii="Times New Roman" w:hAnsi="Times New Roman" w:eastAsia="黑体" w:cs="Times New Roman"/>
          <w:color w:val="auto"/>
          <w:highlight w:val="none"/>
        </w:rPr>
        <w:t>（3）</w:t>
      </w:r>
      <w:r>
        <w:rPr>
          <w:rFonts w:hint="default" w:ascii="Times New Roman" w:hAnsi="Times New Roman" w:cs="Times New Roman"/>
          <w:b/>
          <w:bCs/>
          <w:color w:val="auto"/>
          <w:highlight w:val="none"/>
        </w:rPr>
        <w:t>重金属</w:t>
      </w:r>
    </w:p>
    <w:p w14:paraId="64775998">
      <w:pPr>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园区内14个土壤样品（不含质控样品）重金属测试项目除铬（六价）以外均有检出，</w:t>
      </w:r>
      <w:r>
        <w:rPr>
          <w:rFonts w:hint="default" w:ascii="Times New Roman" w:hAnsi="Times New Roman" w:cs="Times New Roman"/>
          <w:color w:val="auto"/>
          <w:highlight w:val="none"/>
          <w:lang w:val="en-US" w:eastAsia="zh-CN"/>
        </w:rPr>
        <w:t>除镉、锑检出率为93%外其它指标</w:t>
      </w:r>
      <w:r>
        <w:rPr>
          <w:rFonts w:hint="default" w:ascii="Times New Roman" w:hAnsi="Times New Roman" w:cs="Times New Roman"/>
          <w:color w:val="auto"/>
          <w:highlight w:val="none"/>
        </w:rPr>
        <w:t>检出率</w:t>
      </w:r>
      <w:r>
        <w:rPr>
          <w:rFonts w:hint="default" w:ascii="Times New Roman" w:hAnsi="Times New Roman" w:cs="Times New Roman"/>
          <w:color w:val="auto"/>
          <w:highlight w:val="none"/>
          <w:lang w:val="en-US" w:eastAsia="zh-CN"/>
        </w:rPr>
        <w:t>均为</w:t>
      </w:r>
      <w:r>
        <w:rPr>
          <w:rFonts w:hint="default" w:ascii="Times New Roman" w:hAnsi="Times New Roman" w:cs="Times New Roman"/>
          <w:color w:val="auto"/>
          <w:highlight w:val="none"/>
        </w:rPr>
        <w:t>100%。各点位检出的重金属浓度均未超过对应的参考标准值，各点位重金属监测结果均</w:t>
      </w:r>
      <w:r>
        <w:rPr>
          <w:rFonts w:hint="default" w:ascii="Times New Roman" w:hAnsi="Times New Roman" w:cs="Times New Roman"/>
          <w:color w:val="auto"/>
          <w:highlight w:val="none"/>
          <w:lang w:val="en-US" w:eastAsia="zh-CN"/>
        </w:rPr>
        <w:t>可</w:t>
      </w:r>
      <w:r>
        <w:rPr>
          <w:rFonts w:hint="default" w:ascii="Times New Roman" w:hAnsi="Times New Roman" w:cs="Times New Roman"/>
          <w:color w:val="auto"/>
          <w:highlight w:val="none"/>
        </w:rPr>
        <w:t>达</w:t>
      </w:r>
      <w:r>
        <w:rPr>
          <w:rFonts w:hint="default" w:ascii="Times New Roman" w:hAnsi="Times New Roman" w:cs="Times New Roman"/>
          <w:color w:val="auto"/>
          <w:highlight w:val="none"/>
          <w:lang w:val="en-US" w:eastAsia="zh-CN"/>
        </w:rPr>
        <w:t>到相应标准值要求</w:t>
      </w:r>
      <w:r>
        <w:rPr>
          <w:rFonts w:hint="default" w:ascii="Times New Roman" w:hAnsi="Times New Roman" w:cs="Times New Roman"/>
          <w:color w:val="auto"/>
          <w:highlight w:val="none"/>
        </w:rPr>
        <w:t>。</w:t>
      </w:r>
    </w:p>
    <w:p w14:paraId="68183207">
      <w:pPr>
        <w:keepNext w:val="0"/>
        <w:keepLines w:val="0"/>
        <w:pageBreakBefore w:val="0"/>
        <w:widowControl w:val="0"/>
        <w:kinsoku/>
        <w:wordWrap/>
        <w:overflowPunct/>
        <w:topLinePunct w:val="0"/>
        <w:autoSpaceDE/>
        <w:autoSpaceDN/>
        <w:bidi w:val="0"/>
        <w:adjustRightInd/>
        <w:snapToGrid/>
        <w:spacing w:before="166" w:beforeLines="50" w:line="240" w:lineRule="auto"/>
        <w:jc w:val="center"/>
        <w:textAlignment w:val="auto"/>
        <w:rPr>
          <w:rFonts w:hint="default" w:ascii="Times New Roman" w:hAnsi="Times New Roman" w:cs="Times New Roman"/>
          <w:color w:val="auto"/>
          <w:highlight w:val="none"/>
        </w:rPr>
      </w:pPr>
      <w:r>
        <w:rPr>
          <w:rFonts w:hint="default" w:ascii="Times New Roman" w:hAnsi="Times New Roman" w:eastAsia="黑体" w:cs="Times New Roman"/>
          <w:b/>
          <w:bCs/>
          <w:color w:val="auto"/>
          <w:highlight w:val="none"/>
        </w:rPr>
        <w:t>表5-3-3  土壤样品检出重金属指标监测值（基于建设用地标准）  （单位：mg/kg）</w:t>
      </w:r>
    </w:p>
    <w:tbl>
      <w:tblPr>
        <w:tblStyle w:val="21"/>
        <w:tblW w:w="995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74"/>
        <w:gridCol w:w="978"/>
        <w:gridCol w:w="1355"/>
        <w:gridCol w:w="1094"/>
        <w:gridCol w:w="575"/>
        <w:gridCol w:w="575"/>
        <w:gridCol w:w="600"/>
        <w:gridCol w:w="637"/>
        <w:gridCol w:w="625"/>
        <w:gridCol w:w="600"/>
        <w:gridCol w:w="575"/>
        <w:gridCol w:w="613"/>
        <w:gridCol w:w="600"/>
        <w:gridCol w:w="556"/>
      </w:tblGrid>
      <w:tr w14:paraId="09FF6D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574" w:type="dxa"/>
            <w:tcBorders>
              <w:bottom w:val="single" w:color="auto" w:sz="12" w:space="0"/>
              <w:tl2br w:val="nil"/>
              <w:tr2bl w:val="nil"/>
            </w:tcBorders>
            <w:shd w:val="clear" w:color="auto" w:fill="auto"/>
            <w:noWrap/>
            <w:tcMar>
              <w:top w:w="15" w:type="dxa"/>
              <w:left w:w="15" w:type="dxa"/>
              <w:right w:w="15" w:type="dxa"/>
            </w:tcMar>
            <w:vAlign w:val="center"/>
          </w:tcPr>
          <w:p w14:paraId="3E44508D">
            <w:pPr>
              <w:widowControl/>
              <w:spacing w:line="240" w:lineRule="auto"/>
              <w:jc w:val="center"/>
              <w:textAlignment w:val="center"/>
              <w:rPr>
                <w:rFonts w:hint="default" w:ascii="Times New Roman" w:hAnsi="Times New Roman" w:cs="Times New Roman"/>
                <w:b/>
                <w:color w:val="auto"/>
                <w:sz w:val="21"/>
                <w:szCs w:val="21"/>
                <w:highlight w:val="none"/>
              </w:rPr>
            </w:pPr>
            <w:bookmarkStart w:id="43" w:name="_Hlk59438954"/>
            <w:r>
              <w:rPr>
                <w:rFonts w:hint="default" w:ascii="Times New Roman" w:hAnsi="Times New Roman" w:cs="Times New Roman"/>
                <w:b/>
                <w:color w:val="auto"/>
                <w:kern w:val="0"/>
                <w:sz w:val="21"/>
                <w:szCs w:val="21"/>
                <w:highlight w:val="none"/>
                <w:lang w:bidi="ar"/>
              </w:rPr>
              <w:t>序号</w:t>
            </w:r>
          </w:p>
        </w:tc>
        <w:tc>
          <w:tcPr>
            <w:tcW w:w="978" w:type="dxa"/>
            <w:tcBorders>
              <w:bottom w:val="single" w:color="auto" w:sz="12" w:space="0"/>
              <w:tl2br w:val="nil"/>
              <w:tr2bl w:val="nil"/>
            </w:tcBorders>
            <w:shd w:val="clear" w:color="auto" w:fill="auto"/>
            <w:noWrap/>
            <w:tcMar>
              <w:top w:w="15" w:type="dxa"/>
              <w:left w:w="15" w:type="dxa"/>
              <w:right w:w="15" w:type="dxa"/>
            </w:tcMar>
            <w:vAlign w:val="center"/>
          </w:tcPr>
          <w:p w14:paraId="2E2F093B">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样品编号</w:t>
            </w:r>
          </w:p>
        </w:tc>
        <w:tc>
          <w:tcPr>
            <w:tcW w:w="1355" w:type="dxa"/>
            <w:tcBorders>
              <w:bottom w:val="single" w:color="auto" w:sz="12" w:space="0"/>
              <w:tl2br w:val="nil"/>
              <w:tr2bl w:val="nil"/>
            </w:tcBorders>
            <w:shd w:val="clear" w:color="auto" w:fill="auto"/>
            <w:noWrap/>
            <w:tcMar>
              <w:top w:w="15" w:type="dxa"/>
              <w:left w:w="15" w:type="dxa"/>
              <w:right w:w="15" w:type="dxa"/>
            </w:tcMar>
            <w:vAlign w:val="center"/>
          </w:tcPr>
          <w:p w14:paraId="6CCF1EA8">
            <w:pPr>
              <w:widowControl/>
              <w:spacing w:line="240" w:lineRule="auto"/>
              <w:jc w:val="center"/>
              <w:textAlignment w:val="center"/>
              <w:rPr>
                <w:rFonts w:hint="default" w:ascii="Times New Roman" w:hAnsi="Times New Roman" w:eastAsia="宋体" w:cs="Times New Roman"/>
                <w:b/>
                <w:color w:val="auto"/>
                <w:kern w:val="0"/>
                <w:sz w:val="21"/>
                <w:szCs w:val="21"/>
                <w:highlight w:val="none"/>
                <w:lang w:val="en-US" w:eastAsia="zh-CN" w:bidi="ar"/>
              </w:rPr>
            </w:pPr>
            <w:r>
              <w:rPr>
                <w:rFonts w:hint="default" w:ascii="Times New Roman" w:hAnsi="Times New Roman" w:cs="Times New Roman"/>
                <w:b/>
                <w:color w:val="auto"/>
                <w:kern w:val="0"/>
                <w:sz w:val="21"/>
                <w:szCs w:val="21"/>
                <w:highlight w:val="none"/>
                <w:lang w:val="en-US" w:eastAsia="zh-CN" w:bidi="ar"/>
              </w:rPr>
              <w:t>点位位置</w:t>
            </w:r>
          </w:p>
        </w:tc>
        <w:tc>
          <w:tcPr>
            <w:tcW w:w="1094" w:type="dxa"/>
            <w:tcBorders>
              <w:bottom w:val="single" w:color="auto" w:sz="12" w:space="0"/>
              <w:tl2br w:val="nil"/>
              <w:tr2bl w:val="nil"/>
            </w:tcBorders>
            <w:shd w:val="clear" w:color="auto" w:fill="auto"/>
            <w:noWrap/>
            <w:tcMar>
              <w:top w:w="15" w:type="dxa"/>
              <w:left w:w="15" w:type="dxa"/>
              <w:right w:w="15" w:type="dxa"/>
            </w:tcMar>
            <w:vAlign w:val="center"/>
          </w:tcPr>
          <w:p w14:paraId="76C8E7A5">
            <w:pPr>
              <w:widowControl/>
              <w:spacing w:line="240" w:lineRule="auto"/>
              <w:jc w:val="center"/>
              <w:textAlignment w:val="center"/>
              <w:rPr>
                <w:rFonts w:hint="default" w:ascii="Times New Roman" w:hAnsi="Times New Roman" w:eastAsia="宋体" w:cs="Times New Roman"/>
                <w:b/>
                <w:color w:val="auto"/>
                <w:kern w:val="0"/>
                <w:sz w:val="21"/>
                <w:szCs w:val="21"/>
                <w:highlight w:val="none"/>
                <w:lang w:val="en-US" w:eastAsia="zh-CN" w:bidi="ar"/>
              </w:rPr>
            </w:pPr>
            <w:r>
              <w:rPr>
                <w:rFonts w:hint="default" w:ascii="Times New Roman" w:hAnsi="Times New Roman" w:cs="Times New Roman"/>
                <w:b/>
                <w:bCs/>
                <w:color w:val="auto"/>
                <w:kern w:val="0"/>
                <w:sz w:val="21"/>
                <w:szCs w:val="21"/>
                <w:highlight w:val="none"/>
                <w:lang w:bidi="ar"/>
              </w:rPr>
              <w:t>参考标准</w:t>
            </w:r>
            <w:r>
              <w:rPr>
                <w:rFonts w:hint="default" w:ascii="Times New Roman" w:hAnsi="Times New Roman" w:cs="Times New Roman"/>
                <w:b/>
                <w:bCs/>
                <w:color w:val="auto"/>
                <w:kern w:val="0"/>
                <w:sz w:val="21"/>
                <w:szCs w:val="21"/>
                <w:highlight w:val="none"/>
                <w:vertAlign w:val="superscript"/>
                <w:lang w:val="en-US" w:eastAsia="zh-CN"/>
              </w:rPr>
              <w:t>①</w:t>
            </w:r>
          </w:p>
        </w:tc>
        <w:tc>
          <w:tcPr>
            <w:tcW w:w="575" w:type="dxa"/>
            <w:tcBorders>
              <w:bottom w:val="single" w:color="auto" w:sz="12" w:space="0"/>
              <w:tl2br w:val="nil"/>
              <w:tr2bl w:val="nil"/>
            </w:tcBorders>
            <w:shd w:val="clear" w:color="auto" w:fill="auto"/>
            <w:noWrap/>
            <w:tcMar>
              <w:top w:w="15" w:type="dxa"/>
              <w:left w:w="15" w:type="dxa"/>
              <w:right w:w="15" w:type="dxa"/>
            </w:tcMar>
            <w:vAlign w:val="center"/>
          </w:tcPr>
          <w:p w14:paraId="14344FA3">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铅</w:t>
            </w:r>
          </w:p>
        </w:tc>
        <w:tc>
          <w:tcPr>
            <w:tcW w:w="575" w:type="dxa"/>
            <w:tcBorders>
              <w:bottom w:val="single" w:color="auto" w:sz="12" w:space="0"/>
              <w:tl2br w:val="nil"/>
              <w:tr2bl w:val="nil"/>
            </w:tcBorders>
            <w:shd w:val="clear" w:color="auto" w:fill="auto"/>
            <w:noWrap/>
            <w:tcMar>
              <w:top w:w="15" w:type="dxa"/>
              <w:left w:w="15" w:type="dxa"/>
              <w:right w:w="15" w:type="dxa"/>
            </w:tcMar>
            <w:vAlign w:val="center"/>
          </w:tcPr>
          <w:p w14:paraId="5ECF3E0F">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汞</w:t>
            </w:r>
          </w:p>
        </w:tc>
        <w:tc>
          <w:tcPr>
            <w:tcW w:w="600" w:type="dxa"/>
            <w:tcBorders>
              <w:bottom w:val="single" w:color="auto" w:sz="12" w:space="0"/>
              <w:tl2br w:val="nil"/>
              <w:tr2bl w:val="nil"/>
            </w:tcBorders>
            <w:shd w:val="clear" w:color="auto" w:fill="auto"/>
            <w:noWrap/>
            <w:tcMar>
              <w:top w:w="15" w:type="dxa"/>
              <w:left w:w="15" w:type="dxa"/>
              <w:right w:w="15" w:type="dxa"/>
            </w:tcMar>
            <w:vAlign w:val="center"/>
          </w:tcPr>
          <w:p w14:paraId="69528BA8">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钴</w:t>
            </w:r>
          </w:p>
        </w:tc>
        <w:tc>
          <w:tcPr>
            <w:tcW w:w="637" w:type="dxa"/>
            <w:tcBorders>
              <w:bottom w:val="single" w:color="auto" w:sz="12" w:space="0"/>
              <w:tl2br w:val="nil"/>
              <w:tr2bl w:val="nil"/>
            </w:tcBorders>
            <w:shd w:val="clear" w:color="auto" w:fill="auto"/>
            <w:noWrap/>
            <w:tcMar>
              <w:top w:w="15" w:type="dxa"/>
              <w:left w:w="15" w:type="dxa"/>
              <w:right w:w="15" w:type="dxa"/>
            </w:tcMar>
            <w:vAlign w:val="center"/>
          </w:tcPr>
          <w:p w14:paraId="3A8CB59C">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镉</w:t>
            </w:r>
          </w:p>
        </w:tc>
        <w:tc>
          <w:tcPr>
            <w:tcW w:w="625" w:type="dxa"/>
            <w:tcBorders>
              <w:bottom w:val="single" w:color="auto" w:sz="12" w:space="0"/>
              <w:tl2br w:val="nil"/>
              <w:tr2bl w:val="nil"/>
            </w:tcBorders>
            <w:shd w:val="clear" w:color="auto" w:fill="auto"/>
            <w:noWrap/>
            <w:tcMar>
              <w:top w:w="15" w:type="dxa"/>
              <w:left w:w="15" w:type="dxa"/>
              <w:right w:w="15" w:type="dxa"/>
            </w:tcMar>
            <w:vAlign w:val="center"/>
          </w:tcPr>
          <w:p w14:paraId="473EE3A3">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铜</w:t>
            </w:r>
          </w:p>
        </w:tc>
        <w:tc>
          <w:tcPr>
            <w:tcW w:w="600" w:type="dxa"/>
            <w:tcBorders>
              <w:bottom w:val="single" w:color="auto" w:sz="12" w:space="0"/>
              <w:tl2br w:val="nil"/>
              <w:tr2bl w:val="nil"/>
            </w:tcBorders>
            <w:shd w:val="clear" w:color="auto" w:fill="auto"/>
            <w:noWrap/>
            <w:tcMar>
              <w:top w:w="15" w:type="dxa"/>
              <w:left w:w="15" w:type="dxa"/>
              <w:right w:w="15" w:type="dxa"/>
            </w:tcMar>
            <w:vAlign w:val="center"/>
          </w:tcPr>
          <w:p w14:paraId="778CA7CC">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镍</w:t>
            </w:r>
          </w:p>
        </w:tc>
        <w:tc>
          <w:tcPr>
            <w:tcW w:w="575" w:type="dxa"/>
            <w:tcBorders>
              <w:bottom w:val="single" w:color="auto" w:sz="12" w:space="0"/>
              <w:tl2br w:val="nil"/>
              <w:tr2bl w:val="nil"/>
            </w:tcBorders>
            <w:shd w:val="clear" w:color="auto" w:fill="auto"/>
            <w:noWrap/>
            <w:tcMar>
              <w:top w:w="15" w:type="dxa"/>
              <w:left w:w="15" w:type="dxa"/>
              <w:right w:w="15" w:type="dxa"/>
            </w:tcMar>
            <w:vAlign w:val="center"/>
          </w:tcPr>
          <w:p w14:paraId="525D869B">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铬</w:t>
            </w:r>
          </w:p>
        </w:tc>
        <w:tc>
          <w:tcPr>
            <w:tcW w:w="613" w:type="dxa"/>
            <w:tcBorders>
              <w:bottom w:val="single" w:color="auto" w:sz="12" w:space="0"/>
              <w:tl2br w:val="nil"/>
              <w:tr2bl w:val="nil"/>
            </w:tcBorders>
            <w:shd w:val="clear" w:color="auto" w:fill="auto"/>
            <w:noWrap/>
            <w:tcMar>
              <w:top w:w="15" w:type="dxa"/>
              <w:left w:w="15" w:type="dxa"/>
              <w:right w:w="15" w:type="dxa"/>
            </w:tcMar>
            <w:vAlign w:val="center"/>
          </w:tcPr>
          <w:p w14:paraId="04E1CAD4">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砷</w:t>
            </w:r>
          </w:p>
        </w:tc>
        <w:tc>
          <w:tcPr>
            <w:tcW w:w="600" w:type="dxa"/>
            <w:tcBorders>
              <w:bottom w:val="single" w:color="auto" w:sz="12" w:space="0"/>
              <w:tl2br w:val="nil"/>
              <w:tr2bl w:val="nil"/>
            </w:tcBorders>
            <w:vAlign w:val="center"/>
          </w:tcPr>
          <w:p w14:paraId="298516FD">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钼</w:t>
            </w:r>
          </w:p>
        </w:tc>
        <w:tc>
          <w:tcPr>
            <w:tcW w:w="556" w:type="dxa"/>
            <w:tcBorders>
              <w:bottom w:val="single" w:color="auto" w:sz="12" w:space="0"/>
              <w:tl2br w:val="nil"/>
              <w:tr2bl w:val="nil"/>
            </w:tcBorders>
            <w:vAlign w:val="center"/>
          </w:tcPr>
          <w:p w14:paraId="23921C60">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锑</w:t>
            </w:r>
          </w:p>
        </w:tc>
      </w:tr>
      <w:tr w14:paraId="6B5FA0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574" w:type="dxa"/>
            <w:tcBorders>
              <w:top w:val="single" w:color="auto" w:sz="12" w:space="0"/>
              <w:tl2br w:val="nil"/>
              <w:tr2bl w:val="nil"/>
            </w:tcBorders>
            <w:shd w:val="clear" w:color="auto" w:fill="auto"/>
            <w:noWrap/>
            <w:tcMar>
              <w:top w:w="15" w:type="dxa"/>
              <w:left w:w="15" w:type="dxa"/>
              <w:right w:w="15" w:type="dxa"/>
            </w:tcMar>
            <w:vAlign w:val="center"/>
          </w:tcPr>
          <w:p w14:paraId="12AF088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w:t>
            </w:r>
          </w:p>
        </w:tc>
        <w:tc>
          <w:tcPr>
            <w:tcW w:w="978" w:type="dxa"/>
            <w:tcBorders>
              <w:top w:val="single" w:color="auto" w:sz="12" w:space="0"/>
              <w:tl2br w:val="nil"/>
              <w:tr2bl w:val="nil"/>
            </w:tcBorders>
            <w:shd w:val="clear" w:color="auto" w:fill="auto"/>
            <w:noWrap/>
            <w:tcMar>
              <w:top w:w="15" w:type="dxa"/>
              <w:left w:w="15" w:type="dxa"/>
              <w:right w:w="15" w:type="dxa"/>
            </w:tcMar>
            <w:vAlign w:val="center"/>
          </w:tcPr>
          <w:p w14:paraId="29EE04F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XM-1-75</w:t>
            </w:r>
          </w:p>
        </w:tc>
        <w:tc>
          <w:tcPr>
            <w:tcW w:w="1355" w:type="dxa"/>
            <w:tcBorders>
              <w:top w:val="single" w:color="auto" w:sz="12" w:space="0"/>
              <w:tl2br w:val="nil"/>
              <w:tr2bl w:val="nil"/>
            </w:tcBorders>
            <w:shd w:val="clear" w:color="auto" w:fill="auto"/>
            <w:noWrap/>
            <w:tcMar>
              <w:top w:w="15" w:type="dxa"/>
              <w:left w:w="15" w:type="dxa"/>
              <w:right w:w="15" w:type="dxa"/>
            </w:tcMar>
            <w:vAlign w:val="center"/>
          </w:tcPr>
          <w:p w14:paraId="0FCAF957">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园区边界西侧</w:t>
            </w:r>
          </w:p>
          <w:p w14:paraId="574AB88B">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lang w:val="en-US" w:eastAsia="zh-CN"/>
              </w:rPr>
              <w:t>下风向75m</w:t>
            </w:r>
          </w:p>
        </w:tc>
        <w:tc>
          <w:tcPr>
            <w:tcW w:w="1094" w:type="dxa"/>
            <w:tcBorders>
              <w:top w:val="single" w:color="auto" w:sz="12" w:space="0"/>
              <w:tl2br w:val="nil"/>
              <w:tr2bl w:val="nil"/>
            </w:tcBorders>
            <w:shd w:val="clear" w:color="auto" w:fill="auto"/>
            <w:noWrap/>
            <w:tcMar>
              <w:top w:w="15" w:type="dxa"/>
              <w:left w:w="15" w:type="dxa"/>
              <w:right w:w="15" w:type="dxa"/>
            </w:tcMar>
            <w:vAlign w:val="center"/>
          </w:tcPr>
          <w:p w14:paraId="6EC60A3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第一类用</w:t>
            </w:r>
          </w:p>
          <w:p w14:paraId="33E0FCC9">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地筛选值</w:t>
            </w:r>
          </w:p>
        </w:tc>
        <w:tc>
          <w:tcPr>
            <w:tcW w:w="575" w:type="dxa"/>
            <w:tcBorders>
              <w:top w:val="single" w:color="auto" w:sz="12" w:space="0"/>
              <w:tl2br w:val="nil"/>
              <w:tr2bl w:val="nil"/>
            </w:tcBorders>
            <w:shd w:val="clear" w:color="auto" w:fill="auto"/>
            <w:noWrap/>
            <w:tcMar>
              <w:top w:w="15" w:type="dxa"/>
              <w:left w:w="15" w:type="dxa"/>
              <w:right w:w="15" w:type="dxa"/>
            </w:tcMar>
            <w:vAlign w:val="center"/>
          </w:tcPr>
          <w:p w14:paraId="5BA49BD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29.7</w:t>
            </w:r>
          </w:p>
        </w:tc>
        <w:tc>
          <w:tcPr>
            <w:tcW w:w="575" w:type="dxa"/>
            <w:tcBorders>
              <w:top w:val="single" w:color="auto" w:sz="12" w:space="0"/>
              <w:tl2br w:val="nil"/>
              <w:tr2bl w:val="nil"/>
            </w:tcBorders>
            <w:shd w:val="clear" w:color="auto" w:fill="auto"/>
            <w:noWrap/>
            <w:tcMar>
              <w:top w:w="15" w:type="dxa"/>
              <w:left w:w="15" w:type="dxa"/>
              <w:right w:w="15" w:type="dxa"/>
            </w:tcMar>
            <w:vAlign w:val="center"/>
          </w:tcPr>
          <w:p w14:paraId="352F3AC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0.19</w:t>
            </w:r>
          </w:p>
        </w:tc>
        <w:tc>
          <w:tcPr>
            <w:tcW w:w="600" w:type="dxa"/>
            <w:tcBorders>
              <w:top w:val="single" w:color="auto" w:sz="12" w:space="0"/>
              <w:tl2br w:val="nil"/>
              <w:tr2bl w:val="nil"/>
            </w:tcBorders>
            <w:shd w:val="clear" w:color="auto" w:fill="auto"/>
            <w:noWrap/>
            <w:tcMar>
              <w:top w:w="15" w:type="dxa"/>
              <w:left w:w="15" w:type="dxa"/>
              <w:right w:w="15" w:type="dxa"/>
            </w:tcMar>
            <w:vAlign w:val="center"/>
          </w:tcPr>
          <w:p w14:paraId="0A0303A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11.6</w:t>
            </w:r>
          </w:p>
        </w:tc>
        <w:tc>
          <w:tcPr>
            <w:tcW w:w="637" w:type="dxa"/>
            <w:tcBorders>
              <w:top w:val="single" w:color="auto" w:sz="12" w:space="0"/>
              <w:tl2br w:val="nil"/>
              <w:tr2bl w:val="nil"/>
            </w:tcBorders>
            <w:shd w:val="clear" w:color="auto" w:fill="auto"/>
            <w:noWrap/>
            <w:tcMar>
              <w:top w:w="15" w:type="dxa"/>
              <w:left w:w="15" w:type="dxa"/>
              <w:right w:w="15" w:type="dxa"/>
            </w:tcMar>
            <w:vAlign w:val="center"/>
          </w:tcPr>
          <w:p w14:paraId="7CEB523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0.06</w:t>
            </w:r>
          </w:p>
        </w:tc>
        <w:tc>
          <w:tcPr>
            <w:tcW w:w="625" w:type="dxa"/>
            <w:tcBorders>
              <w:top w:val="single" w:color="auto" w:sz="12" w:space="0"/>
              <w:tl2br w:val="nil"/>
              <w:tr2bl w:val="nil"/>
            </w:tcBorders>
            <w:shd w:val="clear" w:color="auto" w:fill="auto"/>
            <w:noWrap/>
            <w:tcMar>
              <w:top w:w="15" w:type="dxa"/>
              <w:left w:w="15" w:type="dxa"/>
              <w:right w:w="15" w:type="dxa"/>
            </w:tcMar>
            <w:vAlign w:val="center"/>
          </w:tcPr>
          <w:p w14:paraId="3AEB75B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35</w:t>
            </w:r>
          </w:p>
        </w:tc>
        <w:tc>
          <w:tcPr>
            <w:tcW w:w="600" w:type="dxa"/>
            <w:tcBorders>
              <w:top w:val="single" w:color="auto" w:sz="12" w:space="0"/>
              <w:tl2br w:val="nil"/>
              <w:tr2bl w:val="nil"/>
            </w:tcBorders>
            <w:shd w:val="clear" w:color="auto" w:fill="auto"/>
            <w:noWrap/>
            <w:tcMar>
              <w:top w:w="15" w:type="dxa"/>
              <w:left w:w="15" w:type="dxa"/>
              <w:right w:w="15" w:type="dxa"/>
            </w:tcMar>
            <w:vAlign w:val="center"/>
          </w:tcPr>
          <w:p w14:paraId="60E4A3F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36</w:t>
            </w:r>
          </w:p>
        </w:tc>
        <w:tc>
          <w:tcPr>
            <w:tcW w:w="575" w:type="dxa"/>
            <w:tcBorders>
              <w:top w:val="single" w:color="auto" w:sz="12" w:space="0"/>
              <w:tl2br w:val="nil"/>
              <w:tr2bl w:val="nil"/>
            </w:tcBorders>
            <w:shd w:val="clear" w:color="auto" w:fill="auto"/>
            <w:noWrap/>
            <w:tcMar>
              <w:top w:w="15" w:type="dxa"/>
              <w:left w:w="15" w:type="dxa"/>
              <w:right w:w="15" w:type="dxa"/>
            </w:tcMar>
            <w:vAlign w:val="center"/>
          </w:tcPr>
          <w:p w14:paraId="2F138DE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73</w:t>
            </w:r>
          </w:p>
        </w:tc>
        <w:tc>
          <w:tcPr>
            <w:tcW w:w="613" w:type="dxa"/>
            <w:tcBorders>
              <w:top w:val="single" w:color="auto" w:sz="12" w:space="0"/>
              <w:tl2br w:val="nil"/>
              <w:tr2bl w:val="nil"/>
            </w:tcBorders>
            <w:shd w:val="clear" w:color="auto" w:fill="auto"/>
            <w:noWrap/>
            <w:tcMar>
              <w:top w:w="15" w:type="dxa"/>
              <w:left w:w="15" w:type="dxa"/>
              <w:right w:w="15" w:type="dxa"/>
            </w:tcMar>
            <w:vAlign w:val="center"/>
          </w:tcPr>
          <w:p w14:paraId="1283731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9.3</w:t>
            </w:r>
          </w:p>
        </w:tc>
        <w:tc>
          <w:tcPr>
            <w:tcW w:w="600" w:type="dxa"/>
            <w:tcBorders>
              <w:top w:val="single" w:color="auto" w:sz="12" w:space="0"/>
              <w:tl2br w:val="nil"/>
              <w:tr2bl w:val="nil"/>
            </w:tcBorders>
            <w:vAlign w:val="center"/>
          </w:tcPr>
          <w:p w14:paraId="67F7B0F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0.6</w:t>
            </w:r>
          </w:p>
        </w:tc>
        <w:tc>
          <w:tcPr>
            <w:tcW w:w="556" w:type="dxa"/>
            <w:tcBorders>
              <w:top w:val="single" w:color="auto" w:sz="12" w:space="0"/>
              <w:tl2br w:val="nil"/>
              <w:tr2bl w:val="nil"/>
            </w:tcBorders>
            <w:vAlign w:val="center"/>
          </w:tcPr>
          <w:p w14:paraId="4FA502C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0.8</w:t>
            </w:r>
          </w:p>
        </w:tc>
      </w:tr>
      <w:tr w14:paraId="10D6ED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574" w:type="dxa"/>
            <w:tcBorders>
              <w:tl2br w:val="nil"/>
              <w:tr2bl w:val="nil"/>
            </w:tcBorders>
            <w:shd w:val="clear" w:color="auto" w:fill="auto"/>
            <w:noWrap/>
            <w:tcMar>
              <w:top w:w="15" w:type="dxa"/>
              <w:left w:w="15" w:type="dxa"/>
              <w:right w:w="15" w:type="dxa"/>
            </w:tcMar>
            <w:vAlign w:val="center"/>
          </w:tcPr>
          <w:p w14:paraId="32727A4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w:t>
            </w:r>
          </w:p>
        </w:tc>
        <w:tc>
          <w:tcPr>
            <w:tcW w:w="978" w:type="dxa"/>
            <w:tcBorders>
              <w:tl2br w:val="nil"/>
              <w:tr2bl w:val="nil"/>
            </w:tcBorders>
            <w:shd w:val="clear" w:color="auto" w:fill="auto"/>
            <w:noWrap/>
            <w:tcMar>
              <w:top w:w="15" w:type="dxa"/>
              <w:left w:w="15" w:type="dxa"/>
              <w:right w:w="15" w:type="dxa"/>
            </w:tcMar>
            <w:vAlign w:val="center"/>
          </w:tcPr>
          <w:p w14:paraId="1FDF9E6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XM-1-200</w:t>
            </w:r>
          </w:p>
        </w:tc>
        <w:tc>
          <w:tcPr>
            <w:tcW w:w="1355" w:type="dxa"/>
            <w:tcBorders>
              <w:tl2br w:val="nil"/>
              <w:tr2bl w:val="nil"/>
            </w:tcBorders>
            <w:shd w:val="clear" w:color="auto" w:fill="auto"/>
            <w:noWrap/>
            <w:tcMar>
              <w:top w:w="15" w:type="dxa"/>
              <w:left w:w="15" w:type="dxa"/>
              <w:right w:w="15" w:type="dxa"/>
            </w:tcMar>
            <w:vAlign w:val="center"/>
          </w:tcPr>
          <w:p w14:paraId="3490DCAA">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园区边界西侧</w:t>
            </w:r>
          </w:p>
          <w:p w14:paraId="5B32188A">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lang w:val="en-US" w:eastAsia="zh-CN"/>
              </w:rPr>
              <w:t>下风向200m</w:t>
            </w:r>
          </w:p>
        </w:tc>
        <w:tc>
          <w:tcPr>
            <w:tcW w:w="1094" w:type="dxa"/>
            <w:tcBorders>
              <w:tl2br w:val="nil"/>
              <w:tr2bl w:val="nil"/>
            </w:tcBorders>
            <w:shd w:val="clear" w:color="auto" w:fill="auto"/>
            <w:noWrap/>
            <w:tcMar>
              <w:top w:w="15" w:type="dxa"/>
              <w:left w:w="15" w:type="dxa"/>
              <w:right w:w="15" w:type="dxa"/>
            </w:tcMar>
            <w:vAlign w:val="center"/>
          </w:tcPr>
          <w:p w14:paraId="46D3574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第一类用</w:t>
            </w:r>
          </w:p>
          <w:p w14:paraId="42CCEE27">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地筛选值</w:t>
            </w:r>
          </w:p>
        </w:tc>
        <w:tc>
          <w:tcPr>
            <w:tcW w:w="575" w:type="dxa"/>
            <w:tcBorders>
              <w:tl2br w:val="nil"/>
              <w:tr2bl w:val="nil"/>
            </w:tcBorders>
            <w:shd w:val="clear" w:color="auto" w:fill="auto"/>
            <w:noWrap/>
            <w:tcMar>
              <w:top w:w="15" w:type="dxa"/>
              <w:left w:w="15" w:type="dxa"/>
              <w:right w:w="15" w:type="dxa"/>
            </w:tcMar>
            <w:vAlign w:val="center"/>
          </w:tcPr>
          <w:p w14:paraId="7765C35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36.4</w:t>
            </w:r>
          </w:p>
        </w:tc>
        <w:tc>
          <w:tcPr>
            <w:tcW w:w="575" w:type="dxa"/>
            <w:tcBorders>
              <w:tl2br w:val="nil"/>
              <w:tr2bl w:val="nil"/>
            </w:tcBorders>
            <w:shd w:val="clear" w:color="auto" w:fill="auto"/>
            <w:noWrap/>
            <w:tcMar>
              <w:top w:w="15" w:type="dxa"/>
              <w:left w:w="15" w:type="dxa"/>
              <w:right w:w="15" w:type="dxa"/>
            </w:tcMar>
            <w:vAlign w:val="center"/>
          </w:tcPr>
          <w:p w14:paraId="782D486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0.19</w:t>
            </w:r>
          </w:p>
        </w:tc>
        <w:tc>
          <w:tcPr>
            <w:tcW w:w="600" w:type="dxa"/>
            <w:tcBorders>
              <w:tl2br w:val="nil"/>
              <w:tr2bl w:val="nil"/>
            </w:tcBorders>
            <w:shd w:val="clear" w:color="auto" w:fill="auto"/>
            <w:noWrap/>
            <w:tcMar>
              <w:top w:w="15" w:type="dxa"/>
              <w:left w:w="15" w:type="dxa"/>
              <w:right w:w="15" w:type="dxa"/>
            </w:tcMar>
            <w:vAlign w:val="center"/>
          </w:tcPr>
          <w:p w14:paraId="27D630A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12.5</w:t>
            </w:r>
          </w:p>
        </w:tc>
        <w:tc>
          <w:tcPr>
            <w:tcW w:w="637" w:type="dxa"/>
            <w:tcBorders>
              <w:tl2br w:val="nil"/>
              <w:tr2bl w:val="nil"/>
            </w:tcBorders>
            <w:shd w:val="clear" w:color="auto" w:fill="auto"/>
            <w:noWrap/>
            <w:tcMar>
              <w:top w:w="15" w:type="dxa"/>
              <w:left w:w="15" w:type="dxa"/>
              <w:right w:w="15" w:type="dxa"/>
            </w:tcMar>
            <w:vAlign w:val="center"/>
          </w:tcPr>
          <w:p w14:paraId="216F463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0.05</w:t>
            </w:r>
          </w:p>
        </w:tc>
        <w:tc>
          <w:tcPr>
            <w:tcW w:w="625" w:type="dxa"/>
            <w:tcBorders>
              <w:tl2br w:val="nil"/>
              <w:tr2bl w:val="nil"/>
            </w:tcBorders>
            <w:shd w:val="clear" w:color="auto" w:fill="auto"/>
            <w:noWrap/>
            <w:tcMar>
              <w:top w:w="15" w:type="dxa"/>
              <w:left w:w="15" w:type="dxa"/>
              <w:right w:w="15" w:type="dxa"/>
            </w:tcMar>
            <w:vAlign w:val="center"/>
          </w:tcPr>
          <w:p w14:paraId="0BB1ED1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37</w:t>
            </w:r>
          </w:p>
        </w:tc>
        <w:tc>
          <w:tcPr>
            <w:tcW w:w="600" w:type="dxa"/>
            <w:tcBorders>
              <w:tl2br w:val="nil"/>
              <w:tr2bl w:val="nil"/>
            </w:tcBorders>
            <w:shd w:val="clear" w:color="auto" w:fill="auto"/>
            <w:noWrap/>
            <w:tcMar>
              <w:top w:w="15" w:type="dxa"/>
              <w:left w:w="15" w:type="dxa"/>
              <w:right w:w="15" w:type="dxa"/>
            </w:tcMar>
            <w:vAlign w:val="center"/>
          </w:tcPr>
          <w:p w14:paraId="41C5626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38</w:t>
            </w:r>
          </w:p>
        </w:tc>
        <w:tc>
          <w:tcPr>
            <w:tcW w:w="575" w:type="dxa"/>
            <w:tcBorders>
              <w:tl2br w:val="nil"/>
              <w:tr2bl w:val="nil"/>
            </w:tcBorders>
            <w:shd w:val="clear" w:color="auto" w:fill="auto"/>
            <w:noWrap/>
            <w:tcMar>
              <w:top w:w="15" w:type="dxa"/>
              <w:left w:w="15" w:type="dxa"/>
              <w:right w:w="15" w:type="dxa"/>
            </w:tcMar>
            <w:vAlign w:val="center"/>
          </w:tcPr>
          <w:p w14:paraId="016F7B6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80</w:t>
            </w:r>
          </w:p>
        </w:tc>
        <w:tc>
          <w:tcPr>
            <w:tcW w:w="613" w:type="dxa"/>
            <w:tcBorders>
              <w:tl2br w:val="nil"/>
              <w:tr2bl w:val="nil"/>
            </w:tcBorders>
            <w:shd w:val="clear" w:color="auto" w:fill="auto"/>
            <w:noWrap/>
            <w:tcMar>
              <w:top w:w="15" w:type="dxa"/>
              <w:left w:w="15" w:type="dxa"/>
              <w:right w:w="15" w:type="dxa"/>
            </w:tcMar>
            <w:vAlign w:val="center"/>
          </w:tcPr>
          <w:p w14:paraId="2A9D8C9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10.1</w:t>
            </w:r>
          </w:p>
        </w:tc>
        <w:tc>
          <w:tcPr>
            <w:tcW w:w="600" w:type="dxa"/>
            <w:tcBorders>
              <w:tl2br w:val="nil"/>
              <w:tr2bl w:val="nil"/>
            </w:tcBorders>
            <w:vAlign w:val="center"/>
          </w:tcPr>
          <w:p w14:paraId="3C04E5F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0.7</w:t>
            </w:r>
          </w:p>
        </w:tc>
        <w:tc>
          <w:tcPr>
            <w:tcW w:w="556" w:type="dxa"/>
            <w:tcBorders>
              <w:tl2br w:val="nil"/>
              <w:tr2bl w:val="nil"/>
            </w:tcBorders>
            <w:vAlign w:val="center"/>
          </w:tcPr>
          <w:p w14:paraId="1A263AE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1.1</w:t>
            </w:r>
          </w:p>
        </w:tc>
      </w:tr>
      <w:tr w14:paraId="7769DF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574" w:type="dxa"/>
            <w:tcBorders>
              <w:tl2br w:val="nil"/>
              <w:tr2bl w:val="nil"/>
            </w:tcBorders>
            <w:shd w:val="clear" w:color="auto" w:fill="auto"/>
            <w:noWrap/>
            <w:tcMar>
              <w:top w:w="15" w:type="dxa"/>
              <w:left w:w="15" w:type="dxa"/>
              <w:right w:w="15" w:type="dxa"/>
            </w:tcMar>
            <w:vAlign w:val="center"/>
          </w:tcPr>
          <w:p w14:paraId="150669F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w:t>
            </w:r>
          </w:p>
        </w:tc>
        <w:tc>
          <w:tcPr>
            <w:tcW w:w="978" w:type="dxa"/>
            <w:tcBorders>
              <w:tl2br w:val="nil"/>
              <w:tr2bl w:val="nil"/>
            </w:tcBorders>
            <w:shd w:val="clear" w:color="auto" w:fill="auto"/>
            <w:noWrap/>
            <w:tcMar>
              <w:top w:w="15" w:type="dxa"/>
              <w:left w:w="15" w:type="dxa"/>
              <w:right w:w="15" w:type="dxa"/>
            </w:tcMar>
            <w:vAlign w:val="center"/>
          </w:tcPr>
          <w:p w14:paraId="663F673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XM-1-400</w:t>
            </w:r>
          </w:p>
        </w:tc>
        <w:tc>
          <w:tcPr>
            <w:tcW w:w="1355" w:type="dxa"/>
            <w:tcBorders>
              <w:tl2br w:val="nil"/>
              <w:tr2bl w:val="nil"/>
            </w:tcBorders>
            <w:shd w:val="clear" w:color="auto" w:fill="auto"/>
            <w:noWrap/>
            <w:tcMar>
              <w:top w:w="15" w:type="dxa"/>
              <w:left w:w="15" w:type="dxa"/>
              <w:right w:w="15" w:type="dxa"/>
            </w:tcMar>
            <w:vAlign w:val="center"/>
          </w:tcPr>
          <w:p w14:paraId="668DAF48">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园区边界西侧</w:t>
            </w:r>
          </w:p>
          <w:p w14:paraId="77D96BED">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lang w:val="en-US" w:eastAsia="zh-CN"/>
              </w:rPr>
              <w:t>下风向400m</w:t>
            </w:r>
          </w:p>
        </w:tc>
        <w:tc>
          <w:tcPr>
            <w:tcW w:w="1094" w:type="dxa"/>
            <w:tcBorders>
              <w:tl2br w:val="nil"/>
              <w:tr2bl w:val="nil"/>
            </w:tcBorders>
            <w:shd w:val="clear" w:color="auto" w:fill="auto"/>
            <w:noWrap/>
            <w:tcMar>
              <w:top w:w="15" w:type="dxa"/>
              <w:left w:w="15" w:type="dxa"/>
              <w:right w:w="15" w:type="dxa"/>
            </w:tcMar>
            <w:vAlign w:val="center"/>
          </w:tcPr>
          <w:p w14:paraId="549A2B9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第一类用</w:t>
            </w:r>
          </w:p>
          <w:p w14:paraId="3DB44B52">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地筛选值</w:t>
            </w:r>
          </w:p>
        </w:tc>
        <w:tc>
          <w:tcPr>
            <w:tcW w:w="575" w:type="dxa"/>
            <w:tcBorders>
              <w:tl2br w:val="nil"/>
              <w:tr2bl w:val="nil"/>
            </w:tcBorders>
            <w:shd w:val="clear" w:color="auto" w:fill="auto"/>
            <w:noWrap/>
            <w:tcMar>
              <w:top w:w="15" w:type="dxa"/>
              <w:left w:w="15" w:type="dxa"/>
              <w:right w:w="15" w:type="dxa"/>
            </w:tcMar>
            <w:vAlign w:val="center"/>
          </w:tcPr>
          <w:p w14:paraId="28BD34B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25.8</w:t>
            </w:r>
          </w:p>
        </w:tc>
        <w:tc>
          <w:tcPr>
            <w:tcW w:w="575" w:type="dxa"/>
            <w:tcBorders>
              <w:tl2br w:val="nil"/>
              <w:tr2bl w:val="nil"/>
            </w:tcBorders>
            <w:shd w:val="clear" w:color="auto" w:fill="auto"/>
            <w:noWrap/>
            <w:tcMar>
              <w:top w:w="15" w:type="dxa"/>
              <w:left w:w="15" w:type="dxa"/>
              <w:right w:w="15" w:type="dxa"/>
            </w:tcMar>
            <w:vAlign w:val="center"/>
          </w:tcPr>
          <w:p w14:paraId="28025AA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0.18</w:t>
            </w:r>
          </w:p>
        </w:tc>
        <w:tc>
          <w:tcPr>
            <w:tcW w:w="600" w:type="dxa"/>
            <w:tcBorders>
              <w:tl2br w:val="nil"/>
              <w:tr2bl w:val="nil"/>
            </w:tcBorders>
            <w:shd w:val="clear" w:color="auto" w:fill="auto"/>
            <w:noWrap/>
            <w:tcMar>
              <w:top w:w="15" w:type="dxa"/>
              <w:left w:w="15" w:type="dxa"/>
              <w:right w:w="15" w:type="dxa"/>
            </w:tcMar>
            <w:vAlign w:val="center"/>
          </w:tcPr>
          <w:p w14:paraId="6B5C378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13.0</w:t>
            </w:r>
          </w:p>
        </w:tc>
        <w:tc>
          <w:tcPr>
            <w:tcW w:w="637" w:type="dxa"/>
            <w:tcBorders>
              <w:tl2br w:val="nil"/>
              <w:tr2bl w:val="nil"/>
            </w:tcBorders>
            <w:shd w:val="clear" w:color="auto" w:fill="auto"/>
            <w:noWrap/>
            <w:tcMar>
              <w:top w:w="15" w:type="dxa"/>
              <w:left w:w="15" w:type="dxa"/>
              <w:right w:w="15" w:type="dxa"/>
            </w:tcMar>
            <w:vAlign w:val="center"/>
          </w:tcPr>
          <w:p w14:paraId="031E736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0.05</w:t>
            </w:r>
          </w:p>
        </w:tc>
        <w:tc>
          <w:tcPr>
            <w:tcW w:w="625" w:type="dxa"/>
            <w:tcBorders>
              <w:tl2br w:val="nil"/>
              <w:tr2bl w:val="nil"/>
            </w:tcBorders>
            <w:shd w:val="clear" w:color="auto" w:fill="auto"/>
            <w:noWrap/>
            <w:tcMar>
              <w:top w:w="15" w:type="dxa"/>
              <w:left w:w="15" w:type="dxa"/>
              <w:right w:w="15" w:type="dxa"/>
            </w:tcMar>
            <w:vAlign w:val="center"/>
          </w:tcPr>
          <w:p w14:paraId="12EC1DA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36</w:t>
            </w:r>
          </w:p>
        </w:tc>
        <w:tc>
          <w:tcPr>
            <w:tcW w:w="600" w:type="dxa"/>
            <w:tcBorders>
              <w:tl2br w:val="nil"/>
              <w:tr2bl w:val="nil"/>
            </w:tcBorders>
            <w:shd w:val="clear" w:color="auto" w:fill="auto"/>
            <w:noWrap/>
            <w:tcMar>
              <w:top w:w="15" w:type="dxa"/>
              <w:left w:w="15" w:type="dxa"/>
              <w:right w:w="15" w:type="dxa"/>
            </w:tcMar>
            <w:vAlign w:val="center"/>
          </w:tcPr>
          <w:p w14:paraId="489BC57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38</w:t>
            </w:r>
          </w:p>
        </w:tc>
        <w:tc>
          <w:tcPr>
            <w:tcW w:w="575" w:type="dxa"/>
            <w:tcBorders>
              <w:tl2br w:val="nil"/>
              <w:tr2bl w:val="nil"/>
            </w:tcBorders>
            <w:shd w:val="clear" w:color="auto" w:fill="auto"/>
            <w:noWrap/>
            <w:tcMar>
              <w:top w:w="15" w:type="dxa"/>
              <w:left w:w="15" w:type="dxa"/>
              <w:right w:w="15" w:type="dxa"/>
            </w:tcMar>
            <w:vAlign w:val="center"/>
          </w:tcPr>
          <w:p w14:paraId="3913E9E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82</w:t>
            </w:r>
          </w:p>
        </w:tc>
        <w:tc>
          <w:tcPr>
            <w:tcW w:w="613" w:type="dxa"/>
            <w:tcBorders>
              <w:tl2br w:val="nil"/>
              <w:tr2bl w:val="nil"/>
            </w:tcBorders>
            <w:shd w:val="clear" w:color="auto" w:fill="auto"/>
            <w:noWrap/>
            <w:tcMar>
              <w:top w:w="15" w:type="dxa"/>
              <w:left w:w="15" w:type="dxa"/>
              <w:right w:w="15" w:type="dxa"/>
            </w:tcMar>
            <w:vAlign w:val="center"/>
          </w:tcPr>
          <w:p w14:paraId="0A81FE5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10.4</w:t>
            </w:r>
          </w:p>
        </w:tc>
        <w:tc>
          <w:tcPr>
            <w:tcW w:w="600" w:type="dxa"/>
            <w:tcBorders>
              <w:tl2br w:val="nil"/>
              <w:tr2bl w:val="nil"/>
            </w:tcBorders>
            <w:vAlign w:val="center"/>
          </w:tcPr>
          <w:p w14:paraId="552758F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0.6</w:t>
            </w:r>
          </w:p>
        </w:tc>
        <w:tc>
          <w:tcPr>
            <w:tcW w:w="556" w:type="dxa"/>
            <w:tcBorders>
              <w:tl2br w:val="nil"/>
              <w:tr2bl w:val="nil"/>
            </w:tcBorders>
            <w:vAlign w:val="center"/>
          </w:tcPr>
          <w:p w14:paraId="50CF99D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0.8</w:t>
            </w:r>
          </w:p>
        </w:tc>
      </w:tr>
      <w:tr w14:paraId="17150C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574" w:type="dxa"/>
            <w:tcBorders>
              <w:tl2br w:val="nil"/>
              <w:tr2bl w:val="nil"/>
            </w:tcBorders>
            <w:shd w:val="clear" w:color="auto" w:fill="auto"/>
            <w:noWrap/>
            <w:tcMar>
              <w:top w:w="15" w:type="dxa"/>
              <w:left w:w="15" w:type="dxa"/>
              <w:right w:w="15" w:type="dxa"/>
            </w:tcMar>
            <w:vAlign w:val="center"/>
          </w:tcPr>
          <w:p w14:paraId="1A58482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w:t>
            </w:r>
          </w:p>
        </w:tc>
        <w:tc>
          <w:tcPr>
            <w:tcW w:w="978" w:type="dxa"/>
            <w:tcBorders>
              <w:tl2br w:val="nil"/>
              <w:tr2bl w:val="nil"/>
            </w:tcBorders>
            <w:shd w:val="clear" w:color="auto" w:fill="auto"/>
            <w:noWrap/>
            <w:tcMar>
              <w:top w:w="15" w:type="dxa"/>
              <w:left w:w="15" w:type="dxa"/>
              <w:right w:w="15" w:type="dxa"/>
            </w:tcMar>
            <w:vAlign w:val="center"/>
          </w:tcPr>
          <w:p w14:paraId="5F2EA5A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XM-2-75</w:t>
            </w:r>
          </w:p>
        </w:tc>
        <w:tc>
          <w:tcPr>
            <w:tcW w:w="1355" w:type="dxa"/>
            <w:tcBorders>
              <w:tl2br w:val="nil"/>
              <w:tr2bl w:val="nil"/>
            </w:tcBorders>
            <w:shd w:val="clear" w:color="auto" w:fill="auto"/>
            <w:noWrap/>
            <w:tcMar>
              <w:top w:w="15" w:type="dxa"/>
              <w:left w:w="15" w:type="dxa"/>
              <w:right w:w="15" w:type="dxa"/>
            </w:tcMar>
            <w:vAlign w:val="center"/>
          </w:tcPr>
          <w:p w14:paraId="2C5FC245">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w:t>
            </w:r>
            <w:r>
              <w:rPr>
                <w:rFonts w:hint="eastAsia" w:cs="Times New Roman"/>
                <w:color w:val="auto"/>
                <w:sz w:val="21"/>
                <w:szCs w:val="21"/>
                <w:highlight w:val="none"/>
                <w:lang w:val="en-US" w:eastAsia="zh-CN"/>
              </w:rPr>
              <w:t>东</w:t>
            </w:r>
            <w:r>
              <w:rPr>
                <w:rFonts w:hint="default" w:ascii="Times New Roman" w:hAnsi="Times New Roman" w:cs="Times New Roman"/>
                <w:color w:val="auto"/>
                <w:sz w:val="21"/>
                <w:szCs w:val="21"/>
                <w:highlight w:val="none"/>
                <w:lang w:val="en-US" w:eastAsia="zh-CN"/>
              </w:rPr>
              <w:t>侧</w:t>
            </w:r>
          </w:p>
          <w:p w14:paraId="4BD3A7CC">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lang w:val="en-US" w:eastAsia="zh-CN"/>
              </w:rPr>
              <w:t>下风向75m</w:t>
            </w:r>
          </w:p>
        </w:tc>
        <w:tc>
          <w:tcPr>
            <w:tcW w:w="1094" w:type="dxa"/>
            <w:tcBorders>
              <w:tl2br w:val="nil"/>
              <w:tr2bl w:val="nil"/>
            </w:tcBorders>
            <w:shd w:val="clear" w:color="auto" w:fill="auto"/>
            <w:noWrap/>
            <w:tcMar>
              <w:top w:w="15" w:type="dxa"/>
              <w:left w:w="15" w:type="dxa"/>
              <w:right w:w="15" w:type="dxa"/>
            </w:tcMar>
            <w:vAlign w:val="center"/>
          </w:tcPr>
          <w:p w14:paraId="0E5E652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第二类用</w:t>
            </w:r>
          </w:p>
          <w:p w14:paraId="54BE72BD">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地筛选值</w:t>
            </w:r>
          </w:p>
        </w:tc>
        <w:tc>
          <w:tcPr>
            <w:tcW w:w="575" w:type="dxa"/>
            <w:tcBorders>
              <w:tl2br w:val="nil"/>
              <w:tr2bl w:val="nil"/>
            </w:tcBorders>
            <w:shd w:val="clear" w:color="auto" w:fill="auto"/>
            <w:noWrap/>
            <w:tcMar>
              <w:top w:w="15" w:type="dxa"/>
              <w:left w:w="15" w:type="dxa"/>
              <w:right w:w="15" w:type="dxa"/>
            </w:tcMar>
            <w:vAlign w:val="center"/>
          </w:tcPr>
          <w:p w14:paraId="10B06A4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52.3</w:t>
            </w:r>
          </w:p>
        </w:tc>
        <w:tc>
          <w:tcPr>
            <w:tcW w:w="575" w:type="dxa"/>
            <w:tcBorders>
              <w:tl2br w:val="nil"/>
              <w:tr2bl w:val="nil"/>
            </w:tcBorders>
            <w:shd w:val="clear" w:color="auto" w:fill="auto"/>
            <w:noWrap/>
            <w:tcMar>
              <w:top w:w="15" w:type="dxa"/>
              <w:left w:w="15" w:type="dxa"/>
              <w:right w:w="15" w:type="dxa"/>
            </w:tcMar>
            <w:vAlign w:val="center"/>
          </w:tcPr>
          <w:p w14:paraId="7EFD25A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0.17</w:t>
            </w:r>
          </w:p>
        </w:tc>
        <w:tc>
          <w:tcPr>
            <w:tcW w:w="600" w:type="dxa"/>
            <w:tcBorders>
              <w:tl2br w:val="nil"/>
              <w:tr2bl w:val="nil"/>
            </w:tcBorders>
            <w:shd w:val="clear" w:color="auto" w:fill="auto"/>
            <w:noWrap/>
            <w:tcMar>
              <w:top w:w="15" w:type="dxa"/>
              <w:left w:w="15" w:type="dxa"/>
              <w:right w:w="15" w:type="dxa"/>
            </w:tcMar>
            <w:vAlign w:val="center"/>
          </w:tcPr>
          <w:p w14:paraId="2D0BA0B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9.13</w:t>
            </w:r>
          </w:p>
        </w:tc>
        <w:tc>
          <w:tcPr>
            <w:tcW w:w="637" w:type="dxa"/>
            <w:tcBorders>
              <w:tl2br w:val="nil"/>
              <w:tr2bl w:val="nil"/>
            </w:tcBorders>
            <w:shd w:val="clear" w:color="auto" w:fill="auto"/>
            <w:noWrap/>
            <w:tcMar>
              <w:top w:w="15" w:type="dxa"/>
              <w:left w:w="15" w:type="dxa"/>
              <w:right w:w="15" w:type="dxa"/>
            </w:tcMar>
            <w:vAlign w:val="center"/>
          </w:tcPr>
          <w:p w14:paraId="0873558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0.03</w:t>
            </w:r>
          </w:p>
        </w:tc>
        <w:tc>
          <w:tcPr>
            <w:tcW w:w="625" w:type="dxa"/>
            <w:tcBorders>
              <w:tl2br w:val="nil"/>
              <w:tr2bl w:val="nil"/>
            </w:tcBorders>
            <w:shd w:val="clear" w:color="auto" w:fill="auto"/>
            <w:noWrap/>
            <w:tcMar>
              <w:top w:w="15" w:type="dxa"/>
              <w:left w:w="15" w:type="dxa"/>
              <w:right w:w="15" w:type="dxa"/>
            </w:tcMar>
            <w:vAlign w:val="center"/>
          </w:tcPr>
          <w:p w14:paraId="50D16D4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26</w:t>
            </w:r>
          </w:p>
        </w:tc>
        <w:tc>
          <w:tcPr>
            <w:tcW w:w="600" w:type="dxa"/>
            <w:tcBorders>
              <w:tl2br w:val="nil"/>
              <w:tr2bl w:val="nil"/>
            </w:tcBorders>
            <w:shd w:val="clear" w:color="auto" w:fill="auto"/>
            <w:noWrap/>
            <w:tcMar>
              <w:top w:w="15" w:type="dxa"/>
              <w:left w:w="15" w:type="dxa"/>
              <w:right w:w="15" w:type="dxa"/>
            </w:tcMar>
            <w:vAlign w:val="center"/>
          </w:tcPr>
          <w:p w14:paraId="634CEF6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27</w:t>
            </w:r>
          </w:p>
        </w:tc>
        <w:tc>
          <w:tcPr>
            <w:tcW w:w="575" w:type="dxa"/>
            <w:tcBorders>
              <w:tl2br w:val="nil"/>
              <w:tr2bl w:val="nil"/>
            </w:tcBorders>
            <w:shd w:val="clear" w:color="auto" w:fill="auto"/>
            <w:noWrap/>
            <w:tcMar>
              <w:top w:w="15" w:type="dxa"/>
              <w:left w:w="15" w:type="dxa"/>
              <w:right w:w="15" w:type="dxa"/>
            </w:tcMar>
            <w:vAlign w:val="center"/>
          </w:tcPr>
          <w:p w14:paraId="63DF338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64</w:t>
            </w:r>
          </w:p>
        </w:tc>
        <w:tc>
          <w:tcPr>
            <w:tcW w:w="613" w:type="dxa"/>
            <w:tcBorders>
              <w:tl2br w:val="nil"/>
              <w:tr2bl w:val="nil"/>
            </w:tcBorders>
            <w:shd w:val="clear" w:color="auto" w:fill="auto"/>
            <w:noWrap/>
            <w:tcMar>
              <w:top w:w="15" w:type="dxa"/>
              <w:left w:w="15" w:type="dxa"/>
              <w:right w:w="15" w:type="dxa"/>
            </w:tcMar>
            <w:vAlign w:val="center"/>
          </w:tcPr>
          <w:p w14:paraId="3ED4FA7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6.3</w:t>
            </w:r>
          </w:p>
        </w:tc>
        <w:tc>
          <w:tcPr>
            <w:tcW w:w="600" w:type="dxa"/>
            <w:tcBorders>
              <w:tl2br w:val="nil"/>
              <w:tr2bl w:val="nil"/>
            </w:tcBorders>
            <w:vAlign w:val="center"/>
          </w:tcPr>
          <w:p w14:paraId="624E9AE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0.5</w:t>
            </w:r>
          </w:p>
        </w:tc>
        <w:tc>
          <w:tcPr>
            <w:tcW w:w="556" w:type="dxa"/>
            <w:tcBorders>
              <w:tl2br w:val="nil"/>
              <w:tr2bl w:val="nil"/>
            </w:tcBorders>
            <w:vAlign w:val="center"/>
          </w:tcPr>
          <w:p w14:paraId="0550F31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0.5</w:t>
            </w:r>
          </w:p>
        </w:tc>
      </w:tr>
      <w:tr w14:paraId="5286E4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574" w:type="dxa"/>
            <w:tcBorders>
              <w:tl2br w:val="nil"/>
              <w:tr2bl w:val="nil"/>
            </w:tcBorders>
            <w:shd w:val="clear" w:color="auto" w:fill="auto"/>
            <w:noWrap/>
            <w:tcMar>
              <w:top w:w="15" w:type="dxa"/>
              <w:left w:w="15" w:type="dxa"/>
              <w:right w:w="15" w:type="dxa"/>
            </w:tcMar>
            <w:vAlign w:val="center"/>
          </w:tcPr>
          <w:p w14:paraId="3461AFD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w:t>
            </w:r>
          </w:p>
        </w:tc>
        <w:tc>
          <w:tcPr>
            <w:tcW w:w="978" w:type="dxa"/>
            <w:tcBorders>
              <w:tl2br w:val="nil"/>
              <w:tr2bl w:val="nil"/>
            </w:tcBorders>
            <w:shd w:val="clear" w:color="auto" w:fill="auto"/>
            <w:noWrap/>
            <w:tcMar>
              <w:top w:w="15" w:type="dxa"/>
              <w:left w:w="15" w:type="dxa"/>
              <w:right w:w="15" w:type="dxa"/>
            </w:tcMar>
            <w:vAlign w:val="center"/>
          </w:tcPr>
          <w:p w14:paraId="6C304F9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XM-2-200</w:t>
            </w:r>
          </w:p>
        </w:tc>
        <w:tc>
          <w:tcPr>
            <w:tcW w:w="1355" w:type="dxa"/>
            <w:tcBorders>
              <w:tl2br w:val="nil"/>
              <w:tr2bl w:val="nil"/>
            </w:tcBorders>
            <w:shd w:val="clear" w:color="auto" w:fill="auto"/>
            <w:noWrap/>
            <w:tcMar>
              <w:top w:w="15" w:type="dxa"/>
              <w:left w:w="15" w:type="dxa"/>
              <w:right w:w="15" w:type="dxa"/>
            </w:tcMar>
            <w:vAlign w:val="center"/>
          </w:tcPr>
          <w:p w14:paraId="60B7633D">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w:t>
            </w:r>
            <w:r>
              <w:rPr>
                <w:rFonts w:hint="eastAsia" w:cs="Times New Roman"/>
                <w:color w:val="auto"/>
                <w:sz w:val="21"/>
                <w:szCs w:val="21"/>
                <w:highlight w:val="none"/>
                <w:lang w:val="en-US" w:eastAsia="zh-CN"/>
              </w:rPr>
              <w:t>东</w:t>
            </w:r>
            <w:r>
              <w:rPr>
                <w:rFonts w:hint="default" w:ascii="Times New Roman" w:hAnsi="Times New Roman" w:cs="Times New Roman"/>
                <w:color w:val="auto"/>
                <w:sz w:val="21"/>
                <w:szCs w:val="21"/>
                <w:highlight w:val="none"/>
                <w:lang w:val="en-US" w:eastAsia="zh-CN"/>
              </w:rPr>
              <w:t>侧</w:t>
            </w:r>
          </w:p>
          <w:p w14:paraId="703D29B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lang w:val="en-US" w:eastAsia="zh-CN"/>
              </w:rPr>
              <w:t>下风向200m</w:t>
            </w:r>
          </w:p>
        </w:tc>
        <w:tc>
          <w:tcPr>
            <w:tcW w:w="1094" w:type="dxa"/>
            <w:tcBorders>
              <w:tl2br w:val="nil"/>
              <w:tr2bl w:val="nil"/>
            </w:tcBorders>
            <w:shd w:val="clear" w:color="auto" w:fill="auto"/>
            <w:noWrap/>
            <w:tcMar>
              <w:top w:w="15" w:type="dxa"/>
              <w:left w:w="15" w:type="dxa"/>
              <w:right w:w="15" w:type="dxa"/>
            </w:tcMar>
            <w:vAlign w:val="center"/>
          </w:tcPr>
          <w:p w14:paraId="33182FF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第二类用</w:t>
            </w:r>
          </w:p>
          <w:p w14:paraId="1F66B25F">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地筛选值</w:t>
            </w:r>
          </w:p>
        </w:tc>
        <w:tc>
          <w:tcPr>
            <w:tcW w:w="575" w:type="dxa"/>
            <w:tcBorders>
              <w:tl2br w:val="nil"/>
              <w:tr2bl w:val="nil"/>
            </w:tcBorders>
            <w:shd w:val="clear" w:color="auto" w:fill="auto"/>
            <w:noWrap/>
            <w:tcMar>
              <w:top w:w="15" w:type="dxa"/>
              <w:left w:w="15" w:type="dxa"/>
              <w:right w:w="15" w:type="dxa"/>
            </w:tcMar>
            <w:vAlign w:val="center"/>
          </w:tcPr>
          <w:p w14:paraId="04E99AA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29.5</w:t>
            </w:r>
          </w:p>
        </w:tc>
        <w:tc>
          <w:tcPr>
            <w:tcW w:w="575" w:type="dxa"/>
            <w:tcBorders>
              <w:tl2br w:val="nil"/>
              <w:tr2bl w:val="nil"/>
            </w:tcBorders>
            <w:shd w:val="clear" w:color="auto" w:fill="auto"/>
            <w:noWrap/>
            <w:tcMar>
              <w:top w:w="15" w:type="dxa"/>
              <w:left w:w="15" w:type="dxa"/>
              <w:right w:w="15" w:type="dxa"/>
            </w:tcMar>
            <w:vAlign w:val="center"/>
          </w:tcPr>
          <w:p w14:paraId="5F0A7F9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0.13</w:t>
            </w:r>
          </w:p>
        </w:tc>
        <w:tc>
          <w:tcPr>
            <w:tcW w:w="600" w:type="dxa"/>
            <w:tcBorders>
              <w:tl2br w:val="nil"/>
              <w:tr2bl w:val="nil"/>
            </w:tcBorders>
            <w:shd w:val="clear" w:color="auto" w:fill="auto"/>
            <w:noWrap/>
            <w:tcMar>
              <w:top w:w="15" w:type="dxa"/>
              <w:left w:w="15" w:type="dxa"/>
              <w:right w:w="15" w:type="dxa"/>
            </w:tcMar>
            <w:vAlign w:val="center"/>
          </w:tcPr>
          <w:p w14:paraId="095E287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15.1</w:t>
            </w:r>
          </w:p>
        </w:tc>
        <w:tc>
          <w:tcPr>
            <w:tcW w:w="637" w:type="dxa"/>
            <w:tcBorders>
              <w:tl2br w:val="nil"/>
              <w:tr2bl w:val="nil"/>
            </w:tcBorders>
            <w:shd w:val="clear" w:color="auto" w:fill="auto"/>
            <w:noWrap/>
            <w:tcMar>
              <w:top w:w="15" w:type="dxa"/>
              <w:left w:w="15" w:type="dxa"/>
              <w:right w:w="15" w:type="dxa"/>
            </w:tcMar>
            <w:vAlign w:val="center"/>
          </w:tcPr>
          <w:p w14:paraId="3DAC0C6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0.08</w:t>
            </w:r>
          </w:p>
        </w:tc>
        <w:tc>
          <w:tcPr>
            <w:tcW w:w="625" w:type="dxa"/>
            <w:tcBorders>
              <w:tl2br w:val="nil"/>
              <w:tr2bl w:val="nil"/>
            </w:tcBorders>
            <w:shd w:val="clear" w:color="auto" w:fill="auto"/>
            <w:noWrap/>
            <w:tcMar>
              <w:top w:w="15" w:type="dxa"/>
              <w:left w:w="15" w:type="dxa"/>
              <w:right w:w="15" w:type="dxa"/>
            </w:tcMar>
            <w:vAlign w:val="center"/>
          </w:tcPr>
          <w:p w14:paraId="742229E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42</w:t>
            </w:r>
          </w:p>
        </w:tc>
        <w:tc>
          <w:tcPr>
            <w:tcW w:w="600" w:type="dxa"/>
            <w:tcBorders>
              <w:tl2br w:val="nil"/>
              <w:tr2bl w:val="nil"/>
            </w:tcBorders>
            <w:shd w:val="clear" w:color="auto" w:fill="auto"/>
            <w:noWrap/>
            <w:tcMar>
              <w:top w:w="15" w:type="dxa"/>
              <w:left w:w="15" w:type="dxa"/>
              <w:right w:w="15" w:type="dxa"/>
            </w:tcMar>
            <w:vAlign w:val="center"/>
          </w:tcPr>
          <w:p w14:paraId="495EB90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55</w:t>
            </w:r>
          </w:p>
        </w:tc>
        <w:tc>
          <w:tcPr>
            <w:tcW w:w="575" w:type="dxa"/>
            <w:tcBorders>
              <w:tl2br w:val="nil"/>
              <w:tr2bl w:val="nil"/>
            </w:tcBorders>
            <w:shd w:val="clear" w:color="auto" w:fill="auto"/>
            <w:noWrap/>
            <w:tcMar>
              <w:top w:w="15" w:type="dxa"/>
              <w:left w:w="15" w:type="dxa"/>
              <w:right w:w="15" w:type="dxa"/>
            </w:tcMar>
            <w:vAlign w:val="center"/>
          </w:tcPr>
          <w:p w14:paraId="5F704B6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92</w:t>
            </w:r>
          </w:p>
        </w:tc>
        <w:tc>
          <w:tcPr>
            <w:tcW w:w="613" w:type="dxa"/>
            <w:tcBorders>
              <w:tl2br w:val="nil"/>
              <w:tr2bl w:val="nil"/>
            </w:tcBorders>
            <w:shd w:val="clear" w:color="auto" w:fill="auto"/>
            <w:noWrap/>
            <w:tcMar>
              <w:top w:w="15" w:type="dxa"/>
              <w:left w:w="15" w:type="dxa"/>
              <w:right w:w="15" w:type="dxa"/>
            </w:tcMar>
            <w:vAlign w:val="center"/>
          </w:tcPr>
          <w:p w14:paraId="279EE82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11.4</w:t>
            </w:r>
          </w:p>
        </w:tc>
        <w:tc>
          <w:tcPr>
            <w:tcW w:w="600" w:type="dxa"/>
            <w:tcBorders>
              <w:tl2br w:val="nil"/>
              <w:tr2bl w:val="nil"/>
            </w:tcBorders>
            <w:vAlign w:val="center"/>
          </w:tcPr>
          <w:p w14:paraId="6263405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0.5</w:t>
            </w:r>
          </w:p>
        </w:tc>
        <w:tc>
          <w:tcPr>
            <w:tcW w:w="556" w:type="dxa"/>
            <w:tcBorders>
              <w:tl2br w:val="nil"/>
              <w:tr2bl w:val="nil"/>
            </w:tcBorders>
            <w:vAlign w:val="center"/>
          </w:tcPr>
          <w:p w14:paraId="05FA093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0.8</w:t>
            </w:r>
          </w:p>
        </w:tc>
      </w:tr>
      <w:tr w14:paraId="35C81A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574" w:type="dxa"/>
            <w:tcBorders>
              <w:tl2br w:val="nil"/>
              <w:tr2bl w:val="nil"/>
            </w:tcBorders>
            <w:shd w:val="clear" w:color="auto" w:fill="auto"/>
            <w:noWrap/>
            <w:tcMar>
              <w:top w:w="15" w:type="dxa"/>
              <w:left w:w="15" w:type="dxa"/>
              <w:right w:w="15" w:type="dxa"/>
            </w:tcMar>
            <w:vAlign w:val="center"/>
          </w:tcPr>
          <w:p w14:paraId="6AB7EFE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w:t>
            </w:r>
          </w:p>
        </w:tc>
        <w:tc>
          <w:tcPr>
            <w:tcW w:w="978" w:type="dxa"/>
            <w:tcBorders>
              <w:tl2br w:val="nil"/>
              <w:tr2bl w:val="nil"/>
            </w:tcBorders>
            <w:shd w:val="clear" w:color="auto" w:fill="auto"/>
            <w:noWrap/>
            <w:tcMar>
              <w:top w:w="15" w:type="dxa"/>
              <w:left w:w="15" w:type="dxa"/>
              <w:right w:w="15" w:type="dxa"/>
            </w:tcMar>
            <w:vAlign w:val="center"/>
          </w:tcPr>
          <w:p w14:paraId="05447FE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XM-2-400</w:t>
            </w:r>
          </w:p>
        </w:tc>
        <w:tc>
          <w:tcPr>
            <w:tcW w:w="1355" w:type="dxa"/>
            <w:tcBorders>
              <w:tl2br w:val="nil"/>
              <w:tr2bl w:val="nil"/>
            </w:tcBorders>
            <w:shd w:val="clear" w:color="auto" w:fill="auto"/>
            <w:noWrap/>
            <w:tcMar>
              <w:top w:w="15" w:type="dxa"/>
              <w:left w:w="15" w:type="dxa"/>
              <w:right w:w="15" w:type="dxa"/>
            </w:tcMar>
            <w:vAlign w:val="center"/>
          </w:tcPr>
          <w:p w14:paraId="3D207A2B">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w:t>
            </w:r>
            <w:r>
              <w:rPr>
                <w:rFonts w:hint="eastAsia" w:cs="Times New Roman"/>
                <w:color w:val="auto"/>
                <w:sz w:val="21"/>
                <w:szCs w:val="21"/>
                <w:highlight w:val="none"/>
                <w:lang w:val="en-US" w:eastAsia="zh-CN"/>
              </w:rPr>
              <w:t>东</w:t>
            </w:r>
            <w:r>
              <w:rPr>
                <w:rFonts w:hint="default" w:ascii="Times New Roman" w:hAnsi="Times New Roman" w:cs="Times New Roman"/>
                <w:color w:val="auto"/>
                <w:sz w:val="21"/>
                <w:szCs w:val="21"/>
                <w:highlight w:val="none"/>
                <w:lang w:val="en-US" w:eastAsia="zh-CN"/>
              </w:rPr>
              <w:t>侧</w:t>
            </w:r>
          </w:p>
          <w:p w14:paraId="34C8B8E6">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lang w:val="en-US" w:eastAsia="zh-CN"/>
              </w:rPr>
              <w:t>下风向400m</w:t>
            </w:r>
          </w:p>
        </w:tc>
        <w:tc>
          <w:tcPr>
            <w:tcW w:w="1094" w:type="dxa"/>
            <w:tcBorders>
              <w:tl2br w:val="nil"/>
              <w:tr2bl w:val="nil"/>
            </w:tcBorders>
            <w:shd w:val="clear" w:color="auto" w:fill="auto"/>
            <w:noWrap/>
            <w:tcMar>
              <w:top w:w="15" w:type="dxa"/>
              <w:left w:w="15" w:type="dxa"/>
              <w:right w:w="15" w:type="dxa"/>
            </w:tcMar>
            <w:vAlign w:val="center"/>
          </w:tcPr>
          <w:p w14:paraId="53D2F26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第二类用</w:t>
            </w:r>
          </w:p>
          <w:p w14:paraId="4CA2B452">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地筛选值</w:t>
            </w:r>
          </w:p>
        </w:tc>
        <w:tc>
          <w:tcPr>
            <w:tcW w:w="575" w:type="dxa"/>
            <w:tcBorders>
              <w:tl2br w:val="nil"/>
              <w:tr2bl w:val="nil"/>
            </w:tcBorders>
            <w:shd w:val="clear" w:color="auto" w:fill="auto"/>
            <w:noWrap/>
            <w:tcMar>
              <w:top w:w="15" w:type="dxa"/>
              <w:left w:w="15" w:type="dxa"/>
              <w:right w:w="15" w:type="dxa"/>
            </w:tcMar>
            <w:vAlign w:val="center"/>
          </w:tcPr>
          <w:p w14:paraId="2009B30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18.1</w:t>
            </w:r>
          </w:p>
        </w:tc>
        <w:tc>
          <w:tcPr>
            <w:tcW w:w="575" w:type="dxa"/>
            <w:tcBorders>
              <w:tl2br w:val="nil"/>
              <w:tr2bl w:val="nil"/>
            </w:tcBorders>
            <w:shd w:val="clear" w:color="auto" w:fill="auto"/>
            <w:noWrap/>
            <w:tcMar>
              <w:top w:w="15" w:type="dxa"/>
              <w:left w:w="15" w:type="dxa"/>
              <w:right w:w="15" w:type="dxa"/>
            </w:tcMar>
            <w:vAlign w:val="center"/>
          </w:tcPr>
          <w:p w14:paraId="1E98496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0.10</w:t>
            </w:r>
          </w:p>
        </w:tc>
        <w:tc>
          <w:tcPr>
            <w:tcW w:w="600" w:type="dxa"/>
            <w:tcBorders>
              <w:tl2br w:val="nil"/>
              <w:tr2bl w:val="nil"/>
            </w:tcBorders>
            <w:shd w:val="clear" w:color="auto" w:fill="auto"/>
            <w:noWrap/>
            <w:tcMar>
              <w:top w:w="15" w:type="dxa"/>
              <w:left w:w="15" w:type="dxa"/>
              <w:right w:w="15" w:type="dxa"/>
            </w:tcMar>
            <w:vAlign w:val="center"/>
          </w:tcPr>
          <w:p w14:paraId="2D2CB3E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8.33</w:t>
            </w:r>
          </w:p>
        </w:tc>
        <w:tc>
          <w:tcPr>
            <w:tcW w:w="637" w:type="dxa"/>
            <w:tcBorders>
              <w:tl2br w:val="nil"/>
              <w:tr2bl w:val="nil"/>
            </w:tcBorders>
            <w:shd w:val="clear" w:color="auto" w:fill="auto"/>
            <w:noWrap/>
            <w:tcMar>
              <w:top w:w="15" w:type="dxa"/>
              <w:left w:w="15" w:type="dxa"/>
              <w:right w:w="15" w:type="dxa"/>
            </w:tcMar>
            <w:vAlign w:val="center"/>
          </w:tcPr>
          <w:p w14:paraId="5B27C9F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0.04</w:t>
            </w:r>
          </w:p>
        </w:tc>
        <w:tc>
          <w:tcPr>
            <w:tcW w:w="625" w:type="dxa"/>
            <w:tcBorders>
              <w:tl2br w:val="nil"/>
              <w:tr2bl w:val="nil"/>
            </w:tcBorders>
            <w:shd w:val="clear" w:color="auto" w:fill="auto"/>
            <w:noWrap/>
            <w:tcMar>
              <w:top w:w="15" w:type="dxa"/>
              <w:left w:w="15" w:type="dxa"/>
              <w:right w:w="15" w:type="dxa"/>
            </w:tcMar>
            <w:vAlign w:val="center"/>
          </w:tcPr>
          <w:p w14:paraId="7C653AB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w:t>
            </w:r>
          </w:p>
        </w:tc>
        <w:tc>
          <w:tcPr>
            <w:tcW w:w="600" w:type="dxa"/>
            <w:tcBorders>
              <w:tl2br w:val="nil"/>
              <w:tr2bl w:val="nil"/>
            </w:tcBorders>
            <w:shd w:val="clear" w:color="auto" w:fill="auto"/>
            <w:noWrap/>
            <w:tcMar>
              <w:top w:w="15" w:type="dxa"/>
              <w:left w:w="15" w:type="dxa"/>
              <w:right w:w="15" w:type="dxa"/>
            </w:tcMar>
            <w:vAlign w:val="center"/>
          </w:tcPr>
          <w:p w14:paraId="553C503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29</w:t>
            </w:r>
          </w:p>
        </w:tc>
        <w:tc>
          <w:tcPr>
            <w:tcW w:w="575" w:type="dxa"/>
            <w:tcBorders>
              <w:tl2br w:val="nil"/>
              <w:tr2bl w:val="nil"/>
            </w:tcBorders>
            <w:shd w:val="clear" w:color="auto" w:fill="auto"/>
            <w:noWrap/>
            <w:tcMar>
              <w:top w:w="15" w:type="dxa"/>
              <w:left w:w="15" w:type="dxa"/>
              <w:right w:w="15" w:type="dxa"/>
            </w:tcMar>
            <w:vAlign w:val="center"/>
          </w:tcPr>
          <w:p w14:paraId="5983546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63</w:t>
            </w:r>
          </w:p>
        </w:tc>
        <w:tc>
          <w:tcPr>
            <w:tcW w:w="613" w:type="dxa"/>
            <w:tcBorders>
              <w:tl2br w:val="nil"/>
              <w:tr2bl w:val="nil"/>
            </w:tcBorders>
            <w:shd w:val="clear" w:color="auto" w:fill="auto"/>
            <w:noWrap/>
            <w:tcMar>
              <w:top w:w="15" w:type="dxa"/>
              <w:left w:w="15" w:type="dxa"/>
              <w:right w:w="15" w:type="dxa"/>
            </w:tcMar>
            <w:vAlign w:val="center"/>
          </w:tcPr>
          <w:p w14:paraId="0474358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10.3</w:t>
            </w:r>
          </w:p>
        </w:tc>
        <w:tc>
          <w:tcPr>
            <w:tcW w:w="600" w:type="dxa"/>
            <w:tcBorders>
              <w:tl2br w:val="nil"/>
              <w:tr2bl w:val="nil"/>
            </w:tcBorders>
            <w:vAlign w:val="center"/>
          </w:tcPr>
          <w:p w14:paraId="77B19CB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0.5</w:t>
            </w:r>
          </w:p>
        </w:tc>
        <w:tc>
          <w:tcPr>
            <w:tcW w:w="556" w:type="dxa"/>
            <w:tcBorders>
              <w:tl2br w:val="nil"/>
              <w:tr2bl w:val="nil"/>
            </w:tcBorders>
            <w:vAlign w:val="center"/>
          </w:tcPr>
          <w:p w14:paraId="0138A04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0.6</w:t>
            </w:r>
          </w:p>
        </w:tc>
      </w:tr>
      <w:tr w14:paraId="4312DA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574" w:type="dxa"/>
            <w:tcBorders>
              <w:tl2br w:val="nil"/>
              <w:tr2bl w:val="nil"/>
            </w:tcBorders>
            <w:shd w:val="clear" w:color="auto" w:fill="auto"/>
            <w:noWrap/>
            <w:tcMar>
              <w:top w:w="15" w:type="dxa"/>
              <w:left w:w="15" w:type="dxa"/>
              <w:right w:w="15" w:type="dxa"/>
            </w:tcMar>
            <w:vAlign w:val="center"/>
          </w:tcPr>
          <w:p w14:paraId="10727F9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w:t>
            </w:r>
          </w:p>
        </w:tc>
        <w:tc>
          <w:tcPr>
            <w:tcW w:w="978" w:type="dxa"/>
            <w:tcBorders>
              <w:tl2br w:val="nil"/>
              <w:tr2bl w:val="nil"/>
            </w:tcBorders>
            <w:shd w:val="clear" w:color="auto" w:fill="auto"/>
            <w:noWrap/>
            <w:tcMar>
              <w:top w:w="15" w:type="dxa"/>
              <w:left w:w="15" w:type="dxa"/>
              <w:right w:w="15" w:type="dxa"/>
            </w:tcMar>
            <w:vAlign w:val="center"/>
          </w:tcPr>
          <w:p w14:paraId="1848EAC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XM-3-75</w:t>
            </w:r>
          </w:p>
        </w:tc>
        <w:tc>
          <w:tcPr>
            <w:tcW w:w="1355" w:type="dxa"/>
            <w:tcBorders>
              <w:tl2br w:val="nil"/>
              <w:tr2bl w:val="nil"/>
            </w:tcBorders>
            <w:shd w:val="clear" w:color="auto" w:fill="auto"/>
            <w:noWrap/>
            <w:tcMar>
              <w:top w:w="15" w:type="dxa"/>
              <w:left w:w="15" w:type="dxa"/>
              <w:right w:w="15" w:type="dxa"/>
            </w:tcMar>
            <w:vAlign w:val="center"/>
          </w:tcPr>
          <w:p w14:paraId="37408E48">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园区边界南侧</w:t>
            </w:r>
          </w:p>
          <w:p w14:paraId="1326B529">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lang w:val="en-US" w:eastAsia="zh-CN"/>
              </w:rPr>
              <w:t>下风向75m</w:t>
            </w:r>
          </w:p>
        </w:tc>
        <w:tc>
          <w:tcPr>
            <w:tcW w:w="1094" w:type="dxa"/>
            <w:tcBorders>
              <w:tl2br w:val="nil"/>
              <w:tr2bl w:val="nil"/>
            </w:tcBorders>
            <w:shd w:val="clear" w:color="auto" w:fill="auto"/>
            <w:noWrap/>
            <w:tcMar>
              <w:top w:w="15" w:type="dxa"/>
              <w:left w:w="15" w:type="dxa"/>
              <w:right w:w="15" w:type="dxa"/>
            </w:tcMar>
            <w:vAlign w:val="center"/>
          </w:tcPr>
          <w:p w14:paraId="5F4B6BB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第一类用</w:t>
            </w:r>
          </w:p>
          <w:p w14:paraId="40EC749F">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地筛选值</w:t>
            </w:r>
          </w:p>
        </w:tc>
        <w:tc>
          <w:tcPr>
            <w:tcW w:w="575" w:type="dxa"/>
            <w:tcBorders>
              <w:tl2br w:val="nil"/>
              <w:tr2bl w:val="nil"/>
            </w:tcBorders>
            <w:shd w:val="clear" w:color="auto" w:fill="auto"/>
            <w:noWrap/>
            <w:tcMar>
              <w:top w:w="15" w:type="dxa"/>
              <w:left w:w="15" w:type="dxa"/>
              <w:right w:w="15" w:type="dxa"/>
            </w:tcMar>
            <w:vAlign w:val="center"/>
          </w:tcPr>
          <w:p w14:paraId="6BCDB9A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17.7</w:t>
            </w:r>
          </w:p>
        </w:tc>
        <w:tc>
          <w:tcPr>
            <w:tcW w:w="575" w:type="dxa"/>
            <w:tcBorders>
              <w:tl2br w:val="nil"/>
              <w:tr2bl w:val="nil"/>
            </w:tcBorders>
            <w:shd w:val="clear" w:color="auto" w:fill="auto"/>
            <w:noWrap/>
            <w:tcMar>
              <w:top w:w="15" w:type="dxa"/>
              <w:left w:w="15" w:type="dxa"/>
              <w:right w:w="15" w:type="dxa"/>
            </w:tcMar>
            <w:vAlign w:val="center"/>
          </w:tcPr>
          <w:p w14:paraId="3B9A3C6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0.11</w:t>
            </w:r>
          </w:p>
        </w:tc>
        <w:tc>
          <w:tcPr>
            <w:tcW w:w="600" w:type="dxa"/>
            <w:tcBorders>
              <w:tl2br w:val="nil"/>
              <w:tr2bl w:val="nil"/>
            </w:tcBorders>
            <w:shd w:val="clear" w:color="auto" w:fill="auto"/>
            <w:noWrap/>
            <w:tcMar>
              <w:top w:w="15" w:type="dxa"/>
              <w:left w:w="15" w:type="dxa"/>
              <w:right w:w="15" w:type="dxa"/>
            </w:tcMar>
            <w:vAlign w:val="center"/>
          </w:tcPr>
          <w:p w14:paraId="5A1C79C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16.0</w:t>
            </w:r>
          </w:p>
        </w:tc>
        <w:tc>
          <w:tcPr>
            <w:tcW w:w="637" w:type="dxa"/>
            <w:tcBorders>
              <w:tl2br w:val="nil"/>
              <w:tr2bl w:val="nil"/>
            </w:tcBorders>
            <w:shd w:val="clear" w:color="auto" w:fill="auto"/>
            <w:noWrap/>
            <w:tcMar>
              <w:top w:w="15" w:type="dxa"/>
              <w:left w:w="15" w:type="dxa"/>
              <w:right w:w="15" w:type="dxa"/>
            </w:tcMar>
            <w:vAlign w:val="center"/>
          </w:tcPr>
          <w:p w14:paraId="4ED046D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0.04</w:t>
            </w:r>
          </w:p>
        </w:tc>
        <w:tc>
          <w:tcPr>
            <w:tcW w:w="625" w:type="dxa"/>
            <w:tcBorders>
              <w:tl2br w:val="nil"/>
              <w:tr2bl w:val="nil"/>
            </w:tcBorders>
            <w:shd w:val="clear" w:color="auto" w:fill="auto"/>
            <w:noWrap/>
            <w:tcMar>
              <w:top w:w="15" w:type="dxa"/>
              <w:left w:w="15" w:type="dxa"/>
              <w:right w:w="15" w:type="dxa"/>
            </w:tcMar>
            <w:vAlign w:val="center"/>
          </w:tcPr>
          <w:p w14:paraId="5180E85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19</w:t>
            </w:r>
          </w:p>
        </w:tc>
        <w:tc>
          <w:tcPr>
            <w:tcW w:w="600" w:type="dxa"/>
            <w:tcBorders>
              <w:tl2br w:val="nil"/>
              <w:tr2bl w:val="nil"/>
            </w:tcBorders>
            <w:shd w:val="clear" w:color="auto" w:fill="auto"/>
            <w:noWrap/>
            <w:tcMar>
              <w:top w:w="15" w:type="dxa"/>
              <w:left w:w="15" w:type="dxa"/>
              <w:right w:w="15" w:type="dxa"/>
            </w:tcMar>
            <w:vAlign w:val="center"/>
          </w:tcPr>
          <w:p w14:paraId="1D8DCF8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21</w:t>
            </w:r>
          </w:p>
        </w:tc>
        <w:tc>
          <w:tcPr>
            <w:tcW w:w="575" w:type="dxa"/>
            <w:tcBorders>
              <w:tl2br w:val="nil"/>
              <w:tr2bl w:val="nil"/>
            </w:tcBorders>
            <w:shd w:val="clear" w:color="auto" w:fill="auto"/>
            <w:noWrap/>
            <w:tcMar>
              <w:top w:w="15" w:type="dxa"/>
              <w:left w:w="15" w:type="dxa"/>
              <w:right w:w="15" w:type="dxa"/>
            </w:tcMar>
            <w:vAlign w:val="center"/>
          </w:tcPr>
          <w:p w14:paraId="694B145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49</w:t>
            </w:r>
          </w:p>
        </w:tc>
        <w:tc>
          <w:tcPr>
            <w:tcW w:w="613" w:type="dxa"/>
            <w:tcBorders>
              <w:tl2br w:val="nil"/>
              <w:tr2bl w:val="nil"/>
            </w:tcBorders>
            <w:shd w:val="clear" w:color="auto" w:fill="auto"/>
            <w:noWrap/>
            <w:tcMar>
              <w:top w:w="15" w:type="dxa"/>
              <w:left w:w="15" w:type="dxa"/>
              <w:right w:w="15" w:type="dxa"/>
            </w:tcMar>
            <w:vAlign w:val="center"/>
          </w:tcPr>
          <w:p w14:paraId="47628B8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9.1</w:t>
            </w:r>
          </w:p>
        </w:tc>
        <w:tc>
          <w:tcPr>
            <w:tcW w:w="600" w:type="dxa"/>
            <w:tcBorders>
              <w:tl2br w:val="nil"/>
              <w:tr2bl w:val="nil"/>
            </w:tcBorders>
            <w:vAlign w:val="center"/>
          </w:tcPr>
          <w:p w14:paraId="22E83E1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w:t>
            </w:r>
          </w:p>
        </w:tc>
        <w:tc>
          <w:tcPr>
            <w:tcW w:w="556" w:type="dxa"/>
            <w:tcBorders>
              <w:tl2br w:val="nil"/>
              <w:tr2bl w:val="nil"/>
            </w:tcBorders>
            <w:vAlign w:val="center"/>
          </w:tcPr>
          <w:p w14:paraId="3C2DF1C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0.5</w:t>
            </w:r>
          </w:p>
        </w:tc>
      </w:tr>
      <w:tr w14:paraId="76493A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574" w:type="dxa"/>
            <w:tcBorders>
              <w:tl2br w:val="nil"/>
              <w:tr2bl w:val="nil"/>
            </w:tcBorders>
            <w:shd w:val="clear" w:color="auto" w:fill="auto"/>
            <w:noWrap/>
            <w:tcMar>
              <w:top w:w="15" w:type="dxa"/>
              <w:left w:w="15" w:type="dxa"/>
              <w:right w:w="15" w:type="dxa"/>
            </w:tcMar>
            <w:vAlign w:val="center"/>
          </w:tcPr>
          <w:p w14:paraId="4CEEE68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8</w:t>
            </w:r>
          </w:p>
        </w:tc>
        <w:tc>
          <w:tcPr>
            <w:tcW w:w="978" w:type="dxa"/>
            <w:tcBorders>
              <w:tl2br w:val="nil"/>
              <w:tr2bl w:val="nil"/>
            </w:tcBorders>
            <w:shd w:val="clear" w:color="auto" w:fill="auto"/>
            <w:noWrap/>
            <w:tcMar>
              <w:top w:w="15" w:type="dxa"/>
              <w:left w:w="15" w:type="dxa"/>
              <w:right w:w="15" w:type="dxa"/>
            </w:tcMar>
            <w:vAlign w:val="center"/>
          </w:tcPr>
          <w:p w14:paraId="386044A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XM-3-200</w:t>
            </w:r>
          </w:p>
        </w:tc>
        <w:tc>
          <w:tcPr>
            <w:tcW w:w="1355" w:type="dxa"/>
            <w:tcBorders>
              <w:tl2br w:val="nil"/>
              <w:tr2bl w:val="nil"/>
            </w:tcBorders>
            <w:shd w:val="clear" w:color="auto" w:fill="auto"/>
            <w:noWrap/>
            <w:tcMar>
              <w:top w:w="15" w:type="dxa"/>
              <w:left w:w="15" w:type="dxa"/>
              <w:right w:w="15" w:type="dxa"/>
            </w:tcMar>
            <w:vAlign w:val="center"/>
          </w:tcPr>
          <w:p w14:paraId="1CA9068C">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园区边界南侧</w:t>
            </w:r>
          </w:p>
          <w:p w14:paraId="350C7406">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lang w:val="en-US" w:eastAsia="zh-CN"/>
              </w:rPr>
              <w:t>下风向200m</w:t>
            </w:r>
          </w:p>
        </w:tc>
        <w:tc>
          <w:tcPr>
            <w:tcW w:w="1094" w:type="dxa"/>
            <w:tcBorders>
              <w:tl2br w:val="nil"/>
              <w:tr2bl w:val="nil"/>
            </w:tcBorders>
            <w:shd w:val="clear" w:color="auto" w:fill="auto"/>
            <w:noWrap/>
            <w:tcMar>
              <w:top w:w="15" w:type="dxa"/>
              <w:left w:w="15" w:type="dxa"/>
              <w:right w:w="15" w:type="dxa"/>
            </w:tcMar>
            <w:vAlign w:val="center"/>
          </w:tcPr>
          <w:p w14:paraId="63C492B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第一类用</w:t>
            </w:r>
          </w:p>
          <w:p w14:paraId="0D42C079">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地筛选值</w:t>
            </w:r>
          </w:p>
        </w:tc>
        <w:tc>
          <w:tcPr>
            <w:tcW w:w="575" w:type="dxa"/>
            <w:tcBorders>
              <w:tl2br w:val="nil"/>
              <w:tr2bl w:val="nil"/>
            </w:tcBorders>
            <w:shd w:val="clear" w:color="auto" w:fill="auto"/>
            <w:noWrap/>
            <w:tcMar>
              <w:top w:w="15" w:type="dxa"/>
              <w:left w:w="15" w:type="dxa"/>
              <w:right w:w="15" w:type="dxa"/>
            </w:tcMar>
            <w:vAlign w:val="center"/>
          </w:tcPr>
          <w:p w14:paraId="49D67DD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30.7</w:t>
            </w:r>
          </w:p>
        </w:tc>
        <w:tc>
          <w:tcPr>
            <w:tcW w:w="575" w:type="dxa"/>
            <w:tcBorders>
              <w:tl2br w:val="nil"/>
              <w:tr2bl w:val="nil"/>
            </w:tcBorders>
            <w:shd w:val="clear" w:color="auto" w:fill="auto"/>
            <w:noWrap/>
            <w:tcMar>
              <w:top w:w="15" w:type="dxa"/>
              <w:left w:w="15" w:type="dxa"/>
              <w:right w:w="15" w:type="dxa"/>
            </w:tcMar>
            <w:vAlign w:val="center"/>
          </w:tcPr>
          <w:p w14:paraId="443BCB9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0.17</w:t>
            </w:r>
          </w:p>
        </w:tc>
        <w:tc>
          <w:tcPr>
            <w:tcW w:w="600" w:type="dxa"/>
            <w:tcBorders>
              <w:tl2br w:val="nil"/>
              <w:tr2bl w:val="nil"/>
            </w:tcBorders>
            <w:shd w:val="clear" w:color="auto" w:fill="auto"/>
            <w:noWrap/>
            <w:tcMar>
              <w:top w:w="15" w:type="dxa"/>
              <w:left w:w="15" w:type="dxa"/>
              <w:right w:w="15" w:type="dxa"/>
            </w:tcMar>
            <w:vAlign w:val="center"/>
          </w:tcPr>
          <w:p w14:paraId="5661944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6.62</w:t>
            </w:r>
          </w:p>
        </w:tc>
        <w:tc>
          <w:tcPr>
            <w:tcW w:w="637" w:type="dxa"/>
            <w:tcBorders>
              <w:tl2br w:val="nil"/>
              <w:tr2bl w:val="nil"/>
            </w:tcBorders>
            <w:shd w:val="clear" w:color="auto" w:fill="auto"/>
            <w:noWrap/>
            <w:tcMar>
              <w:top w:w="15" w:type="dxa"/>
              <w:left w:w="15" w:type="dxa"/>
              <w:right w:w="15" w:type="dxa"/>
            </w:tcMar>
            <w:vAlign w:val="center"/>
          </w:tcPr>
          <w:p w14:paraId="0F02E64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0.12</w:t>
            </w:r>
          </w:p>
        </w:tc>
        <w:tc>
          <w:tcPr>
            <w:tcW w:w="625" w:type="dxa"/>
            <w:tcBorders>
              <w:tl2br w:val="nil"/>
              <w:tr2bl w:val="nil"/>
            </w:tcBorders>
            <w:shd w:val="clear" w:color="auto" w:fill="auto"/>
            <w:noWrap/>
            <w:tcMar>
              <w:top w:w="15" w:type="dxa"/>
              <w:left w:w="15" w:type="dxa"/>
              <w:right w:w="15" w:type="dxa"/>
            </w:tcMar>
            <w:vAlign w:val="center"/>
          </w:tcPr>
          <w:p w14:paraId="6E5C75C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24</w:t>
            </w:r>
          </w:p>
        </w:tc>
        <w:tc>
          <w:tcPr>
            <w:tcW w:w="600" w:type="dxa"/>
            <w:tcBorders>
              <w:tl2br w:val="nil"/>
              <w:tr2bl w:val="nil"/>
            </w:tcBorders>
            <w:shd w:val="clear" w:color="auto" w:fill="auto"/>
            <w:noWrap/>
            <w:tcMar>
              <w:top w:w="15" w:type="dxa"/>
              <w:left w:w="15" w:type="dxa"/>
              <w:right w:w="15" w:type="dxa"/>
            </w:tcMar>
            <w:vAlign w:val="center"/>
          </w:tcPr>
          <w:p w14:paraId="1D5A415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19</w:t>
            </w:r>
          </w:p>
        </w:tc>
        <w:tc>
          <w:tcPr>
            <w:tcW w:w="575" w:type="dxa"/>
            <w:tcBorders>
              <w:tl2br w:val="nil"/>
              <w:tr2bl w:val="nil"/>
            </w:tcBorders>
            <w:shd w:val="clear" w:color="auto" w:fill="auto"/>
            <w:noWrap/>
            <w:tcMar>
              <w:top w:w="15" w:type="dxa"/>
              <w:left w:w="15" w:type="dxa"/>
              <w:right w:w="15" w:type="dxa"/>
            </w:tcMar>
            <w:vAlign w:val="center"/>
          </w:tcPr>
          <w:p w14:paraId="1069457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41</w:t>
            </w:r>
          </w:p>
        </w:tc>
        <w:tc>
          <w:tcPr>
            <w:tcW w:w="613" w:type="dxa"/>
            <w:tcBorders>
              <w:tl2br w:val="nil"/>
              <w:tr2bl w:val="nil"/>
            </w:tcBorders>
            <w:shd w:val="clear" w:color="auto" w:fill="auto"/>
            <w:noWrap/>
            <w:tcMar>
              <w:top w:w="15" w:type="dxa"/>
              <w:left w:w="15" w:type="dxa"/>
              <w:right w:w="15" w:type="dxa"/>
            </w:tcMar>
            <w:vAlign w:val="center"/>
          </w:tcPr>
          <w:p w14:paraId="0FCED77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5.4</w:t>
            </w:r>
          </w:p>
        </w:tc>
        <w:tc>
          <w:tcPr>
            <w:tcW w:w="600" w:type="dxa"/>
            <w:tcBorders>
              <w:tl2br w:val="nil"/>
              <w:tr2bl w:val="nil"/>
            </w:tcBorders>
            <w:vAlign w:val="center"/>
          </w:tcPr>
          <w:p w14:paraId="1F96BEF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0.8</w:t>
            </w:r>
          </w:p>
        </w:tc>
        <w:tc>
          <w:tcPr>
            <w:tcW w:w="556" w:type="dxa"/>
            <w:tcBorders>
              <w:tl2br w:val="nil"/>
              <w:tr2bl w:val="nil"/>
            </w:tcBorders>
            <w:vAlign w:val="center"/>
          </w:tcPr>
          <w:p w14:paraId="6C57A5C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0.7</w:t>
            </w:r>
          </w:p>
        </w:tc>
      </w:tr>
      <w:tr w14:paraId="7DE76F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574" w:type="dxa"/>
            <w:tcBorders>
              <w:tl2br w:val="nil"/>
              <w:tr2bl w:val="nil"/>
            </w:tcBorders>
            <w:shd w:val="clear" w:color="auto" w:fill="auto"/>
            <w:noWrap/>
            <w:tcMar>
              <w:top w:w="15" w:type="dxa"/>
              <w:left w:w="15" w:type="dxa"/>
              <w:right w:w="15" w:type="dxa"/>
            </w:tcMar>
            <w:vAlign w:val="center"/>
          </w:tcPr>
          <w:p w14:paraId="0CE3FF6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w:t>
            </w:r>
          </w:p>
        </w:tc>
        <w:tc>
          <w:tcPr>
            <w:tcW w:w="978" w:type="dxa"/>
            <w:tcBorders>
              <w:tl2br w:val="nil"/>
              <w:tr2bl w:val="nil"/>
            </w:tcBorders>
            <w:shd w:val="clear" w:color="auto" w:fill="auto"/>
            <w:noWrap/>
            <w:tcMar>
              <w:top w:w="15" w:type="dxa"/>
              <w:left w:w="15" w:type="dxa"/>
              <w:right w:w="15" w:type="dxa"/>
            </w:tcMar>
            <w:vAlign w:val="center"/>
          </w:tcPr>
          <w:p w14:paraId="6237EF0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XM-3-400</w:t>
            </w:r>
          </w:p>
        </w:tc>
        <w:tc>
          <w:tcPr>
            <w:tcW w:w="1355" w:type="dxa"/>
            <w:tcBorders>
              <w:tl2br w:val="nil"/>
              <w:tr2bl w:val="nil"/>
            </w:tcBorders>
            <w:shd w:val="clear" w:color="auto" w:fill="auto"/>
            <w:noWrap/>
            <w:tcMar>
              <w:top w:w="15" w:type="dxa"/>
              <w:left w:w="15" w:type="dxa"/>
              <w:right w:w="15" w:type="dxa"/>
            </w:tcMar>
            <w:vAlign w:val="center"/>
          </w:tcPr>
          <w:p w14:paraId="709D76F3">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园区边界南侧</w:t>
            </w:r>
          </w:p>
          <w:p w14:paraId="4E7B939A">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lang w:val="en-US" w:eastAsia="zh-CN"/>
              </w:rPr>
              <w:t>下风向400m</w:t>
            </w:r>
          </w:p>
        </w:tc>
        <w:tc>
          <w:tcPr>
            <w:tcW w:w="1094" w:type="dxa"/>
            <w:tcBorders>
              <w:tl2br w:val="nil"/>
              <w:tr2bl w:val="nil"/>
            </w:tcBorders>
            <w:shd w:val="clear" w:color="auto" w:fill="auto"/>
            <w:noWrap/>
            <w:tcMar>
              <w:top w:w="15" w:type="dxa"/>
              <w:left w:w="15" w:type="dxa"/>
              <w:right w:w="15" w:type="dxa"/>
            </w:tcMar>
            <w:vAlign w:val="center"/>
          </w:tcPr>
          <w:p w14:paraId="198FBCF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第一类用</w:t>
            </w:r>
          </w:p>
          <w:p w14:paraId="2624407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地筛选值</w:t>
            </w:r>
          </w:p>
        </w:tc>
        <w:tc>
          <w:tcPr>
            <w:tcW w:w="575" w:type="dxa"/>
            <w:tcBorders>
              <w:tl2br w:val="nil"/>
              <w:tr2bl w:val="nil"/>
            </w:tcBorders>
            <w:shd w:val="clear" w:color="auto" w:fill="auto"/>
            <w:noWrap/>
            <w:tcMar>
              <w:top w:w="15" w:type="dxa"/>
              <w:left w:w="15" w:type="dxa"/>
              <w:right w:w="15" w:type="dxa"/>
            </w:tcMar>
            <w:vAlign w:val="center"/>
          </w:tcPr>
          <w:p w14:paraId="101A083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24.2</w:t>
            </w:r>
          </w:p>
        </w:tc>
        <w:tc>
          <w:tcPr>
            <w:tcW w:w="575" w:type="dxa"/>
            <w:tcBorders>
              <w:tl2br w:val="nil"/>
              <w:tr2bl w:val="nil"/>
            </w:tcBorders>
            <w:shd w:val="clear" w:color="auto" w:fill="auto"/>
            <w:noWrap/>
            <w:tcMar>
              <w:top w:w="15" w:type="dxa"/>
              <w:left w:w="15" w:type="dxa"/>
              <w:right w:w="15" w:type="dxa"/>
            </w:tcMar>
            <w:vAlign w:val="center"/>
          </w:tcPr>
          <w:p w14:paraId="69F1E06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0.19</w:t>
            </w:r>
          </w:p>
        </w:tc>
        <w:tc>
          <w:tcPr>
            <w:tcW w:w="600" w:type="dxa"/>
            <w:tcBorders>
              <w:tl2br w:val="nil"/>
              <w:tr2bl w:val="nil"/>
            </w:tcBorders>
            <w:shd w:val="clear" w:color="auto" w:fill="auto"/>
            <w:noWrap/>
            <w:tcMar>
              <w:top w:w="15" w:type="dxa"/>
              <w:left w:w="15" w:type="dxa"/>
              <w:right w:w="15" w:type="dxa"/>
            </w:tcMar>
            <w:vAlign w:val="center"/>
          </w:tcPr>
          <w:p w14:paraId="3808E10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8.71</w:t>
            </w:r>
          </w:p>
        </w:tc>
        <w:tc>
          <w:tcPr>
            <w:tcW w:w="637" w:type="dxa"/>
            <w:tcBorders>
              <w:tl2br w:val="nil"/>
              <w:tr2bl w:val="nil"/>
            </w:tcBorders>
            <w:shd w:val="clear" w:color="auto" w:fill="auto"/>
            <w:noWrap/>
            <w:tcMar>
              <w:top w:w="15" w:type="dxa"/>
              <w:left w:w="15" w:type="dxa"/>
              <w:right w:w="15" w:type="dxa"/>
            </w:tcMar>
            <w:vAlign w:val="center"/>
          </w:tcPr>
          <w:p w14:paraId="79AED20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0.06</w:t>
            </w:r>
          </w:p>
        </w:tc>
        <w:tc>
          <w:tcPr>
            <w:tcW w:w="625" w:type="dxa"/>
            <w:tcBorders>
              <w:tl2br w:val="nil"/>
              <w:tr2bl w:val="nil"/>
            </w:tcBorders>
            <w:shd w:val="clear" w:color="auto" w:fill="auto"/>
            <w:noWrap/>
            <w:tcMar>
              <w:top w:w="15" w:type="dxa"/>
              <w:left w:w="15" w:type="dxa"/>
              <w:right w:w="15" w:type="dxa"/>
            </w:tcMar>
            <w:vAlign w:val="center"/>
          </w:tcPr>
          <w:p w14:paraId="4586F70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22</w:t>
            </w:r>
          </w:p>
        </w:tc>
        <w:tc>
          <w:tcPr>
            <w:tcW w:w="600" w:type="dxa"/>
            <w:tcBorders>
              <w:tl2br w:val="nil"/>
              <w:tr2bl w:val="nil"/>
            </w:tcBorders>
            <w:shd w:val="clear" w:color="auto" w:fill="auto"/>
            <w:noWrap/>
            <w:tcMar>
              <w:top w:w="15" w:type="dxa"/>
              <w:left w:w="15" w:type="dxa"/>
              <w:right w:w="15" w:type="dxa"/>
            </w:tcMar>
            <w:vAlign w:val="center"/>
          </w:tcPr>
          <w:p w14:paraId="589958A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18</w:t>
            </w:r>
          </w:p>
        </w:tc>
        <w:tc>
          <w:tcPr>
            <w:tcW w:w="575" w:type="dxa"/>
            <w:tcBorders>
              <w:tl2br w:val="nil"/>
              <w:tr2bl w:val="nil"/>
            </w:tcBorders>
            <w:shd w:val="clear" w:color="auto" w:fill="auto"/>
            <w:noWrap/>
            <w:tcMar>
              <w:top w:w="15" w:type="dxa"/>
              <w:left w:w="15" w:type="dxa"/>
              <w:right w:w="15" w:type="dxa"/>
            </w:tcMar>
            <w:vAlign w:val="center"/>
          </w:tcPr>
          <w:p w14:paraId="1F1969B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40</w:t>
            </w:r>
          </w:p>
        </w:tc>
        <w:tc>
          <w:tcPr>
            <w:tcW w:w="613" w:type="dxa"/>
            <w:tcBorders>
              <w:tl2br w:val="nil"/>
              <w:tr2bl w:val="nil"/>
            </w:tcBorders>
            <w:shd w:val="clear" w:color="auto" w:fill="auto"/>
            <w:noWrap/>
            <w:tcMar>
              <w:top w:w="15" w:type="dxa"/>
              <w:left w:w="15" w:type="dxa"/>
              <w:right w:w="15" w:type="dxa"/>
            </w:tcMar>
            <w:vAlign w:val="center"/>
          </w:tcPr>
          <w:p w14:paraId="7BBDED5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9.2</w:t>
            </w:r>
          </w:p>
        </w:tc>
        <w:tc>
          <w:tcPr>
            <w:tcW w:w="600" w:type="dxa"/>
            <w:tcBorders>
              <w:tl2br w:val="nil"/>
              <w:tr2bl w:val="nil"/>
            </w:tcBorders>
            <w:vAlign w:val="center"/>
          </w:tcPr>
          <w:p w14:paraId="1743C25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1.1</w:t>
            </w:r>
          </w:p>
        </w:tc>
        <w:tc>
          <w:tcPr>
            <w:tcW w:w="556" w:type="dxa"/>
            <w:tcBorders>
              <w:tl2br w:val="nil"/>
              <w:tr2bl w:val="nil"/>
            </w:tcBorders>
            <w:vAlign w:val="center"/>
          </w:tcPr>
          <w:p w14:paraId="27ACDEE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0.7</w:t>
            </w:r>
          </w:p>
        </w:tc>
      </w:tr>
      <w:tr w14:paraId="3ED3C7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574" w:type="dxa"/>
            <w:tcBorders>
              <w:tl2br w:val="nil"/>
              <w:tr2bl w:val="nil"/>
            </w:tcBorders>
            <w:shd w:val="clear" w:color="auto" w:fill="auto"/>
            <w:noWrap/>
            <w:tcMar>
              <w:top w:w="15" w:type="dxa"/>
              <w:left w:w="15" w:type="dxa"/>
              <w:right w:w="15" w:type="dxa"/>
            </w:tcMar>
            <w:vAlign w:val="center"/>
          </w:tcPr>
          <w:p w14:paraId="088D16A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978" w:type="dxa"/>
            <w:tcBorders>
              <w:tl2br w:val="nil"/>
              <w:tr2bl w:val="nil"/>
            </w:tcBorders>
            <w:shd w:val="clear" w:color="auto" w:fill="auto"/>
            <w:noWrap/>
            <w:tcMar>
              <w:top w:w="15" w:type="dxa"/>
              <w:left w:w="15" w:type="dxa"/>
              <w:right w:w="15" w:type="dxa"/>
            </w:tcMar>
            <w:vAlign w:val="center"/>
          </w:tcPr>
          <w:p w14:paraId="19118F0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XM-4</w:t>
            </w:r>
          </w:p>
        </w:tc>
        <w:tc>
          <w:tcPr>
            <w:tcW w:w="1355" w:type="dxa"/>
            <w:tcBorders>
              <w:tl2br w:val="nil"/>
              <w:tr2bl w:val="nil"/>
            </w:tcBorders>
            <w:shd w:val="clear" w:color="auto" w:fill="auto"/>
            <w:noWrap/>
            <w:tcMar>
              <w:top w:w="15" w:type="dxa"/>
              <w:left w:w="15" w:type="dxa"/>
              <w:right w:w="15" w:type="dxa"/>
            </w:tcMar>
            <w:vAlign w:val="center"/>
          </w:tcPr>
          <w:p w14:paraId="65163861">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园区边界北侧</w:t>
            </w:r>
          </w:p>
          <w:p w14:paraId="5E34076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lang w:val="en-US" w:eastAsia="zh-CN"/>
              </w:rPr>
              <w:t>上风向20m外</w:t>
            </w:r>
          </w:p>
        </w:tc>
        <w:tc>
          <w:tcPr>
            <w:tcW w:w="1094" w:type="dxa"/>
            <w:tcBorders>
              <w:tl2br w:val="nil"/>
              <w:tr2bl w:val="nil"/>
            </w:tcBorders>
            <w:shd w:val="clear" w:color="auto" w:fill="auto"/>
            <w:noWrap/>
            <w:tcMar>
              <w:top w:w="15" w:type="dxa"/>
              <w:left w:w="15" w:type="dxa"/>
              <w:right w:w="15" w:type="dxa"/>
            </w:tcMar>
            <w:vAlign w:val="center"/>
          </w:tcPr>
          <w:p w14:paraId="091FE43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第二类用</w:t>
            </w:r>
          </w:p>
          <w:p w14:paraId="43A916F9">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地筛选值</w:t>
            </w:r>
          </w:p>
        </w:tc>
        <w:tc>
          <w:tcPr>
            <w:tcW w:w="575" w:type="dxa"/>
            <w:tcBorders>
              <w:tl2br w:val="nil"/>
              <w:tr2bl w:val="nil"/>
            </w:tcBorders>
            <w:shd w:val="clear" w:color="auto" w:fill="auto"/>
            <w:noWrap/>
            <w:tcMar>
              <w:top w:w="15" w:type="dxa"/>
              <w:left w:w="15" w:type="dxa"/>
              <w:right w:w="15" w:type="dxa"/>
            </w:tcMar>
            <w:vAlign w:val="center"/>
          </w:tcPr>
          <w:p w14:paraId="32309EA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38.7</w:t>
            </w:r>
          </w:p>
        </w:tc>
        <w:tc>
          <w:tcPr>
            <w:tcW w:w="575" w:type="dxa"/>
            <w:tcBorders>
              <w:tl2br w:val="nil"/>
              <w:tr2bl w:val="nil"/>
            </w:tcBorders>
            <w:shd w:val="clear" w:color="auto" w:fill="auto"/>
            <w:noWrap/>
            <w:tcMar>
              <w:top w:w="15" w:type="dxa"/>
              <w:left w:w="15" w:type="dxa"/>
              <w:right w:w="15" w:type="dxa"/>
            </w:tcMar>
            <w:vAlign w:val="center"/>
          </w:tcPr>
          <w:p w14:paraId="19F13C6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0.20</w:t>
            </w:r>
          </w:p>
        </w:tc>
        <w:tc>
          <w:tcPr>
            <w:tcW w:w="600" w:type="dxa"/>
            <w:tcBorders>
              <w:tl2br w:val="nil"/>
              <w:tr2bl w:val="nil"/>
            </w:tcBorders>
            <w:shd w:val="clear" w:color="auto" w:fill="auto"/>
            <w:noWrap/>
            <w:tcMar>
              <w:top w:w="15" w:type="dxa"/>
              <w:left w:w="15" w:type="dxa"/>
              <w:right w:w="15" w:type="dxa"/>
            </w:tcMar>
            <w:vAlign w:val="center"/>
          </w:tcPr>
          <w:p w14:paraId="6403D4A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14.4</w:t>
            </w:r>
          </w:p>
        </w:tc>
        <w:tc>
          <w:tcPr>
            <w:tcW w:w="637" w:type="dxa"/>
            <w:tcBorders>
              <w:tl2br w:val="nil"/>
              <w:tr2bl w:val="nil"/>
            </w:tcBorders>
            <w:shd w:val="clear" w:color="auto" w:fill="auto"/>
            <w:noWrap/>
            <w:tcMar>
              <w:top w:w="15" w:type="dxa"/>
              <w:left w:w="15" w:type="dxa"/>
              <w:right w:w="15" w:type="dxa"/>
            </w:tcMar>
            <w:vAlign w:val="center"/>
          </w:tcPr>
          <w:p w14:paraId="3421BAA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0.13</w:t>
            </w:r>
          </w:p>
        </w:tc>
        <w:tc>
          <w:tcPr>
            <w:tcW w:w="625" w:type="dxa"/>
            <w:tcBorders>
              <w:tl2br w:val="nil"/>
              <w:tr2bl w:val="nil"/>
            </w:tcBorders>
            <w:shd w:val="clear" w:color="auto" w:fill="auto"/>
            <w:noWrap/>
            <w:tcMar>
              <w:top w:w="15" w:type="dxa"/>
              <w:left w:w="15" w:type="dxa"/>
              <w:right w:w="15" w:type="dxa"/>
            </w:tcMar>
            <w:vAlign w:val="center"/>
          </w:tcPr>
          <w:p w14:paraId="16377F0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57</w:t>
            </w:r>
          </w:p>
        </w:tc>
        <w:tc>
          <w:tcPr>
            <w:tcW w:w="600" w:type="dxa"/>
            <w:tcBorders>
              <w:tl2br w:val="nil"/>
              <w:tr2bl w:val="nil"/>
            </w:tcBorders>
            <w:shd w:val="clear" w:color="auto" w:fill="auto"/>
            <w:noWrap/>
            <w:tcMar>
              <w:top w:w="15" w:type="dxa"/>
              <w:left w:w="15" w:type="dxa"/>
              <w:right w:w="15" w:type="dxa"/>
            </w:tcMar>
            <w:vAlign w:val="center"/>
          </w:tcPr>
          <w:p w14:paraId="6F3ABFF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47</w:t>
            </w:r>
          </w:p>
        </w:tc>
        <w:tc>
          <w:tcPr>
            <w:tcW w:w="575" w:type="dxa"/>
            <w:tcBorders>
              <w:tl2br w:val="nil"/>
              <w:tr2bl w:val="nil"/>
            </w:tcBorders>
            <w:shd w:val="clear" w:color="auto" w:fill="auto"/>
            <w:noWrap/>
            <w:tcMar>
              <w:top w:w="15" w:type="dxa"/>
              <w:left w:w="15" w:type="dxa"/>
              <w:right w:w="15" w:type="dxa"/>
            </w:tcMar>
            <w:vAlign w:val="center"/>
          </w:tcPr>
          <w:p w14:paraId="0B8C794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92</w:t>
            </w:r>
          </w:p>
        </w:tc>
        <w:tc>
          <w:tcPr>
            <w:tcW w:w="613" w:type="dxa"/>
            <w:tcBorders>
              <w:tl2br w:val="nil"/>
              <w:tr2bl w:val="nil"/>
            </w:tcBorders>
            <w:shd w:val="clear" w:color="auto" w:fill="auto"/>
            <w:noWrap/>
            <w:tcMar>
              <w:top w:w="15" w:type="dxa"/>
              <w:left w:w="15" w:type="dxa"/>
              <w:right w:w="15" w:type="dxa"/>
            </w:tcMar>
            <w:vAlign w:val="center"/>
          </w:tcPr>
          <w:p w14:paraId="29DC4DE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11.8</w:t>
            </w:r>
          </w:p>
        </w:tc>
        <w:tc>
          <w:tcPr>
            <w:tcW w:w="600" w:type="dxa"/>
            <w:tcBorders>
              <w:tl2br w:val="nil"/>
              <w:tr2bl w:val="nil"/>
            </w:tcBorders>
            <w:vAlign w:val="center"/>
          </w:tcPr>
          <w:p w14:paraId="6C8A1A6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0.8</w:t>
            </w:r>
          </w:p>
        </w:tc>
        <w:tc>
          <w:tcPr>
            <w:tcW w:w="556" w:type="dxa"/>
            <w:tcBorders>
              <w:tl2br w:val="nil"/>
              <w:tr2bl w:val="nil"/>
            </w:tcBorders>
            <w:vAlign w:val="center"/>
          </w:tcPr>
          <w:p w14:paraId="0DD6D7E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w:t>
            </w:r>
          </w:p>
        </w:tc>
      </w:tr>
      <w:tr w14:paraId="1FADFF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574" w:type="dxa"/>
            <w:tcBorders>
              <w:tl2br w:val="nil"/>
              <w:tr2bl w:val="nil"/>
            </w:tcBorders>
            <w:shd w:val="clear" w:color="auto" w:fill="auto"/>
            <w:noWrap/>
            <w:tcMar>
              <w:top w:w="15" w:type="dxa"/>
              <w:left w:w="15" w:type="dxa"/>
              <w:right w:w="15" w:type="dxa"/>
            </w:tcMar>
            <w:vAlign w:val="center"/>
          </w:tcPr>
          <w:p w14:paraId="3C4772E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w:t>
            </w:r>
          </w:p>
        </w:tc>
        <w:tc>
          <w:tcPr>
            <w:tcW w:w="978" w:type="dxa"/>
            <w:tcBorders>
              <w:tl2br w:val="nil"/>
              <w:tr2bl w:val="nil"/>
            </w:tcBorders>
            <w:shd w:val="clear" w:color="auto" w:fill="auto"/>
            <w:noWrap/>
            <w:tcMar>
              <w:top w:w="15" w:type="dxa"/>
              <w:left w:w="15" w:type="dxa"/>
              <w:right w:w="15" w:type="dxa"/>
            </w:tcMar>
            <w:vAlign w:val="center"/>
          </w:tcPr>
          <w:p w14:paraId="757EA3D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XM-JJ-1</w:t>
            </w:r>
          </w:p>
        </w:tc>
        <w:tc>
          <w:tcPr>
            <w:tcW w:w="1355" w:type="dxa"/>
            <w:tcBorders>
              <w:tl2br w:val="nil"/>
              <w:tr2bl w:val="nil"/>
            </w:tcBorders>
            <w:shd w:val="clear" w:color="auto" w:fill="auto"/>
            <w:noWrap/>
            <w:tcMar>
              <w:top w:w="15" w:type="dxa"/>
              <w:left w:w="15" w:type="dxa"/>
              <w:right w:w="15" w:type="dxa"/>
            </w:tcMar>
            <w:vAlign w:val="center"/>
          </w:tcPr>
          <w:p w14:paraId="0B7D348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企业聚集</w:t>
            </w:r>
          </w:p>
          <w:p w14:paraId="31889DA5">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区西侧</w:t>
            </w:r>
          </w:p>
        </w:tc>
        <w:tc>
          <w:tcPr>
            <w:tcW w:w="1094" w:type="dxa"/>
            <w:tcBorders>
              <w:tl2br w:val="nil"/>
              <w:tr2bl w:val="nil"/>
            </w:tcBorders>
            <w:shd w:val="clear" w:color="auto" w:fill="auto"/>
            <w:noWrap/>
            <w:tcMar>
              <w:top w:w="15" w:type="dxa"/>
              <w:left w:w="15" w:type="dxa"/>
              <w:right w:w="15" w:type="dxa"/>
            </w:tcMar>
            <w:vAlign w:val="center"/>
          </w:tcPr>
          <w:p w14:paraId="171F66C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第一类用</w:t>
            </w:r>
          </w:p>
          <w:p w14:paraId="6A12DECB">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地筛选值</w:t>
            </w:r>
          </w:p>
        </w:tc>
        <w:tc>
          <w:tcPr>
            <w:tcW w:w="575" w:type="dxa"/>
            <w:tcBorders>
              <w:tl2br w:val="nil"/>
              <w:tr2bl w:val="nil"/>
            </w:tcBorders>
            <w:shd w:val="clear" w:color="auto" w:fill="auto"/>
            <w:noWrap/>
            <w:tcMar>
              <w:top w:w="15" w:type="dxa"/>
              <w:left w:w="15" w:type="dxa"/>
              <w:right w:w="15" w:type="dxa"/>
            </w:tcMar>
            <w:vAlign w:val="center"/>
          </w:tcPr>
          <w:p w14:paraId="6EFEF74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21.2</w:t>
            </w:r>
          </w:p>
        </w:tc>
        <w:tc>
          <w:tcPr>
            <w:tcW w:w="575" w:type="dxa"/>
            <w:tcBorders>
              <w:tl2br w:val="nil"/>
              <w:tr2bl w:val="nil"/>
            </w:tcBorders>
            <w:shd w:val="clear" w:color="auto" w:fill="auto"/>
            <w:noWrap/>
            <w:tcMar>
              <w:top w:w="15" w:type="dxa"/>
              <w:left w:w="15" w:type="dxa"/>
              <w:right w:w="15" w:type="dxa"/>
            </w:tcMar>
            <w:vAlign w:val="center"/>
          </w:tcPr>
          <w:p w14:paraId="17BBA65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0.42</w:t>
            </w:r>
          </w:p>
        </w:tc>
        <w:tc>
          <w:tcPr>
            <w:tcW w:w="600" w:type="dxa"/>
            <w:tcBorders>
              <w:tl2br w:val="nil"/>
              <w:tr2bl w:val="nil"/>
            </w:tcBorders>
            <w:shd w:val="clear" w:color="auto" w:fill="auto"/>
            <w:noWrap/>
            <w:tcMar>
              <w:top w:w="15" w:type="dxa"/>
              <w:left w:w="15" w:type="dxa"/>
              <w:right w:w="15" w:type="dxa"/>
            </w:tcMar>
            <w:vAlign w:val="center"/>
          </w:tcPr>
          <w:p w14:paraId="141353D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9.40</w:t>
            </w:r>
          </w:p>
        </w:tc>
        <w:tc>
          <w:tcPr>
            <w:tcW w:w="637" w:type="dxa"/>
            <w:tcBorders>
              <w:tl2br w:val="nil"/>
              <w:tr2bl w:val="nil"/>
            </w:tcBorders>
            <w:shd w:val="clear" w:color="auto" w:fill="auto"/>
            <w:noWrap/>
            <w:tcMar>
              <w:top w:w="15" w:type="dxa"/>
              <w:left w:w="15" w:type="dxa"/>
              <w:right w:w="15" w:type="dxa"/>
            </w:tcMar>
            <w:vAlign w:val="center"/>
          </w:tcPr>
          <w:p w14:paraId="42A8B61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0.02</w:t>
            </w:r>
          </w:p>
        </w:tc>
        <w:tc>
          <w:tcPr>
            <w:tcW w:w="625" w:type="dxa"/>
            <w:tcBorders>
              <w:tl2br w:val="nil"/>
              <w:tr2bl w:val="nil"/>
            </w:tcBorders>
            <w:shd w:val="clear" w:color="auto" w:fill="auto"/>
            <w:noWrap/>
            <w:tcMar>
              <w:top w:w="15" w:type="dxa"/>
              <w:left w:w="15" w:type="dxa"/>
              <w:right w:w="15" w:type="dxa"/>
            </w:tcMar>
            <w:vAlign w:val="center"/>
          </w:tcPr>
          <w:p w14:paraId="6D1A63F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w:t>
            </w:r>
          </w:p>
        </w:tc>
        <w:tc>
          <w:tcPr>
            <w:tcW w:w="600" w:type="dxa"/>
            <w:tcBorders>
              <w:tl2br w:val="nil"/>
              <w:tr2bl w:val="nil"/>
            </w:tcBorders>
            <w:shd w:val="clear" w:color="auto" w:fill="auto"/>
            <w:noWrap/>
            <w:tcMar>
              <w:top w:w="15" w:type="dxa"/>
              <w:left w:w="15" w:type="dxa"/>
              <w:right w:w="15" w:type="dxa"/>
            </w:tcMar>
            <w:vAlign w:val="center"/>
          </w:tcPr>
          <w:p w14:paraId="70CE269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w:t>
            </w:r>
          </w:p>
        </w:tc>
        <w:tc>
          <w:tcPr>
            <w:tcW w:w="575" w:type="dxa"/>
            <w:tcBorders>
              <w:tl2br w:val="nil"/>
              <w:tr2bl w:val="nil"/>
            </w:tcBorders>
            <w:shd w:val="clear" w:color="auto" w:fill="auto"/>
            <w:noWrap/>
            <w:tcMar>
              <w:top w:w="15" w:type="dxa"/>
              <w:left w:w="15" w:type="dxa"/>
              <w:right w:w="15" w:type="dxa"/>
            </w:tcMar>
            <w:vAlign w:val="center"/>
          </w:tcPr>
          <w:p w14:paraId="7B88E0A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52</w:t>
            </w:r>
          </w:p>
        </w:tc>
        <w:tc>
          <w:tcPr>
            <w:tcW w:w="613" w:type="dxa"/>
            <w:tcBorders>
              <w:tl2br w:val="nil"/>
              <w:tr2bl w:val="nil"/>
            </w:tcBorders>
            <w:shd w:val="clear" w:color="auto" w:fill="auto"/>
            <w:noWrap/>
            <w:tcMar>
              <w:top w:w="15" w:type="dxa"/>
              <w:left w:w="15" w:type="dxa"/>
              <w:right w:w="15" w:type="dxa"/>
            </w:tcMar>
            <w:vAlign w:val="center"/>
          </w:tcPr>
          <w:p w14:paraId="17785B8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7.5</w:t>
            </w:r>
          </w:p>
        </w:tc>
        <w:tc>
          <w:tcPr>
            <w:tcW w:w="600" w:type="dxa"/>
            <w:tcBorders>
              <w:tl2br w:val="nil"/>
              <w:tr2bl w:val="nil"/>
            </w:tcBorders>
            <w:vAlign w:val="center"/>
          </w:tcPr>
          <w:p w14:paraId="73BA0F2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0.4</w:t>
            </w:r>
          </w:p>
        </w:tc>
        <w:tc>
          <w:tcPr>
            <w:tcW w:w="556" w:type="dxa"/>
            <w:tcBorders>
              <w:tl2br w:val="nil"/>
              <w:tr2bl w:val="nil"/>
            </w:tcBorders>
            <w:vAlign w:val="center"/>
          </w:tcPr>
          <w:p w14:paraId="2D62DF0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0.5</w:t>
            </w:r>
          </w:p>
        </w:tc>
      </w:tr>
      <w:tr w14:paraId="6B0E5F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574" w:type="dxa"/>
            <w:tcBorders>
              <w:tl2br w:val="nil"/>
              <w:tr2bl w:val="nil"/>
            </w:tcBorders>
            <w:shd w:val="clear" w:color="auto" w:fill="auto"/>
            <w:noWrap/>
            <w:tcMar>
              <w:top w:w="15" w:type="dxa"/>
              <w:left w:w="15" w:type="dxa"/>
              <w:right w:w="15" w:type="dxa"/>
            </w:tcMar>
            <w:vAlign w:val="center"/>
          </w:tcPr>
          <w:p w14:paraId="327A532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w:t>
            </w:r>
          </w:p>
        </w:tc>
        <w:tc>
          <w:tcPr>
            <w:tcW w:w="978" w:type="dxa"/>
            <w:tcBorders>
              <w:tl2br w:val="nil"/>
              <w:tr2bl w:val="nil"/>
            </w:tcBorders>
            <w:shd w:val="clear" w:color="auto" w:fill="auto"/>
            <w:noWrap/>
            <w:tcMar>
              <w:top w:w="15" w:type="dxa"/>
              <w:left w:w="15" w:type="dxa"/>
              <w:right w:w="15" w:type="dxa"/>
            </w:tcMar>
            <w:vAlign w:val="center"/>
          </w:tcPr>
          <w:p w14:paraId="0157B9C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XM-JJ-2</w:t>
            </w:r>
          </w:p>
        </w:tc>
        <w:tc>
          <w:tcPr>
            <w:tcW w:w="1355" w:type="dxa"/>
            <w:tcBorders>
              <w:tl2br w:val="nil"/>
              <w:tr2bl w:val="nil"/>
            </w:tcBorders>
            <w:shd w:val="clear" w:color="auto" w:fill="auto"/>
            <w:noWrap/>
            <w:tcMar>
              <w:top w:w="15" w:type="dxa"/>
              <w:left w:w="15" w:type="dxa"/>
              <w:right w:w="15" w:type="dxa"/>
            </w:tcMar>
            <w:vAlign w:val="center"/>
          </w:tcPr>
          <w:p w14:paraId="00904D4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企业聚集</w:t>
            </w:r>
          </w:p>
          <w:p w14:paraId="647DFB6C">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区南侧</w:t>
            </w:r>
          </w:p>
        </w:tc>
        <w:tc>
          <w:tcPr>
            <w:tcW w:w="1094" w:type="dxa"/>
            <w:tcBorders>
              <w:tl2br w:val="nil"/>
              <w:tr2bl w:val="nil"/>
            </w:tcBorders>
            <w:shd w:val="clear" w:color="auto" w:fill="auto"/>
            <w:noWrap/>
            <w:tcMar>
              <w:top w:w="15" w:type="dxa"/>
              <w:left w:w="15" w:type="dxa"/>
              <w:right w:w="15" w:type="dxa"/>
            </w:tcMar>
            <w:vAlign w:val="center"/>
          </w:tcPr>
          <w:p w14:paraId="05E5B37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第二类用</w:t>
            </w:r>
          </w:p>
          <w:p w14:paraId="4E8C9D91">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地筛选值</w:t>
            </w:r>
          </w:p>
        </w:tc>
        <w:tc>
          <w:tcPr>
            <w:tcW w:w="575" w:type="dxa"/>
            <w:tcBorders>
              <w:tl2br w:val="nil"/>
              <w:tr2bl w:val="nil"/>
            </w:tcBorders>
            <w:shd w:val="clear" w:color="auto" w:fill="auto"/>
            <w:noWrap/>
            <w:tcMar>
              <w:top w:w="15" w:type="dxa"/>
              <w:left w:w="15" w:type="dxa"/>
              <w:right w:w="15" w:type="dxa"/>
            </w:tcMar>
            <w:vAlign w:val="center"/>
          </w:tcPr>
          <w:p w14:paraId="65C1AFC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19.1</w:t>
            </w:r>
          </w:p>
        </w:tc>
        <w:tc>
          <w:tcPr>
            <w:tcW w:w="575" w:type="dxa"/>
            <w:tcBorders>
              <w:tl2br w:val="nil"/>
              <w:tr2bl w:val="nil"/>
            </w:tcBorders>
            <w:shd w:val="clear" w:color="auto" w:fill="auto"/>
            <w:noWrap/>
            <w:tcMar>
              <w:top w:w="15" w:type="dxa"/>
              <w:left w:w="15" w:type="dxa"/>
              <w:right w:w="15" w:type="dxa"/>
            </w:tcMar>
            <w:vAlign w:val="center"/>
          </w:tcPr>
          <w:p w14:paraId="3D3B860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0.14</w:t>
            </w:r>
          </w:p>
        </w:tc>
        <w:tc>
          <w:tcPr>
            <w:tcW w:w="600" w:type="dxa"/>
            <w:tcBorders>
              <w:tl2br w:val="nil"/>
              <w:tr2bl w:val="nil"/>
            </w:tcBorders>
            <w:shd w:val="clear" w:color="auto" w:fill="auto"/>
            <w:noWrap/>
            <w:tcMar>
              <w:top w:w="15" w:type="dxa"/>
              <w:left w:w="15" w:type="dxa"/>
              <w:right w:w="15" w:type="dxa"/>
            </w:tcMar>
            <w:vAlign w:val="center"/>
          </w:tcPr>
          <w:p w14:paraId="6D5F161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4.50</w:t>
            </w:r>
          </w:p>
        </w:tc>
        <w:tc>
          <w:tcPr>
            <w:tcW w:w="637" w:type="dxa"/>
            <w:tcBorders>
              <w:tl2br w:val="nil"/>
              <w:tr2bl w:val="nil"/>
            </w:tcBorders>
            <w:shd w:val="clear" w:color="auto" w:fill="auto"/>
            <w:noWrap/>
            <w:tcMar>
              <w:top w:w="15" w:type="dxa"/>
              <w:left w:w="15" w:type="dxa"/>
              <w:right w:w="15" w:type="dxa"/>
            </w:tcMar>
            <w:vAlign w:val="center"/>
          </w:tcPr>
          <w:p w14:paraId="39FD4B9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&lt;0.01</w:t>
            </w:r>
          </w:p>
        </w:tc>
        <w:tc>
          <w:tcPr>
            <w:tcW w:w="625" w:type="dxa"/>
            <w:tcBorders>
              <w:tl2br w:val="nil"/>
              <w:tr2bl w:val="nil"/>
            </w:tcBorders>
            <w:shd w:val="clear" w:color="auto" w:fill="auto"/>
            <w:noWrap/>
            <w:tcMar>
              <w:top w:w="15" w:type="dxa"/>
              <w:left w:w="15" w:type="dxa"/>
              <w:right w:w="15" w:type="dxa"/>
            </w:tcMar>
            <w:vAlign w:val="center"/>
          </w:tcPr>
          <w:p w14:paraId="06E5F28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16</w:t>
            </w:r>
          </w:p>
        </w:tc>
        <w:tc>
          <w:tcPr>
            <w:tcW w:w="600" w:type="dxa"/>
            <w:tcBorders>
              <w:tl2br w:val="nil"/>
              <w:tr2bl w:val="nil"/>
            </w:tcBorders>
            <w:shd w:val="clear" w:color="auto" w:fill="auto"/>
            <w:noWrap/>
            <w:tcMar>
              <w:top w:w="15" w:type="dxa"/>
              <w:left w:w="15" w:type="dxa"/>
              <w:right w:w="15" w:type="dxa"/>
            </w:tcMar>
            <w:vAlign w:val="center"/>
          </w:tcPr>
          <w:p w14:paraId="6F6AE06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14</w:t>
            </w:r>
          </w:p>
        </w:tc>
        <w:tc>
          <w:tcPr>
            <w:tcW w:w="575" w:type="dxa"/>
            <w:tcBorders>
              <w:tl2br w:val="nil"/>
              <w:tr2bl w:val="nil"/>
            </w:tcBorders>
            <w:shd w:val="clear" w:color="auto" w:fill="auto"/>
            <w:noWrap/>
            <w:tcMar>
              <w:top w:w="15" w:type="dxa"/>
              <w:left w:w="15" w:type="dxa"/>
              <w:right w:w="15" w:type="dxa"/>
            </w:tcMar>
            <w:vAlign w:val="center"/>
          </w:tcPr>
          <w:p w14:paraId="7BC1614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38</w:t>
            </w:r>
          </w:p>
        </w:tc>
        <w:tc>
          <w:tcPr>
            <w:tcW w:w="613" w:type="dxa"/>
            <w:tcBorders>
              <w:tl2br w:val="nil"/>
              <w:tr2bl w:val="nil"/>
            </w:tcBorders>
            <w:shd w:val="clear" w:color="auto" w:fill="auto"/>
            <w:noWrap/>
            <w:tcMar>
              <w:top w:w="15" w:type="dxa"/>
              <w:left w:w="15" w:type="dxa"/>
              <w:right w:w="15" w:type="dxa"/>
            </w:tcMar>
            <w:vAlign w:val="center"/>
          </w:tcPr>
          <w:p w14:paraId="00F0BEA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2.7</w:t>
            </w:r>
          </w:p>
        </w:tc>
        <w:tc>
          <w:tcPr>
            <w:tcW w:w="600" w:type="dxa"/>
            <w:tcBorders>
              <w:tl2br w:val="nil"/>
              <w:tr2bl w:val="nil"/>
            </w:tcBorders>
            <w:vAlign w:val="center"/>
          </w:tcPr>
          <w:p w14:paraId="38750FC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w:t>
            </w:r>
          </w:p>
        </w:tc>
        <w:tc>
          <w:tcPr>
            <w:tcW w:w="556" w:type="dxa"/>
            <w:tcBorders>
              <w:tl2br w:val="nil"/>
              <w:tr2bl w:val="nil"/>
            </w:tcBorders>
            <w:vAlign w:val="center"/>
          </w:tcPr>
          <w:p w14:paraId="6A0011E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&lt;0.3</w:t>
            </w:r>
          </w:p>
        </w:tc>
      </w:tr>
      <w:tr w14:paraId="03C462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574" w:type="dxa"/>
            <w:tcBorders>
              <w:tl2br w:val="nil"/>
              <w:tr2bl w:val="nil"/>
            </w:tcBorders>
            <w:shd w:val="clear" w:color="auto" w:fill="auto"/>
            <w:noWrap/>
            <w:tcMar>
              <w:top w:w="15" w:type="dxa"/>
              <w:left w:w="15" w:type="dxa"/>
              <w:right w:w="15" w:type="dxa"/>
            </w:tcMar>
            <w:vAlign w:val="center"/>
          </w:tcPr>
          <w:p w14:paraId="188727E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13</w:t>
            </w:r>
          </w:p>
        </w:tc>
        <w:tc>
          <w:tcPr>
            <w:tcW w:w="978" w:type="dxa"/>
            <w:tcBorders>
              <w:tl2br w:val="nil"/>
              <w:tr2bl w:val="nil"/>
            </w:tcBorders>
            <w:shd w:val="clear" w:color="auto" w:fill="auto"/>
            <w:noWrap/>
            <w:tcMar>
              <w:top w:w="15" w:type="dxa"/>
              <w:left w:w="15" w:type="dxa"/>
              <w:right w:w="15" w:type="dxa"/>
            </w:tcMar>
            <w:vAlign w:val="center"/>
          </w:tcPr>
          <w:p w14:paraId="28D7D60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XM-JJ-3</w:t>
            </w:r>
          </w:p>
        </w:tc>
        <w:tc>
          <w:tcPr>
            <w:tcW w:w="1355" w:type="dxa"/>
            <w:tcBorders>
              <w:tl2br w:val="nil"/>
              <w:tr2bl w:val="nil"/>
            </w:tcBorders>
            <w:shd w:val="clear" w:color="auto" w:fill="auto"/>
            <w:noWrap/>
            <w:tcMar>
              <w:top w:w="15" w:type="dxa"/>
              <w:left w:w="15" w:type="dxa"/>
              <w:right w:w="15" w:type="dxa"/>
            </w:tcMar>
            <w:vAlign w:val="center"/>
          </w:tcPr>
          <w:p w14:paraId="03530DD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企业聚集</w:t>
            </w:r>
          </w:p>
          <w:p w14:paraId="1EF886B4">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区西侧</w:t>
            </w:r>
          </w:p>
        </w:tc>
        <w:tc>
          <w:tcPr>
            <w:tcW w:w="1094" w:type="dxa"/>
            <w:tcBorders>
              <w:tl2br w:val="nil"/>
              <w:tr2bl w:val="nil"/>
            </w:tcBorders>
            <w:shd w:val="clear" w:color="auto" w:fill="auto"/>
            <w:noWrap/>
            <w:tcMar>
              <w:top w:w="15" w:type="dxa"/>
              <w:left w:w="15" w:type="dxa"/>
              <w:right w:w="15" w:type="dxa"/>
            </w:tcMar>
            <w:vAlign w:val="center"/>
          </w:tcPr>
          <w:p w14:paraId="2CD5050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第一类用</w:t>
            </w:r>
          </w:p>
          <w:p w14:paraId="1910C2B8">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地筛选值</w:t>
            </w:r>
          </w:p>
        </w:tc>
        <w:tc>
          <w:tcPr>
            <w:tcW w:w="575" w:type="dxa"/>
            <w:tcBorders>
              <w:tl2br w:val="nil"/>
              <w:tr2bl w:val="nil"/>
            </w:tcBorders>
            <w:shd w:val="clear" w:color="auto" w:fill="auto"/>
            <w:noWrap/>
            <w:tcMar>
              <w:top w:w="15" w:type="dxa"/>
              <w:left w:w="15" w:type="dxa"/>
              <w:right w:w="15" w:type="dxa"/>
            </w:tcMar>
            <w:vAlign w:val="center"/>
          </w:tcPr>
          <w:p w14:paraId="4478719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20.3</w:t>
            </w:r>
          </w:p>
        </w:tc>
        <w:tc>
          <w:tcPr>
            <w:tcW w:w="575" w:type="dxa"/>
            <w:tcBorders>
              <w:tl2br w:val="nil"/>
              <w:tr2bl w:val="nil"/>
            </w:tcBorders>
            <w:shd w:val="clear" w:color="auto" w:fill="auto"/>
            <w:noWrap/>
            <w:tcMar>
              <w:top w:w="15" w:type="dxa"/>
              <w:left w:w="15" w:type="dxa"/>
              <w:right w:w="15" w:type="dxa"/>
            </w:tcMar>
            <w:vAlign w:val="center"/>
          </w:tcPr>
          <w:p w14:paraId="059EDD2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0.17</w:t>
            </w:r>
          </w:p>
        </w:tc>
        <w:tc>
          <w:tcPr>
            <w:tcW w:w="600" w:type="dxa"/>
            <w:tcBorders>
              <w:tl2br w:val="nil"/>
              <w:tr2bl w:val="nil"/>
            </w:tcBorders>
            <w:shd w:val="clear" w:color="auto" w:fill="auto"/>
            <w:noWrap/>
            <w:tcMar>
              <w:top w:w="15" w:type="dxa"/>
              <w:left w:w="15" w:type="dxa"/>
              <w:right w:w="15" w:type="dxa"/>
            </w:tcMar>
            <w:vAlign w:val="center"/>
          </w:tcPr>
          <w:p w14:paraId="07EFB8A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14.3</w:t>
            </w:r>
          </w:p>
        </w:tc>
        <w:tc>
          <w:tcPr>
            <w:tcW w:w="637" w:type="dxa"/>
            <w:tcBorders>
              <w:tl2br w:val="nil"/>
              <w:tr2bl w:val="nil"/>
            </w:tcBorders>
            <w:shd w:val="clear" w:color="auto" w:fill="auto"/>
            <w:noWrap/>
            <w:tcMar>
              <w:top w:w="15" w:type="dxa"/>
              <w:left w:w="15" w:type="dxa"/>
              <w:right w:w="15" w:type="dxa"/>
            </w:tcMar>
            <w:vAlign w:val="center"/>
          </w:tcPr>
          <w:p w14:paraId="252A49E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0.01</w:t>
            </w:r>
          </w:p>
        </w:tc>
        <w:tc>
          <w:tcPr>
            <w:tcW w:w="625" w:type="dxa"/>
            <w:tcBorders>
              <w:tl2br w:val="nil"/>
              <w:tr2bl w:val="nil"/>
            </w:tcBorders>
            <w:shd w:val="clear" w:color="auto" w:fill="auto"/>
            <w:noWrap/>
            <w:tcMar>
              <w:top w:w="15" w:type="dxa"/>
              <w:left w:w="15" w:type="dxa"/>
              <w:right w:w="15" w:type="dxa"/>
            </w:tcMar>
            <w:vAlign w:val="center"/>
          </w:tcPr>
          <w:p w14:paraId="1E0CAD4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21</w:t>
            </w:r>
          </w:p>
        </w:tc>
        <w:tc>
          <w:tcPr>
            <w:tcW w:w="600" w:type="dxa"/>
            <w:tcBorders>
              <w:tl2br w:val="nil"/>
              <w:tr2bl w:val="nil"/>
            </w:tcBorders>
            <w:shd w:val="clear" w:color="auto" w:fill="auto"/>
            <w:noWrap/>
            <w:tcMar>
              <w:top w:w="15" w:type="dxa"/>
              <w:left w:w="15" w:type="dxa"/>
              <w:right w:w="15" w:type="dxa"/>
            </w:tcMar>
            <w:vAlign w:val="center"/>
          </w:tcPr>
          <w:p w14:paraId="5E8EA1C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22</w:t>
            </w:r>
          </w:p>
        </w:tc>
        <w:tc>
          <w:tcPr>
            <w:tcW w:w="575" w:type="dxa"/>
            <w:tcBorders>
              <w:tl2br w:val="nil"/>
              <w:tr2bl w:val="nil"/>
            </w:tcBorders>
            <w:shd w:val="clear" w:color="auto" w:fill="auto"/>
            <w:noWrap/>
            <w:tcMar>
              <w:top w:w="15" w:type="dxa"/>
              <w:left w:w="15" w:type="dxa"/>
              <w:right w:w="15" w:type="dxa"/>
            </w:tcMar>
            <w:vAlign w:val="center"/>
          </w:tcPr>
          <w:p w14:paraId="7F54404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50</w:t>
            </w:r>
          </w:p>
        </w:tc>
        <w:tc>
          <w:tcPr>
            <w:tcW w:w="613" w:type="dxa"/>
            <w:tcBorders>
              <w:tl2br w:val="nil"/>
              <w:tr2bl w:val="nil"/>
            </w:tcBorders>
            <w:shd w:val="clear" w:color="auto" w:fill="auto"/>
            <w:noWrap/>
            <w:tcMar>
              <w:top w:w="15" w:type="dxa"/>
              <w:left w:w="15" w:type="dxa"/>
              <w:right w:w="15" w:type="dxa"/>
            </w:tcMar>
            <w:vAlign w:val="center"/>
          </w:tcPr>
          <w:p w14:paraId="124B017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9.5</w:t>
            </w:r>
          </w:p>
        </w:tc>
        <w:tc>
          <w:tcPr>
            <w:tcW w:w="600" w:type="dxa"/>
            <w:tcBorders>
              <w:tl2br w:val="nil"/>
              <w:tr2bl w:val="nil"/>
            </w:tcBorders>
            <w:vAlign w:val="center"/>
          </w:tcPr>
          <w:p w14:paraId="7EB6373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0.4</w:t>
            </w:r>
          </w:p>
        </w:tc>
        <w:tc>
          <w:tcPr>
            <w:tcW w:w="556" w:type="dxa"/>
            <w:tcBorders>
              <w:tl2br w:val="nil"/>
              <w:tr2bl w:val="nil"/>
            </w:tcBorders>
            <w:vAlign w:val="center"/>
          </w:tcPr>
          <w:p w14:paraId="2D56240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0.6</w:t>
            </w:r>
          </w:p>
        </w:tc>
      </w:tr>
      <w:tr w14:paraId="12308A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574" w:type="dxa"/>
            <w:tcBorders>
              <w:tl2br w:val="nil"/>
              <w:tr2bl w:val="nil"/>
            </w:tcBorders>
            <w:shd w:val="clear" w:color="auto" w:fill="auto"/>
            <w:noWrap/>
            <w:tcMar>
              <w:top w:w="15" w:type="dxa"/>
              <w:left w:w="15" w:type="dxa"/>
              <w:right w:w="15" w:type="dxa"/>
            </w:tcMar>
            <w:vAlign w:val="center"/>
          </w:tcPr>
          <w:p w14:paraId="4EC842C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14</w:t>
            </w:r>
          </w:p>
        </w:tc>
        <w:tc>
          <w:tcPr>
            <w:tcW w:w="978" w:type="dxa"/>
            <w:tcBorders>
              <w:tl2br w:val="nil"/>
              <w:tr2bl w:val="nil"/>
            </w:tcBorders>
            <w:shd w:val="clear" w:color="auto" w:fill="auto"/>
            <w:noWrap/>
            <w:tcMar>
              <w:top w:w="15" w:type="dxa"/>
              <w:left w:w="15" w:type="dxa"/>
              <w:right w:w="15" w:type="dxa"/>
            </w:tcMar>
            <w:vAlign w:val="center"/>
          </w:tcPr>
          <w:p w14:paraId="0EB9919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XM-JJ-4</w:t>
            </w:r>
          </w:p>
        </w:tc>
        <w:tc>
          <w:tcPr>
            <w:tcW w:w="1355" w:type="dxa"/>
            <w:tcBorders>
              <w:tl2br w:val="nil"/>
              <w:tr2bl w:val="nil"/>
            </w:tcBorders>
            <w:shd w:val="clear" w:color="auto" w:fill="auto"/>
            <w:noWrap/>
            <w:tcMar>
              <w:top w:w="15" w:type="dxa"/>
              <w:left w:w="15" w:type="dxa"/>
              <w:right w:w="15" w:type="dxa"/>
            </w:tcMar>
            <w:vAlign w:val="center"/>
          </w:tcPr>
          <w:p w14:paraId="455E32D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企业聚集</w:t>
            </w:r>
          </w:p>
          <w:p w14:paraId="4F253910">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区南侧</w:t>
            </w:r>
          </w:p>
        </w:tc>
        <w:tc>
          <w:tcPr>
            <w:tcW w:w="1094" w:type="dxa"/>
            <w:tcBorders>
              <w:tl2br w:val="nil"/>
              <w:tr2bl w:val="nil"/>
            </w:tcBorders>
            <w:shd w:val="clear" w:color="auto" w:fill="auto"/>
            <w:noWrap/>
            <w:tcMar>
              <w:top w:w="15" w:type="dxa"/>
              <w:left w:w="15" w:type="dxa"/>
              <w:right w:w="15" w:type="dxa"/>
            </w:tcMar>
            <w:vAlign w:val="center"/>
          </w:tcPr>
          <w:p w14:paraId="77C566F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第二类用</w:t>
            </w:r>
          </w:p>
          <w:p w14:paraId="03E5411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地筛选值</w:t>
            </w:r>
          </w:p>
        </w:tc>
        <w:tc>
          <w:tcPr>
            <w:tcW w:w="575" w:type="dxa"/>
            <w:tcBorders>
              <w:tl2br w:val="nil"/>
              <w:tr2bl w:val="nil"/>
            </w:tcBorders>
            <w:shd w:val="clear" w:color="auto" w:fill="auto"/>
            <w:noWrap/>
            <w:tcMar>
              <w:top w:w="15" w:type="dxa"/>
              <w:left w:w="15" w:type="dxa"/>
              <w:right w:w="15" w:type="dxa"/>
            </w:tcMar>
            <w:vAlign w:val="center"/>
          </w:tcPr>
          <w:p w14:paraId="294F88F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33.8</w:t>
            </w:r>
          </w:p>
        </w:tc>
        <w:tc>
          <w:tcPr>
            <w:tcW w:w="575" w:type="dxa"/>
            <w:tcBorders>
              <w:tl2br w:val="nil"/>
              <w:tr2bl w:val="nil"/>
            </w:tcBorders>
            <w:shd w:val="clear" w:color="auto" w:fill="auto"/>
            <w:noWrap/>
            <w:tcMar>
              <w:top w:w="15" w:type="dxa"/>
              <w:left w:w="15" w:type="dxa"/>
              <w:right w:w="15" w:type="dxa"/>
            </w:tcMar>
            <w:vAlign w:val="center"/>
          </w:tcPr>
          <w:p w14:paraId="063AF9C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0.17</w:t>
            </w:r>
          </w:p>
        </w:tc>
        <w:tc>
          <w:tcPr>
            <w:tcW w:w="600" w:type="dxa"/>
            <w:tcBorders>
              <w:tl2br w:val="nil"/>
              <w:tr2bl w:val="nil"/>
            </w:tcBorders>
            <w:shd w:val="clear" w:color="auto" w:fill="auto"/>
            <w:noWrap/>
            <w:tcMar>
              <w:top w:w="15" w:type="dxa"/>
              <w:left w:w="15" w:type="dxa"/>
              <w:right w:w="15" w:type="dxa"/>
            </w:tcMar>
            <w:vAlign w:val="center"/>
          </w:tcPr>
          <w:p w14:paraId="37BF5B9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13.0</w:t>
            </w:r>
          </w:p>
        </w:tc>
        <w:tc>
          <w:tcPr>
            <w:tcW w:w="637" w:type="dxa"/>
            <w:tcBorders>
              <w:tl2br w:val="nil"/>
              <w:tr2bl w:val="nil"/>
            </w:tcBorders>
            <w:shd w:val="clear" w:color="auto" w:fill="auto"/>
            <w:noWrap/>
            <w:tcMar>
              <w:top w:w="15" w:type="dxa"/>
              <w:left w:w="15" w:type="dxa"/>
              <w:right w:w="15" w:type="dxa"/>
            </w:tcMar>
            <w:vAlign w:val="center"/>
          </w:tcPr>
          <w:p w14:paraId="4B3FA39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0.11</w:t>
            </w:r>
          </w:p>
        </w:tc>
        <w:tc>
          <w:tcPr>
            <w:tcW w:w="625" w:type="dxa"/>
            <w:tcBorders>
              <w:tl2br w:val="nil"/>
              <w:tr2bl w:val="nil"/>
            </w:tcBorders>
            <w:shd w:val="clear" w:color="auto" w:fill="auto"/>
            <w:noWrap/>
            <w:tcMar>
              <w:top w:w="15" w:type="dxa"/>
              <w:left w:w="15" w:type="dxa"/>
              <w:right w:w="15" w:type="dxa"/>
            </w:tcMar>
            <w:vAlign w:val="center"/>
          </w:tcPr>
          <w:p w14:paraId="3701B98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186</w:t>
            </w:r>
          </w:p>
        </w:tc>
        <w:tc>
          <w:tcPr>
            <w:tcW w:w="600" w:type="dxa"/>
            <w:tcBorders>
              <w:tl2br w:val="nil"/>
              <w:tr2bl w:val="nil"/>
            </w:tcBorders>
            <w:shd w:val="clear" w:color="auto" w:fill="auto"/>
            <w:noWrap/>
            <w:tcMar>
              <w:top w:w="15" w:type="dxa"/>
              <w:left w:w="15" w:type="dxa"/>
              <w:right w:w="15" w:type="dxa"/>
            </w:tcMar>
            <w:vAlign w:val="center"/>
          </w:tcPr>
          <w:p w14:paraId="6C91E70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34</w:t>
            </w:r>
          </w:p>
        </w:tc>
        <w:tc>
          <w:tcPr>
            <w:tcW w:w="575" w:type="dxa"/>
            <w:tcBorders>
              <w:tl2br w:val="nil"/>
              <w:tr2bl w:val="nil"/>
            </w:tcBorders>
            <w:shd w:val="clear" w:color="auto" w:fill="auto"/>
            <w:noWrap/>
            <w:tcMar>
              <w:top w:w="15" w:type="dxa"/>
              <w:left w:w="15" w:type="dxa"/>
              <w:right w:w="15" w:type="dxa"/>
            </w:tcMar>
            <w:vAlign w:val="center"/>
          </w:tcPr>
          <w:p w14:paraId="64F6C3F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85</w:t>
            </w:r>
          </w:p>
        </w:tc>
        <w:tc>
          <w:tcPr>
            <w:tcW w:w="613" w:type="dxa"/>
            <w:tcBorders>
              <w:tl2br w:val="nil"/>
              <w:tr2bl w:val="nil"/>
            </w:tcBorders>
            <w:shd w:val="clear" w:color="auto" w:fill="auto"/>
            <w:noWrap/>
            <w:tcMar>
              <w:top w:w="15" w:type="dxa"/>
              <w:left w:w="15" w:type="dxa"/>
              <w:right w:w="15" w:type="dxa"/>
            </w:tcMar>
            <w:vAlign w:val="center"/>
          </w:tcPr>
          <w:p w14:paraId="2459D54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18.5</w:t>
            </w:r>
          </w:p>
        </w:tc>
        <w:tc>
          <w:tcPr>
            <w:tcW w:w="600" w:type="dxa"/>
            <w:tcBorders>
              <w:tl2br w:val="nil"/>
              <w:tr2bl w:val="nil"/>
            </w:tcBorders>
            <w:vAlign w:val="center"/>
          </w:tcPr>
          <w:p w14:paraId="39BF7BF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w:t>
            </w:r>
          </w:p>
        </w:tc>
        <w:tc>
          <w:tcPr>
            <w:tcW w:w="556" w:type="dxa"/>
            <w:tcBorders>
              <w:tl2br w:val="nil"/>
              <w:tr2bl w:val="nil"/>
            </w:tcBorders>
            <w:vAlign w:val="center"/>
          </w:tcPr>
          <w:p w14:paraId="0F1E64C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w:t>
            </w:r>
          </w:p>
        </w:tc>
      </w:tr>
      <w:tr w14:paraId="40249C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001" w:type="dxa"/>
            <w:gridSpan w:val="4"/>
            <w:tcBorders>
              <w:tl2br w:val="nil"/>
              <w:tr2bl w:val="nil"/>
            </w:tcBorders>
            <w:shd w:val="clear" w:color="auto" w:fill="auto"/>
            <w:noWrap/>
            <w:tcMar>
              <w:top w:w="15" w:type="dxa"/>
              <w:left w:w="15" w:type="dxa"/>
              <w:right w:w="15" w:type="dxa"/>
            </w:tcMar>
            <w:vAlign w:val="center"/>
          </w:tcPr>
          <w:p w14:paraId="497B7D9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最大值</w:t>
            </w:r>
          </w:p>
        </w:tc>
        <w:tc>
          <w:tcPr>
            <w:tcW w:w="575" w:type="dxa"/>
            <w:tcBorders>
              <w:tl2br w:val="nil"/>
              <w:tr2bl w:val="nil"/>
            </w:tcBorders>
            <w:shd w:val="clear" w:color="auto" w:fill="auto"/>
            <w:noWrap/>
            <w:tcMar>
              <w:top w:w="15" w:type="dxa"/>
              <w:left w:w="15" w:type="dxa"/>
              <w:right w:w="15" w:type="dxa"/>
            </w:tcMar>
            <w:vAlign w:val="center"/>
          </w:tcPr>
          <w:p w14:paraId="0B6B78A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52.3</w:t>
            </w:r>
          </w:p>
        </w:tc>
        <w:tc>
          <w:tcPr>
            <w:tcW w:w="575" w:type="dxa"/>
            <w:tcBorders>
              <w:tl2br w:val="nil"/>
              <w:tr2bl w:val="nil"/>
            </w:tcBorders>
            <w:shd w:val="clear" w:color="auto" w:fill="auto"/>
            <w:noWrap/>
            <w:tcMar>
              <w:top w:w="15" w:type="dxa"/>
              <w:left w:w="15" w:type="dxa"/>
              <w:right w:w="15" w:type="dxa"/>
            </w:tcMar>
            <w:vAlign w:val="center"/>
          </w:tcPr>
          <w:p w14:paraId="4A008D7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0.42</w:t>
            </w:r>
          </w:p>
        </w:tc>
        <w:tc>
          <w:tcPr>
            <w:tcW w:w="600" w:type="dxa"/>
            <w:tcBorders>
              <w:tl2br w:val="nil"/>
              <w:tr2bl w:val="nil"/>
            </w:tcBorders>
            <w:shd w:val="clear" w:color="auto" w:fill="auto"/>
            <w:noWrap/>
            <w:tcMar>
              <w:top w:w="15" w:type="dxa"/>
              <w:left w:w="15" w:type="dxa"/>
              <w:right w:w="15" w:type="dxa"/>
            </w:tcMar>
            <w:vAlign w:val="center"/>
          </w:tcPr>
          <w:p w14:paraId="2B9B88E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16.0</w:t>
            </w:r>
          </w:p>
        </w:tc>
        <w:tc>
          <w:tcPr>
            <w:tcW w:w="637" w:type="dxa"/>
            <w:tcBorders>
              <w:tl2br w:val="nil"/>
              <w:tr2bl w:val="nil"/>
            </w:tcBorders>
            <w:shd w:val="clear" w:color="auto" w:fill="auto"/>
            <w:noWrap/>
            <w:tcMar>
              <w:top w:w="15" w:type="dxa"/>
              <w:left w:w="15" w:type="dxa"/>
              <w:right w:w="15" w:type="dxa"/>
            </w:tcMar>
            <w:vAlign w:val="center"/>
          </w:tcPr>
          <w:p w14:paraId="7CEADF3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0.13</w:t>
            </w:r>
          </w:p>
        </w:tc>
        <w:tc>
          <w:tcPr>
            <w:tcW w:w="625" w:type="dxa"/>
            <w:tcBorders>
              <w:tl2br w:val="nil"/>
              <w:tr2bl w:val="nil"/>
            </w:tcBorders>
            <w:shd w:val="clear" w:color="auto" w:fill="auto"/>
            <w:noWrap/>
            <w:tcMar>
              <w:top w:w="15" w:type="dxa"/>
              <w:left w:w="15" w:type="dxa"/>
              <w:right w:w="15" w:type="dxa"/>
            </w:tcMar>
            <w:vAlign w:val="center"/>
          </w:tcPr>
          <w:p w14:paraId="23B8CF5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186</w:t>
            </w:r>
          </w:p>
        </w:tc>
        <w:tc>
          <w:tcPr>
            <w:tcW w:w="600" w:type="dxa"/>
            <w:tcBorders>
              <w:tl2br w:val="nil"/>
              <w:tr2bl w:val="nil"/>
            </w:tcBorders>
            <w:shd w:val="clear" w:color="auto" w:fill="auto"/>
            <w:noWrap/>
            <w:tcMar>
              <w:top w:w="15" w:type="dxa"/>
              <w:left w:w="15" w:type="dxa"/>
              <w:right w:w="15" w:type="dxa"/>
            </w:tcMar>
            <w:vAlign w:val="center"/>
          </w:tcPr>
          <w:p w14:paraId="2ADA689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55</w:t>
            </w:r>
          </w:p>
        </w:tc>
        <w:tc>
          <w:tcPr>
            <w:tcW w:w="575" w:type="dxa"/>
            <w:tcBorders>
              <w:tl2br w:val="nil"/>
              <w:tr2bl w:val="nil"/>
            </w:tcBorders>
            <w:shd w:val="clear" w:color="auto" w:fill="auto"/>
            <w:noWrap/>
            <w:tcMar>
              <w:top w:w="15" w:type="dxa"/>
              <w:left w:w="15" w:type="dxa"/>
              <w:right w:w="15" w:type="dxa"/>
            </w:tcMar>
            <w:vAlign w:val="center"/>
          </w:tcPr>
          <w:p w14:paraId="7AB0AAD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92</w:t>
            </w:r>
          </w:p>
        </w:tc>
        <w:tc>
          <w:tcPr>
            <w:tcW w:w="613" w:type="dxa"/>
            <w:tcBorders>
              <w:tl2br w:val="nil"/>
              <w:tr2bl w:val="nil"/>
            </w:tcBorders>
            <w:shd w:val="clear" w:color="auto" w:fill="auto"/>
            <w:noWrap/>
            <w:tcMar>
              <w:top w:w="15" w:type="dxa"/>
              <w:left w:w="15" w:type="dxa"/>
              <w:right w:w="15" w:type="dxa"/>
            </w:tcMar>
            <w:vAlign w:val="center"/>
          </w:tcPr>
          <w:p w14:paraId="6CD57D8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18.5</w:t>
            </w:r>
          </w:p>
        </w:tc>
        <w:tc>
          <w:tcPr>
            <w:tcW w:w="600" w:type="dxa"/>
            <w:tcBorders>
              <w:tl2br w:val="nil"/>
              <w:tr2bl w:val="nil"/>
            </w:tcBorders>
            <w:vAlign w:val="center"/>
          </w:tcPr>
          <w:p w14:paraId="0622E25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1.5</w:t>
            </w:r>
          </w:p>
        </w:tc>
        <w:tc>
          <w:tcPr>
            <w:tcW w:w="556" w:type="dxa"/>
            <w:tcBorders>
              <w:tl2br w:val="nil"/>
              <w:tr2bl w:val="nil"/>
            </w:tcBorders>
            <w:vAlign w:val="center"/>
          </w:tcPr>
          <w:p w14:paraId="35035E7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1.5</w:t>
            </w:r>
          </w:p>
        </w:tc>
      </w:tr>
      <w:tr w14:paraId="57AA2C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001" w:type="dxa"/>
            <w:gridSpan w:val="4"/>
            <w:tcBorders>
              <w:tl2br w:val="nil"/>
              <w:tr2bl w:val="nil"/>
            </w:tcBorders>
            <w:shd w:val="clear" w:color="auto" w:fill="auto"/>
            <w:noWrap/>
            <w:tcMar>
              <w:top w:w="15" w:type="dxa"/>
              <w:left w:w="15" w:type="dxa"/>
              <w:right w:w="15" w:type="dxa"/>
            </w:tcMar>
            <w:vAlign w:val="center"/>
          </w:tcPr>
          <w:p w14:paraId="4CDB9FF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最小值</w:t>
            </w:r>
          </w:p>
        </w:tc>
        <w:tc>
          <w:tcPr>
            <w:tcW w:w="575" w:type="dxa"/>
            <w:tcBorders>
              <w:tl2br w:val="nil"/>
              <w:tr2bl w:val="nil"/>
            </w:tcBorders>
            <w:shd w:val="clear" w:color="auto" w:fill="auto"/>
            <w:noWrap/>
            <w:tcMar>
              <w:top w:w="15" w:type="dxa"/>
              <w:left w:w="15" w:type="dxa"/>
              <w:right w:w="15" w:type="dxa"/>
            </w:tcMar>
            <w:vAlign w:val="center"/>
          </w:tcPr>
          <w:p w14:paraId="369B38D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17.7</w:t>
            </w:r>
          </w:p>
        </w:tc>
        <w:tc>
          <w:tcPr>
            <w:tcW w:w="575" w:type="dxa"/>
            <w:tcBorders>
              <w:tl2br w:val="nil"/>
              <w:tr2bl w:val="nil"/>
            </w:tcBorders>
            <w:shd w:val="clear" w:color="auto" w:fill="auto"/>
            <w:noWrap/>
            <w:tcMar>
              <w:top w:w="15" w:type="dxa"/>
              <w:left w:w="15" w:type="dxa"/>
              <w:right w:w="15" w:type="dxa"/>
            </w:tcMar>
            <w:vAlign w:val="center"/>
          </w:tcPr>
          <w:p w14:paraId="4379405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0.10</w:t>
            </w:r>
          </w:p>
        </w:tc>
        <w:tc>
          <w:tcPr>
            <w:tcW w:w="600" w:type="dxa"/>
            <w:tcBorders>
              <w:tl2br w:val="nil"/>
              <w:tr2bl w:val="nil"/>
            </w:tcBorders>
            <w:shd w:val="clear" w:color="auto" w:fill="auto"/>
            <w:noWrap/>
            <w:tcMar>
              <w:top w:w="15" w:type="dxa"/>
              <w:left w:w="15" w:type="dxa"/>
              <w:right w:w="15" w:type="dxa"/>
            </w:tcMar>
            <w:vAlign w:val="center"/>
          </w:tcPr>
          <w:p w14:paraId="0535EA8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4.50</w:t>
            </w:r>
          </w:p>
        </w:tc>
        <w:tc>
          <w:tcPr>
            <w:tcW w:w="637" w:type="dxa"/>
            <w:tcBorders>
              <w:tl2br w:val="nil"/>
              <w:tr2bl w:val="nil"/>
            </w:tcBorders>
            <w:shd w:val="clear" w:color="auto" w:fill="auto"/>
            <w:noWrap/>
            <w:tcMar>
              <w:top w:w="15" w:type="dxa"/>
              <w:left w:w="15" w:type="dxa"/>
              <w:right w:w="15" w:type="dxa"/>
            </w:tcMar>
            <w:vAlign w:val="center"/>
          </w:tcPr>
          <w:p w14:paraId="399F7FA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&lt;</w:t>
            </w:r>
            <w:r>
              <w:rPr>
                <w:rFonts w:hint="default" w:ascii="Times New Roman" w:hAnsi="Times New Roman" w:cs="Times New Roman"/>
                <w:color w:val="auto"/>
                <w:sz w:val="21"/>
                <w:szCs w:val="21"/>
                <w:highlight w:val="none"/>
              </w:rPr>
              <w:t>0.01</w:t>
            </w:r>
          </w:p>
        </w:tc>
        <w:tc>
          <w:tcPr>
            <w:tcW w:w="625" w:type="dxa"/>
            <w:tcBorders>
              <w:tl2br w:val="nil"/>
              <w:tr2bl w:val="nil"/>
            </w:tcBorders>
            <w:shd w:val="clear" w:color="auto" w:fill="auto"/>
            <w:noWrap/>
            <w:tcMar>
              <w:top w:w="15" w:type="dxa"/>
              <w:left w:w="15" w:type="dxa"/>
              <w:right w:w="15" w:type="dxa"/>
            </w:tcMar>
            <w:vAlign w:val="center"/>
          </w:tcPr>
          <w:p w14:paraId="185E269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16</w:t>
            </w:r>
          </w:p>
        </w:tc>
        <w:tc>
          <w:tcPr>
            <w:tcW w:w="600" w:type="dxa"/>
            <w:tcBorders>
              <w:tl2br w:val="nil"/>
              <w:tr2bl w:val="nil"/>
            </w:tcBorders>
            <w:shd w:val="clear" w:color="auto" w:fill="auto"/>
            <w:noWrap/>
            <w:tcMar>
              <w:top w:w="15" w:type="dxa"/>
              <w:left w:w="15" w:type="dxa"/>
              <w:right w:w="15" w:type="dxa"/>
            </w:tcMar>
            <w:vAlign w:val="center"/>
          </w:tcPr>
          <w:p w14:paraId="3F7F6A6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14</w:t>
            </w:r>
          </w:p>
        </w:tc>
        <w:tc>
          <w:tcPr>
            <w:tcW w:w="575" w:type="dxa"/>
            <w:tcBorders>
              <w:tl2br w:val="nil"/>
              <w:tr2bl w:val="nil"/>
            </w:tcBorders>
            <w:shd w:val="clear" w:color="auto" w:fill="auto"/>
            <w:noWrap/>
            <w:tcMar>
              <w:top w:w="15" w:type="dxa"/>
              <w:left w:w="15" w:type="dxa"/>
              <w:right w:w="15" w:type="dxa"/>
            </w:tcMar>
            <w:vAlign w:val="center"/>
          </w:tcPr>
          <w:p w14:paraId="3657682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38</w:t>
            </w:r>
          </w:p>
        </w:tc>
        <w:tc>
          <w:tcPr>
            <w:tcW w:w="613" w:type="dxa"/>
            <w:tcBorders>
              <w:tl2br w:val="nil"/>
              <w:tr2bl w:val="nil"/>
            </w:tcBorders>
            <w:shd w:val="clear" w:color="auto" w:fill="auto"/>
            <w:noWrap/>
            <w:tcMar>
              <w:top w:w="15" w:type="dxa"/>
              <w:left w:w="15" w:type="dxa"/>
              <w:right w:w="15" w:type="dxa"/>
            </w:tcMar>
            <w:vAlign w:val="center"/>
          </w:tcPr>
          <w:p w14:paraId="798B12B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2.7</w:t>
            </w:r>
          </w:p>
        </w:tc>
        <w:tc>
          <w:tcPr>
            <w:tcW w:w="600" w:type="dxa"/>
            <w:tcBorders>
              <w:tl2br w:val="nil"/>
              <w:tr2bl w:val="nil"/>
            </w:tcBorders>
            <w:vAlign w:val="center"/>
          </w:tcPr>
          <w:p w14:paraId="05703D3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0.1</w:t>
            </w:r>
          </w:p>
        </w:tc>
        <w:tc>
          <w:tcPr>
            <w:tcW w:w="556" w:type="dxa"/>
            <w:tcBorders>
              <w:tl2br w:val="nil"/>
              <w:tr2bl w:val="nil"/>
            </w:tcBorders>
            <w:vAlign w:val="center"/>
          </w:tcPr>
          <w:p w14:paraId="0469975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&lt;</w:t>
            </w:r>
            <w:r>
              <w:rPr>
                <w:rFonts w:hint="default" w:ascii="Times New Roman" w:hAnsi="Times New Roman" w:cs="Times New Roman"/>
                <w:color w:val="auto"/>
                <w:sz w:val="21"/>
                <w:szCs w:val="21"/>
                <w:highlight w:val="none"/>
              </w:rPr>
              <w:t>0.3</w:t>
            </w:r>
          </w:p>
        </w:tc>
      </w:tr>
      <w:tr w14:paraId="459E50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001" w:type="dxa"/>
            <w:gridSpan w:val="4"/>
            <w:tcBorders>
              <w:tl2br w:val="nil"/>
              <w:tr2bl w:val="nil"/>
            </w:tcBorders>
            <w:shd w:val="clear" w:color="auto" w:fill="auto"/>
            <w:noWrap/>
            <w:tcMar>
              <w:top w:w="15" w:type="dxa"/>
              <w:left w:w="15" w:type="dxa"/>
              <w:right w:w="15" w:type="dxa"/>
            </w:tcMar>
            <w:vAlign w:val="center"/>
          </w:tcPr>
          <w:p w14:paraId="0550334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平均值</w:t>
            </w:r>
          </w:p>
        </w:tc>
        <w:tc>
          <w:tcPr>
            <w:tcW w:w="575" w:type="dxa"/>
            <w:tcBorders>
              <w:tl2br w:val="nil"/>
              <w:tr2bl w:val="nil"/>
            </w:tcBorders>
            <w:shd w:val="clear" w:color="auto" w:fill="auto"/>
            <w:noWrap/>
            <w:tcMar>
              <w:top w:w="15" w:type="dxa"/>
              <w:left w:w="15" w:type="dxa"/>
              <w:right w:w="15" w:type="dxa"/>
            </w:tcMar>
            <w:vAlign w:val="center"/>
          </w:tcPr>
          <w:p w14:paraId="54CCA36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28.4</w:t>
            </w:r>
          </w:p>
        </w:tc>
        <w:tc>
          <w:tcPr>
            <w:tcW w:w="575" w:type="dxa"/>
            <w:tcBorders>
              <w:tl2br w:val="nil"/>
              <w:tr2bl w:val="nil"/>
            </w:tcBorders>
            <w:shd w:val="clear" w:color="auto" w:fill="auto"/>
            <w:noWrap/>
            <w:tcMar>
              <w:top w:w="15" w:type="dxa"/>
              <w:left w:w="15" w:type="dxa"/>
              <w:right w:w="15" w:type="dxa"/>
            </w:tcMar>
            <w:vAlign w:val="center"/>
          </w:tcPr>
          <w:p w14:paraId="4B9469F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0.18</w:t>
            </w:r>
          </w:p>
        </w:tc>
        <w:tc>
          <w:tcPr>
            <w:tcW w:w="600" w:type="dxa"/>
            <w:tcBorders>
              <w:tl2br w:val="nil"/>
              <w:tr2bl w:val="nil"/>
            </w:tcBorders>
            <w:shd w:val="clear" w:color="auto" w:fill="auto"/>
            <w:noWrap/>
            <w:tcMar>
              <w:top w:w="15" w:type="dxa"/>
              <w:left w:w="15" w:type="dxa"/>
              <w:right w:w="15" w:type="dxa"/>
            </w:tcMar>
            <w:vAlign w:val="center"/>
          </w:tcPr>
          <w:p w14:paraId="52D1440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11.2</w:t>
            </w:r>
          </w:p>
        </w:tc>
        <w:tc>
          <w:tcPr>
            <w:tcW w:w="637" w:type="dxa"/>
            <w:tcBorders>
              <w:tl2br w:val="nil"/>
              <w:tr2bl w:val="nil"/>
            </w:tcBorders>
            <w:shd w:val="clear" w:color="auto" w:fill="auto"/>
            <w:noWrap/>
            <w:tcMar>
              <w:top w:w="15" w:type="dxa"/>
              <w:left w:w="15" w:type="dxa"/>
              <w:right w:w="15" w:type="dxa"/>
            </w:tcMar>
            <w:vAlign w:val="center"/>
          </w:tcPr>
          <w:p w14:paraId="4022938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0.06</w:t>
            </w:r>
          </w:p>
        </w:tc>
        <w:tc>
          <w:tcPr>
            <w:tcW w:w="625" w:type="dxa"/>
            <w:tcBorders>
              <w:tl2br w:val="nil"/>
              <w:tr2bl w:val="nil"/>
            </w:tcBorders>
            <w:shd w:val="clear" w:color="auto" w:fill="auto"/>
            <w:noWrap/>
            <w:tcMar>
              <w:top w:w="15" w:type="dxa"/>
              <w:left w:w="15" w:type="dxa"/>
              <w:right w:w="15" w:type="dxa"/>
            </w:tcMar>
            <w:vAlign w:val="center"/>
          </w:tcPr>
          <w:p w14:paraId="4A7DAA8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40</w:t>
            </w:r>
          </w:p>
        </w:tc>
        <w:tc>
          <w:tcPr>
            <w:tcW w:w="600" w:type="dxa"/>
            <w:tcBorders>
              <w:tl2br w:val="nil"/>
              <w:tr2bl w:val="nil"/>
            </w:tcBorders>
            <w:shd w:val="clear" w:color="auto" w:fill="auto"/>
            <w:noWrap/>
            <w:tcMar>
              <w:top w:w="15" w:type="dxa"/>
              <w:left w:w="15" w:type="dxa"/>
              <w:right w:w="15" w:type="dxa"/>
            </w:tcMar>
            <w:vAlign w:val="center"/>
          </w:tcPr>
          <w:p w14:paraId="6C9A854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30</w:t>
            </w:r>
          </w:p>
        </w:tc>
        <w:tc>
          <w:tcPr>
            <w:tcW w:w="575" w:type="dxa"/>
            <w:tcBorders>
              <w:tl2br w:val="nil"/>
              <w:tr2bl w:val="nil"/>
            </w:tcBorders>
            <w:shd w:val="clear" w:color="auto" w:fill="auto"/>
            <w:noWrap/>
            <w:tcMar>
              <w:top w:w="15" w:type="dxa"/>
              <w:left w:w="15" w:type="dxa"/>
              <w:right w:w="15" w:type="dxa"/>
            </w:tcMar>
            <w:vAlign w:val="center"/>
          </w:tcPr>
          <w:p w14:paraId="773CAB6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64</w:t>
            </w:r>
          </w:p>
        </w:tc>
        <w:tc>
          <w:tcPr>
            <w:tcW w:w="613" w:type="dxa"/>
            <w:tcBorders>
              <w:tl2br w:val="nil"/>
              <w:tr2bl w:val="nil"/>
            </w:tcBorders>
            <w:shd w:val="clear" w:color="auto" w:fill="auto"/>
            <w:noWrap/>
            <w:tcMar>
              <w:top w:w="15" w:type="dxa"/>
              <w:left w:w="15" w:type="dxa"/>
              <w:right w:w="15" w:type="dxa"/>
            </w:tcMar>
            <w:vAlign w:val="center"/>
          </w:tcPr>
          <w:p w14:paraId="0BE570A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9.4</w:t>
            </w:r>
          </w:p>
        </w:tc>
        <w:tc>
          <w:tcPr>
            <w:tcW w:w="600" w:type="dxa"/>
            <w:tcBorders>
              <w:tl2br w:val="nil"/>
              <w:tr2bl w:val="nil"/>
            </w:tcBorders>
            <w:vAlign w:val="center"/>
          </w:tcPr>
          <w:p w14:paraId="7B89264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0.7</w:t>
            </w:r>
          </w:p>
        </w:tc>
        <w:tc>
          <w:tcPr>
            <w:tcW w:w="556" w:type="dxa"/>
            <w:tcBorders>
              <w:tl2br w:val="nil"/>
              <w:tr2bl w:val="nil"/>
            </w:tcBorders>
            <w:vAlign w:val="center"/>
          </w:tcPr>
          <w:p w14:paraId="26C8B37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0.8</w:t>
            </w:r>
          </w:p>
        </w:tc>
      </w:tr>
      <w:tr w14:paraId="0D9697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001" w:type="dxa"/>
            <w:gridSpan w:val="4"/>
            <w:tcBorders>
              <w:tl2br w:val="nil"/>
              <w:tr2bl w:val="nil"/>
            </w:tcBorders>
            <w:shd w:val="clear" w:color="auto" w:fill="auto"/>
            <w:noWrap/>
            <w:tcMar>
              <w:top w:w="15" w:type="dxa"/>
              <w:left w:w="15" w:type="dxa"/>
              <w:right w:w="15" w:type="dxa"/>
            </w:tcMar>
            <w:vAlign w:val="center"/>
          </w:tcPr>
          <w:p w14:paraId="0F7A073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检出率</w:t>
            </w:r>
          </w:p>
        </w:tc>
        <w:tc>
          <w:tcPr>
            <w:tcW w:w="575" w:type="dxa"/>
            <w:tcBorders>
              <w:tl2br w:val="nil"/>
              <w:tr2bl w:val="nil"/>
            </w:tcBorders>
            <w:shd w:val="clear" w:color="auto" w:fill="auto"/>
            <w:noWrap/>
            <w:tcMar>
              <w:top w:w="15" w:type="dxa"/>
              <w:left w:w="15" w:type="dxa"/>
              <w:right w:w="15" w:type="dxa"/>
            </w:tcMar>
            <w:vAlign w:val="center"/>
          </w:tcPr>
          <w:p w14:paraId="48CB9FD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c>
          <w:tcPr>
            <w:tcW w:w="575" w:type="dxa"/>
            <w:tcBorders>
              <w:tl2br w:val="nil"/>
              <w:tr2bl w:val="nil"/>
            </w:tcBorders>
            <w:shd w:val="clear" w:color="auto" w:fill="auto"/>
            <w:noWrap/>
            <w:tcMar>
              <w:top w:w="15" w:type="dxa"/>
              <w:left w:w="15" w:type="dxa"/>
              <w:right w:w="15" w:type="dxa"/>
            </w:tcMar>
            <w:vAlign w:val="center"/>
          </w:tcPr>
          <w:p w14:paraId="40310D8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c>
          <w:tcPr>
            <w:tcW w:w="600" w:type="dxa"/>
            <w:tcBorders>
              <w:tl2br w:val="nil"/>
              <w:tr2bl w:val="nil"/>
            </w:tcBorders>
            <w:shd w:val="clear" w:color="auto" w:fill="auto"/>
            <w:noWrap/>
            <w:tcMar>
              <w:top w:w="15" w:type="dxa"/>
              <w:left w:w="15" w:type="dxa"/>
              <w:right w:w="15" w:type="dxa"/>
            </w:tcMar>
            <w:vAlign w:val="center"/>
          </w:tcPr>
          <w:p w14:paraId="6C9FF79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c>
          <w:tcPr>
            <w:tcW w:w="637" w:type="dxa"/>
            <w:tcBorders>
              <w:tl2br w:val="nil"/>
              <w:tr2bl w:val="nil"/>
            </w:tcBorders>
            <w:shd w:val="clear" w:color="auto" w:fill="auto"/>
            <w:noWrap/>
            <w:tcMar>
              <w:top w:w="15" w:type="dxa"/>
              <w:left w:w="15" w:type="dxa"/>
              <w:right w:w="15" w:type="dxa"/>
            </w:tcMar>
            <w:vAlign w:val="center"/>
          </w:tcPr>
          <w:p w14:paraId="56821DE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93%</w:t>
            </w:r>
          </w:p>
        </w:tc>
        <w:tc>
          <w:tcPr>
            <w:tcW w:w="625" w:type="dxa"/>
            <w:tcBorders>
              <w:tl2br w:val="nil"/>
              <w:tr2bl w:val="nil"/>
            </w:tcBorders>
            <w:shd w:val="clear" w:color="auto" w:fill="auto"/>
            <w:noWrap/>
            <w:tcMar>
              <w:top w:w="15" w:type="dxa"/>
              <w:left w:w="15" w:type="dxa"/>
              <w:right w:w="15" w:type="dxa"/>
            </w:tcMar>
            <w:vAlign w:val="center"/>
          </w:tcPr>
          <w:p w14:paraId="0FE267C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c>
          <w:tcPr>
            <w:tcW w:w="600" w:type="dxa"/>
            <w:tcBorders>
              <w:tl2br w:val="nil"/>
              <w:tr2bl w:val="nil"/>
            </w:tcBorders>
            <w:shd w:val="clear" w:color="auto" w:fill="auto"/>
            <w:noWrap/>
            <w:tcMar>
              <w:top w:w="15" w:type="dxa"/>
              <w:left w:w="15" w:type="dxa"/>
              <w:right w:w="15" w:type="dxa"/>
            </w:tcMar>
            <w:vAlign w:val="center"/>
          </w:tcPr>
          <w:p w14:paraId="11E2596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c>
          <w:tcPr>
            <w:tcW w:w="575" w:type="dxa"/>
            <w:tcBorders>
              <w:tl2br w:val="nil"/>
              <w:tr2bl w:val="nil"/>
            </w:tcBorders>
            <w:shd w:val="clear" w:color="auto" w:fill="auto"/>
            <w:noWrap/>
            <w:tcMar>
              <w:top w:w="15" w:type="dxa"/>
              <w:left w:w="15" w:type="dxa"/>
              <w:right w:w="15" w:type="dxa"/>
            </w:tcMar>
            <w:vAlign w:val="center"/>
          </w:tcPr>
          <w:p w14:paraId="78449F5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c>
          <w:tcPr>
            <w:tcW w:w="613" w:type="dxa"/>
            <w:tcBorders>
              <w:tl2br w:val="nil"/>
              <w:tr2bl w:val="nil"/>
            </w:tcBorders>
            <w:shd w:val="clear" w:color="auto" w:fill="auto"/>
            <w:noWrap/>
            <w:tcMar>
              <w:top w:w="15" w:type="dxa"/>
              <w:left w:w="15" w:type="dxa"/>
              <w:right w:w="15" w:type="dxa"/>
            </w:tcMar>
            <w:vAlign w:val="center"/>
          </w:tcPr>
          <w:p w14:paraId="04BCDEF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c>
          <w:tcPr>
            <w:tcW w:w="600" w:type="dxa"/>
            <w:tcBorders>
              <w:tl2br w:val="nil"/>
              <w:tr2bl w:val="nil"/>
            </w:tcBorders>
            <w:vAlign w:val="center"/>
          </w:tcPr>
          <w:p w14:paraId="22BE4C1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c>
          <w:tcPr>
            <w:tcW w:w="556" w:type="dxa"/>
            <w:tcBorders>
              <w:tl2br w:val="nil"/>
              <w:tr2bl w:val="nil"/>
            </w:tcBorders>
            <w:vAlign w:val="center"/>
          </w:tcPr>
          <w:p w14:paraId="2BBAEA2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93%</w:t>
            </w:r>
          </w:p>
        </w:tc>
      </w:tr>
      <w:tr w14:paraId="5D8F0B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001" w:type="dxa"/>
            <w:gridSpan w:val="4"/>
            <w:tcBorders>
              <w:tl2br w:val="nil"/>
              <w:tr2bl w:val="nil"/>
            </w:tcBorders>
            <w:shd w:val="clear" w:color="auto" w:fill="auto"/>
            <w:noWrap/>
            <w:tcMar>
              <w:top w:w="15" w:type="dxa"/>
              <w:left w:w="15" w:type="dxa"/>
              <w:right w:w="15" w:type="dxa"/>
            </w:tcMar>
            <w:vAlign w:val="center"/>
          </w:tcPr>
          <w:p w14:paraId="28E5C9D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第一类建设用地筛选值</w:t>
            </w:r>
          </w:p>
        </w:tc>
        <w:tc>
          <w:tcPr>
            <w:tcW w:w="575" w:type="dxa"/>
            <w:tcBorders>
              <w:tl2br w:val="nil"/>
              <w:tr2bl w:val="nil"/>
            </w:tcBorders>
            <w:shd w:val="clear" w:color="auto" w:fill="auto"/>
            <w:noWrap/>
            <w:tcMar>
              <w:top w:w="15" w:type="dxa"/>
              <w:left w:w="15" w:type="dxa"/>
              <w:right w:w="15" w:type="dxa"/>
            </w:tcMar>
            <w:vAlign w:val="center"/>
          </w:tcPr>
          <w:p w14:paraId="3A7AC76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400</w:t>
            </w:r>
          </w:p>
        </w:tc>
        <w:tc>
          <w:tcPr>
            <w:tcW w:w="575" w:type="dxa"/>
            <w:tcBorders>
              <w:tl2br w:val="nil"/>
              <w:tr2bl w:val="nil"/>
            </w:tcBorders>
            <w:shd w:val="clear" w:color="auto" w:fill="auto"/>
            <w:noWrap/>
            <w:tcMar>
              <w:top w:w="15" w:type="dxa"/>
              <w:left w:w="15" w:type="dxa"/>
              <w:right w:w="15" w:type="dxa"/>
            </w:tcMar>
            <w:vAlign w:val="center"/>
          </w:tcPr>
          <w:p w14:paraId="37529B2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w:t>
            </w:r>
          </w:p>
        </w:tc>
        <w:tc>
          <w:tcPr>
            <w:tcW w:w="600" w:type="dxa"/>
            <w:tcBorders>
              <w:tl2br w:val="nil"/>
              <w:tr2bl w:val="nil"/>
            </w:tcBorders>
            <w:shd w:val="clear" w:color="auto" w:fill="auto"/>
            <w:noWrap/>
            <w:tcMar>
              <w:top w:w="15" w:type="dxa"/>
              <w:left w:w="15" w:type="dxa"/>
              <w:right w:w="15" w:type="dxa"/>
            </w:tcMar>
            <w:vAlign w:val="center"/>
          </w:tcPr>
          <w:p w14:paraId="11931DB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w:t>
            </w:r>
          </w:p>
        </w:tc>
        <w:tc>
          <w:tcPr>
            <w:tcW w:w="637" w:type="dxa"/>
            <w:tcBorders>
              <w:tl2br w:val="nil"/>
              <w:tr2bl w:val="nil"/>
            </w:tcBorders>
            <w:shd w:val="clear" w:color="auto" w:fill="auto"/>
            <w:noWrap/>
            <w:tcMar>
              <w:top w:w="15" w:type="dxa"/>
              <w:left w:w="15" w:type="dxa"/>
              <w:right w:w="15" w:type="dxa"/>
            </w:tcMar>
            <w:vAlign w:val="center"/>
          </w:tcPr>
          <w:p w14:paraId="22BF8D2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w:t>
            </w:r>
          </w:p>
        </w:tc>
        <w:tc>
          <w:tcPr>
            <w:tcW w:w="625" w:type="dxa"/>
            <w:tcBorders>
              <w:tl2br w:val="nil"/>
              <w:tr2bl w:val="nil"/>
            </w:tcBorders>
            <w:shd w:val="clear" w:color="auto" w:fill="auto"/>
            <w:noWrap/>
            <w:tcMar>
              <w:top w:w="15" w:type="dxa"/>
              <w:left w:w="15" w:type="dxa"/>
              <w:right w:w="15" w:type="dxa"/>
            </w:tcMar>
            <w:vAlign w:val="center"/>
          </w:tcPr>
          <w:p w14:paraId="7531D55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2000</w:t>
            </w:r>
          </w:p>
        </w:tc>
        <w:tc>
          <w:tcPr>
            <w:tcW w:w="600" w:type="dxa"/>
            <w:tcBorders>
              <w:tl2br w:val="nil"/>
              <w:tr2bl w:val="nil"/>
            </w:tcBorders>
            <w:shd w:val="clear" w:color="auto" w:fill="auto"/>
            <w:noWrap/>
            <w:tcMar>
              <w:top w:w="15" w:type="dxa"/>
              <w:left w:w="15" w:type="dxa"/>
              <w:right w:w="15" w:type="dxa"/>
            </w:tcMar>
            <w:vAlign w:val="center"/>
          </w:tcPr>
          <w:p w14:paraId="39DD151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150</w:t>
            </w:r>
          </w:p>
        </w:tc>
        <w:tc>
          <w:tcPr>
            <w:tcW w:w="575" w:type="dxa"/>
            <w:tcBorders>
              <w:tl2br w:val="nil"/>
              <w:tr2bl w:val="nil"/>
            </w:tcBorders>
            <w:shd w:val="clear" w:color="auto" w:fill="auto"/>
            <w:noWrap/>
            <w:tcMar>
              <w:top w:w="15" w:type="dxa"/>
              <w:left w:w="15" w:type="dxa"/>
              <w:right w:w="15" w:type="dxa"/>
            </w:tcMar>
            <w:vAlign w:val="center"/>
          </w:tcPr>
          <w:p w14:paraId="4699162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1210</w:t>
            </w:r>
          </w:p>
        </w:tc>
        <w:tc>
          <w:tcPr>
            <w:tcW w:w="613" w:type="dxa"/>
            <w:tcBorders>
              <w:tl2br w:val="nil"/>
              <w:tr2bl w:val="nil"/>
            </w:tcBorders>
            <w:shd w:val="clear" w:color="auto" w:fill="auto"/>
            <w:noWrap/>
            <w:tcMar>
              <w:top w:w="15" w:type="dxa"/>
              <w:left w:w="15" w:type="dxa"/>
              <w:right w:w="15" w:type="dxa"/>
            </w:tcMar>
            <w:vAlign w:val="center"/>
          </w:tcPr>
          <w:p w14:paraId="31DB6C6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w:t>
            </w:r>
          </w:p>
        </w:tc>
        <w:tc>
          <w:tcPr>
            <w:tcW w:w="600" w:type="dxa"/>
            <w:tcBorders>
              <w:tl2br w:val="nil"/>
              <w:tr2bl w:val="nil"/>
            </w:tcBorders>
            <w:vAlign w:val="center"/>
          </w:tcPr>
          <w:p w14:paraId="1958CFE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232</w:t>
            </w:r>
          </w:p>
        </w:tc>
        <w:tc>
          <w:tcPr>
            <w:tcW w:w="556" w:type="dxa"/>
            <w:tcBorders>
              <w:tl2br w:val="nil"/>
              <w:tr2bl w:val="nil"/>
            </w:tcBorders>
            <w:vAlign w:val="center"/>
          </w:tcPr>
          <w:p w14:paraId="417D779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w:t>
            </w:r>
          </w:p>
        </w:tc>
      </w:tr>
      <w:tr w14:paraId="098125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001" w:type="dxa"/>
            <w:gridSpan w:val="4"/>
            <w:tcBorders>
              <w:tl2br w:val="nil"/>
              <w:tr2bl w:val="nil"/>
            </w:tcBorders>
            <w:shd w:val="clear" w:color="auto" w:fill="auto"/>
            <w:noWrap/>
            <w:tcMar>
              <w:top w:w="15" w:type="dxa"/>
              <w:left w:w="15" w:type="dxa"/>
              <w:right w:w="15" w:type="dxa"/>
            </w:tcMar>
            <w:vAlign w:val="center"/>
          </w:tcPr>
          <w:p w14:paraId="511644B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第二类建设用地筛选值</w:t>
            </w:r>
          </w:p>
        </w:tc>
        <w:tc>
          <w:tcPr>
            <w:tcW w:w="575" w:type="dxa"/>
            <w:tcBorders>
              <w:tl2br w:val="nil"/>
              <w:tr2bl w:val="nil"/>
            </w:tcBorders>
            <w:shd w:val="clear" w:color="auto" w:fill="auto"/>
            <w:noWrap/>
            <w:tcMar>
              <w:top w:w="15" w:type="dxa"/>
              <w:left w:w="15" w:type="dxa"/>
              <w:right w:w="15" w:type="dxa"/>
            </w:tcMar>
            <w:vAlign w:val="center"/>
          </w:tcPr>
          <w:p w14:paraId="2EA0FBF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800</w:t>
            </w:r>
          </w:p>
        </w:tc>
        <w:tc>
          <w:tcPr>
            <w:tcW w:w="575" w:type="dxa"/>
            <w:tcBorders>
              <w:tl2br w:val="nil"/>
              <w:tr2bl w:val="nil"/>
            </w:tcBorders>
            <w:shd w:val="clear" w:color="auto" w:fill="auto"/>
            <w:noWrap/>
            <w:tcMar>
              <w:top w:w="15" w:type="dxa"/>
              <w:left w:w="15" w:type="dxa"/>
              <w:right w:w="15" w:type="dxa"/>
            </w:tcMar>
            <w:vAlign w:val="center"/>
          </w:tcPr>
          <w:p w14:paraId="18B52B9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38</w:t>
            </w:r>
          </w:p>
        </w:tc>
        <w:tc>
          <w:tcPr>
            <w:tcW w:w="600" w:type="dxa"/>
            <w:tcBorders>
              <w:tl2br w:val="nil"/>
              <w:tr2bl w:val="nil"/>
            </w:tcBorders>
            <w:shd w:val="clear" w:color="auto" w:fill="auto"/>
            <w:noWrap/>
            <w:tcMar>
              <w:top w:w="15" w:type="dxa"/>
              <w:left w:w="15" w:type="dxa"/>
              <w:right w:w="15" w:type="dxa"/>
            </w:tcMar>
            <w:vAlign w:val="center"/>
          </w:tcPr>
          <w:p w14:paraId="4128156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70</w:t>
            </w:r>
          </w:p>
        </w:tc>
        <w:tc>
          <w:tcPr>
            <w:tcW w:w="637" w:type="dxa"/>
            <w:tcBorders>
              <w:tl2br w:val="nil"/>
              <w:tr2bl w:val="nil"/>
            </w:tcBorders>
            <w:shd w:val="clear" w:color="auto" w:fill="auto"/>
            <w:noWrap/>
            <w:tcMar>
              <w:top w:w="15" w:type="dxa"/>
              <w:left w:w="15" w:type="dxa"/>
              <w:right w:w="15" w:type="dxa"/>
            </w:tcMar>
            <w:vAlign w:val="center"/>
          </w:tcPr>
          <w:p w14:paraId="1F4434A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65</w:t>
            </w:r>
          </w:p>
        </w:tc>
        <w:tc>
          <w:tcPr>
            <w:tcW w:w="625" w:type="dxa"/>
            <w:tcBorders>
              <w:tl2br w:val="nil"/>
              <w:tr2bl w:val="nil"/>
            </w:tcBorders>
            <w:shd w:val="clear" w:color="auto" w:fill="auto"/>
            <w:noWrap/>
            <w:tcMar>
              <w:top w:w="15" w:type="dxa"/>
              <w:left w:w="15" w:type="dxa"/>
              <w:right w:w="15" w:type="dxa"/>
            </w:tcMar>
            <w:vAlign w:val="center"/>
          </w:tcPr>
          <w:p w14:paraId="577B9F9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18000</w:t>
            </w:r>
          </w:p>
        </w:tc>
        <w:tc>
          <w:tcPr>
            <w:tcW w:w="600" w:type="dxa"/>
            <w:tcBorders>
              <w:tl2br w:val="nil"/>
              <w:tr2bl w:val="nil"/>
            </w:tcBorders>
            <w:shd w:val="clear" w:color="auto" w:fill="auto"/>
            <w:noWrap/>
            <w:tcMar>
              <w:top w:w="15" w:type="dxa"/>
              <w:left w:w="15" w:type="dxa"/>
              <w:right w:w="15" w:type="dxa"/>
            </w:tcMar>
            <w:vAlign w:val="center"/>
          </w:tcPr>
          <w:p w14:paraId="38B54B2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900</w:t>
            </w:r>
          </w:p>
        </w:tc>
        <w:tc>
          <w:tcPr>
            <w:tcW w:w="575" w:type="dxa"/>
            <w:tcBorders>
              <w:tl2br w:val="nil"/>
              <w:tr2bl w:val="nil"/>
            </w:tcBorders>
            <w:shd w:val="clear" w:color="auto" w:fill="auto"/>
            <w:noWrap/>
            <w:tcMar>
              <w:top w:w="15" w:type="dxa"/>
              <w:left w:w="15" w:type="dxa"/>
              <w:right w:w="15" w:type="dxa"/>
            </w:tcMar>
            <w:vAlign w:val="center"/>
          </w:tcPr>
          <w:p w14:paraId="19EC23B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2910</w:t>
            </w:r>
          </w:p>
        </w:tc>
        <w:tc>
          <w:tcPr>
            <w:tcW w:w="613" w:type="dxa"/>
            <w:tcBorders>
              <w:tl2br w:val="nil"/>
              <w:tr2bl w:val="nil"/>
            </w:tcBorders>
            <w:shd w:val="clear" w:color="auto" w:fill="auto"/>
            <w:noWrap/>
            <w:tcMar>
              <w:top w:w="15" w:type="dxa"/>
              <w:left w:w="15" w:type="dxa"/>
              <w:right w:w="15" w:type="dxa"/>
            </w:tcMar>
            <w:vAlign w:val="center"/>
          </w:tcPr>
          <w:p w14:paraId="5EF28B3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60</w:t>
            </w:r>
          </w:p>
        </w:tc>
        <w:tc>
          <w:tcPr>
            <w:tcW w:w="600" w:type="dxa"/>
            <w:tcBorders>
              <w:tl2br w:val="nil"/>
              <w:tr2bl w:val="nil"/>
            </w:tcBorders>
            <w:vAlign w:val="center"/>
          </w:tcPr>
          <w:p w14:paraId="36470AE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1940</w:t>
            </w:r>
          </w:p>
        </w:tc>
        <w:tc>
          <w:tcPr>
            <w:tcW w:w="556" w:type="dxa"/>
            <w:tcBorders>
              <w:tl2br w:val="nil"/>
              <w:tr2bl w:val="nil"/>
            </w:tcBorders>
            <w:vAlign w:val="center"/>
          </w:tcPr>
          <w:p w14:paraId="3C19035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180</w:t>
            </w:r>
          </w:p>
        </w:tc>
      </w:tr>
      <w:tr w14:paraId="6905BE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001" w:type="dxa"/>
            <w:gridSpan w:val="4"/>
            <w:tcBorders>
              <w:tl2br w:val="nil"/>
              <w:tr2bl w:val="nil"/>
            </w:tcBorders>
            <w:shd w:val="clear" w:color="auto" w:fill="auto"/>
            <w:noWrap/>
            <w:tcMar>
              <w:top w:w="15" w:type="dxa"/>
              <w:left w:w="15" w:type="dxa"/>
              <w:right w:w="15" w:type="dxa"/>
            </w:tcMar>
            <w:vAlign w:val="center"/>
          </w:tcPr>
          <w:p w14:paraId="39AC357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区域背景值</w:t>
            </w:r>
          </w:p>
        </w:tc>
        <w:tc>
          <w:tcPr>
            <w:tcW w:w="575" w:type="dxa"/>
            <w:tcBorders>
              <w:tl2br w:val="nil"/>
              <w:tr2bl w:val="nil"/>
            </w:tcBorders>
            <w:shd w:val="clear" w:color="auto" w:fill="auto"/>
            <w:noWrap/>
            <w:tcMar>
              <w:top w:w="15" w:type="dxa"/>
              <w:left w:w="15" w:type="dxa"/>
              <w:right w:w="15" w:type="dxa"/>
            </w:tcMar>
            <w:vAlign w:val="center"/>
          </w:tcPr>
          <w:p w14:paraId="365F7E3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42.3</w:t>
            </w:r>
          </w:p>
        </w:tc>
        <w:tc>
          <w:tcPr>
            <w:tcW w:w="575" w:type="dxa"/>
            <w:tcBorders>
              <w:tl2br w:val="nil"/>
              <w:tr2bl w:val="nil"/>
            </w:tcBorders>
            <w:shd w:val="clear" w:color="auto" w:fill="auto"/>
            <w:noWrap/>
            <w:tcMar>
              <w:top w:w="15" w:type="dxa"/>
              <w:left w:w="15" w:type="dxa"/>
              <w:right w:w="15" w:type="dxa"/>
            </w:tcMar>
            <w:vAlign w:val="center"/>
          </w:tcPr>
          <w:p w14:paraId="32CB7F8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0.193</w:t>
            </w:r>
          </w:p>
        </w:tc>
        <w:tc>
          <w:tcPr>
            <w:tcW w:w="600" w:type="dxa"/>
            <w:tcBorders>
              <w:tl2br w:val="nil"/>
              <w:tr2bl w:val="nil"/>
            </w:tcBorders>
            <w:shd w:val="clear" w:color="auto" w:fill="auto"/>
            <w:noWrap/>
            <w:tcMar>
              <w:top w:w="15" w:type="dxa"/>
              <w:left w:w="15" w:type="dxa"/>
              <w:right w:w="15" w:type="dxa"/>
            </w:tcMar>
            <w:vAlign w:val="center"/>
          </w:tcPr>
          <w:p w14:paraId="3C6427A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40</w:t>
            </w:r>
          </w:p>
        </w:tc>
        <w:tc>
          <w:tcPr>
            <w:tcW w:w="637" w:type="dxa"/>
            <w:tcBorders>
              <w:tl2br w:val="nil"/>
              <w:tr2bl w:val="nil"/>
            </w:tcBorders>
            <w:shd w:val="clear" w:color="auto" w:fill="auto"/>
            <w:noWrap/>
            <w:tcMar>
              <w:top w:w="15" w:type="dxa"/>
              <w:left w:w="15" w:type="dxa"/>
              <w:right w:w="15" w:type="dxa"/>
            </w:tcMar>
            <w:vAlign w:val="center"/>
          </w:tcPr>
          <w:p w14:paraId="18E7B7A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0.5643</w:t>
            </w:r>
          </w:p>
        </w:tc>
        <w:tc>
          <w:tcPr>
            <w:tcW w:w="625" w:type="dxa"/>
            <w:tcBorders>
              <w:tl2br w:val="nil"/>
              <w:tr2bl w:val="nil"/>
            </w:tcBorders>
            <w:shd w:val="clear" w:color="auto" w:fill="auto"/>
            <w:noWrap/>
            <w:tcMar>
              <w:top w:w="15" w:type="dxa"/>
              <w:left w:w="15" w:type="dxa"/>
              <w:right w:w="15" w:type="dxa"/>
            </w:tcMar>
            <w:vAlign w:val="center"/>
          </w:tcPr>
          <w:p w14:paraId="79B6215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56.4</w:t>
            </w:r>
          </w:p>
        </w:tc>
        <w:tc>
          <w:tcPr>
            <w:tcW w:w="600" w:type="dxa"/>
            <w:tcBorders>
              <w:tl2br w:val="nil"/>
              <w:tr2bl w:val="nil"/>
            </w:tcBorders>
            <w:shd w:val="clear" w:color="auto" w:fill="auto"/>
            <w:noWrap/>
            <w:tcMar>
              <w:top w:w="15" w:type="dxa"/>
              <w:left w:w="15" w:type="dxa"/>
              <w:right w:w="15" w:type="dxa"/>
            </w:tcMar>
            <w:vAlign w:val="center"/>
          </w:tcPr>
          <w:p w14:paraId="32DE399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54.2</w:t>
            </w:r>
          </w:p>
        </w:tc>
        <w:tc>
          <w:tcPr>
            <w:tcW w:w="575" w:type="dxa"/>
            <w:tcBorders>
              <w:tl2br w:val="nil"/>
              <w:tr2bl w:val="nil"/>
            </w:tcBorders>
            <w:shd w:val="clear" w:color="auto" w:fill="auto"/>
            <w:noWrap/>
            <w:tcMar>
              <w:top w:w="15" w:type="dxa"/>
              <w:left w:w="15" w:type="dxa"/>
              <w:right w:w="15" w:type="dxa"/>
            </w:tcMar>
            <w:vAlign w:val="center"/>
          </w:tcPr>
          <w:p w14:paraId="34896A9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146.8</w:t>
            </w:r>
          </w:p>
        </w:tc>
        <w:tc>
          <w:tcPr>
            <w:tcW w:w="613" w:type="dxa"/>
            <w:tcBorders>
              <w:tl2br w:val="nil"/>
              <w:tr2bl w:val="nil"/>
            </w:tcBorders>
            <w:shd w:val="clear" w:color="auto" w:fill="auto"/>
            <w:noWrap/>
            <w:tcMar>
              <w:top w:w="15" w:type="dxa"/>
              <w:left w:w="15" w:type="dxa"/>
              <w:right w:w="15" w:type="dxa"/>
            </w:tcMar>
            <w:vAlign w:val="center"/>
          </w:tcPr>
          <w:p w14:paraId="346F3B9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40</w:t>
            </w:r>
          </w:p>
        </w:tc>
        <w:tc>
          <w:tcPr>
            <w:tcW w:w="600" w:type="dxa"/>
            <w:tcBorders>
              <w:tl2br w:val="nil"/>
              <w:tr2bl w:val="nil"/>
            </w:tcBorders>
            <w:vAlign w:val="center"/>
          </w:tcPr>
          <w:p w14:paraId="31005CA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8.9</w:t>
            </w:r>
          </w:p>
        </w:tc>
        <w:tc>
          <w:tcPr>
            <w:tcW w:w="556" w:type="dxa"/>
            <w:tcBorders>
              <w:tl2br w:val="nil"/>
              <w:tr2bl w:val="nil"/>
            </w:tcBorders>
            <w:vAlign w:val="center"/>
          </w:tcPr>
          <w:p w14:paraId="27275CD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2.23</w:t>
            </w:r>
          </w:p>
        </w:tc>
      </w:tr>
      <w:tr w14:paraId="7909FF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4001" w:type="dxa"/>
            <w:gridSpan w:val="4"/>
            <w:tcBorders>
              <w:tl2br w:val="nil"/>
              <w:tr2bl w:val="nil"/>
            </w:tcBorders>
            <w:shd w:val="clear" w:color="auto" w:fill="auto"/>
            <w:noWrap/>
            <w:tcMar>
              <w:top w:w="15" w:type="dxa"/>
              <w:left w:w="15" w:type="dxa"/>
              <w:right w:w="15" w:type="dxa"/>
            </w:tcMar>
            <w:vAlign w:val="center"/>
          </w:tcPr>
          <w:p w14:paraId="19278DC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达标情况</w:t>
            </w:r>
          </w:p>
        </w:tc>
        <w:tc>
          <w:tcPr>
            <w:tcW w:w="575" w:type="dxa"/>
            <w:tcBorders>
              <w:tl2br w:val="nil"/>
              <w:tr2bl w:val="nil"/>
            </w:tcBorders>
            <w:shd w:val="clear" w:color="auto" w:fill="auto"/>
            <w:noWrap/>
            <w:tcMar>
              <w:top w:w="15" w:type="dxa"/>
              <w:left w:w="15" w:type="dxa"/>
              <w:right w:w="15" w:type="dxa"/>
            </w:tcMar>
            <w:vAlign w:val="center"/>
          </w:tcPr>
          <w:p w14:paraId="68FA2C8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575" w:type="dxa"/>
            <w:tcBorders>
              <w:tl2br w:val="nil"/>
              <w:tr2bl w:val="nil"/>
            </w:tcBorders>
            <w:shd w:val="clear" w:color="auto" w:fill="auto"/>
            <w:noWrap/>
            <w:tcMar>
              <w:top w:w="15" w:type="dxa"/>
              <w:left w:w="15" w:type="dxa"/>
              <w:right w:w="15" w:type="dxa"/>
            </w:tcMar>
            <w:vAlign w:val="center"/>
          </w:tcPr>
          <w:p w14:paraId="739195E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600" w:type="dxa"/>
            <w:tcBorders>
              <w:tl2br w:val="nil"/>
              <w:tr2bl w:val="nil"/>
            </w:tcBorders>
            <w:shd w:val="clear" w:color="auto" w:fill="auto"/>
            <w:noWrap/>
            <w:tcMar>
              <w:top w:w="15" w:type="dxa"/>
              <w:left w:w="15" w:type="dxa"/>
              <w:right w:w="15" w:type="dxa"/>
            </w:tcMar>
            <w:vAlign w:val="center"/>
          </w:tcPr>
          <w:p w14:paraId="5143AB3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637" w:type="dxa"/>
            <w:tcBorders>
              <w:tl2br w:val="nil"/>
              <w:tr2bl w:val="nil"/>
            </w:tcBorders>
            <w:shd w:val="clear" w:color="auto" w:fill="auto"/>
            <w:noWrap/>
            <w:tcMar>
              <w:top w:w="15" w:type="dxa"/>
              <w:left w:w="15" w:type="dxa"/>
              <w:right w:w="15" w:type="dxa"/>
            </w:tcMar>
            <w:vAlign w:val="center"/>
          </w:tcPr>
          <w:p w14:paraId="29CBBD9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625" w:type="dxa"/>
            <w:tcBorders>
              <w:tl2br w:val="nil"/>
              <w:tr2bl w:val="nil"/>
            </w:tcBorders>
            <w:shd w:val="clear" w:color="auto" w:fill="auto"/>
            <w:noWrap/>
            <w:tcMar>
              <w:top w:w="15" w:type="dxa"/>
              <w:left w:w="15" w:type="dxa"/>
              <w:right w:w="15" w:type="dxa"/>
            </w:tcMar>
            <w:vAlign w:val="center"/>
          </w:tcPr>
          <w:p w14:paraId="03E9DD7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600" w:type="dxa"/>
            <w:tcBorders>
              <w:tl2br w:val="nil"/>
              <w:tr2bl w:val="nil"/>
            </w:tcBorders>
            <w:shd w:val="clear" w:color="auto" w:fill="auto"/>
            <w:noWrap/>
            <w:tcMar>
              <w:top w:w="15" w:type="dxa"/>
              <w:left w:w="15" w:type="dxa"/>
              <w:right w:w="15" w:type="dxa"/>
            </w:tcMar>
            <w:vAlign w:val="center"/>
          </w:tcPr>
          <w:p w14:paraId="36C6635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575" w:type="dxa"/>
            <w:tcBorders>
              <w:tl2br w:val="nil"/>
              <w:tr2bl w:val="nil"/>
            </w:tcBorders>
            <w:shd w:val="clear" w:color="auto" w:fill="auto"/>
            <w:noWrap/>
            <w:tcMar>
              <w:top w:w="15" w:type="dxa"/>
              <w:left w:w="15" w:type="dxa"/>
              <w:right w:w="15" w:type="dxa"/>
            </w:tcMar>
            <w:vAlign w:val="center"/>
          </w:tcPr>
          <w:p w14:paraId="514E2D0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613" w:type="dxa"/>
            <w:tcBorders>
              <w:tl2br w:val="nil"/>
              <w:tr2bl w:val="nil"/>
            </w:tcBorders>
            <w:shd w:val="clear" w:color="auto" w:fill="auto"/>
            <w:noWrap/>
            <w:tcMar>
              <w:top w:w="15" w:type="dxa"/>
              <w:left w:w="15" w:type="dxa"/>
              <w:right w:w="15" w:type="dxa"/>
            </w:tcMar>
            <w:vAlign w:val="center"/>
          </w:tcPr>
          <w:p w14:paraId="1824C4F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600" w:type="dxa"/>
            <w:tcBorders>
              <w:tl2br w:val="nil"/>
              <w:tr2bl w:val="nil"/>
            </w:tcBorders>
            <w:vAlign w:val="center"/>
          </w:tcPr>
          <w:p w14:paraId="2A5DEDC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556" w:type="dxa"/>
            <w:tcBorders>
              <w:tl2br w:val="nil"/>
              <w:tr2bl w:val="nil"/>
            </w:tcBorders>
            <w:vAlign w:val="center"/>
          </w:tcPr>
          <w:p w14:paraId="2C286D0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bookmarkEnd w:id="43"/>
    </w:tbl>
    <w:p w14:paraId="6A913A48">
      <w:pPr>
        <w:spacing w:line="240" w:lineRule="auto"/>
        <w:rPr>
          <w:rFonts w:hint="default" w:ascii="Times New Roman" w:hAnsi="Times New Roman" w:cs="Times New Roman"/>
          <w:b/>
          <w:bCs/>
          <w:color w:val="auto"/>
          <w:sz w:val="18"/>
          <w:szCs w:val="18"/>
          <w:highlight w:val="none"/>
        </w:rPr>
      </w:pPr>
      <w:bookmarkStart w:id="44" w:name="_Toc21346_WPSOffice_Level2"/>
      <w:bookmarkEnd w:id="44"/>
      <w:bookmarkStart w:id="45" w:name="_Toc20828_WPSOffice_Level2"/>
      <w:bookmarkEnd w:id="45"/>
      <w:r>
        <w:rPr>
          <w:rFonts w:hint="default" w:ascii="Times New Roman" w:hAnsi="Times New Roman" w:cs="Times New Roman"/>
          <w:b/>
          <w:bCs/>
          <w:color w:val="auto"/>
          <w:sz w:val="18"/>
          <w:szCs w:val="18"/>
          <w:highlight w:val="none"/>
        </w:rPr>
        <w:t>注：</w:t>
      </w:r>
      <w:r>
        <w:rPr>
          <w:rFonts w:hint="default" w:ascii="Times New Roman" w:hAnsi="Times New Roman" w:cs="Times New Roman"/>
          <w:b/>
          <w:bCs/>
          <w:color w:val="auto"/>
          <w:kern w:val="0"/>
          <w:sz w:val="18"/>
          <w:szCs w:val="18"/>
          <w:highlight w:val="none"/>
          <w:lang w:val="en-US" w:eastAsia="zh-CN"/>
        </w:rPr>
        <w:t>①</w:t>
      </w:r>
      <w:r>
        <w:rPr>
          <w:rFonts w:hint="default" w:ascii="Times New Roman" w:hAnsi="Times New Roman" w:cs="Times New Roman"/>
          <w:b/>
          <w:bCs/>
          <w:color w:val="auto"/>
          <w:sz w:val="18"/>
          <w:szCs w:val="18"/>
          <w:highlight w:val="none"/>
        </w:rPr>
        <w:t>根据《土壤环境监测技术规范（HJ/T 166-2004）》低于分析方法检出限的测定结果参加统计时按二分之一最低检出限计算，下同。</w:t>
      </w:r>
    </w:p>
    <w:p w14:paraId="20078FD5">
      <w:pPr>
        <w:pStyle w:val="2"/>
        <w:rPr>
          <w:rFonts w:hint="default"/>
          <w:highlight w:val="none"/>
        </w:rPr>
      </w:pPr>
    </w:p>
    <w:p w14:paraId="01A54E61">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eastAsia="黑体" w:cs="Times New Roman"/>
          <w:b/>
          <w:bCs/>
          <w:color w:val="auto"/>
          <w:highlight w:val="none"/>
        </w:rPr>
        <w:t>表5-3-4 土壤样品已检出重金属指标监测值（基于农用地标准）  （单位：mg/kg）</w:t>
      </w:r>
    </w:p>
    <w:tbl>
      <w:tblPr>
        <w:tblStyle w:val="2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046"/>
        <w:gridCol w:w="1500"/>
        <w:gridCol w:w="1351"/>
        <w:gridCol w:w="480"/>
        <w:gridCol w:w="520"/>
        <w:gridCol w:w="574"/>
        <w:gridCol w:w="533"/>
        <w:gridCol w:w="493"/>
        <w:gridCol w:w="440"/>
        <w:gridCol w:w="467"/>
        <w:gridCol w:w="467"/>
        <w:gridCol w:w="413"/>
        <w:gridCol w:w="1062"/>
      </w:tblGrid>
      <w:tr w14:paraId="3BDED7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1046" w:type="dxa"/>
            <w:tcBorders>
              <w:bottom w:val="single" w:color="auto" w:sz="12" w:space="0"/>
            </w:tcBorders>
            <w:shd w:val="clear" w:color="auto" w:fill="auto"/>
            <w:noWrap/>
            <w:tcMar>
              <w:top w:w="15" w:type="dxa"/>
              <w:left w:w="15" w:type="dxa"/>
              <w:right w:w="15" w:type="dxa"/>
            </w:tcMar>
            <w:vAlign w:val="center"/>
          </w:tcPr>
          <w:p w14:paraId="2EE7C323">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pH范围</w:t>
            </w:r>
          </w:p>
        </w:tc>
        <w:tc>
          <w:tcPr>
            <w:tcW w:w="1500" w:type="dxa"/>
            <w:tcBorders>
              <w:bottom w:val="single" w:color="auto" w:sz="12" w:space="0"/>
            </w:tcBorders>
            <w:shd w:val="clear" w:color="auto" w:fill="auto"/>
            <w:noWrap/>
            <w:tcMar>
              <w:top w:w="15" w:type="dxa"/>
              <w:left w:w="15" w:type="dxa"/>
              <w:right w:w="15" w:type="dxa"/>
            </w:tcMar>
            <w:vAlign w:val="center"/>
          </w:tcPr>
          <w:p w14:paraId="1F452C2E">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样品编号</w:t>
            </w:r>
          </w:p>
        </w:tc>
        <w:tc>
          <w:tcPr>
            <w:tcW w:w="1351" w:type="dxa"/>
            <w:tcBorders>
              <w:bottom w:val="single" w:color="auto" w:sz="12" w:space="0"/>
            </w:tcBorders>
            <w:shd w:val="clear" w:color="auto" w:fill="auto"/>
            <w:noWrap/>
            <w:tcMar>
              <w:top w:w="15" w:type="dxa"/>
              <w:left w:w="15" w:type="dxa"/>
              <w:right w:w="15" w:type="dxa"/>
            </w:tcMar>
            <w:vAlign w:val="center"/>
          </w:tcPr>
          <w:p w14:paraId="2D0DDB73">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cs="Times New Roman"/>
                <w:b/>
                <w:bCs/>
                <w:color w:val="auto"/>
                <w:kern w:val="0"/>
                <w:sz w:val="21"/>
                <w:szCs w:val="21"/>
                <w:highlight w:val="none"/>
                <w:lang w:val="en-US" w:eastAsia="zh-CN" w:bidi="ar"/>
              </w:rPr>
              <w:t>点位位置</w:t>
            </w:r>
          </w:p>
        </w:tc>
        <w:tc>
          <w:tcPr>
            <w:tcW w:w="480" w:type="dxa"/>
            <w:tcBorders>
              <w:bottom w:val="single" w:color="auto" w:sz="12" w:space="0"/>
            </w:tcBorders>
            <w:shd w:val="clear" w:color="auto" w:fill="auto"/>
            <w:noWrap/>
            <w:tcMar>
              <w:top w:w="15" w:type="dxa"/>
              <w:left w:w="15" w:type="dxa"/>
              <w:right w:w="15" w:type="dxa"/>
            </w:tcMar>
            <w:vAlign w:val="center"/>
          </w:tcPr>
          <w:p w14:paraId="707FCD67">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pH</w:t>
            </w:r>
          </w:p>
        </w:tc>
        <w:tc>
          <w:tcPr>
            <w:tcW w:w="520" w:type="dxa"/>
            <w:tcBorders>
              <w:bottom w:val="single" w:color="auto" w:sz="12" w:space="0"/>
            </w:tcBorders>
            <w:shd w:val="clear" w:color="auto" w:fill="auto"/>
            <w:noWrap/>
            <w:tcMar>
              <w:top w:w="15" w:type="dxa"/>
              <w:left w:w="15" w:type="dxa"/>
              <w:right w:w="15" w:type="dxa"/>
            </w:tcMar>
            <w:vAlign w:val="center"/>
          </w:tcPr>
          <w:p w14:paraId="66621597">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铅</w:t>
            </w:r>
          </w:p>
        </w:tc>
        <w:tc>
          <w:tcPr>
            <w:tcW w:w="574" w:type="dxa"/>
            <w:tcBorders>
              <w:bottom w:val="single" w:color="auto" w:sz="12" w:space="0"/>
            </w:tcBorders>
            <w:shd w:val="clear" w:color="auto" w:fill="auto"/>
            <w:noWrap/>
            <w:tcMar>
              <w:top w:w="15" w:type="dxa"/>
              <w:left w:w="15" w:type="dxa"/>
              <w:right w:w="15" w:type="dxa"/>
            </w:tcMar>
            <w:vAlign w:val="center"/>
          </w:tcPr>
          <w:p w14:paraId="687AF8EA">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汞</w:t>
            </w:r>
          </w:p>
        </w:tc>
        <w:tc>
          <w:tcPr>
            <w:tcW w:w="533" w:type="dxa"/>
            <w:tcBorders>
              <w:bottom w:val="single" w:color="auto" w:sz="12" w:space="0"/>
            </w:tcBorders>
            <w:shd w:val="clear" w:color="auto" w:fill="auto"/>
            <w:noWrap/>
            <w:tcMar>
              <w:top w:w="15" w:type="dxa"/>
              <w:left w:w="15" w:type="dxa"/>
              <w:right w:w="15" w:type="dxa"/>
            </w:tcMar>
            <w:vAlign w:val="center"/>
          </w:tcPr>
          <w:p w14:paraId="6C7F742D">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镉</w:t>
            </w:r>
          </w:p>
        </w:tc>
        <w:tc>
          <w:tcPr>
            <w:tcW w:w="493" w:type="dxa"/>
            <w:tcBorders>
              <w:bottom w:val="single" w:color="auto" w:sz="12" w:space="0"/>
            </w:tcBorders>
            <w:shd w:val="clear" w:color="auto" w:fill="auto"/>
            <w:noWrap/>
            <w:tcMar>
              <w:top w:w="15" w:type="dxa"/>
              <w:left w:w="15" w:type="dxa"/>
              <w:right w:w="15" w:type="dxa"/>
            </w:tcMar>
            <w:vAlign w:val="center"/>
          </w:tcPr>
          <w:p w14:paraId="488CAB03">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铜</w:t>
            </w:r>
          </w:p>
        </w:tc>
        <w:tc>
          <w:tcPr>
            <w:tcW w:w="440" w:type="dxa"/>
            <w:tcBorders>
              <w:bottom w:val="single" w:color="auto" w:sz="12" w:space="0"/>
            </w:tcBorders>
            <w:shd w:val="clear" w:color="auto" w:fill="auto"/>
            <w:noWrap/>
            <w:tcMar>
              <w:top w:w="15" w:type="dxa"/>
              <w:left w:w="15" w:type="dxa"/>
              <w:right w:w="15" w:type="dxa"/>
            </w:tcMar>
            <w:vAlign w:val="center"/>
          </w:tcPr>
          <w:p w14:paraId="65AB7C96">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镍</w:t>
            </w:r>
          </w:p>
        </w:tc>
        <w:tc>
          <w:tcPr>
            <w:tcW w:w="467" w:type="dxa"/>
            <w:tcBorders>
              <w:bottom w:val="single" w:color="auto" w:sz="12" w:space="0"/>
            </w:tcBorders>
            <w:shd w:val="clear" w:color="auto" w:fill="auto"/>
            <w:noWrap/>
            <w:tcMar>
              <w:top w:w="15" w:type="dxa"/>
              <w:left w:w="15" w:type="dxa"/>
              <w:right w:w="15" w:type="dxa"/>
            </w:tcMar>
            <w:vAlign w:val="center"/>
          </w:tcPr>
          <w:p w14:paraId="4E499110">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铬</w:t>
            </w:r>
          </w:p>
        </w:tc>
        <w:tc>
          <w:tcPr>
            <w:tcW w:w="467" w:type="dxa"/>
            <w:tcBorders>
              <w:bottom w:val="single" w:color="auto" w:sz="12" w:space="0"/>
            </w:tcBorders>
            <w:shd w:val="clear" w:color="auto" w:fill="auto"/>
            <w:noWrap/>
            <w:tcMar>
              <w:top w:w="15" w:type="dxa"/>
              <w:left w:w="15" w:type="dxa"/>
              <w:right w:w="15" w:type="dxa"/>
            </w:tcMar>
            <w:vAlign w:val="center"/>
          </w:tcPr>
          <w:p w14:paraId="5049F19D">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锌</w:t>
            </w:r>
          </w:p>
        </w:tc>
        <w:tc>
          <w:tcPr>
            <w:tcW w:w="413" w:type="dxa"/>
            <w:tcBorders>
              <w:bottom w:val="single" w:color="auto" w:sz="12" w:space="0"/>
            </w:tcBorders>
            <w:shd w:val="clear" w:color="auto" w:fill="auto"/>
            <w:noWrap/>
            <w:tcMar>
              <w:top w:w="15" w:type="dxa"/>
              <w:left w:w="15" w:type="dxa"/>
              <w:right w:w="15" w:type="dxa"/>
            </w:tcMar>
            <w:vAlign w:val="center"/>
          </w:tcPr>
          <w:p w14:paraId="76E5645C">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砷</w:t>
            </w:r>
          </w:p>
        </w:tc>
        <w:tc>
          <w:tcPr>
            <w:tcW w:w="1062" w:type="dxa"/>
            <w:tcBorders>
              <w:bottom w:val="single" w:color="auto" w:sz="12" w:space="0"/>
            </w:tcBorders>
            <w:shd w:val="clear" w:color="auto" w:fill="auto"/>
            <w:noWrap/>
            <w:tcMar>
              <w:top w:w="15" w:type="dxa"/>
              <w:left w:w="15" w:type="dxa"/>
              <w:right w:w="15" w:type="dxa"/>
            </w:tcMar>
            <w:vAlign w:val="center"/>
          </w:tcPr>
          <w:p w14:paraId="569BAA36">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达标情况</w:t>
            </w:r>
            <w:r>
              <w:rPr>
                <w:rFonts w:hint="default" w:ascii="Times New Roman" w:hAnsi="Times New Roman" w:cs="Times New Roman"/>
                <w:b/>
                <w:bCs/>
                <w:color w:val="auto"/>
                <w:kern w:val="0"/>
                <w:sz w:val="21"/>
                <w:szCs w:val="21"/>
                <w:highlight w:val="none"/>
                <w:vertAlign w:val="superscript"/>
                <w:lang w:bidi="ar"/>
              </w:rPr>
              <w:t>①</w:t>
            </w:r>
          </w:p>
        </w:tc>
      </w:tr>
      <w:tr w14:paraId="6342C1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1046" w:type="dxa"/>
            <w:vMerge w:val="restart"/>
            <w:tcBorders>
              <w:top w:val="single" w:color="auto" w:sz="12" w:space="0"/>
              <w:tl2br w:val="nil"/>
              <w:tr2bl w:val="nil"/>
            </w:tcBorders>
            <w:shd w:val="clear" w:color="auto" w:fill="auto"/>
            <w:noWrap/>
            <w:tcMar>
              <w:top w:w="15" w:type="dxa"/>
              <w:left w:w="15" w:type="dxa"/>
              <w:right w:w="15" w:type="dxa"/>
            </w:tcMar>
            <w:vAlign w:val="center"/>
          </w:tcPr>
          <w:p w14:paraId="3264C92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pH≤5.5</w:t>
            </w:r>
          </w:p>
        </w:tc>
        <w:tc>
          <w:tcPr>
            <w:tcW w:w="1500" w:type="dxa"/>
            <w:tcBorders>
              <w:top w:val="single" w:color="auto" w:sz="12" w:space="0"/>
              <w:tl2br w:val="nil"/>
              <w:tr2bl w:val="nil"/>
            </w:tcBorders>
            <w:shd w:val="clear" w:color="auto" w:fill="auto"/>
            <w:noWrap/>
            <w:tcMar>
              <w:top w:w="15" w:type="dxa"/>
              <w:left w:w="15" w:type="dxa"/>
              <w:right w:w="15" w:type="dxa"/>
            </w:tcMar>
            <w:vAlign w:val="center"/>
          </w:tcPr>
          <w:p w14:paraId="41D1A58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XM-3-400</w:t>
            </w:r>
          </w:p>
        </w:tc>
        <w:tc>
          <w:tcPr>
            <w:tcW w:w="1351" w:type="dxa"/>
            <w:tcBorders>
              <w:top w:val="single" w:color="auto" w:sz="12" w:space="0"/>
              <w:tl2br w:val="nil"/>
              <w:tr2bl w:val="nil"/>
            </w:tcBorders>
            <w:shd w:val="clear" w:color="auto" w:fill="auto"/>
            <w:noWrap/>
            <w:tcMar>
              <w:top w:w="15" w:type="dxa"/>
              <w:left w:w="15" w:type="dxa"/>
              <w:right w:w="15" w:type="dxa"/>
            </w:tcMar>
            <w:vAlign w:val="center"/>
          </w:tcPr>
          <w:p w14:paraId="466F9F9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lang w:val="en-US" w:eastAsia="zh-CN"/>
              </w:rPr>
              <w:t>园区边界南侧下风向400m</w:t>
            </w:r>
          </w:p>
        </w:tc>
        <w:tc>
          <w:tcPr>
            <w:tcW w:w="480" w:type="dxa"/>
            <w:tcBorders>
              <w:top w:val="single" w:color="auto" w:sz="12" w:space="0"/>
              <w:tl2br w:val="nil"/>
              <w:tr2bl w:val="nil"/>
            </w:tcBorders>
            <w:shd w:val="clear" w:color="auto" w:fill="auto"/>
            <w:noWrap/>
            <w:tcMar>
              <w:top w:w="15" w:type="dxa"/>
              <w:left w:w="15" w:type="dxa"/>
              <w:right w:w="15" w:type="dxa"/>
            </w:tcMar>
            <w:vAlign w:val="center"/>
          </w:tcPr>
          <w:p w14:paraId="6022D01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4.88</w:t>
            </w:r>
          </w:p>
        </w:tc>
        <w:tc>
          <w:tcPr>
            <w:tcW w:w="520" w:type="dxa"/>
            <w:tcBorders>
              <w:top w:val="single" w:color="auto" w:sz="12" w:space="0"/>
              <w:tl2br w:val="nil"/>
              <w:tr2bl w:val="nil"/>
            </w:tcBorders>
            <w:shd w:val="clear" w:color="auto" w:fill="auto"/>
            <w:noWrap/>
            <w:tcMar>
              <w:top w:w="15" w:type="dxa"/>
              <w:left w:w="15" w:type="dxa"/>
              <w:right w:w="15" w:type="dxa"/>
            </w:tcMar>
            <w:vAlign w:val="center"/>
          </w:tcPr>
          <w:p w14:paraId="0CAF4ED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24.2</w:t>
            </w:r>
          </w:p>
        </w:tc>
        <w:tc>
          <w:tcPr>
            <w:tcW w:w="574" w:type="dxa"/>
            <w:tcBorders>
              <w:top w:val="single" w:color="auto" w:sz="12" w:space="0"/>
              <w:tl2br w:val="nil"/>
              <w:tr2bl w:val="nil"/>
            </w:tcBorders>
            <w:shd w:val="clear" w:color="auto" w:fill="auto"/>
            <w:noWrap/>
            <w:tcMar>
              <w:top w:w="15" w:type="dxa"/>
              <w:left w:w="15" w:type="dxa"/>
              <w:right w:w="15" w:type="dxa"/>
            </w:tcMar>
            <w:vAlign w:val="center"/>
          </w:tcPr>
          <w:p w14:paraId="7985E3B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0.19</w:t>
            </w:r>
          </w:p>
        </w:tc>
        <w:tc>
          <w:tcPr>
            <w:tcW w:w="533" w:type="dxa"/>
            <w:tcBorders>
              <w:top w:val="single" w:color="auto" w:sz="12" w:space="0"/>
              <w:tl2br w:val="nil"/>
              <w:tr2bl w:val="nil"/>
            </w:tcBorders>
            <w:shd w:val="clear" w:color="auto" w:fill="auto"/>
            <w:noWrap/>
            <w:tcMar>
              <w:top w:w="15" w:type="dxa"/>
              <w:left w:w="15" w:type="dxa"/>
              <w:right w:w="15" w:type="dxa"/>
            </w:tcMar>
            <w:vAlign w:val="center"/>
          </w:tcPr>
          <w:p w14:paraId="5DD1541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0.06</w:t>
            </w:r>
          </w:p>
        </w:tc>
        <w:tc>
          <w:tcPr>
            <w:tcW w:w="493" w:type="dxa"/>
            <w:tcBorders>
              <w:top w:val="single" w:color="auto" w:sz="12" w:space="0"/>
              <w:tl2br w:val="nil"/>
              <w:tr2bl w:val="nil"/>
            </w:tcBorders>
            <w:shd w:val="clear" w:color="auto" w:fill="auto"/>
            <w:noWrap/>
            <w:tcMar>
              <w:top w:w="15" w:type="dxa"/>
              <w:left w:w="15" w:type="dxa"/>
              <w:right w:w="15" w:type="dxa"/>
            </w:tcMar>
            <w:vAlign w:val="center"/>
          </w:tcPr>
          <w:p w14:paraId="74BE7F6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22</w:t>
            </w:r>
          </w:p>
        </w:tc>
        <w:tc>
          <w:tcPr>
            <w:tcW w:w="440" w:type="dxa"/>
            <w:tcBorders>
              <w:top w:val="single" w:color="auto" w:sz="12" w:space="0"/>
              <w:tl2br w:val="nil"/>
              <w:tr2bl w:val="nil"/>
            </w:tcBorders>
            <w:shd w:val="clear" w:color="auto" w:fill="auto"/>
            <w:noWrap/>
            <w:tcMar>
              <w:top w:w="15" w:type="dxa"/>
              <w:left w:w="15" w:type="dxa"/>
              <w:right w:w="15" w:type="dxa"/>
            </w:tcMar>
            <w:vAlign w:val="center"/>
          </w:tcPr>
          <w:p w14:paraId="2D90846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18</w:t>
            </w:r>
          </w:p>
        </w:tc>
        <w:tc>
          <w:tcPr>
            <w:tcW w:w="467" w:type="dxa"/>
            <w:tcBorders>
              <w:top w:val="single" w:color="auto" w:sz="12" w:space="0"/>
              <w:tl2br w:val="nil"/>
              <w:tr2bl w:val="nil"/>
            </w:tcBorders>
            <w:shd w:val="clear" w:color="auto" w:fill="auto"/>
            <w:noWrap/>
            <w:tcMar>
              <w:top w:w="15" w:type="dxa"/>
              <w:left w:w="15" w:type="dxa"/>
              <w:right w:w="15" w:type="dxa"/>
            </w:tcMar>
            <w:vAlign w:val="center"/>
          </w:tcPr>
          <w:p w14:paraId="2BD7AEC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40</w:t>
            </w:r>
          </w:p>
        </w:tc>
        <w:tc>
          <w:tcPr>
            <w:tcW w:w="467" w:type="dxa"/>
            <w:tcBorders>
              <w:top w:val="single" w:color="auto" w:sz="12" w:space="0"/>
              <w:tl2br w:val="nil"/>
              <w:tr2bl w:val="nil"/>
            </w:tcBorders>
            <w:shd w:val="clear" w:color="auto" w:fill="auto"/>
            <w:noWrap/>
            <w:tcMar>
              <w:top w:w="15" w:type="dxa"/>
              <w:left w:w="15" w:type="dxa"/>
              <w:right w:w="15" w:type="dxa"/>
            </w:tcMar>
            <w:vAlign w:val="center"/>
          </w:tcPr>
          <w:p w14:paraId="6C8F030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48</w:t>
            </w:r>
          </w:p>
        </w:tc>
        <w:tc>
          <w:tcPr>
            <w:tcW w:w="413" w:type="dxa"/>
            <w:tcBorders>
              <w:top w:val="single" w:color="auto" w:sz="12" w:space="0"/>
              <w:tl2br w:val="nil"/>
              <w:tr2bl w:val="nil"/>
            </w:tcBorders>
            <w:shd w:val="clear" w:color="auto" w:fill="auto"/>
            <w:noWrap/>
            <w:tcMar>
              <w:top w:w="15" w:type="dxa"/>
              <w:left w:w="15" w:type="dxa"/>
              <w:right w:w="15" w:type="dxa"/>
            </w:tcMar>
            <w:vAlign w:val="center"/>
          </w:tcPr>
          <w:p w14:paraId="63CB610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9.2</w:t>
            </w:r>
          </w:p>
        </w:tc>
        <w:tc>
          <w:tcPr>
            <w:tcW w:w="1062" w:type="dxa"/>
            <w:tcBorders>
              <w:top w:val="single" w:color="auto" w:sz="12" w:space="0"/>
              <w:tl2br w:val="nil"/>
              <w:tr2bl w:val="nil"/>
            </w:tcBorders>
            <w:shd w:val="clear" w:color="auto" w:fill="auto"/>
            <w:noWrap/>
            <w:tcMar>
              <w:top w:w="15" w:type="dxa"/>
              <w:left w:w="15" w:type="dxa"/>
              <w:right w:w="15" w:type="dxa"/>
            </w:tcMar>
            <w:vAlign w:val="center"/>
          </w:tcPr>
          <w:p w14:paraId="0B25DCF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1CA184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1046" w:type="dxa"/>
            <w:vMerge w:val="continue"/>
            <w:tcBorders>
              <w:tl2br w:val="nil"/>
              <w:tr2bl w:val="nil"/>
            </w:tcBorders>
            <w:shd w:val="clear" w:color="auto" w:fill="auto"/>
            <w:noWrap/>
            <w:tcMar>
              <w:top w:w="15" w:type="dxa"/>
              <w:left w:w="15" w:type="dxa"/>
              <w:right w:w="15" w:type="dxa"/>
            </w:tcMar>
            <w:vAlign w:val="center"/>
          </w:tcPr>
          <w:p w14:paraId="2D3BF50D">
            <w:pPr>
              <w:spacing w:line="240" w:lineRule="auto"/>
              <w:jc w:val="center"/>
              <w:rPr>
                <w:rFonts w:hint="default" w:ascii="Times New Roman" w:hAnsi="Times New Roman" w:cs="Times New Roman"/>
                <w:color w:val="auto"/>
                <w:sz w:val="21"/>
                <w:szCs w:val="21"/>
                <w:highlight w:val="none"/>
              </w:rPr>
            </w:pPr>
          </w:p>
        </w:tc>
        <w:tc>
          <w:tcPr>
            <w:tcW w:w="2851" w:type="dxa"/>
            <w:gridSpan w:val="2"/>
            <w:tcBorders>
              <w:tl2br w:val="nil"/>
              <w:tr2bl w:val="nil"/>
            </w:tcBorders>
            <w:shd w:val="clear" w:color="auto" w:fill="auto"/>
            <w:noWrap/>
            <w:tcMar>
              <w:top w:w="15" w:type="dxa"/>
              <w:left w:w="15" w:type="dxa"/>
              <w:right w:w="15" w:type="dxa"/>
            </w:tcMar>
            <w:vAlign w:val="center"/>
          </w:tcPr>
          <w:p w14:paraId="7CD24D1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GB15618表1</w:t>
            </w:r>
            <w:r>
              <w:rPr>
                <w:rFonts w:hint="default" w:ascii="Times New Roman" w:hAnsi="Times New Roman" w:cs="Times New Roman"/>
                <w:color w:val="auto"/>
                <w:kern w:val="0"/>
                <w:sz w:val="21"/>
                <w:szCs w:val="21"/>
                <w:highlight w:val="none"/>
                <w:lang w:bidi="ar"/>
              </w:rPr>
              <w:t>其它</w:t>
            </w:r>
          </w:p>
        </w:tc>
        <w:tc>
          <w:tcPr>
            <w:tcW w:w="480" w:type="dxa"/>
            <w:tcBorders>
              <w:tl2br w:val="nil"/>
              <w:tr2bl w:val="nil"/>
            </w:tcBorders>
            <w:shd w:val="clear" w:color="auto" w:fill="auto"/>
            <w:noWrap/>
            <w:tcMar>
              <w:top w:w="15" w:type="dxa"/>
              <w:left w:w="15" w:type="dxa"/>
              <w:right w:w="15" w:type="dxa"/>
            </w:tcMar>
            <w:vAlign w:val="center"/>
          </w:tcPr>
          <w:p w14:paraId="2E50FBE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p>
        </w:tc>
        <w:tc>
          <w:tcPr>
            <w:tcW w:w="520" w:type="dxa"/>
            <w:tcBorders>
              <w:tl2br w:val="nil"/>
              <w:tr2bl w:val="nil"/>
            </w:tcBorders>
            <w:shd w:val="clear" w:color="auto" w:fill="auto"/>
            <w:noWrap/>
            <w:tcMar>
              <w:top w:w="15" w:type="dxa"/>
              <w:left w:w="15" w:type="dxa"/>
              <w:right w:w="15" w:type="dxa"/>
            </w:tcMar>
            <w:vAlign w:val="center"/>
          </w:tcPr>
          <w:p w14:paraId="223F18C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70</w:t>
            </w:r>
          </w:p>
        </w:tc>
        <w:tc>
          <w:tcPr>
            <w:tcW w:w="574" w:type="dxa"/>
            <w:tcBorders>
              <w:tl2br w:val="nil"/>
              <w:tr2bl w:val="nil"/>
            </w:tcBorders>
            <w:shd w:val="clear" w:color="auto" w:fill="auto"/>
            <w:noWrap/>
            <w:tcMar>
              <w:top w:w="15" w:type="dxa"/>
              <w:left w:w="15" w:type="dxa"/>
              <w:right w:w="15" w:type="dxa"/>
            </w:tcMar>
            <w:vAlign w:val="center"/>
          </w:tcPr>
          <w:p w14:paraId="26C015C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1.3</w:t>
            </w:r>
          </w:p>
        </w:tc>
        <w:tc>
          <w:tcPr>
            <w:tcW w:w="533" w:type="dxa"/>
            <w:tcBorders>
              <w:tl2br w:val="nil"/>
              <w:tr2bl w:val="nil"/>
            </w:tcBorders>
            <w:shd w:val="clear" w:color="auto" w:fill="auto"/>
            <w:noWrap/>
            <w:tcMar>
              <w:top w:w="15" w:type="dxa"/>
              <w:left w:w="15" w:type="dxa"/>
              <w:right w:w="15" w:type="dxa"/>
            </w:tcMar>
            <w:vAlign w:val="center"/>
          </w:tcPr>
          <w:p w14:paraId="427C69B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0.3</w:t>
            </w:r>
          </w:p>
        </w:tc>
        <w:tc>
          <w:tcPr>
            <w:tcW w:w="493" w:type="dxa"/>
            <w:tcBorders>
              <w:tl2br w:val="nil"/>
              <w:tr2bl w:val="nil"/>
            </w:tcBorders>
            <w:shd w:val="clear" w:color="auto" w:fill="auto"/>
            <w:noWrap/>
            <w:tcMar>
              <w:top w:w="15" w:type="dxa"/>
              <w:left w:w="15" w:type="dxa"/>
              <w:right w:w="15" w:type="dxa"/>
            </w:tcMar>
            <w:vAlign w:val="center"/>
          </w:tcPr>
          <w:p w14:paraId="10685E3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50</w:t>
            </w:r>
          </w:p>
        </w:tc>
        <w:tc>
          <w:tcPr>
            <w:tcW w:w="440" w:type="dxa"/>
            <w:tcBorders>
              <w:tl2br w:val="nil"/>
              <w:tr2bl w:val="nil"/>
            </w:tcBorders>
            <w:shd w:val="clear" w:color="auto" w:fill="auto"/>
            <w:noWrap/>
            <w:tcMar>
              <w:top w:w="15" w:type="dxa"/>
              <w:left w:w="15" w:type="dxa"/>
              <w:right w:w="15" w:type="dxa"/>
            </w:tcMar>
            <w:vAlign w:val="center"/>
          </w:tcPr>
          <w:p w14:paraId="1BC0EA4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60</w:t>
            </w:r>
          </w:p>
        </w:tc>
        <w:tc>
          <w:tcPr>
            <w:tcW w:w="467" w:type="dxa"/>
            <w:tcBorders>
              <w:tl2br w:val="nil"/>
              <w:tr2bl w:val="nil"/>
            </w:tcBorders>
            <w:shd w:val="clear" w:color="auto" w:fill="auto"/>
            <w:noWrap/>
            <w:tcMar>
              <w:top w:w="15" w:type="dxa"/>
              <w:left w:w="15" w:type="dxa"/>
              <w:right w:w="15" w:type="dxa"/>
            </w:tcMar>
            <w:vAlign w:val="center"/>
          </w:tcPr>
          <w:p w14:paraId="3048072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150</w:t>
            </w:r>
          </w:p>
        </w:tc>
        <w:tc>
          <w:tcPr>
            <w:tcW w:w="467" w:type="dxa"/>
            <w:tcBorders>
              <w:tl2br w:val="nil"/>
              <w:tr2bl w:val="nil"/>
            </w:tcBorders>
            <w:shd w:val="clear" w:color="auto" w:fill="auto"/>
            <w:noWrap/>
            <w:tcMar>
              <w:top w:w="15" w:type="dxa"/>
              <w:left w:w="15" w:type="dxa"/>
              <w:right w:w="15" w:type="dxa"/>
            </w:tcMar>
            <w:vAlign w:val="center"/>
          </w:tcPr>
          <w:p w14:paraId="5EE99E0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w:t>
            </w:r>
          </w:p>
        </w:tc>
        <w:tc>
          <w:tcPr>
            <w:tcW w:w="413" w:type="dxa"/>
            <w:tcBorders>
              <w:tl2br w:val="nil"/>
              <w:tr2bl w:val="nil"/>
            </w:tcBorders>
            <w:shd w:val="clear" w:color="auto" w:fill="auto"/>
            <w:noWrap/>
            <w:tcMar>
              <w:top w:w="15" w:type="dxa"/>
              <w:left w:w="15" w:type="dxa"/>
              <w:right w:w="15" w:type="dxa"/>
            </w:tcMar>
            <w:vAlign w:val="center"/>
          </w:tcPr>
          <w:p w14:paraId="6535206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40</w:t>
            </w:r>
          </w:p>
        </w:tc>
        <w:tc>
          <w:tcPr>
            <w:tcW w:w="1062" w:type="dxa"/>
            <w:tcBorders>
              <w:tl2br w:val="nil"/>
              <w:tr2bl w:val="nil"/>
            </w:tcBorders>
            <w:shd w:val="clear" w:color="auto" w:fill="auto"/>
            <w:noWrap/>
            <w:tcMar>
              <w:top w:w="15" w:type="dxa"/>
              <w:left w:w="15" w:type="dxa"/>
              <w:right w:w="15" w:type="dxa"/>
            </w:tcMar>
            <w:vAlign w:val="center"/>
          </w:tcPr>
          <w:p w14:paraId="18282A2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p>
        </w:tc>
      </w:tr>
      <w:tr w14:paraId="7B2DDA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1046" w:type="dxa"/>
            <w:vMerge w:val="restart"/>
            <w:tcBorders>
              <w:tl2br w:val="nil"/>
              <w:tr2bl w:val="nil"/>
            </w:tcBorders>
            <w:shd w:val="clear" w:color="auto" w:fill="auto"/>
            <w:noWrap/>
            <w:tcMar>
              <w:top w:w="15" w:type="dxa"/>
              <w:left w:w="15" w:type="dxa"/>
              <w:right w:w="15" w:type="dxa"/>
            </w:tcMar>
            <w:vAlign w:val="center"/>
          </w:tcPr>
          <w:p w14:paraId="0913C10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5.5&lt;pH≤6.5</w:t>
            </w:r>
          </w:p>
        </w:tc>
        <w:tc>
          <w:tcPr>
            <w:tcW w:w="1500" w:type="dxa"/>
            <w:tcBorders>
              <w:tl2br w:val="nil"/>
              <w:tr2bl w:val="nil"/>
            </w:tcBorders>
            <w:shd w:val="clear" w:color="auto" w:fill="auto"/>
            <w:noWrap/>
            <w:tcMar>
              <w:top w:w="15" w:type="dxa"/>
              <w:left w:w="15" w:type="dxa"/>
              <w:right w:w="15" w:type="dxa"/>
            </w:tcMar>
            <w:vAlign w:val="center"/>
          </w:tcPr>
          <w:p w14:paraId="7AA665E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XM-3-75</w:t>
            </w:r>
          </w:p>
        </w:tc>
        <w:tc>
          <w:tcPr>
            <w:tcW w:w="1351" w:type="dxa"/>
            <w:tcBorders>
              <w:tl2br w:val="nil"/>
              <w:tr2bl w:val="nil"/>
            </w:tcBorders>
            <w:shd w:val="clear" w:color="auto" w:fill="auto"/>
            <w:noWrap/>
            <w:tcMar>
              <w:top w:w="15" w:type="dxa"/>
              <w:left w:w="15" w:type="dxa"/>
              <w:right w:w="15" w:type="dxa"/>
            </w:tcMar>
            <w:vAlign w:val="center"/>
          </w:tcPr>
          <w:p w14:paraId="689FC50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lang w:val="en-US" w:eastAsia="zh-CN"/>
              </w:rPr>
              <w:t>园区边界南侧下风向75m</w:t>
            </w:r>
          </w:p>
        </w:tc>
        <w:tc>
          <w:tcPr>
            <w:tcW w:w="480" w:type="dxa"/>
            <w:tcBorders>
              <w:tl2br w:val="nil"/>
              <w:tr2bl w:val="nil"/>
            </w:tcBorders>
            <w:shd w:val="clear" w:color="auto" w:fill="auto"/>
            <w:noWrap/>
            <w:tcMar>
              <w:top w:w="15" w:type="dxa"/>
              <w:left w:w="15" w:type="dxa"/>
              <w:right w:w="15" w:type="dxa"/>
            </w:tcMar>
            <w:vAlign w:val="center"/>
          </w:tcPr>
          <w:p w14:paraId="53C9E8B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6.44</w:t>
            </w:r>
          </w:p>
        </w:tc>
        <w:tc>
          <w:tcPr>
            <w:tcW w:w="520" w:type="dxa"/>
            <w:tcBorders>
              <w:tl2br w:val="nil"/>
              <w:tr2bl w:val="nil"/>
            </w:tcBorders>
            <w:shd w:val="clear" w:color="auto" w:fill="auto"/>
            <w:noWrap/>
            <w:tcMar>
              <w:top w:w="15" w:type="dxa"/>
              <w:left w:w="15" w:type="dxa"/>
              <w:right w:w="15" w:type="dxa"/>
            </w:tcMar>
            <w:vAlign w:val="center"/>
          </w:tcPr>
          <w:p w14:paraId="3876AE3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17.7</w:t>
            </w:r>
          </w:p>
        </w:tc>
        <w:tc>
          <w:tcPr>
            <w:tcW w:w="574" w:type="dxa"/>
            <w:tcBorders>
              <w:tl2br w:val="nil"/>
              <w:tr2bl w:val="nil"/>
            </w:tcBorders>
            <w:shd w:val="clear" w:color="auto" w:fill="auto"/>
            <w:noWrap/>
            <w:tcMar>
              <w:top w:w="15" w:type="dxa"/>
              <w:left w:w="15" w:type="dxa"/>
              <w:right w:w="15" w:type="dxa"/>
            </w:tcMar>
            <w:vAlign w:val="center"/>
          </w:tcPr>
          <w:p w14:paraId="4B91E84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0.11</w:t>
            </w:r>
          </w:p>
        </w:tc>
        <w:tc>
          <w:tcPr>
            <w:tcW w:w="533" w:type="dxa"/>
            <w:tcBorders>
              <w:tl2br w:val="nil"/>
              <w:tr2bl w:val="nil"/>
            </w:tcBorders>
            <w:shd w:val="clear" w:color="auto" w:fill="auto"/>
            <w:noWrap/>
            <w:tcMar>
              <w:top w:w="15" w:type="dxa"/>
              <w:left w:w="15" w:type="dxa"/>
              <w:right w:w="15" w:type="dxa"/>
            </w:tcMar>
            <w:vAlign w:val="center"/>
          </w:tcPr>
          <w:p w14:paraId="575B07A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0.04</w:t>
            </w:r>
          </w:p>
        </w:tc>
        <w:tc>
          <w:tcPr>
            <w:tcW w:w="493" w:type="dxa"/>
            <w:tcBorders>
              <w:tl2br w:val="nil"/>
              <w:tr2bl w:val="nil"/>
            </w:tcBorders>
            <w:shd w:val="clear" w:color="auto" w:fill="auto"/>
            <w:noWrap/>
            <w:tcMar>
              <w:top w:w="15" w:type="dxa"/>
              <w:left w:w="15" w:type="dxa"/>
              <w:right w:w="15" w:type="dxa"/>
            </w:tcMar>
            <w:vAlign w:val="center"/>
          </w:tcPr>
          <w:p w14:paraId="24718CE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19</w:t>
            </w:r>
          </w:p>
        </w:tc>
        <w:tc>
          <w:tcPr>
            <w:tcW w:w="440" w:type="dxa"/>
            <w:tcBorders>
              <w:tl2br w:val="nil"/>
              <w:tr2bl w:val="nil"/>
            </w:tcBorders>
            <w:shd w:val="clear" w:color="auto" w:fill="auto"/>
            <w:noWrap/>
            <w:tcMar>
              <w:top w:w="15" w:type="dxa"/>
              <w:left w:w="15" w:type="dxa"/>
              <w:right w:w="15" w:type="dxa"/>
            </w:tcMar>
            <w:vAlign w:val="center"/>
          </w:tcPr>
          <w:p w14:paraId="069D1A0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21</w:t>
            </w:r>
          </w:p>
        </w:tc>
        <w:tc>
          <w:tcPr>
            <w:tcW w:w="467" w:type="dxa"/>
            <w:tcBorders>
              <w:tl2br w:val="nil"/>
              <w:tr2bl w:val="nil"/>
            </w:tcBorders>
            <w:shd w:val="clear" w:color="auto" w:fill="auto"/>
            <w:noWrap/>
            <w:tcMar>
              <w:top w:w="15" w:type="dxa"/>
              <w:left w:w="15" w:type="dxa"/>
              <w:right w:w="15" w:type="dxa"/>
            </w:tcMar>
            <w:vAlign w:val="center"/>
          </w:tcPr>
          <w:p w14:paraId="5749122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49</w:t>
            </w:r>
          </w:p>
        </w:tc>
        <w:tc>
          <w:tcPr>
            <w:tcW w:w="467" w:type="dxa"/>
            <w:tcBorders>
              <w:tl2br w:val="nil"/>
              <w:tr2bl w:val="nil"/>
            </w:tcBorders>
            <w:shd w:val="clear" w:color="auto" w:fill="auto"/>
            <w:noWrap/>
            <w:tcMar>
              <w:top w:w="15" w:type="dxa"/>
              <w:left w:w="15" w:type="dxa"/>
              <w:right w:w="15" w:type="dxa"/>
            </w:tcMar>
            <w:vAlign w:val="center"/>
          </w:tcPr>
          <w:p w14:paraId="24757D9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46</w:t>
            </w:r>
          </w:p>
        </w:tc>
        <w:tc>
          <w:tcPr>
            <w:tcW w:w="413" w:type="dxa"/>
            <w:tcBorders>
              <w:tl2br w:val="nil"/>
              <w:tr2bl w:val="nil"/>
            </w:tcBorders>
            <w:shd w:val="clear" w:color="auto" w:fill="auto"/>
            <w:noWrap/>
            <w:tcMar>
              <w:top w:w="15" w:type="dxa"/>
              <w:left w:w="15" w:type="dxa"/>
              <w:right w:w="15" w:type="dxa"/>
            </w:tcMar>
            <w:vAlign w:val="center"/>
          </w:tcPr>
          <w:p w14:paraId="6054D5C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9.1</w:t>
            </w:r>
          </w:p>
        </w:tc>
        <w:tc>
          <w:tcPr>
            <w:tcW w:w="1062" w:type="dxa"/>
            <w:tcBorders>
              <w:tl2br w:val="nil"/>
              <w:tr2bl w:val="nil"/>
            </w:tcBorders>
            <w:shd w:val="clear" w:color="auto" w:fill="auto"/>
            <w:noWrap/>
            <w:tcMar>
              <w:top w:w="15" w:type="dxa"/>
              <w:left w:w="15" w:type="dxa"/>
              <w:right w:w="15" w:type="dxa"/>
            </w:tcMar>
            <w:vAlign w:val="center"/>
          </w:tcPr>
          <w:p w14:paraId="441161C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659B25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1046" w:type="dxa"/>
            <w:vMerge w:val="continue"/>
            <w:tcBorders>
              <w:tl2br w:val="nil"/>
              <w:tr2bl w:val="nil"/>
            </w:tcBorders>
            <w:shd w:val="clear" w:color="auto" w:fill="auto"/>
            <w:noWrap/>
            <w:tcMar>
              <w:top w:w="15" w:type="dxa"/>
              <w:left w:w="15" w:type="dxa"/>
              <w:right w:w="15" w:type="dxa"/>
            </w:tcMar>
            <w:vAlign w:val="center"/>
          </w:tcPr>
          <w:p w14:paraId="2C436D41">
            <w:pPr>
              <w:spacing w:line="240" w:lineRule="auto"/>
              <w:jc w:val="center"/>
              <w:rPr>
                <w:rFonts w:hint="default" w:ascii="Times New Roman" w:hAnsi="Times New Roman" w:cs="Times New Roman"/>
                <w:color w:val="auto"/>
                <w:sz w:val="21"/>
                <w:szCs w:val="21"/>
                <w:highlight w:val="none"/>
              </w:rPr>
            </w:pPr>
          </w:p>
        </w:tc>
        <w:tc>
          <w:tcPr>
            <w:tcW w:w="2851" w:type="dxa"/>
            <w:gridSpan w:val="2"/>
            <w:tcBorders>
              <w:tl2br w:val="nil"/>
              <w:tr2bl w:val="nil"/>
            </w:tcBorders>
            <w:shd w:val="clear" w:color="auto" w:fill="auto"/>
            <w:noWrap/>
            <w:tcMar>
              <w:top w:w="15" w:type="dxa"/>
              <w:left w:w="15" w:type="dxa"/>
              <w:right w:w="15" w:type="dxa"/>
            </w:tcMar>
            <w:vAlign w:val="center"/>
          </w:tcPr>
          <w:p w14:paraId="37ACEC5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GB15618表1</w:t>
            </w:r>
            <w:r>
              <w:rPr>
                <w:rFonts w:hint="default" w:ascii="Times New Roman" w:hAnsi="Times New Roman" w:cs="Times New Roman"/>
                <w:color w:val="auto"/>
                <w:kern w:val="0"/>
                <w:sz w:val="21"/>
                <w:szCs w:val="21"/>
                <w:highlight w:val="none"/>
                <w:lang w:bidi="ar"/>
              </w:rPr>
              <w:t>其它</w:t>
            </w:r>
          </w:p>
        </w:tc>
        <w:tc>
          <w:tcPr>
            <w:tcW w:w="480" w:type="dxa"/>
            <w:tcBorders>
              <w:tl2br w:val="nil"/>
              <w:tr2bl w:val="nil"/>
            </w:tcBorders>
            <w:shd w:val="clear" w:color="auto" w:fill="auto"/>
            <w:noWrap/>
            <w:tcMar>
              <w:top w:w="15" w:type="dxa"/>
              <w:left w:w="15" w:type="dxa"/>
              <w:right w:w="15" w:type="dxa"/>
            </w:tcMar>
            <w:vAlign w:val="center"/>
          </w:tcPr>
          <w:p w14:paraId="4ABF82B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p>
        </w:tc>
        <w:tc>
          <w:tcPr>
            <w:tcW w:w="520" w:type="dxa"/>
            <w:tcBorders>
              <w:tl2br w:val="nil"/>
              <w:tr2bl w:val="nil"/>
            </w:tcBorders>
            <w:shd w:val="clear" w:color="auto" w:fill="auto"/>
            <w:noWrap/>
            <w:tcMar>
              <w:top w:w="15" w:type="dxa"/>
              <w:left w:w="15" w:type="dxa"/>
              <w:right w:w="15" w:type="dxa"/>
            </w:tcMar>
            <w:vAlign w:val="center"/>
          </w:tcPr>
          <w:p w14:paraId="72D73E2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90</w:t>
            </w:r>
          </w:p>
        </w:tc>
        <w:tc>
          <w:tcPr>
            <w:tcW w:w="574" w:type="dxa"/>
            <w:tcBorders>
              <w:tl2br w:val="nil"/>
              <w:tr2bl w:val="nil"/>
            </w:tcBorders>
            <w:shd w:val="clear" w:color="auto" w:fill="auto"/>
            <w:noWrap/>
            <w:tcMar>
              <w:top w:w="15" w:type="dxa"/>
              <w:left w:w="15" w:type="dxa"/>
              <w:right w:w="15" w:type="dxa"/>
            </w:tcMar>
            <w:vAlign w:val="center"/>
          </w:tcPr>
          <w:p w14:paraId="48B28F9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1.8</w:t>
            </w:r>
          </w:p>
        </w:tc>
        <w:tc>
          <w:tcPr>
            <w:tcW w:w="533" w:type="dxa"/>
            <w:tcBorders>
              <w:tl2br w:val="nil"/>
              <w:tr2bl w:val="nil"/>
            </w:tcBorders>
            <w:shd w:val="clear" w:color="auto" w:fill="auto"/>
            <w:noWrap/>
            <w:tcMar>
              <w:top w:w="15" w:type="dxa"/>
              <w:left w:w="15" w:type="dxa"/>
              <w:right w:w="15" w:type="dxa"/>
            </w:tcMar>
            <w:vAlign w:val="center"/>
          </w:tcPr>
          <w:p w14:paraId="32EA129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0.3</w:t>
            </w:r>
          </w:p>
        </w:tc>
        <w:tc>
          <w:tcPr>
            <w:tcW w:w="493" w:type="dxa"/>
            <w:tcBorders>
              <w:tl2br w:val="nil"/>
              <w:tr2bl w:val="nil"/>
            </w:tcBorders>
            <w:shd w:val="clear" w:color="auto" w:fill="auto"/>
            <w:noWrap/>
            <w:tcMar>
              <w:top w:w="15" w:type="dxa"/>
              <w:left w:w="15" w:type="dxa"/>
              <w:right w:w="15" w:type="dxa"/>
            </w:tcMar>
            <w:vAlign w:val="center"/>
          </w:tcPr>
          <w:p w14:paraId="1D1C92C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50</w:t>
            </w:r>
          </w:p>
        </w:tc>
        <w:tc>
          <w:tcPr>
            <w:tcW w:w="440" w:type="dxa"/>
            <w:tcBorders>
              <w:tl2br w:val="nil"/>
              <w:tr2bl w:val="nil"/>
            </w:tcBorders>
            <w:shd w:val="clear" w:color="auto" w:fill="auto"/>
            <w:noWrap/>
            <w:tcMar>
              <w:top w:w="15" w:type="dxa"/>
              <w:left w:w="15" w:type="dxa"/>
              <w:right w:w="15" w:type="dxa"/>
            </w:tcMar>
            <w:vAlign w:val="center"/>
          </w:tcPr>
          <w:p w14:paraId="5F61BF2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70</w:t>
            </w:r>
          </w:p>
        </w:tc>
        <w:tc>
          <w:tcPr>
            <w:tcW w:w="467" w:type="dxa"/>
            <w:tcBorders>
              <w:tl2br w:val="nil"/>
              <w:tr2bl w:val="nil"/>
            </w:tcBorders>
            <w:shd w:val="clear" w:color="auto" w:fill="auto"/>
            <w:noWrap/>
            <w:tcMar>
              <w:top w:w="15" w:type="dxa"/>
              <w:left w:w="15" w:type="dxa"/>
              <w:right w:w="15" w:type="dxa"/>
            </w:tcMar>
            <w:vAlign w:val="center"/>
          </w:tcPr>
          <w:p w14:paraId="54102E1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150</w:t>
            </w:r>
          </w:p>
        </w:tc>
        <w:tc>
          <w:tcPr>
            <w:tcW w:w="467" w:type="dxa"/>
            <w:tcBorders>
              <w:tl2br w:val="nil"/>
              <w:tr2bl w:val="nil"/>
            </w:tcBorders>
            <w:shd w:val="clear" w:color="auto" w:fill="auto"/>
            <w:noWrap/>
            <w:tcMar>
              <w:top w:w="15" w:type="dxa"/>
              <w:left w:w="15" w:type="dxa"/>
              <w:right w:w="15" w:type="dxa"/>
            </w:tcMar>
            <w:vAlign w:val="center"/>
          </w:tcPr>
          <w:p w14:paraId="0FBF226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w:t>
            </w:r>
          </w:p>
        </w:tc>
        <w:tc>
          <w:tcPr>
            <w:tcW w:w="413" w:type="dxa"/>
            <w:tcBorders>
              <w:tl2br w:val="nil"/>
              <w:tr2bl w:val="nil"/>
            </w:tcBorders>
            <w:shd w:val="clear" w:color="auto" w:fill="auto"/>
            <w:noWrap/>
            <w:tcMar>
              <w:top w:w="15" w:type="dxa"/>
              <w:left w:w="15" w:type="dxa"/>
              <w:right w:w="15" w:type="dxa"/>
            </w:tcMar>
            <w:vAlign w:val="center"/>
          </w:tcPr>
          <w:p w14:paraId="0CBFA34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40</w:t>
            </w:r>
          </w:p>
        </w:tc>
        <w:tc>
          <w:tcPr>
            <w:tcW w:w="1062" w:type="dxa"/>
            <w:tcBorders>
              <w:tl2br w:val="nil"/>
              <w:tr2bl w:val="nil"/>
            </w:tcBorders>
            <w:shd w:val="clear" w:color="auto" w:fill="auto"/>
            <w:noWrap/>
            <w:tcMar>
              <w:top w:w="15" w:type="dxa"/>
              <w:left w:w="15" w:type="dxa"/>
              <w:right w:w="15" w:type="dxa"/>
            </w:tcMar>
            <w:vAlign w:val="center"/>
          </w:tcPr>
          <w:p w14:paraId="17C6772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p>
        </w:tc>
      </w:tr>
      <w:tr w14:paraId="331A94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1046" w:type="dxa"/>
            <w:vMerge w:val="restart"/>
            <w:tcBorders>
              <w:tl2br w:val="nil"/>
              <w:tr2bl w:val="nil"/>
            </w:tcBorders>
            <w:shd w:val="clear" w:color="auto" w:fill="auto"/>
            <w:noWrap/>
            <w:tcMar>
              <w:top w:w="15" w:type="dxa"/>
              <w:left w:w="15" w:type="dxa"/>
              <w:right w:w="15" w:type="dxa"/>
            </w:tcMar>
            <w:vAlign w:val="center"/>
          </w:tcPr>
          <w:p w14:paraId="400AAE2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5.5</w:t>
            </w:r>
            <w:r>
              <w:rPr>
                <w:rFonts w:hint="default" w:ascii="Times New Roman" w:hAnsi="Times New Roman" w:cs="Times New Roman"/>
                <w:color w:val="auto"/>
                <w:kern w:val="0"/>
                <w:sz w:val="21"/>
                <w:szCs w:val="21"/>
                <w:highlight w:val="none"/>
                <w:lang w:bidi="ar"/>
              </w:rPr>
              <w:t>&lt;</w:t>
            </w:r>
            <w:r>
              <w:rPr>
                <w:rFonts w:hint="default" w:ascii="Times New Roman" w:hAnsi="Times New Roman" w:cs="Times New Roman"/>
                <w:color w:val="auto"/>
                <w:sz w:val="21"/>
                <w:szCs w:val="21"/>
                <w:highlight w:val="none"/>
              </w:rPr>
              <w:t>pH</w:t>
            </w: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sz w:val="21"/>
                <w:szCs w:val="21"/>
                <w:highlight w:val="none"/>
              </w:rPr>
              <w:t>6.5</w:t>
            </w:r>
          </w:p>
        </w:tc>
        <w:tc>
          <w:tcPr>
            <w:tcW w:w="1500" w:type="dxa"/>
            <w:tcBorders>
              <w:tl2br w:val="nil"/>
              <w:tr2bl w:val="nil"/>
            </w:tcBorders>
            <w:shd w:val="clear" w:color="auto" w:fill="auto"/>
            <w:noWrap/>
            <w:tcMar>
              <w:top w:w="15" w:type="dxa"/>
              <w:left w:w="15" w:type="dxa"/>
              <w:right w:w="15" w:type="dxa"/>
            </w:tcMar>
            <w:vAlign w:val="center"/>
          </w:tcPr>
          <w:p w14:paraId="0F29D82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XM-3-200</w:t>
            </w:r>
          </w:p>
        </w:tc>
        <w:tc>
          <w:tcPr>
            <w:tcW w:w="1351" w:type="dxa"/>
            <w:tcBorders>
              <w:tl2br w:val="nil"/>
              <w:tr2bl w:val="nil"/>
            </w:tcBorders>
            <w:shd w:val="clear" w:color="auto" w:fill="auto"/>
            <w:noWrap/>
            <w:tcMar>
              <w:top w:w="15" w:type="dxa"/>
              <w:left w:w="15" w:type="dxa"/>
              <w:right w:w="15" w:type="dxa"/>
            </w:tcMar>
            <w:vAlign w:val="center"/>
          </w:tcPr>
          <w:p w14:paraId="0ADCDC0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lang w:val="en-US" w:eastAsia="zh-CN"/>
              </w:rPr>
              <w:t>园区边界南侧下风向200m</w:t>
            </w:r>
          </w:p>
        </w:tc>
        <w:tc>
          <w:tcPr>
            <w:tcW w:w="480" w:type="dxa"/>
            <w:tcBorders>
              <w:tl2br w:val="nil"/>
              <w:tr2bl w:val="nil"/>
            </w:tcBorders>
            <w:shd w:val="clear" w:color="auto" w:fill="auto"/>
            <w:noWrap/>
            <w:tcMar>
              <w:top w:w="15" w:type="dxa"/>
              <w:left w:w="15" w:type="dxa"/>
              <w:right w:w="15" w:type="dxa"/>
            </w:tcMar>
            <w:vAlign w:val="center"/>
          </w:tcPr>
          <w:p w14:paraId="0BA47EB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6.50</w:t>
            </w:r>
          </w:p>
        </w:tc>
        <w:tc>
          <w:tcPr>
            <w:tcW w:w="520" w:type="dxa"/>
            <w:tcBorders>
              <w:tl2br w:val="nil"/>
              <w:tr2bl w:val="nil"/>
            </w:tcBorders>
            <w:shd w:val="clear" w:color="auto" w:fill="auto"/>
            <w:noWrap/>
            <w:tcMar>
              <w:top w:w="15" w:type="dxa"/>
              <w:left w:w="15" w:type="dxa"/>
              <w:right w:w="15" w:type="dxa"/>
            </w:tcMar>
            <w:vAlign w:val="center"/>
          </w:tcPr>
          <w:p w14:paraId="5CF2F05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30.7</w:t>
            </w:r>
          </w:p>
        </w:tc>
        <w:tc>
          <w:tcPr>
            <w:tcW w:w="574" w:type="dxa"/>
            <w:tcBorders>
              <w:tl2br w:val="nil"/>
              <w:tr2bl w:val="nil"/>
            </w:tcBorders>
            <w:shd w:val="clear" w:color="auto" w:fill="auto"/>
            <w:noWrap/>
            <w:tcMar>
              <w:top w:w="15" w:type="dxa"/>
              <w:left w:w="15" w:type="dxa"/>
              <w:right w:w="15" w:type="dxa"/>
            </w:tcMar>
            <w:vAlign w:val="center"/>
          </w:tcPr>
          <w:p w14:paraId="5057CBB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0.17</w:t>
            </w:r>
          </w:p>
        </w:tc>
        <w:tc>
          <w:tcPr>
            <w:tcW w:w="533" w:type="dxa"/>
            <w:tcBorders>
              <w:tl2br w:val="nil"/>
              <w:tr2bl w:val="nil"/>
            </w:tcBorders>
            <w:shd w:val="clear" w:color="auto" w:fill="auto"/>
            <w:noWrap/>
            <w:tcMar>
              <w:top w:w="15" w:type="dxa"/>
              <w:left w:w="15" w:type="dxa"/>
              <w:right w:w="15" w:type="dxa"/>
            </w:tcMar>
            <w:vAlign w:val="center"/>
          </w:tcPr>
          <w:p w14:paraId="5302A69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0.12</w:t>
            </w:r>
          </w:p>
        </w:tc>
        <w:tc>
          <w:tcPr>
            <w:tcW w:w="493" w:type="dxa"/>
            <w:tcBorders>
              <w:tl2br w:val="nil"/>
              <w:tr2bl w:val="nil"/>
            </w:tcBorders>
            <w:shd w:val="clear" w:color="auto" w:fill="auto"/>
            <w:noWrap/>
            <w:tcMar>
              <w:top w:w="15" w:type="dxa"/>
              <w:left w:w="15" w:type="dxa"/>
              <w:right w:w="15" w:type="dxa"/>
            </w:tcMar>
            <w:vAlign w:val="center"/>
          </w:tcPr>
          <w:p w14:paraId="33FA7EC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24</w:t>
            </w:r>
          </w:p>
        </w:tc>
        <w:tc>
          <w:tcPr>
            <w:tcW w:w="440" w:type="dxa"/>
            <w:tcBorders>
              <w:tl2br w:val="nil"/>
              <w:tr2bl w:val="nil"/>
            </w:tcBorders>
            <w:shd w:val="clear" w:color="auto" w:fill="auto"/>
            <w:noWrap/>
            <w:tcMar>
              <w:top w:w="15" w:type="dxa"/>
              <w:left w:w="15" w:type="dxa"/>
              <w:right w:w="15" w:type="dxa"/>
            </w:tcMar>
            <w:vAlign w:val="center"/>
          </w:tcPr>
          <w:p w14:paraId="58D6E84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19</w:t>
            </w:r>
          </w:p>
        </w:tc>
        <w:tc>
          <w:tcPr>
            <w:tcW w:w="467" w:type="dxa"/>
            <w:tcBorders>
              <w:tl2br w:val="nil"/>
              <w:tr2bl w:val="nil"/>
            </w:tcBorders>
            <w:shd w:val="clear" w:color="auto" w:fill="auto"/>
            <w:noWrap/>
            <w:tcMar>
              <w:top w:w="15" w:type="dxa"/>
              <w:left w:w="15" w:type="dxa"/>
              <w:right w:w="15" w:type="dxa"/>
            </w:tcMar>
            <w:vAlign w:val="center"/>
          </w:tcPr>
          <w:p w14:paraId="778AE27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41</w:t>
            </w:r>
          </w:p>
        </w:tc>
        <w:tc>
          <w:tcPr>
            <w:tcW w:w="467" w:type="dxa"/>
            <w:tcBorders>
              <w:tl2br w:val="nil"/>
              <w:tr2bl w:val="nil"/>
            </w:tcBorders>
            <w:shd w:val="clear" w:color="auto" w:fill="auto"/>
            <w:noWrap/>
            <w:tcMar>
              <w:top w:w="15" w:type="dxa"/>
              <w:left w:w="15" w:type="dxa"/>
              <w:right w:w="15" w:type="dxa"/>
            </w:tcMar>
            <w:vAlign w:val="center"/>
          </w:tcPr>
          <w:p w14:paraId="51C739B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58</w:t>
            </w:r>
          </w:p>
        </w:tc>
        <w:tc>
          <w:tcPr>
            <w:tcW w:w="413" w:type="dxa"/>
            <w:tcBorders>
              <w:tl2br w:val="nil"/>
              <w:tr2bl w:val="nil"/>
            </w:tcBorders>
            <w:shd w:val="clear" w:color="auto" w:fill="auto"/>
            <w:noWrap/>
            <w:tcMar>
              <w:top w:w="15" w:type="dxa"/>
              <w:left w:w="15" w:type="dxa"/>
              <w:right w:w="15" w:type="dxa"/>
            </w:tcMar>
            <w:vAlign w:val="center"/>
          </w:tcPr>
          <w:p w14:paraId="7BD3309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5.4</w:t>
            </w:r>
          </w:p>
        </w:tc>
        <w:tc>
          <w:tcPr>
            <w:tcW w:w="1062" w:type="dxa"/>
            <w:tcBorders>
              <w:tl2br w:val="nil"/>
              <w:tr2bl w:val="nil"/>
            </w:tcBorders>
            <w:shd w:val="clear" w:color="auto" w:fill="auto"/>
            <w:noWrap/>
            <w:tcMar>
              <w:top w:w="15" w:type="dxa"/>
              <w:left w:w="15" w:type="dxa"/>
              <w:right w:w="15" w:type="dxa"/>
            </w:tcMar>
            <w:vAlign w:val="center"/>
          </w:tcPr>
          <w:p w14:paraId="2B035F4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005E70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1046" w:type="dxa"/>
            <w:vMerge w:val="continue"/>
            <w:tcBorders>
              <w:tl2br w:val="nil"/>
              <w:tr2bl w:val="nil"/>
            </w:tcBorders>
            <w:shd w:val="clear" w:color="auto" w:fill="auto"/>
            <w:noWrap/>
            <w:tcMar>
              <w:top w:w="15" w:type="dxa"/>
              <w:left w:w="15" w:type="dxa"/>
              <w:right w:w="15" w:type="dxa"/>
            </w:tcMar>
            <w:vAlign w:val="center"/>
          </w:tcPr>
          <w:p w14:paraId="30EE88E3">
            <w:pPr>
              <w:spacing w:line="240" w:lineRule="auto"/>
              <w:jc w:val="center"/>
              <w:rPr>
                <w:rFonts w:hint="default" w:ascii="Times New Roman" w:hAnsi="Times New Roman" w:cs="Times New Roman"/>
                <w:color w:val="auto"/>
                <w:sz w:val="21"/>
                <w:szCs w:val="21"/>
                <w:highlight w:val="none"/>
              </w:rPr>
            </w:pPr>
          </w:p>
        </w:tc>
        <w:tc>
          <w:tcPr>
            <w:tcW w:w="2851" w:type="dxa"/>
            <w:gridSpan w:val="2"/>
            <w:tcBorders>
              <w:tl2br w:val="nil"/>
              <w:tr2bl w:val="nil"/>
            </w:tcBorders>
            <w:shd w:val="clear" w:color="auto" w:fill="auto"/>
            <w:noWrap/>
            <w:tcMar>
              <w:top w:w="15" w:type="dxa"/>
              <w:left w:w="15" w:type="dxa"/>
              <w:right w:w="15" w:type="dxa"/>
            </w:tcMar>
            <w:vAlign w:val="center"/>
          </w:tcPr>
          <w:p w14:paraId="377D210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GB15618表1水田</w:t>
            </w:r>
          </w:p>
        </w:tc>
        <w:tc>
          <w:tcPr>
            <w:tcW w:w="480" w:type="dxa"/>
            <w:tcBorders>
              <w:tl2br w:val="nil"/>
              <w:tr2bl w:val="nil"/>
            </w:tcBorders>
            <w:shd w:val="clear" w:color="auto" w:fill="auto"/>
            <w:noWrap/>
            <w:tcMar>
              <w:top w:w="15" w:type="dxa"/>
              <w:left w:w="15" w:type="dxa"/>
              <w:right w:w="15" w:type="dxa"/>
            </w:tcMar>
            <w:vAlign w:val="center"/>
          </w:tcPr>
          <w:p w14:paraId="50654A2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p>
        </w:tc>
        <w:tc>
          <w:tcPr>
            <w:tcW w:w="520" w:type="dxa"/>
            <w:tcBorders>
              <w:tl2br w:val="nil"/>
              <w:tr2bl w:val="nil"/>
            </w:tcBorders>
            <w:shd w:val="clear" w:color="auto" w:fill="auto"/>
            <w:noWrap/>
            <w:tcMar>
              <w:top w:w="15" w:type="dxa"/>
              <w:left w:w="15" w:type="dxa"/>
              <w:right w:w="15" w:type="dxa"/>
            </w:tcMar>
            <w:vAlign w:val="center"/>
          </w:tcPr>
          <w:p w14:paraId="7615055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100</w:t>
            </w:r>
          </w:p>
        </w:tc>
        <w:tc>
          <w:tcPr>
            <w:tcW w:w="574" w:type="dxa"/>
            <w:tcBorders>
              <w:tl2br w:val="nil"/>
              <w:tr2bl w:val="nil"/>
            </w:tcBorders>
            <w:shd w:val="clear" w:color="auto" w:fill="auto"/>
            <w:noWrap/>
            <w:tcMar>
              <w:top w:w="15" w:type="dxa"/>
              <w:left w:w="15" w:type="dxa"/>
              <w:right w:w="15" w:type="dxa"/>
            </w:tcMar>
            <w:vAlign w:val="center"/>
          </w:tcPr>
          <w:p w14:paraId="5E0428B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0.5</w:t>
            </w:r>
          </w:p>
        </w:tc>
        <w:tc>
          <w:tcPr>
            <w:tcW w:w="533" w:type="dxa"/>
            <w:tcBorders>
              <w:tl2br w:val="nil"/>
              <w:tr2bl w:val="nil"/>
            </w:tcBorders>
            <w:shd w:val="clear" w:color="auto" w:fill="auto"/>
            <w:noWrap/>
            <w:tcMar>
              <w:top w:w="15" w:type="dxa"/>
              <w:left w:w="15" w:type="dxa"/>
              <w:right w:w="15" w:type="dxa"/>
            </w:tcMar>
            <w:vAlign w:val="center"/>
          </w:tcPr>
          <w:p w14:paraId="7F1C893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0.4</w:t>
            </w:r>
          </w:p>
        </w:tc>
        <w:tc>
          <w:tcPr>
            <w:tcW w:w="493" w:type="dxa"/>
            <w:tcBorders>
              <w:tl2br w:val="nil"/>
              <w:tr2bl w:val="nil"/>
            </w:tcBorders>
            <w:shd w:val="clear" w:color="auto" w:fill="auto"/>
            <w:noWrap/>
            <w:tcMar>
              <w:top w:w="15" w:type="dxa"/>
              <w:left w:w="15" w:type="dxa"/>
              <w:right w:w="15" w:type="dxa"/>
            </w:tcMar>
            <w:vAlign w:val="center"/>
          </w:tcPr>
          <w:p w14:paraId="634DD8B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50</w:t>
            </w:r>
          </w:p>
        </w:tc>
        <w:tc>
          <w:tcPr>
            <w:tcW w:w="440" w:type="dxa"/>
            <w:tcBorders>
              <w:tl2br w:val="nil"/>
              <w:tr2bl w:val="nil"/>
            </w:tcBorders>
            <w:shd w:val="clear" w:color="auto" w:fill="auto"/>
            <w:noWrap/>
            <w:tcMar>
              <w:top w:w="15" w:type="dxa"/>
              <w:left w:w="15" w:type="dxa"/>
              <w:right w:w="15" w:type="dxa"/>
            </w:tcMar>
            <w:vAlign w:val="center"/>
          </w:tcPr>
          <w:p w14:paraId="4CFF816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70</w:t>
            </w:r>
          </w:p>
        </w:tc>
        <w:tc>
          <w:tcPr>
            <w:tcW w:w="467" w:type="dxa"/>
            <w:tcBorders>
              <w:tl2br w:val="nil"/>
              <w:tr2bl w:val="nil"/>
            </w:tcBorders>
            <w:shd w:val="clear" w:color="auto" w:fill="auto"/>
            <w:noWrap/>
            <w:tcMar>
              <w:top w:w="15" w:type="dxa"/>
              <w:left w:w="15" w:type="dxa"/>
              <w:right w:w="15" w:type="dxa"/>
            </w:tcMar>
            <w:vAlign w:val="center"/>
          </w:tcPr>
          <w:p w14:paraId="0DCD4AD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250</w:t>
            </w:r>
          </w:p>
        </w:tc>
        <w:tc>
          <w:tcPr>
            <w:tcW w:w="467" w:type="dxa"/>
            <w:tcBorders>
              <w:tl2br w:val="nil"/>
              <w:tr2bl w:val="nil"/>
            </w:tcBorders>
            <w:shd w:val="clear" w:color="auto" w:fill="auto"/>
            <w:noWrap/>
            <w:tcMar>
              <w:top w:w="15" w:type="dxa"/>
              <w:left w:w="15" w:type="dxa"/>
              <w:right w:w="15" w:type="dxa"/>
            </w:tcMar>
            <w:vAlign w:val="center"/>
          </w:tcPr>
          <w:p w14:paraId="1B55C77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w:t>
            </w:r>
          </w:p>
        </w:tc>
        <w:tc>
          <w:tcPr>
            <w:tcW w:w="413" w:type="dxa"/>
            <w:tcBorders>
              <w:tl2br w:val="nil"/>
              <w:tr2bl w:val="nil"/>
            </w:tcBorders>
            <w:shd w:val="clear" w:color="auto" w:fill="auto"/>
            <w:noWrap/>
            <w:tcMar>
              <w:top w:w="15" w:type="dxa"/>
              <w:left w:w="15" w:type="dxa"/>
              <w:right w:w="15" w:type="dxa"/>
            </w:tcMar>
            <w:vAlign w:val="center"/>
          </w:tcPr>
          <w:p w14:paraId="7D551C8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rPr>
              <w:t>30</w:t>
            </w:r>
          </w:p>
        </w:tc>
        <w:tc>
          <w:tcPr>
            <w:tcW w:w="1062" w:type="dxa"/>
            <w:tcBorders>
              <w:tl2br w:val="nil"/>
              <w:tr2bl w:val="nil"/>
            </w:tcBorders>
            <w:shd w:val="clear" w:color="auto" w:fill="auto"/>
            <w:noWrap/>
            <w:tcMar>
              <w:top w:w="15" w:type="dxa"/>
              <w:left w:w="15" w:type="dxa"/>
              <w:right w:w="15" w:type="dxa"/>
            </w:tcMar>
            <w:vAlign w:val="center"/>
          </w:tcPr>
          <w:p w14:paraId="1B7B704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p>
        </w:tc>
      </w:tr>
      <w:tr w14:paraId="675525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1046" w:type="dxa"/>
            <w:vMerge w:val="restart"/>
            <w:tcBorders>
              <w:tl2br w:val="nil"/>
              <w:tr2bl w:val="nil"/>
            </w:tcBorders>
            <w:shd w:val="clear" w:color="auto" w:fill="auto"/>
            <w:noWrap/>
            <w:tcMar>
              <w:top w:w="15" w:type="dxa"/>
              <w:left w:w="15" w:type="dxa"/>
              <w:right w:w="15" w:type="dxa"/>
            </w:tcMar>
            <w:vAlign w:val="center"/>
          </w:tcPr>
          <w:p w14:paraId="077523E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pH</w:t>
            </w:r>
            <w:r>
              <w:rPr>
                <w:rFonts w:hint="default" w:ascii="Times New Roman" w:hAnsi="Times New Roman" w:cs="Times New Roman"/>
                <w:color w:val="auto"/>
                <w:kern w:val="0"/>
                <w:sz w:val="21"/>
                <w:szCs w:val="21"/>
                <w:highlight w:val="none"/>
                <w:lang w:val="en-US" w:eastAsia="zh-CN" w:bidi="ar"/>
              </w:rPr>
              <w:t>＞</w:t>
            </w:r>
            <w:r>
              <w:rPr>
                <w:rFonts w:hint="default" w:ascii="Times New Roman" w:hAnsi="Times New Roman" w:cs="Times New Roman"/>
                <w:color w:val="auto"/>
                <w:kern w:val="0"/>
                <w:sz w:val="21"/>
                <w:szCs w:val="21"/>
                <w:highlight w:val="none"/>
                <w:lang w:bidi="ar"/>
              </w:rPr>
              <w:t>7.5</w:t>
            </w:r>
          </w:p>
        </w:tc>
        <w:tc>
          <w:tcPr>
            <w:tcW w:w="1500" w:type="dxa"/>
            <w:tcBorders>
              <w:tl2br w:val="nil"/>
              <w:tr2bl w:val="nil"/>
            </w:tcBorders>
            <w:shd w:val="clear" w:color="auto" w:fill="auto"/>
            <w:noWrap/>
            <w:tcMar>
              <w:top w:w="15" w:type="dxa"/>
              <w:left w:w="15" w:type="dxa"/>
              <w:right w:w="15" w:type="dxa"/>
            </w:tcMar>
            <w:vAlign w:val="center"/>
          </w:tcPr>
          <w:p w14:paraId="2603921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XM-1-75</w:t>
            </w:r>
          </w:p>
        </w:tc>
        <w:tc>
          <w:tcPr>
            <w:tcW w:w="1351" w:type="dxa"/>
            <w:tcBorders>
              <w:tl2br w:val="nil"/>
              <w:tr2bl w:val="nil"/>
            </w:tcBorders>
            <w:shd w:val="clear" w:color="auto" w:fill="auto"/>
            <w:noWrap/>
            <w:tcMar>
              <w:top w:w="15" w:type="dxa"/>
              <w:left w:w="15" w:type="dxa"/>
              <w:right w:w="15" w:type="dxa"/>
            </w:tcMar>
            <w:vAlign w:val="center"/>
          </w:tcPr>
          <w:p w14:paraId="2F7F0C0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lang w:val="en-US" w:eastAsia="zh-CN"/>
              </w:rPr>
              <w:t>园区边界西侧下风向75m</w:t>
            </w:r>
          </w:p>
        </w:tc>
        <w:tc>
          <w:tcPr>
            <w:tcW w:w="480" w:type="dxa"/>
            <w:tcBorders>
              <w:tl2br w:val="nil"/>
              <w:tr2bl w:val="nil"/>
            </w:tcBorders>
            <w:shd w:val="clear" w:color="auto" w:fill="auto"/>
            <w:noWrap/>
            <w:tcMar>
              <w:top w:w="15" w:type="dxa"/>
              <w:left w:w="15" w:type="dxa"/>
              <w:right w:w="15" w:type="dxa"/>
            </w:tcMar>
            <w:vAlign w:val="center"/>
          </w:tcPr>
          <w:p w14:paraId="1628642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8.41</w:t>
            </w:r>
          </w:p>
        </w:tc>
        <w:tc>
          <w:tcPr>
            <w:tcW w:w="520" w:type="dxa"/>
            <w:tcBorders>
              <w:tl2br w:val="nil"/>
              <w:tr2bl w:val="nil"/>
            </w:tcBorders>
            <w:shd w:val="clear" w:color="auto" w:fill="auto"/>
            <w:noWrap/>
            <w:tcMar>
              <w:top w:w="15" w:type="dxa"/>
              <w:left w:w="15" w:type="dxa"/>
              <w:right w:w="15" w:type="dxa"/>
            </w:tcMar>
            <w:vAlign w:val="center"/>
          </w:tcPr>
          <w:p w14:paraId="5CDA77E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29.7</w:t>
            </w:r>
          </w:p>
        </w:tc>
        <w:tc>
          <w:tcPr>
            <w:tcW w:w="574" w:type="dxa"/>
            <w:tcBorders>
              <w:tl2br w:val="nil"/>
              <w:tr2bl w:val="nil"/>
            </w:tcBorders>
            <w:shd w:val="clear" w:color="auto" w:fill="auto"/>
            <w:noWrap/>
            <w:tcMar>
              <w:top w:w="15" w:type="dxa"/>
              <w:left w:w="15" w:type="dxa"/>
              <w:right w:w="15" w:type="dxa"/>
            </w:tcMar>
            <w:vAlign w:val="center"/>
          </w:tcPr>
          <w:p w14:paraId="207DE56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0.19</w:t>
            </w:r>
          </w:p>
        </w:tc>
        <w:tc>
          <w:tcPr>
            <w:tcW w:w="533" w:type="dxa"/>
            <w:tcBorders>
              <w:tl2br w:val="nil"/>
              <w:tr2bl w:val="nil"/>
            </w:tcBorders>
            <w:shd w:val="clear" w:color="auto" w:fill="auto"/>
            <w:noWrap/>
            <w:tcMar>
              <w:top w:w="15" w:type="dxa"/>
              <w:left w:w="15" w:type="dxa"/>
              <w:right w:w="15" w:type="dxa"/>
            </w:tcMar>
            <w:vAlign w:val="center"/>
          </w:tcPr>
          <w:p w14:paraId="4F1D560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0.06</w:t>
            </w:r>
          </w:p>
        </w:tc>
        <w:tc>
          <w:tcPr>
            <w:tcW w:w="493" w:type="dxa"/>
            <w:tcBorders>
              <w:tl2br w:val="nil"/>
              <w:tr2bl w:val="nil"/>
            </w:tcBorders>
            <w:shd w:val="clear" w:color="auto" w:fill="auto"/>
            <w:noWrap/>
            <w:tcMar>
              <w:top w:w="15" w:type="dxa"/>
              <w:left w:w="15" w:type="dxa"/>
              <w:right w:w="15" w:type="dxa"/>
            </w:tcMar>
            <w:vAlign w:val="center"/>
          </w:tcPr>
          <w:p w14:paraId="1D65420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35</w:t>
            </w:r>
          </w:p>
        </w:tc>
        <w:tc>
          <w:tcPr>
            <w:tcW w:w="440" w:type="dxa"/>
            <w:tcBorders>
              <w:tl2br w:val="nil"/>
              <w:tr2bl w:val="nil"/>
            </w:tcBorders>
            <w:shd w:val="clear" w:color="auto" w:fill="auto"/>
            <w:noWrap/>
            <w:tcMar>
              <w:top w:w="15" w:type="dxa"/>
              <w:left w:w="15" w:type="dxa"/>
              <w:right w:w="15" w:type="dxa"/>
            </w:tcMar>
            <w:vAlign w:val="center"/>
          </w:tcPr>
          <w:p w14:paraId="789000B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36</w:t>
            </w:r>
          </w:p>
        </w:tc>
        <w:tc>
          <w:tcPr>
            <w:tcW w:w="467" w:type="dxa"/>
            <w:tcBorders>
              <w:tl2br w:val="nil"/>
              <w:tr2bl w:val="nil"/>
            </w:tcBorders>
            <w:shd w:val="clear" w:color="auto" w:fill="auto"/>
            <w:noWrap/>
            <w:tcMar>
              <w:top w:w="15" w:type="dxa"/>
              <w:left w:w="15" w:type="dxa"/>
              <w:right w:w="15" w:type="dxa"/>
            </w:tcMar>
            <w:vAlign w:val="center"/>
          </w:tcPr>
          <w:p w14:paraId="2682B1C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73</w:t>
            </w:r>
          </w:p>
        </w:tc>
        <w:tc>
          <w:tcPr>
            <w:tcW w:w="467" w:type="dxa"/>
            <w:tcBorders>
              <w:tl2br w:val="nil"/>
              <w:tr2bl w:val="nil"/>
            </w:tcBorders>
            <w:shd w:val="clear" w:color="auto" w:fill="auto"/>
            <w:noWrap/>
            <w:tcMar>
              <w:top w:w="15" w:type="dxa"/>
              <w:left w:w="15" w:type="dxa"/>
              <w:right w:w="15" w:type="dxa"/>
            </w:tcMar>
            <w:vAlign w:val="center"/>
          </w:tcPr>
          <w:p w14:paraId="6EA8931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82</w:t>
            </w:r>
          </w:p>
        </w:tc>
        <w:tc>
          <w:tcPr>
            <w:tcW w:w="413" w:type="dxa"/>
            <w:tcBorders>
              <w:tl2br w:val="nil"/>
              <w:tr2bl w:val="nil"/>
            </w:tcBorders>
            <w:shd w:val="clear" w:color="auto" w:fill="auto"/>
            <w:noWrap/>
            <w:tcMar>
              <w:top w:w="15" w:type="dxa"/>
              <w:left w:w="15" w:type="dxa"/>
              <w:right w:w="15" w:type="dxa"/>
            </w:tcMar>
            <w:vAlign w:val="center"/>
          </w:tcPr>
          <w:p w14:paraId="70574FE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9.3</w:t>
            </w:r>
          </w:p>
        </w:tc>
        <w:tc>
          <w:tcPr>
            <w:tcW w:w="1062" w:type="dxa"/>
            <w:tcBorders>
              <w:tl2br w:val="nil"/>
              <w:tr2bl w:val="nil"/>
            </w:tcBorders>
            <w:shd w:val="clear" w:color="auto" w:fill="auto"/>
            <w:noWrap/>
            <w:tcMar>
              <w:top w:w="15" w:type="dxa"/>
              <w:left w:w="15" w:type="dxa"/>
              <w:right w:w="15" w:type="dxa"/>
            </w:tcMar>
            <w:vAlign w:val="center"/>
          </w:tcPr>
          <w:p w14:paraId="44B91AA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1580B4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1046" w:type="dxa"/>
            <w:vMerge w:val="continue"/>
            <w:tcBorders>
              <w:tl2br w:val="nil"/>
              <w:tr2bl w:val="nil"/>
            </w:tcBorders>
            <w:shd w:val="clear" w:color="auto" w:fill="auto"/>
            <w:noWrap/>
            <w:tcMar>
              <w:top w:w="15" w:type="dxa"/>
              <w:left w:w="15" w:type="dxa"/>
              <w:right w:w="15" w:type="dxa"/>
            </w:tcMar>
            <w:vAlign w:val="center"/>
          </w:tcPr>
          <w:p w14:paraId="5441F03E">
            <w:pPr>
              <w:spacing w:line="240" w:lineRule="auto"/>
              <w:jc w:val="center"/>
              <w:rPr>
                <w:rFonts w:hint="default" w:ascii="Times New Roman" w:hAnsi="Times New Roman" w:cs="Times New Roman"/>
                <w:color w:val="auto"/>
                <w:sz w:val="21"/>
                <w:szCs w:val="21"/>
                <w:highlight w:val="none"/>
              </w:rPr>
            </w:pPr>
          </w:p>
        </w:tc>
        <w:tc>
          <w:tcPr>
            <w:tcW w:w="1500" w:type="dxa"/>
            <w:tcBorders>
              <w:tl2br w:val="nil"/>
              <w:tr2bl w:val="nil"/>
            </w:tcBorders>
            <w:shd w:val="clear" w:color="auto" w:fill="auto"/>
            <w:noWrap/>
            <w:tcMar>
              <w:top w:w="15" w:type="dxa"/>
              <w:left w:w="15" w:type="dxa"/>
              <w:right w:w="15" w:type="dxa"/>
            </w:tcMar>
            <w:vAlign w:val="center"/>
          </w:tcPr>
          <w:p w14:paraId="3284B1A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XM-1-200</w:t>
            </w:r>
          </w:p>
        </w:tc>
        <w:tc>
          <w:tcPr>
            <w:tcW w:w="1351" w:type="dxa"/>
            <w:tcBorders>
              <w:tl2br w:val="nil"/>
              <w:tr2bl w:val="nil"/>
            </w:tcBorders>
            <w:shd w:val="clear" w:color="auto" w:fill="auto"/>
            <w:noWrap/>
            <w:tcMar>
              <w:top w:w="15" w:type="dxa"/>
              <w:left w:w="15" w:type="dxa"/>
              <w:right w:w="15" w:type="dxa"/>
            </w:tcMar>
            <w:vAlign w:val="center"/>
          </w:tcPr>
          <w:p w14:paraId="411CC47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lang w:val="en-US" w:eastAsia="zh-CN"/>
              </w:rPr>
              <w:t>园区边界西侧下风向200m</w:t>
            </w:r>
          </w:p>
        </w:tc>
        <w:tc>
          <w:tcPr>
            <w:tcW w:w="480" w:type="dxa"/>
            <w:tcBorders>
              <w:tl2br w:val="nil"/>
              <w:tr2bl w:val="nil"/>
            </w:tcBorders>
            <w:shd w:val="clear" w:color="auto" w:fill="auto"/>
            <w:noWrap/>
            <w:tcMar>
              <w:top w:w="15" w:type="dxa"/>
              <w:left w:w="15" w:type="dxa"/>
              <w:right w:w="15" w:type="dxa"/>
            </w:tcMar>
            <w:vAlign w:val="center"/>
          </w:tcPr>
          <w:p w14:paraId="42ED37F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8.51</w:t>
            </w:r>
          </w:p>
        </w:tc>
        <w:tc>
          <w:tcPr>
            <w:tcW w:w="520" w:type="dxa"/>
            <w:tcBorders>
              <w:tl2br w:val="nil"/>
              <w:tr2bl w:val="nil"/>
            </w:tcBorders>
            <w:shd w:val="clear" w:color="auto" w:fill="auto"/>
            <w:noWrap/>
            <w:tcMar>
              <w:top w:w="15" w:type="dxa"/>
              <w:left w:w="15" w:type="dxa"/>
              <w:right w:w="15" w:type="dxa"/>
            </w:tcMar>
            <w:vAlign w:val="center"/>
          </w:tcPr>
          <w:p w14:paraId="0D6EFDF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36.4</w:t>
            </w:r>
          </w:p>
        </w:tc>
        <w:tc>
          <w:tcPr>
            <w:tcW w:w="574" w:type="dxa"/>
            <w:tcBorders>
              <w:tl2br w:val="nil"/>
              <w:tr2bl w:val="nil"/>
            </w:tcBorders>
            <w:shd w:val="clear" w:color="auto" w:fill="auto"/>
            <w:noWrap/>
            <w:tcMar>
              <w:top w:w="15" w:type="dxa"/>
              <w:left w:w="15" w:type="dxa"/>
              <w:right w:w="15" w:type="dxa"/>
            </w:tcMar>
            <w:vAlign w:val="center"/>
          </w:tcPr>
          <w:p w14:paraId="57922F5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0.19</w:t>
            </w:r>
          </w:p>
        </w:tc>
        <w:tc>
          <w:tcPr>
            <w:tcW w:w="533" w:type="dxa"/>
            <w:tcBorders>
              <w:tl2br w:val="nil"/>
              <w:tr2bl w:val="nil"/>
            </w:tcBorders>
            <w:shd w:val="clear" w:color="auto" w:fill="auto"/>
            <w:noWrap/>
            <w:tcMar>
              <w:top w:w="15" w:type="dxa"/>
              <w:left w:w="15" w:type="dxa"/>
              <w:right w:w="15" w:type="dxa"/>
            </w:tcMar>
            <w:vAlign w:val="center"/>
          </w:tcPr>
          <w:p w14:paraId="5B86C7F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0.05</w:t>
            </w:r>
          </w:p>
        </w:tc>
        <w:tc>
          <w:tcPr>
            <w:tcW w:w="493" w:type="dxa"/>
            <w:tcBorders>
              <w:tl2br w:val="nil"/>
              <w:tr2bl w:val="nil"/>
            </w:tcBorders>
            <w:shd w:val="clear" w:color="auto" w:fill="auto"/>
            <w:noWrap/>
            <w:tcMar>
              <w:top w:w="15" w:type="dxa"/>
              <w:left w:w="15" w:type="dxa"/>
              <w:right w:w="15" w:type="dxa"/>
            </w:tcMar>
            <w:vAlign w:val="center"/>
          </w:tcPr>
          <w:p w14:paraId="1496C86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37</w:t>
            </w:r>
          </w:p>
        </w:tc>
        <w:tc>
          <w:tcPr>
            <w:tcW w:w="440" w:type="dxa"/>
            <w:tcBorders>
              <w:tl2br w:val="nil"/>
              <w:tr2bl w:val="nil"/>
            </w:tcBorders>
            <w:shd w:val="clear" w:color="auto" w:fill="auto"/>
            <w:noWrap/>
            <w:tcMar>
              <w:top w:w="15" w:type="dxa"/>
              <w:left w:w="15" w:type="dxa"/>
              <w:right w:w="15" w:type="dxa"/>
            </w:tcMar>
            <w:vAlign w:val="center"/>
          </w:tcPr>
          <w:p w14:paraId="277AEE6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38</w:t>
            </w:r>
          </w:p>
        </w:tc>
        <w:tc>
          <w:tcPr>
            <w:tcW w:w="467" w:type="dxa"/>
            <w:tcBorders>
              <w:tl2br w:val="nil"/>
              <w:tr2bl w:val="nil"/>
            </w:tcBorders>
            <w:shd w:val="clear" w:color="auto" w:fill="auto"/>
            <w:noWrap/>
            <w:tcMar>
              <w:top w:w="15" w:type="dxa"/>
              <w:left w:w="15" w:type="dxa"/>
              <w:right w:w="15" w:type="dxa"/>
            </w:tcMar>
            <w:vAlign w:val="center"/>
          </w:tcPr>
          <w:p w14:paraId="2B01744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80</w:t>
            </w:r>
          </w:p>
        </w:tc>
        <w:tc>
          <w:tcPr>
            <w:tcW w:w="467" w:type="dxa"/>
            <w:tcBorders>
              <w:tl2br w:val="nil"/>
              <w:tr2bl w:val="nil"/>
            </w:tcBorders>
            <w:shd w:val="clear" w:color="auto" w:fill="auto"/>
            <w:noWrap/>
            <w:tcMar>
              <w:top w:w="15" w:type="dxa"/>
              <w:left w:w="15" w:type="dxa"/>
              <w:right w:w="15" w:type="dxa"/>
            </w:tcMar>
            <w:vAlign w:val="center"/>
          </w:tcPr>
          <w:p w14:paraId="7F8F050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84</w:t>
            </w:r>
          </w:p>
        </w:tc>
        <w:tc>
          <w:tcPr>
            <w:tcW w:w="413" w:type="dxa"/>
            <w:tcBorders>
              <w:tl2br w:val="nil"/>
              <w:tr2bl w:val="nil"/>
            </w:tcBorders>
            <w:shd w:val="clear" w:color="auto" w:fill="auto"/>
            <w:noWrap/>
            <w:tcMar>
              <w:top w:w="15" w:type="dxa"/>
              <w:left w:w="15" w:type="dxa"/>
              <w:right w:w="15" w:type="dxa"/>
            </w:tcMar>
            <w:vAlign w:val="center"/>
          </w:tcPr>
          <w:p w14:paraId="09DE506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10.1</w:t>
            </w:r>
          </w:p>
        </w:tc>
        <w:tc>
          <w:tcPr>
            <w:tcW w:w="1062" w:type="dxa"/>
            <w:tcBorders>
              <w:tl2br w:val="nil"/>
              <w:tr2bl w:val="nil"/>
            </w:tcBorders>
            <w:shd w:val="clear" w:color="auto" w:fill="auto"/>
            <w:noWrap/>
            <w:tcMar>
              <w:top w:w="15" w:type="dxa"/>
              <w:left w:w="15" w:type="dxa"/>
              <w:right w:w="15" w:type="dxa"/>
            </w:tcMar>
            <w:vAlign w:val="center"/>
          </w:tcPr>
          <w:p w14:paraId="1FAD50D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304422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1046" w:type="dxa"/>
            <w:vMerge w:val="continue"/>
            <w:tcBorders>
              <w:tl2br w:val="nil"/>
              <w:tr2bl w:val="nil"/>
            </w:tcBorders>
            <w:shd w:val="clear" w:color="auto" w:fill="auto"/>
            <w:noWrap/>
            <w:tcMar>
              <w:top w:w="15" w:type="dxa"/>
              <w:left w:w="15" w:type="dxa"/>
              <w:right w:w="15" w:type="dxa"/>
            </w:tcMar>
            <w:vAlign w:val="center"/>
          </w:tcPr>
          <w:p w14:paraId="4D9D31F8">
            <w:pPr>
              <w:spacing w:line="240" w:lineRule="auto"/>
              <w:jc w:val="center"/>
              <w:rPr>
                <w:rFonts w:hint="default" w:ascii="Times New Roman" w:hAnsi="Times New Roman" w:cs="Times New Roman"/>
                <w:color w:val="auto"/>
                <w:sz w:val="21"/>
                <w:szCs w:val="21"/>
                <w:highlight w:val="none"/>
              </w:rPr>
            </w:pPr>
          </w:p>
        </w:tc>
        <w:tc>
          <w:tcPr>
            <w:tcW w:w="1500" w:type="dxa"/>
            <w:tcBorders>
              <w:tl2br w:val="nil"/>
              <w:tr2bl w:val="nil"/>
            </w:tcBorders>
            <w:shd w:val="clear" w:color="auto" w:fill="auto"/>
            <w:noWrap/>
            <w:tcMar>
              <w:top w:w="15" w:type="dxa"/>
              <w:left w:w="15" w:type="dxa"/>
              <w:right w:w="15" w:type="dxa"/>
            </w:tcMar>
            <w:vAlign w:val="center"/>
          </w:tcPr>
          <w:p w14:paraId="2B93FD1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XM-1-400</w:t>
            </w:r>
          </w:p>
        </w:tc>
        <w:tc>
          <w:tcPr>
            <w:tcW w:w="1351" w:type="dxa"/>
            <w:tcBorders>
              <w:tl2br w:val="nil"/>
              <w:tr2bl w:val="nil"/>
            </w:tcBorders>
            <w:shd w:val="clear" w:color="auto" w:fill="auto"/>
            <w:noWrap/>
            <w:tcMar>
              <w:top w:w="15" w:type="dxa"/>
              <w:left w:w="15" w:type="dxa"/>
              <w:right w:w="15" w:type="dxa"/>
            </w:tcMar>
            <w:vAlign w:val="center"/>
          </w:tcPr>
          <w:p w14:paraId="35A09DB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sz w:val="21"/>
                <w:szCs w:val="21"/>
                <w:highlight w:val="none"/>
                <w:lang w:val="en-US" w:eastAsia="zh-CN"/>
              </w:rPr>
              <w:t>园区边界西侧下风向400m</w:t>
            </w:r>
          </w:p>
        </w:tc>
        <w:tc>
          <w:tcPr>
            <w:tcW w:w="480" w:type="dxa"/>
            <w:tcBorders>
              <w:tl2br w:val="nil"/>
              <w:tr2bl w:val="nil"/>
            </w:tcBorders>
            <w:shd w:val="clear" w:color="auto" w:fill="auto"/>
            <w:noWrap/>
            <w:tcMar>
              <w:top w:w="15" w:type="dxa"/>
              <w:left w:w="15" w:type="dxa"/>
              <w:right w:w="15" w:type="dxa"/>
            </w:tcMar>
            <w:vAlign w:val="center"/>
          </w:tcPr>
          <w:p w14:paraId="2C0CF3A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8.40</w:t>
            </w:r>
          </w:p>
        </w:tc>
        <w:tc>
          <w:tcPr>
            <w:tcW w:w="520" w:type="dxa"/>
            <w:tcBorders>
              <w:tl2br w:val="nil"/>
              <w:tr2bl w:val="nil"/>
            </w:tcBorders>
            <w:shd w:val="clear" w:color="auto" w:fill="auto"/>
            <w:noWrap/>
            <w:tcMar>
              <w:top w:w="15" w:type="dxa"/>
              <w:left w:w="15" w:type="dxa"/>
              <w:right w:w="15" w:type="dxa"/>
            </w:tcMar>
            <w:vAlign w:val="center"/>
          </w:tcPr>
          <w:p w14:paraId="05F2E59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25.8</w:t>
            </w:r>
          </w:p>
        </w:tc>
        <w:tc>
          <w:tcPr>
            <w:tcW w:w="574" w:type="dxa"/>
            <w:tcBorders>
              <w:tl2br w:val="nil"/>
              <w:tr2bl w:val="nil"/>
            </w:tcBorders>
            <w:shd w:val="clear" w:color="auto" w:fill="auto"/>
            <w:noWrap/>
            <w:tcMar>
              <w:top w:w="15" w:type="dxa"/>
              <w:left w:w="15" w:type="dxa"/>
              <w:right w:w="15" w:type="dxa"/>
            </w:tcMar>
            <w:vAlign w:val="center"/>
          </w:tcPr>
          <w:p w14:paraId="52C09C1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0.18</w:t>
            </w:r>
          </w:p>
        </w:tc>
        <w:tc>
          <w:tcPr>
            <w:tcW w:w="533" w:type="dxa"/>
            <w:tcBorders>
              <w:tl2br w:val="nil"/>
              <w:tr2bl w:val="nil"/>
            </w:tcBorders>
            <w:shd w:val="clear" w:color="auto" w:fill="auto"/>
            <w:noWrap/>
            <w:tcMar>
              <w:top w:w="15" w:type="dxa"/>
              <w:left w:w="15" w:type="dxa"/>
              <w:right w:w="15" w:type="dxa"/>
            </w:tcMar>
            <w:vAlign w:val="center"/>
          </w:tcPr>
          <w:p w14:paraId="12C523F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0.05</w:t>
            </w:r>
          </w:p>
        </w:tc>
        <w:tc>
          <w:tcPr>
            <w:tcW w:w="493" w:type="dxa"/>
            <w:tcBorders>
              <w:tl2br w:val="nil"/>
              <w:tr2bl w:val="nil"/>
            </w:tcBorders>
            <w:shd w:val="clear" w:color="auto" w:fill="auto"/>
            <w:noWrap/>
            <w:tcMar>
              <w:top w:w="15" w:type="dxa"/>
              <w:left w:w="15" w:type="dxa"/>
              <w:right w:w="15" w:type="dxa"/>
            </w:tcMar>
            <w:vAlign w:val="center"/>
          </w:tcPr>
          <w:p w14:paraId="7740A2B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36</w:t>
            </w:r>
          </w:p>
        </w:tc>
        <w:tc>
          <w:tcPr>
            <w:tcW w:w="440" w:type="dxa"/>
            <w:tcBorders>
              <w:tl2br w:val="nil"/>
              <w:tr2bl w:val="nil"/>
            </w:tcBorders>
            <w:shd w:val="clear" w:color="auto" w:fill="auto"/>
            <w:noWrap/>
            <w:tcMar>
              <w:top w:w="15" w:type="dxa"/>
              <w:left w:w="15" w:type="dxa"/>
              <w:right w:w="15" w:type="dxa"/>
            </w:tcMar>
            <w:vAlign w:val="center"/>
          </w:tcPr>
          <w:p w14:paraId="1525137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38</w:t>
            </w:r>
          </w:p>
        </w:tc>
        <w:tc>
          <w:tcPr>
            <w:tcW w:w="467" w:type="dxa"/>
            <w:tcBorders>
              <w:tl2br w:val="nil"/>
              <w:tr2bl w:val="nil"/>
            </w:tcBorders>
            <w:shd w:val="clear" w:color="auto" w:fill="auto"/>
            <w:noWrap/>
            <w:tcMar>
              <w:top w:w="15" w:type="dxa"/>
              <w:left w:w="15" w:type="dxa"/>
              <w:right w:w="15" w:type="dxa"/>
            </w:tcMar>
            <w:vAlign w:val="center"/>
          </w:tcPr>
          <w:p w14:paraId="3AF9B50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82</w:t>
            </w:r>
          </w:p>
        </w:tc>
        <w:tc>
          <w:tcPr>
            <w:tcW w:w="467" w:type="dxa"/>
            <w:tcBorders>
              <w:tl2br w:val="nil"/>
              <w:tr2bl w:val="nil"/>
            </w:tcBorders>
            <w:shd w:val="clear" w:color="auto" w:fill="auto"/>
            <w:noWrap/>
            <w:tcMar>
              <w:top w:w="15" w:type="dxa"/>
              <w:left w:w="15" w:type="dxa"/>
              <w:right w:w="15" w:type="dxa"/>
            </w:tcMar>
            <w:vAlign w:val="center"/>
          </w:tcPr>
          <w:p w14:paraId="46056C8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87</w:t>
            </w:r>
          </w:p>
        </w:tc>
        <w:tc>
          <w:tcPr>
            <w:tcW w:w="413" w:type="dxa"/>
            <w:tcBorders>
              <w:tl2br w:val="nil"/>
              <w:tr2bl w:val="nil"/>
            </w:tcBorders>
            <w:shd w:val="clear" w:color="auto" w:fill="auto"/>
            <w:noWrap/>
            <w:tcMar>
              <w:top w:w="15" w:type="dxa"/>
              <w:left w:w="15" w:type="dxa"/>
              <w:right w:w="15" w:type="dxa"/>
            </w:tcMar>
            <w:vAlign w:val="center"/>
          </w:tcPr>
          <w:p w14:paraId="53C7CE5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10.4</w:t>
            </w:r>
          </w:p>
        </w:tc>
        <w:tc>
          <w:tcPr>
            <w:tcW w:w="1062" w:type="dxa"/>
            <w:tcBorders>
              <w:tl2br w:val="nil"/>
              <w:tr2bl w:val="nil"/>
            </w:tcBorders>
            <w:shd w:val="clear" w:color="auto" w:fill="auto"/>
            <w:noWrap/>
            <w:tcMar>
              <w:top w:w="15" w:type="dxa"/>
              <w:left w:w="15" w:type="dxa"/>
              <w:right w:w="15" w:type="dxa"/>
            </w:tcMar>
            <w:vAlign w:val="center"/>
          </w:tcPr>
          <w:p w14:paraId="45999DA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2419B3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1046" w:type="dxa"/>
            <w:vMerge w:val="continue"/>
            <w:tcBorders>
              <w:tl2br w:val="nil"/>
              <w:tr2bl w:val="nil"/>
            </w:tcBorders>
            <w:shd w:val="clear" w:color="auto" w:fill="auto"/>
            <w:noWrap/>
            <w:tcMar>
              <w:top w:w="15" w:type="dxa"/>
              <w:left w:w="15" w:type="dxa"/>
              <w:right w:w="15" w:type="dxa"/>
            </w:tcMar>
            <w:vAlign w:val="center"/>
          </w:tcPr>
          <w:p w14:paraId="5E2E541A">
            <w:pPr>
              <w:spacing w:line="240" w:lineRule="auto"/>
              <w:jc w:val="center"/>
              <w:rPr>
                <w:rFonts w:hint="default" w:ascii="Times New Roman" w:hAnsi="Times New Roman" w:cs="Times New Roman"/>
                <w:color w:val="auto"/>
                <w:sz w:val="21"/>
                <w:szCs w:val="21"/>
                <w:highlight w:val="none"/>
              </w:rPr>
            </w:pPr>
          </w:p>
        </w:tc>
        <w:tc>
          <w:tcPr>
            <w:tcW w:w="2851" w:type="dxa"/>
            <w:gridSpan w:val="2"/>
            <w:tcBorders>
              <w:tl2br w:val="nil"/>
              <w:tr2bl w:val="nil"/>
            </w:tcBorders>
            <w:shd w:val="clear" w:color="auto" w:fill="auto"/>
            <w:noWrap/>
            <w:tcMar>
              <w:top w:w="15" w:type="dxa"/>
              <w:left w:w="15" w:type="dxa"/>
              <w:right w:w="15" w:type="dxa"/>
            </w:tcMar>
            <w:vAlign w:val="center"/>
          </w:tcPr>
          <w:p w14:paraId="25A921E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GB15618表1</w:t>
            </w:r>
            <w:r>
              <w:rPr>
                <w:rFonts w:hint="default" w:ascii="Times New Roman" w:hAnsi="Times New Roman" w:cs="Times New Roman"/>
                <w:color w:val="auto"/>
                <w:kern w:val="0"/>
                <w:sz w:val="21"/>
                <w:szCs w:val="21"/>
                <w:highlight w:val="none"/>
                <w:lang w:bidi="ar"/>
              </w:rPr>
              <w:t>其它</w:t>
            </w:r>
          </w:p>
        </w:tc>
        <w:tc>
          <w:tcPr>
            <w:tcW w:w="480" w:type="dxa"/>
            <w:tcBorders>
              <w:tl2br w:val="nil"/>
              <w:tr2bl w:val="nil"/>
            </w:tcBorders>
            <w:shd w:val="clear" w:color="auto" w:fill="auto"/>
            <w:noWrap/>
            <w:tcMar>
              <w:top w:w="15" w:type="dxa"/>
              <w:left w:w="15" w:type="dxa"/>
              <w:right w:w="15" w:type="dxa"/>
            </w:tcMar>
            <w:vAlign w:val="center"/>
          </w:tcPr>
          <w:p w14:paraId="63A72C2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p>
        </w:tc>
        <w:tc>
          <w:tcPr>
            <w:tcW w:w="520" w:type="dxa"/>
            <w:tcBorders>
              <w:tl2br w:val="nil"/>
              <w:tr2bl w:val="nil"/>
            </w:tcBorders>
            <w:shd w:val="clear" w:color="auto" w:fill="auto"/>
            <w:noWrap/>
            <w:tcMar>
              <w:top w:w="15" w:type="dxa"/>
              <w:left w:w="15" w:type="dxa"/>
              <w:right w:w="15" w:type="dxa"/>
            </w:tcMar>
            <w:vAlign w:val="center"/>
          </w:tcPr>
          <w:p w14:paraId="794D23E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170</w:t>
            </w:r>
          </w:p>
        </w:tc>
        <w:tc>
          <w:tcPr>
            <w:tcW w:w="574" w:type="dxa"/>
            <w:tcBorders>
              <w:tl2br w:val="nil"/>
              <w:tr2bl w:val="nil"/>
            </w:tcBorders>
            <w:shd w:val="clear" w:color="auto" w:fill="auto"/>
            <w:noWrap/>
            <w:tcMar>
              <w:top w:w="15" w:type="dxa"/>
              <w:left w:w="15" w:type="dxa"/>
              <w:right w:w="15" w:type="dxa"/>
            </w:tcMar>
            <w:vAlign w:val="center"/>
          </w:tcPr>
          <w:p w14:paraId="37A614D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3.4</w:t>
            </w:r>
          </w:p>
        </w:tc>
        <w:tc>
          <w:tcPr>
            <w:tcW w:w="533" w:type="dxa"/>
            <w:tcBorders>
              <w:tl2br w:val="nil"/>
              <w:tr2bl w:val="nil"/>
            </w:tcBorders>
            <w:shd w:val="clear" w:color="auto" w:fill="auto"/>
            <w:noWrap/>
            <w:tcMar>
              <w:top w:w="15" w:type="dxa"/>
              <w:left w:w="15" w:type="dxa"/>
              <w:right w:w="15" w:type="dxa"/>
            </w:tcMar>
            <w:vAlign w:val="center"/>
          </w:tcPr>
          <w:p w14:paraId="3ED3DE1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0.60</w:t>
            </w:r>
          </w:p>
        </w:tc>
        <w:tc>
          <w:tcPr>
            <w:tcW w:w="493" w:type="dxa"/>
            <w:tcBorders>
              <w:tl2br w:val="nil"/>
              <w:tr2bl w:val="nil"/>
            </w:tcBorders>
            <w:shd w:val="clear" w:color="auto" w:fill="auto"/>
            <w:noWrap/>
            <w:tcMar>
              <w:top w:w="15" w:type="dxa"/>
              <w:left w:w="15" w:type="dxa"/>
              <w:right w:w="15" w:type="dxa"/>
            </w:tcMar>
            <w:vAlign w:val="center"/>
          </w:tcPr>
          <w:p w14:paraId="49B0789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c>
          <w:tcPr>
            <w:tcW w:w="440" w:type="dxa"/>
            <w:tcBorders>
              <w:tl2br w:val="nil"/>
              <w:tr2bl w:val="nil"/>
            </w:tcBorders>
            <w:shd w:val="clear" w:color="auto" w:fill="auto"/>
            <w:noWrap/>
            <w:tcMar>
              <w:top w:w="15" w:type="dxa"/>
              <w:left w:w="15" w:type="dxa"/>
              <w:right w:w="15" w:type="dxa"/>
            </w:tcMar>
            <w:vAlign w:val="center"/>
          </w:tcPr>
          <w:p w14:paraId="119BD8B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190</w:t>
            </w:r>
          </w:p>
        </w:tc>
        <w:tc>
          <w:tcPr>
            <w:tcW w:w="467" w:type="dxa"/>
            <w:tcBorders>
              <w:tl2br w:val="nil"/>
              <w:tr2bl w:val="nil"/>
            </w:tcBorders>
            <w:shd w:val="clear" w:color="auto" w:fill="auto"/>
            <w:noWrap/>
            <w:tcMar>
              <w:top w:w="15" w:type="dxa"/>
              <w:left w:w="15" w:type="dxa"/>
              <w:right w:w="15" w:type="dxa"/>
            </w:tcMar>
            <w:vAlign w:val="center"/>
          </w:tcPr>
          <w:p w14:paraId="2FEC5A5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250</w:t>
            </w:r>
          </w:p>
        </w:tc>
        <w:tc>
          <w:tcPr>
            <w:tcW w:w="467" w:type="dxa"/>
            <w:tcBorders>
              <w:tl2br w:val="nil"/>
              <w:tr2bl w:val="nil"/>
            </w:tcBorders>
            <w:shd w:val="clear" w:color="auto" w:fill="auto"/>
            <w:noWrap/>
            <w:tcMar>
              <w:top w:w="15" w:type="dxa"/>
              <w:left w:w="15" w:type="dxa"/>
              <w:right w:w="15" w:type="dxa"/>
            </w:tcMar>
            <w:vAlign w:val="center"/>
          </w:tcPr>
          <w:p w14:paraId="269A673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300</w:t>
            </w:r>
          </w:p>
        </w:tc>
        <w:tc>
          <w:tcPr>
            <w:tcW w:w="413" w:type="dxa"/>
            <w:tcBorders>
              <w:tl2br w:val="nil"/>
              <w:tr2bl w:val="nil"/>
            </w:tcBorders>
            <w:shd w:val="clear" w:color="auto" w:fill="auto"/>
            <w:noWrap/>
            <w:tcMar>
              <w:top w:w="15" w:type="dxa"/>
              <w:left w:w="15" w:type="dxa"/>
              <w:right w:w="15" w:type="dxa"/>
            </w:tcMar>
            <w:vAlign w:val="center"/>
          </w:tcPr>
          <w:p w14:paraId="32EFD5E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w:t>
            </w:r>
          </w:p>
        </w:tc>
        <w:tc>
          <w:tcPr>
            <w:tcW w:w="1062" w:type="dxa"/>
            <w:tcBorders>
              <w:tl2br w:val="nil"/>
              <w:tr2bl w:val="nil"/>
            </w:tcBorders>
            <w:shd w:val="clear" w:color="auto" w:fill="auto"/>
            <w:noWrap/>
            <w:tcMar>
              <w:top w:w="15" w:type="dxa"/>
              <w:left w:w="15" w:type="dxa"/>
              <w:right w:w="15" w:type="dxa"/>
            </w:tcMar>
            <w:vAlign w:val="center"/>
          </w:tcPr>
          <w:p w14:paraId="1A2D596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p>
        </w:tc>
      </w:tr>
    </w:tbl>
    <w:p w14:paraId="3518EFF0">
      <w:pPr>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各点位重金属监测浓度散点分布图如下：</w:t>
      </w:r>
    </w:p>
    <w:tbl>
      <w:tblPr>
        <w:tblStyle w:val="22"/>
        <w:tblW w:w="88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26"/>
      </w:tblGrid>
      <w:tr w14:paraId="64FAF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247EE849">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4890135" cy="3839845"/>
                  <wp:effectExtent l="9525" t="0" r="22860" b="52070"/>
                  <wp:docPr id="1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30070FE">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图5-3-</w:t>
            </w:r>
            <w:r>
              <w:rPr>
                <w:rFonts w:hint="default" w:ascii="Times New Roman" w:hAnsi="Times New Roman" w:cs="Times New Roman"/>
                <w:b/>
                <w:bCs/>
                <w:color w:val="auto"/>
                <w:highlight w:val="none"/>
                <w:lang w:val="en-US" w:eastAsia="zh-CN"/>
              </w:rPr>
              <w:t>3</w:t>
            </w:r>
            <w:r>
              <w:rPr>
                <w:rFonts w:hint="default" w:ascii="Times New Roman" w:hAnsi="Times New Roman" w:cs="Times New Roman"/>
                <w:b/>
                <w:bCs/>
                <w:color w:val="auto"/>
                <w:highlight w:val="none"/>
              </w:rPr>
              <w:t xml:space="preserve"> 铅指标分布情况图</w:t>
            </w:r>
          </w:p>
        </w:tc>
      </w:tr>
      <w:tr w14:paraId="7D971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512678F5">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4890135" cy="3906520"/>
                  <wp:effectExtent l="9525" t="0" r="22860" b="46355"/>
                  <wp:docPr id="1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2E10E6D">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图5-3-4</w:t>
            </w:r>
            <w:r>
              <w:rPr>
                <w:rFonts w:hint="default" w:ascii="Times New Roman" w:hAnsi="Times New Roman" w:cs="Times New Roman"/>
                <w:b/>
                <w:bCs/>
                <w:color w:val="auto"/>
                <w:highlight w:val="none"/>
                <w:lang w:val="en-US" w:eastAsia="zh-CN"/>
              </w:rPr>
              <w:t xml:space="preserve"> </w:t>
            </w:r>
            <w:r>
              <w:rPr>
                <w:rFonts w:hint="default" w:ascii="Times New Roman" w:hAnsi="Times New Roman" w:cs="Times New Roman"/>
                <w:b/>
                <w:bCs/>
                <w:color w:val="auto"/>
                <w:highlight w:val="none"/>
              </w:rPr>
              <w:t>汞指标分布情况图</w:t>
            </w:r>
          </w:p>
        </w:tc>
      </w:tr>
      <w:tr w14:paraId="22E96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61744C9D">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4890135" cy="3839845"/>
                  <wp:effectExtent l="9525" t="0" r="22860" b="52070"/>
                  <wp:docPr id="19"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B32B7E3">
            <w:pPr>
              <w:pStyle w:val="2"/>
              <w:spacing w:after="0" w:line="240" w:lineRule="auto"/>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图5-3-</w:t>
            </w:r>
            <w:r>
              <w:rPr>
                <w:rFonts w:hint="default" w:ascii="Times New Roman" w:hAnsi="Times New Roman" w:cs="Times New Roman"/>
                <w:b/>
                <w:bCs/>
                <w:color w:val="auto"/>
                <w:highlight w:val="none"/>
                <w:lang w:val="en-US" w:eastAsia="zh-CN"/>
              </w:rPr>
              <w:t xml:space="preserve">5 </w:t>
            </w:r>
            <w:r>
              <w:rPr>
                <w:rFonts w:hint="default" w:ascii="Times New Roman" w:hAnsi="Times New Roman" w:cs="Times New Roman"/>
                <w:b/>
                <w:bCs/>
                <w:color w:val="auto"/>
                <w:highlight w:val="none"/>
              </w:rPr>
              <w:t>钴指标分布情况图</w:t>
            </w:r>
          </w:p>
        </w:tc>
      </w:tr>
      <w:tr w14:paraId="5512D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45ED9EF6">
            <w:pPr>
              <w:pStyle w:val="2"/>
              <w:spacing w:after="0" w:line="240" w:lineRule="auto"/>
              <w:jc w:val="center"/>
              <w:rPr>
                <w:rFonts w:hint="default" w:ascii="Times New Roman" w:hAnsi="Times New Roman" w:cs="Times New Roman"/>
                <w:b/>
                <w:bCs/>
                <w:color w:val="auto"/>
                <w:highlight w:val="none"/>
              </w:rPr>
            </w:pPr>
            <w:r>
              <w:rPr>
                <w:rFonts w:hint="default" w:ascii="Times New Roman" w:hAnsi="Times New Roman" w:cs="Times New Roman"/>
                <w:color w:val="auto"/>
                <w:highlight w:val="none"/>
              </w:rPr>
              <w:drawing>
                <wp:inline distT="0" distB="0" distL="114300" distR="114300">
                  <wp:extent cx="4890135" cy="3839845"/>
                  <wp:effectExtent l="9525" t="0" r="22860" b="52070"/>
                  <wp:docPr id="20"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BAE1231">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图5-3-6 镉指标分布情况图</w:t>
            </w:r>
          </w:p>
        </w:tc>
      </w:tr>
      <w:tr w14:paraId="61167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03904E06">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4890135" cy="3839845"/>
                  <wp:effectExtent l="9525" t="0" r="22860" b="52070"/>
                  <wp:docPr id="2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D9E49C5">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图5-3-</w:t>
            </w:r>
            <w:r>
              <w:rPr>
                <w:rFonts w:hint="default" w:ascii="Times New Roman" w:hAnsi="Times New Roman" w:cs="Times New Roman"/>
                <w:b/>
                <w:bCs/>
                <w:color w:val="auto"/>
                <w:highlight w:val="none"/>
                <w:lang w:val="en-US" w:eastAsia="zh-CN"/>
              </w:rPr>
              <w:t xml:space="preserve">7 </w:t>
            </w:r>
            <w:r>
              <w:rPr>
                <w:rFonts w:hint="default" w:ascii="Times New Roman" w:hAnsi="Times New Roman" w:cs="Times New Roman"/>
                <w:b/>
                <w:bCs/>
                <w:color w:val="auto"/>
                <w:highlight w:val="none"/>
              </w:rPr>
              <w:t>铜指标分布情况图</w:t>
            </w:r>
          </w:p>
        </w:tc>
      </w:tr>
      <w:tr w14:paraId="236DF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62E95138">
            <w:pPr>
              <w:pStyle w:val="2"/>
              <w:spacing w:after="0" w:line="240" w:lineRule="auto"/>
              <w:jc w:val="center"/>
              <w:rPr>
                <w:rFonts w:hint="default" w:ascii="Times New Roman" w:hAnsi="Times New Roman" w:cs="Times New Roman"/>
                <w:b/>
                <w:bCs/>
                <w:color w:val="auto"/>
                <w:highlight w:val="none"/>
              </w:rPr>
            </w:pPr>
            <w:r>
              <w:rPr>
                <w:rFonts w:hint="default" w:ascii="Times New Roman" w:hAnsi="Times New Roman" w:cs="Times New Roman"/>
                <w:color w:val="auto"/>
                <w:highlight w:val="none"/>
              </w:rPr>
              <w:drawing>
                <wp:inline distT="0" distB="0" distL="114300" distR="114300">
                  <wp:extent cx="4890135" cy="3839845"/>
                  <wp:effectExtent l="9525" t="0" r="22860" b="52070"/>
                  <wp:docPr id="2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536A316">
            <w:pPr>
              <w:pStyle w:val="2"/>
              <w:spacing w:after="0" w:line="240" w:lineRule="auto"/>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图5-3-</w:t>
            </w:r>
            <w:r>
              <w:rPr>
                <w:rFonts w:hint="default" w:ascii="Times New Roman" w:hAnsi="Times New Roman" w:cs="Times New Roman"/>
                <w:b/>
                <w:bCs/>
                <w:color w:val="auto"/>
                <w:highlight w:val="none"/>
                <w:lang w:val="en-US" w:eastAsia="zh-CN"/>
              </w:rPr>
              <w:t>8</w:t>
            </w:r>
            <w:r>
              <w:rPr>
                <w:rFonts w:hint="default" w:ascii="Times New Roman" w:hAnsi="Times New Roman" w:cs="Times New Roman"/>
                <w:b/>
                <w:bCs/>
                <w:color w:val="auto"/>
                <w:highlight w:val="none"/>
              </w:rPr>
              <w:t xml:space="preserve"> 镍指标分布情况图</w:t>
            </w:r>
          </w:p>
        </w:tc>
      </w:tr>
      <w:tr w14:paraId="5793F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00F9AEFB">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4890135" cy="3839845"/>
                  <wp:effectExtent l="9525" t="0" r="22860" b="52070"/>
                  <wp:docPr id="22"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2C8CC71E">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图5-3-</w:t>
            </w:r>
            <w:r>
              <w:rPr>
                <w:rFonts w:hint="default" w:ascii="Times New Roman" w:hAnsi="Times New Roman" w:cs="Times New Roman"/>
                <w:b/>
                <w:bCs/>
                <w:color w:val="auto"/>
                <w:highlight w:val="none"/>
                <w:lang w:val="en-US" w:eastAsia="zh-CN"/>
              </w:rPr>
              <w:t>9</w:t>
            </w:r>
            <w:r>
              <w:rPr>
                <w:rFonts w:hint="default" w:ascii="Times New Roman" w:hAnsi="Times New Roman" w:cs="Times New Roman"/>
                <w:b/>
                <w:bCs/>
                <w:color w:val="auto"/>
                <w:highlight w:val="none"/>
              </w:rPr>
              <w:t xml:space="preserve"> 铬指标分布情况图</w:t>
            </w:r>
          </w:p>
        </w:tc>
      </w:tr>
      <w:tr w14:paraId="31EE6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253C3451">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4890135" cy="3839845"/>
                  <wp:effectExtent l="9525" t="0" r="22860" b="52070"/>
                  <wp:docPr id="2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625E069">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图5-3-1</w:t>
            </w:r>
            <w:r>
              <w:rPr>
                <w:rFonts w:hint="default" w:ascii="Times New Roman" w:hAnsi="Times New Roman" w:cs="Times New Roman"/>
                <w:b/>
                <w:bCs/>
                <w:color w:val="auto"/>
                <w:highlight w:val="none"/>
                <w:lang w:val="en-US" w:eastAsia="zh-CN"/>
              </w:rPr>
              <w:t xml:space="preserve">0 </w:t>
            </w:r>
            <w:r>
              <w:rPr>
                <w:rFonts w:hint="default" w:ascii="Times New Roman" w:hAnsi="Times New Roman" w:cs="Times New Roman"/>
                <w:b/>
                <w:bCs/>
                <w:color w:val="auto"/>
                <w:highlight w:val="none"/>
              </w:rPr>
              <w:t>砷指标分布情况图</w:t>
            </w:r>
          </w:p>
        </w:tc>
      </w:tr>
      <w:tr w14:paraId="752AC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125D39BB">
            <w:pPr>
              <w:pStyle w:val="2"/>
              <w:spacing w:after="0" w:line="240" w:lineRule="auto"/>
              <w:jc w:val="center"/>
              <w:rPr>
                <w:rFonts w:hint="default" w:ascii="Times New Roman" w:hAnsi="Times New Roman" w:cs="Times New Roman"/>
                <w:b/>
                <w:bCs/>
                <w:color w:val="auto"/>
                <w:highlight w:val="none"/>
              </w:rPr>
            </w:pPr>
            <w:r>
              <w:rPr>
                <w:rFonts w:hint="default" w:ascii="Times New Roman" w:hAnsi="Times New Roman" w:cs="Times New Roman"/>
                <w:color w:val="auto"/>
                <w:highlight w:val="none"/>
              </w:rPr>
              <w:drawing>
                <wp:inline distT="0" distB="0" distL="114300" distR="114300">
                  <wp:extent cx="4890135" cy="3839845"/>
                  <wp:effectExtent l="9525" t="0" r="22860" b="52070"/>
                  <wp:docPr id="2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268B43B">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图5-3-11</w:t>
            </w:r>
            <w:r>
              <w:rPr>
                <w:rFonts w:hint="default" w:ascii="Times New Roman" w:hAnsi="Times New Roman" w:cs="Times New Roman"/>
                <w:b/>
                <w:bCs/>
                <w:color w:val="auto"/>
                <w:highlight w:val="none"/>
                <w:lang w:val="en-US" w:eastAsia="zh-CN"/>
              </w:rPr>
              <w:t xml:space="preserve"> </w:t>
            </w:r>
            <w:r>
              <w:rPr>
                <w:rFonts w:hint="default" w:ascii="Times New Roman" w:hAnsi="Times New Roman" w:cs="Times New Roman"/>
                <w:b/>
                <w:bCs/>
                <w:color w:val="auto"/>
                <w:highlight w:val="none"/>
              </w:rPr>
              <w:t>钼指标分布情况图</w:t>
            </w:r>
          </w:p>
        </w:tc>
      </w:tr>
      <w:tr w14:paraId="0DCA8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5489AD72">
            <w:pPr>
              <w:pStyle w:val="2"/>
              <w:spacing w:after="0" w:line="240" w:lineRule="auto"/>
              <w:jc w:val="center"/>
              <w:rPr>
                <w:rFonts w:hint="default" w:ascii="Times New Roman" w:hAnsi="Times New Roman" w:cs="Times New Roman"/>
                <w:b/>
                <w:bCs/>
                <w:color w:val="auto"/>
                <w:highlight w:val="none"/>
              </w:rPr>
            </w:pPr>
            <w:r>
              <w:rPr>
                <w:rFonts w:hint="default" w:ascii="Times New Roman" w:hAnsi="Times New Roman" w:cs="Times New Roman"/>
                <w:color w:val="auto"/>
                <w:highlight w:val="none"/>
              </w:rPr>
              <w:drawing>
                <wp:inline distT="0" distB="0" distL="114300" distR="114300">
                  <wp:extent cx="4890135" cy="3839845"/>
                  <wp:effectExtent l="9525" t="0" r="22860" b="52070"/>
                  <wp:docPr id="25"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A97F24E">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图5-3-1</w:t>
            </w:r>
            <w:r>
              <w:rPr>
                <w:rFonts w:hint="default" w:ascii="Times New Roman" w:hAnsi="Times New Roman" w:cs="Times New Roman"/>
                <w:b/>
                <w:bCs/>
                <w:color w:val="auto"/>
                <w:highlight w:val="none"/>
                <w:lang w:val="en-US" w:eastAsia="zh-CN"/>
              </w:rPr>
              <w:t xml:space="preserve">2 </w:t>
            </w:r>
            <w:r>
              <w:rPr>
                <w:rFonts w:hint="default" w:ascii="Times New Roman" w:hAnsi="Times New Roman" w:cs="Times New Roman"/>
                <w:b/>
                <w:bCs/>
                <w:color w:val="auto"/>
                <w:highlight w:val="none"/>
              </w:rPr>
              <w:t>锑指标分布情况图</w:t>
            </w:r>
          </w:p>
        </w:tc>
      </w:tr>
      <w:tr w14:paraId="30FCA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826" w:type="dxa"/>
            <w:tcBorders>
              <w:tl2br w:val="nil"/>
              <w:tr2bl w:val="nil"/>
            </w:tcBorders>
            <w:vAlign w:val="center"/>
          </w:tcPr>
          <w:p w14:paraId="5A852013">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4890135" cy="3868420"/>
                  <wp:effectExtent l="9525" t="0" r="22860" b="53975"/>
                  <wp:docPr id="2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5766C856">
            <w:pPr>
              <w:pStyle w:val="2"/>
              <w:spacing w:after="0" w:line="240" w:lineRule="auto"/>
              <w:jc w:val="left"/>
              <w:rPr>
                <w:rFonts w:hint="default" w:ascii="Times New Roman" w:hAnsi="Times New Roman" w:cs="Times New Roman"/>
                <w:color w:val="auto"/>
                <w:highlight w:val="none"/>
              </w:rPr>
            </w:pPr>
            <w:r>
              <w:rPr>
                <w:rFonts w:hint="default" w:ascii="Times New Roman" w:hAnsi="Times New Roman" w:cs="Times New Roman"/>
                <w:b/>
                <w:bCs/>
                <w:color w:val="auto"/>
                <w:sz w:val="18"/>
                <w:szCs w:val="18"/>
                <w:highlight w:val="none"/>
                <w:lang w:val="en-US" w:eastAsia="zh-CN"/>
              </w:rPr>
              <w:t>①</w:t>
            </w:r>
            <w:r>
              <w:rPr>
                <w:rFonts w:hint="default" w:ascii="Times New Roman" w:hAnsi="Times New Roman" w:cs="Times New Roman"/>
                <w:b/>
                <w:bCs/>
                <w:color w:val="auto"/>
                <w:sz w:val="18"/>
                <w:szCs w:val="18"/>
                <w:highlight w:val="none"/>
              </w:rPr>
              <w:t>指标“锌”为农用地特有的污染物项目指标，故图中只展现参考G15618的点位的检测值分布情况。</w:t>
            </w:r>
          </w:p>
          <w:p w14:paraId="39E0B744">
            <w:pPr>
              <w:pStyle w:val="2"/>
              <w:spacing w:after="0"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图5-3-1</w:t>
            </w:r>
            <w:r>
              <w:rPr>
                <w:rFonts w:hint="default" w:ascii="Times New Roman" w:hAnsi="Times New Roman" w:cs="Times New Roman"/>
                <w:b/>
                <w:bCs/>
                <w:color w:val="auto"/>
                <w:highlight w:val="none"/>
                <w:lang w:val="en-US" w:eastAsia="zh-CN"/>
              </w:rPr>
              <w:t>3</w:t>
            </w:r>
            <w:r>
              <w:rPr>
                <w:rFonts w:hint="default" w:ascii="Times New Roman" w:hAnsi="Times New Roman" w:cs="Times New Roman"/>
                <w:b/>
                <w:bCs/>
                <w:color w:val="auto"/>
                <w:highlight w:val="none"/>
              </w:rPr>
              <w:t xml:space="preserve"> 锌指标分布情况图</w:t>
            </w:r>
          </w:p>
        </w:tc>
      </w:tr>
    </w:tbl>
    <w:p w14:paraId="1C36EC0B">
      <w:pPr>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由各点位重金属监测浓度散点分布图可知，园区内各测试项目检测值中，下列点位的对应</w:t>
      </w:r>
      <w:r>
        <w:rPr>
          <w:rFonts w:hint="default" w:ascii="Times New Roman" w:hAnsi="Times New Roman" w:cs="Times New Roman"/>
          <w:color w:val="auto"/>
          <w:highlight w:val="none"/>
          <w:lang w:val="en-US" w:eastAsia="zh-CN"/>
        </w:rPr>
        <w:t>测试项目检测值较其它点位</w:t>
      </w:r>
      <w:r>
        <w:rPr>
          <w:rFonts w:hint="default" w:ascii="Times New Roman" w:hAnsi="Times New Roman" w:cs="Times New Roman"/>
          <w:color w:val="auto"/>
          <w:highlight w:val="none"/>
        </w:rPr>
        <w:t>高于该指标平均值：①XM-2-75：铅；②XM-2-200：镍；③XM-4：镍、锑；④XM-JJ-1：汞；⑤XM-JJ-4：铜、砷、锑。根据表5-3-3，除①XM-2-75：铅；②XM-2-200：镍；③XM-JJ-1：汞；④XM-JJ-4：铜高于调查区域背景值外，</w:t>
      </w:r>
      <w:r>
        <w:rPr>
          <w:rFonts w:hint="default" w:ascii="Times New Roman" w:hAnsi="Times New Roman" w:cs="Times New Roman"/>
          <w:color w:val="auto"/>
          <w:highlight w:val="none"/>
          <w:lang w:val="en-US" w:eastAsia="zh-CN"/>
        </w:rPr>
        <w:t>其它</w:t>
      </w:r>
      <w:r>
        <w:rPr>
          <w:rFonts w:hint="default" w:ascii="Times New Roman" w:hAnsi="Times New Roman" w:cs="Times New Roman"/>
          <w:color w:val="auto"/>
          <w:highlight w:val="none"/>
        </w:rPr>
        <w:t>高于平均值的点位的污染项目指标均低于调查区域背景值。其余点位各项污染项目监测值差别较小。</w:t>
      </w:r>
    </w:p>
    <w:p w14:paraId="2E8B9480">
      <w:pPr>
        <w:ind w:firstLine="42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（4）挥发性有机物和半挥发性有机物</w:t>
      </w:r>
    </w:p>
    <w:p w14:paraId="5DA41349">
      <w:p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基于《土壤环境质量建设用地土壤污染风险管控标准（试行）》的基本项目要求，送检的土壤样品均进行</w:t>
      </w:r>
      <w:r>
        <w:rPr>
          <w:rFonts w:hint="default" w:ascii="Times New Roman" w:hAnsi="Times New Roman" w:cs="Times New Roman"/>
          <w:color w:val="auto"/>
          <w:kern w:val="0"/>
          <w:highlight w:val="none"/>
        </w:rPr>
        <w:t>了GB36600基本项目中27项挥发性有机物和11项半挥发性有</w:t>
      </w:r>
      <w:r>
        <w:rPr>
          <w:rFonts w:hint="default" w:ascii="Times New Roman" w:hAnsi="Times New Roman" w:cs="Times New Roman"/>
          <w:color w:val="auto"/>
          <w:highlight w:val="none"/>
        </w:rPr>
        <w:t>机物的检测，并根据园区特点增测了特征污染物：石油烃（</w:t>
      </w:r>
      <w:r>
        <w:rPr>
          <w:rFonts w:hint="default" w:ascii="Times New Roman" w:hAnsi="Times New Roman" w:cs="Times New Roman"/>
          <w:color w:val="auto"/>
          <w:kern w:val="0"/>
          <w:highlight w:val="none"/>
        </w:rPr>
        <w:t>C</w:t>
      </w:r>
      <w:r>
        <w:rPr>
          <w:rFonts w:hint="default" w:ascii="Times New Roman" w:hAnsi="Times New Roman" w:cs="Times New Roman"/>
          <w:color w:val="auto"/>
          <w:kern w:val="0"/>
          <w:highlight w:val="none"/>
          <w:vertAlign w:val="subscript"/>
        </w:rPr>
        <w:t>10</w:t>
      </w:r>
      <w:r>
        <w:rPr>
          <w:rFonts w:hint="default" w:ascii="Times New Roman" w:hAnsi="Times New Roman" w:cs="Times New Roman"/>
          <w:color w:val="auto"/>
          <w:kern w:val="0"/>
          <w:highlight w:val="none"/>
        </w:rPr>
        <w:t>-C</w:t>
      </w:r>
      <w:r>
        <w:rPr>
          <w:rFonts w:hint="default" w:ascii="Times New Roman" w:hAnsi="Times New Roman" w:cs="Times New Roman"/>
          <w:color w:val="auto"/>
          <w:kern w:val="0"/>
          <w:highlight w:val="none"/>
          <w:vertAlign w:val="subscript"/>
        </w:rPr>
        <w:t>40</w:t>
      </w:r>
      <w:r>
        <w:rPr>
          <w:rFonts w:hint="default" w:ascii="Times New Roman" w:hAnsi="Times New Roman" w:cs="Times New Roman"/>
          <w:color w:val="auto"/>
          <w:highlight w:val="none"/>
        </w:rPr>
        <w:t>）、苯酚、</w:t>
      </w:r>
      <w:r>
        <w:rPr>
          <w:rFonts w:hint="default" w:ascii="Times New Roman" w:hAnsi="Times New Roman" w:cs="Times New Roman"/>
          <w:color w:val="auto"/>
          <w:highlight w:val="none"/>
          <w:lang w:eastAsia="zh-CN"/>
        </w:rPr>
        <w:t>2-甲基苯酚</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4-甲基苯酚</w:t>
      </w:r>
      <w:r>
        <w:rPr>
          <w:rFonts w:hint="default" w:ascii="Times New Roman" w:hAnsi="Times New Roman" w:cs="Times New Roman"/>
          <w:color w:val="auto"/>
          <w:highlight w:val="none"/>
        </w:rPr>
        <w:t>、二硫化碳、1,2,4-三甲基苯、1,3,5-三甲基苯</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二噁英</w:t>
      </w:r>
      <w:r>
        <w:rPr>
          <w:rFonts w:hint="default" w:ascii="Times New Roman" w:hAnsi="Times New Roman" w:cs="Times New Roman"/>
          <w:color w:val="auto"/>
          <w:highlight w:val="none"/>
        </w:rPr>
        <w:t>。</w:t>
      </w:r>
    </w:p>
    <w:p w14:paraId="0EAE9F50">
      <w:p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监测报告显示：园区内所有14个土壤样品（不含质控样品）中除XM-JJ-</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点位的挥发性有机物</w:t>
      </w:r>
      <w:r>
        <w:rPr>
          <w:rFonts w:hint="default" w:ascii="Times New Roman" w:hAnsi="Times New Roman" w:cs="Times New Roman"/>
          <w:color w:val="auto"/>
          <w:highlight w:val="none"/>
          <w:lang w:val="en-US" w:eastAsia="zh-CN"/>
        </w:rPr>
        <w:t>邻-二甲苯、</w:t>
      </w:r>
      <w:r>
        <w:rPr>
          <w:rFonts w:hint="default" w:ascii="Times New Roman" w:hAnsi="Times New Roman" w:cs="Times New Roman"/>
          <w:color w:val="auto"/>
          <w:highlight w:val="none"/>
        </w:rPr>
        <w:t>XM-JJ-1点位的挥发性有机物甲苯、间-二甲苯和对-二甲苯、苯乙烯有检出以外，其它样品的挥发性有机物和半挥发性有机物均未检出，检出样品XM-JJ-1的甲苯浓度为0.06 mg/kg＜1 mg/kg（GB36600-2018第一类用地筛选值），间-二甲苯和对-二甲苯浓度为0.19 mg/kg＜163 mg/kg（GB36600-2018第一类用地筛选值），苯乙烯浓度为0.9 mg/kg＜1290 mg/kg（GB36600-2018第一类用地筛选值）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检出样品XM-JJ-</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的</w:t>
      </w:r>
      <w:r>
        <w:rPr>
          <w:rFonts w:hint="default" w:ascii="Times New Roman" w:hAnsi="Times New Roman" w:cs="Times New Roman"/>
          <w:color w:val="auto"/>
          <w:highlight w:val="none"/>
          <w:lang w:val="en-US" w:eastAsia="zh-CN"/>
        </w:rPr>
        <w:t>邻-二甲苯浓度为0.05</w:t>
      </w:r>
      <w:r>
        <w:rPr>
          <w:rFonts w:hint="default" w:ascii="Times New Roman" w:hAnsi="Times New Roman" w:cs="Times New Roman"/>
          <w:color w:val="auto"/>
          <w:highlight w:val="none"/>
        </w:rPr>
        <w:t>mg/kg＜</w:t>
      </w:r>
      <w:r>
        <w:rPr>
          <w:rFonts w:hint="default" w:ascii="Times New Roman" w:hAnsi="Times New Roman" w:cs="Times New Roman"/>
          <w:color w:val="auto"/>
          <w:highlight w:val="none"/>
          <w:lang w:val="en-US" w:eastAsia="zh-CN"/>
        </w:rPr>
        <w:t>222</w:t>
      </w:r>
      <w:r>
        <w:rPr>
          <w:rFonts w:hint="default" w:ascii="Times New Roman" w:hAnsi="Times New Roman" w:cs="Times New Roman"/>
          <w:color w:val="auto"/>
          <w:highlight w:val="none"/>
        </w:rPr>
        <w:t>mg/kg（GB36600-2018第一类用地筛选值），因此，所有送检</w:t>
      </w:r>
      <w:r>
        <w:rPr>
          <w:rFonts w:hint="default" w:ascii="Times New Roman" w:hAnsi="Times New Roman" w:cs="Times New Roman"/>
          <w:color w:val="auto"/>
          <w:highlight w:val="none"/>
          <w:lang w:val="en-US" w:eastAsia="zh-CN"/>
        </w:rPr>
        <w:t>土壤</w:t>
      </w:r>
      <w:r>
        <w:rPr>
          <w:rFonts w:hint="default" w:ascii="Times New Roman" w:hAnsi="Times New Roman" w:cs="Times New Roman"/>
          <w:color w:val="auto"/>
          <w:highlight w:val="none"/>
        </w:rPr>
        <w:t>样品的挥发性有机物和半挥发性有机物浓度可满足《土壤环境质量建设用地土壤污染风险管控标准（试行）》（GB36600-2018）中“第一类用地筛选值”要求。</w:t>
      </w:r>
    </w:p>
    <w:p w14:paraId="4199AF6C">
      <w:pPr>
        <w:ind w:firstLine="42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（5）二噁英</w:t>
      </w:r>
    </w:p>
    <w:p w14:paraId="6B7E34B6">
      <w:pPr>
        <w:pStyle w:val="2"/>
        <w:autoSpaceDE w:val="0"/>
        <w:spacing w:after="0"/>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已建成企业聚集区</w:t>
      </w:r>
      <w:r>
        <w:rPr>
          <w:rFonts w:hint="default" w:ascii="Times New Roman" w:hAnsi="Times New Roman" w:cs="Times New Roman"/>
          <w:color w:val="auto"/>
          <w:highlight w:val="none"/>
        </w:rPr>
        <w:t>点位XM-JJ-4增测污染物项目二噁英，毒性当量为2.8×10</w:t>
      </w:r>
      <w:r>
        <w:rPr>
          <w:rFonts w:hint="default" w:ascii="Times New Roman" w:hAnsi="Times New Roman" w:cs="Times New Roman"/>
          <w:color w:val="auto"/>
          <w:highlight w:val="none"/>
          <w:vertAlign w:val="superscript"/>
        </w:rPr>
        <w:t>-</w:t>
      </w:r>
      <w:r>
        <w:rPr>
          <w:rFonts w:hint="default" w:ascii="Times New Roman" w:hAnsi="Times New Roman" w:cs="Times New Roman"/>
          <w:color w:val="auto"/>
          <w:highlight w:val="none"/>
          <w:vertAlign w:val="superscript"/>
          <w:lang w:val="en-US" w:eastAsia="zh-CN"/>
        </w:rPr>
        <w:t>9</w:t>
      </w:r>
      <w:r>
        <w:rPr>
          <w:rFonts w:hint="default" w:ascii="Times New Roman" w:hAnsi="Times New Roman" w:cs="Times New Roman"/>
          <w:color w:val="auto"/>
          <w:highlight w:val="none"/>
          <w:lang w:val="en-US" w:eastAsia="zh-CN"/>
        </w:rPr>
        <w:t>TEQn</w:t>
      </w:r>
      <w:r>
        <w:rPr>
          <w:rFonts w:hint="default" w:ascii="Times New Roman" w:hAnsi="Times New Roman" w:cs="Times New Roman"/>
          <w:color w:val="auto"/>
          <w:highlight w:val="none"/>
        </w:rPr>
        <w:t>g/kg＜</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×10</w:t>
      </w:r>
      <w:r>
        <w:rPr>
          <w:rFonts w:hint="default" w:ascii="Times New Roman" w:hAnsi="Times New Roman" w:cs="Times New Roman"/>
          <w:color w:val="auto"/>
          <w:highlight w:val="none"/>
          <w:vertAlign w:val="superscript"/>
        </w:rPr>
        <w:t>-5</w:t>
      </w:r>
      <w:r>
        <w:rPr>
          <w:rFonts w:hint="default" w:ascii="Times New Roman" w:hAnsi="Times New Roman" w:cs="Times New Roman"/>
          <w:color w:val="auto"/>
          <w:highlight w:val="none"/>
        </w:rPr>
        <w:t>mg/kg（GB36600-2018第一类用地筛选值），可满足《土壤环境质量建设用地土壤污染风险管控标准（试行）》（GB36600-2018）中“第一类用地筛选值”要求。</w:t>
      </w:r>
    </w:p>
    <w:p w14:paraId="49E4FDF9">
      <w:pPr>
        <w:ind w:firstLine="42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（6）石油烃（C</w:t>
      </w:r>
      <w:r>
        <w:rPr>
          <w:rFonts w:hint="default" w:ascii="Times New Roman" w:hAnsi="Times New Roman" w:cs="Times New Roman"/>
          <w:b/>
          <w:bCs/>
          <w:color w:val="auto"/>
          <w:highlight w:val="none"/>
          <w:vertAlign w:val="subscript"/>
        </w:rPr>
        <w:t>10</w:t>
      </w:r>
      <w:r>
        <w:rPr>
          <w:rFonts w:hint="default" w:ascii="Times New Roman" w:hAnsi="Times New Roman" w:cs="Times New Roman"/>
          <w:b/>
          <w:bCs/>
          <w:color w:val="auto"/>
          <w:highlight w:val="none"/>
        </w:rPr>
        <w:t>-C</w:t>
      </w:r>
      <w:r>
        <w:rPr>
          <w:rFonts w:hint="default" w:ascii="Times New Roman" w:hAnsi="Times New Roman" w:cs="Times New Roman"/>
          <w:b/>
          <w:bCs/>
          <w:color w:val="auto"/>
          <w:highlight w:val="none"/>
          <w:vertAlign w:val="subscript"/>
        </w:rPr>
        <w:t>40</w:t>
      </w:r>
      <w:r>
        <w:rPr>
          <w:rFonts w:hint="default" w:ascii="Times New Roman" w:hAnsi="Times New Roman" w:cs="Times New Roman"/>
          <w:b/>
          <w:bCs/>
          <w:color w:val="auto"/>
          <w:highlight w:val="none"/>
        </w:rPr>
        <w:t>）</w:t>
      </w:r>
    </w:p>
    <w:p w14:paraId="07072971">
      <w:pPr>
        <w:pStyle w:val="2"/>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调查范围内14个土壤样品（不含质控样品）全部送检</w:t>
      </w:r>
      <w:r>
        <w:rPr>
          <w:rFonts w:hint="default" w:ascii="Times New Roman" w:hAnsi="Times New Roman" w:cs="Times New Roman"/>
          <w:b w:val="0"/>
          <w:bCs w:val="0"/>
          <w:color w:val="auto"/>
          <w:highlight w:val="none"/>
        </w:rPr>
        <w:t>石油烃（C</w:t>
      </w:r>
      <w:r>
        <w:rPr>
          <w:rFonts w:hint="default" w:ascii="Times New Roman" w:hAnsi="Times New Roman" w:cs="Times New Roman"/>
          <w:b w:val="0"/>
          <w:bCs w:val="0"/>
          <w:color w:val="auto"/>
          <w:highlight w:val="none"/>
          <w:vertAlign w:val="subscript"/>
        </w:rPr>
        <w:t>10</w:t>
      </w:r>
      <w:r>
        <w:rPr>
          <w:rFonts w:hint="default" w:ascii="Times New Roman" w:hAnsi="Times New Roman" w:cs="Times New Roman"/>
          <w:b w:val="0"/>
          <w:bCs w:val="0"/>
          <w:color w:val="auto"/>
          <w:highlight w:val="none"/>
        </w:rPr>
        <w:t>-C</w:t>
      </w:r>
      <w:r>
        <w:rPr>
          <w:rFonts w:hint="default" w:ascii="Times New Roman" w:hAnsi="Times New Roman" w:cs="Times New Roman"/>
          <w:b w:val="0"/>
          <w:bCs w:val="0"/>
          <w:color w:val="auto"/>
          <w:highlight w:val="none"/>
          <w:vertAlign w:val="subscript"/>
        </w:rPr>
        <w:t>40</w:t>
      </w:r>
      <w:r>
        <w:rPr>
          <w:rFonts w:hint="default" w:ascii="Times New Roman" w:hAnsi="Times New Roman" w:cs="Times New Roman"/>
          <w:b w:val="0"/>
          <w:bCs w:val="0"/>
          <w:color w:val="auto"/>
          <w:highlight w:val="none"/>
        </w:rPr>
        <w:t>）</w:t>
      </w:r>
      <w:r>
        <w:rPr>
          <w:rFonts w:hint="default" w:ascii="Times New Roman" w:hAnsi="Times New Roman" w:cs="Times New Roman"/>
          <w:color w:val="auto"/>
          <w:highlight w:val="none"/>
        </w:rPr>
        <w:t>。检测结果显示，XM-2-75、XM-2-200、XM-2-400、XM-3-75</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XM-JJ-1、XM-JJ-2、XM-JJ-3</w:t>
      </w:r>
      <w:r>
        <w:rPr>
          <w:rFonts w:hint="default" w:ascii="Times New Roman" w:hAnsi="Times New Roman" w:cs="Times New Roman"/>
          <w:color w:val="auto"/>
          <w:highlight w:val="none"/>
          <w:lang w:val="en-US" w:eastAsia="zh-CN"/>
        </w:rPr>
        <w:t>等点位的</w:t>
      </w:r>
      <w:r>
        <w:rPr>
          <w:rFonts w:hint="default" w:ascii="Times New Roman" w:hAnsi="Times New Roman" w:cs="Times New Roman"/>
          <w:color w:val="auto"/>
          <w:highlight w:val="none"/>
        </w:rPr>
        <w:t>石油烃</w:t>
      </w:r>
      <w:r>
        <w:rPr>
          <w:rFonts w:hint="default" w:ascii="Times New Roman" w:hAnsi="Times New Roman" w:eastAsia="黑体" w:cs="Times New Roman"/>
          <w:color w:val="auto"/>
          <w:highlight w:val="none"/>
        </w:rPr>
        <w:t>（C</w:t>
      </w:r>
      <w:r>
        <w:rPr>
          <w:rFonts w:hint="default" w:ascii="Times New Roman" w:hAnsi="Times New Roman" w:eastAsia="黑体" w:cs="Times New Roman"/>
          <w:color w:val="auto"/>
          <w:highlight w:val="none"/>
          <w:vertAlign w:val="subscript"/>
        </w:rPr>
        <w:t>10</w:t>
      </w:r>
      <w:r>
        <w:rPr>
          <w:rFonts w:hint="default" w:ascii="Times New Roman" w:hAnsi="Times New Roman" w:eastAsia="黑体" w:cs="Times New Roman"/>
          <w:color w:val="auto"/>
          <w:highlight w:val="none"/>
        </w:rPr>
        <w:t>-C</w:t>
      </w:r>
      <w:r>
        <w:rPr>
          <w:rFonts w:hint="default" w:ascii="Times New Roman" w:hAnsi="Times New Roman" w:eastAsia="黑体" w:cs="Times New Roman"/>
          <w:color w:val="auto"/>
          <w:highlight w:val="none"/>
          <w:vertAlign w:val="subscript"/>
        </w:rPr>
        <w:t>40</w:t>
      </w:r>
      <w:r>
        <w:rPr>
          <w:rFonts w:hint="default" w:ascii="Times New Roman" w:hAnsi="Times New Roman" w:eastAsia="黑体" w:cs="Times New Roman"/>
          <w:color w:val="auto"/>
          <w:highlight w:val="none"/>
        </w:rPr>
        <w:t>）</w:t>
      </w:r>
      <w:r>
        <w:rPr>
          <w:rFonts w:hint="default" w:ascii="Times New Roman" w:hAnsi="Times New Roman" w:cs="Times New Roman"/>
          <w:color w:val="auto"/>
          <w:highlight w:val="none"/>
        </w:rPr>
        <w:t>指标均未检出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检出率为50%</w:t>
      </w:r>
      <w:r>
        <w:rPr>
          <w:rFonts w:hint="default" w:ascii="Times New Roman" w:hAnsi="Times New Roman" w:cs="Times New Roman"/>
          <w:color w:val="auto"/>
          <w:highlight w:val="none"/>
        </w:rPr>
        <w:t>，检出样品中石油烃</w:t>
      </w:r>
      <w:r>
        <w:rPr>
          <w:rFonts w:hint="default" w:ascii="Times New Roman" w:hAnsi="Times New Roman" w:eastAsia="黑体" w:cs="Times New Roman"/>
          <w:color w:val="auto"/>
          <w:highlight w:val="none"/>
        </w:rPr>
        <w:t>（C</w:t>
      </w:r>
      <w:r>
        <w:rPr>
          <w:rFonts w:hint="default" w:ascii="Times New Roman" w:hAnsi="Times New Roman" w:eastAsia="黑体" w:cs="Times New Roman"/>
          <w:color w:val="auto"/>
          <w:highlight w:val="none"/>
          <w:vertAlign w:val="subscript"/>
        </w:rPr>
        <w:t>10</w:t>
      </w:r>
      <w:r>
        <w:rPr>
          <w:rFonts w:hint="default" w:ascii="Times New Roman" w:hAnsi="Times New Roman" w:eastAsia="黑体" w:cs="Times New Roman"/>
          <w:color w:val="auto"/>
          <w:highlight w:val="none"/>
        </w:rPr>
        <w:t>-C</w:t>
      </w:r>
      <w:r>
        <w:rPr>
          <w:rFonts w:hint="default" w:ascii="Times New Roman" w:hAnsi="Times New Roman" w:eastAsia="黑体" w:cs="Times New Roman"/>
          <w:color w:val="auto"/>
          <w:highlight w:val="none"/>
          <w:vertAlign w:val="subscript"/>
        </w:rPr>
        <w:t>40</w:t>
      </w:r>
      <w:r>
        <w:rPr>
          <w:rFonts w:hint="default" w:ascii="Times New Roman" w:hAnsi="Times New Roman" w:eastAsia="黑体" w:cs="Times New Roman"/>
          <w:color w:val="auto"/>
          <w:highlight w:val="none"/>
        </w:rPr>
        <w:t>）</w:t>
      </w:r>
      <w:r>
        <w:rPr>
          <w:rFonts w:hint="default" w:ascii="Times New Roman" w:hAnsi="Times New Roman" w:cs="Times New Roman"/>
          <w:color w:val="auto"/>
          <w:highlight w:val="none"/>
        </w:rPr>
        <w:t>指标最大值为58mg/kg。本次调查所有送检土壤样品石油烃</w:t>
      </w:r>
      <w:r>
        <w:rPr>
          <w:rFonts w:hint="default" w:ascii="Times New Roman" w:hAnsi="Times New Roman" w:eastAsia="黑体" w:cs="Times New Roman"/>
          <w:color w:val="auto"/>
          <w:highlight w:val="none"/>
        </w:rPr>
        <w:t>（C</w:t>
      </w:r>
      <w:r>
        <w:rPr>
          <w:rFonts w:hint="default" w:ascii="Times New Roman" w:hAnsi="Times New Roman" w:eastAsia="黑体" w:cs="Times New Roman"/>
          <w:color w:val="auto"/>
          <w:highlight w:val="none"/>
          <w:vertAlign w:val="subscript"/>
        </w:rPr>
        <w:t>10</w:t>
      </w:r>
      <w:r>
        <w:rPr>
          <w:rFonts w:hint="default" w:ascii="Times New Roman" w:hAnsi="Times New Roman" w:eastAsia="黑体" w:cs="Times New Roman"/>
          <w:color w:val="auto"/>
          <w:highlight w:val="none"/>
        </w:rPr>
        <w:t>-C</w:t>
      </w:r>
      <w:r>
        <w:rPr>
          <w:rFonts w:hint="default" w:ascii="Times New Roman" w:hAnsi="Times New Roman" w:eastAsia="黑体" w:cs="Times New Roman"/>
          <w:color w:val="auto"/>
          <w:highlight w:val="none"/>
          <w:vertAlign w:val="subscript"/>
        </w:rPr>
        <w:t>40</w:t>
      </w:r>
      <w:r>
        <w:rPr>
          <w:rFonts w:hint="default" w:ascii="Times New Roman" w:hAnsi="Times New Roman" w:eastAsia="黑体" w:cs="Times New Roman"/>
          <w:color w:val="auto"/>
          <w:highlight w:val="none"/>
        </w:rPr>
        <w:t>）</w:t>
      </w:r>
      <w:r>
        <w:rPr>
          <w:rFonts w:hint="default" w:ascii="Times New Roman" w:hAnsi="Times New Roman" w:cs="Times New Roman"/>
          <w:color w:val="auto"/>
          <w:highlight w:val="none"/>
        </w:rPr>
        <w:t>检测值可满足《土壤环境质量建设用地土壤污染风险管控标准（试行）》（GB36600-2018）中“第一类用地筛选值”要求，具体监测值见表5-3-5。</w:t>
      </w:r>
    </w:p>
    <w:p w14:paraId="3900245A">
      <w:pPr>
        <w:ind w:firstLine="420"/>
        <w:jc w:val="center"/>
        <w:rPr>
          <w:rFonts w:hint="default" w:ascii="Times New Roman" w:hAnsi="Times New Roman" w:eastAsia="黑体" w:cs="Times New Roman"/>
          <w:b/>
          <w:color w:val="auto"/>
          <w:highlight w:val="none"/>
        </w:rPr>
      </w:pPr>
      <w:r>
        <w:rPr>
          <w:rFonts w:hint="default" w:ascii="Times New Roman" w:hAnsi="Times New Roman" w:eastAsia="黑体" w:cs="Times New Roman"/>
          <w:b/>
          <w:bCs/>
          <w:color w:val="auto"/>
          <w:highlight w:val="none"/>
        </w:rPr>
        <w:t>表5-3-5 石油烃（C</w:t>
      </w:r>
      <w:r>
        <w:rPr>
          <w:rFonts w:hint="default" w:ascii="Times New Roman" w:hAnsi="Times New Roman" w:eastAsia="黑体" w:cs="Times New Roman"/>
          <w:b/>
          <w:bCs/>
          <w:color w:val="auto"/>
          <w:highlight w:val="none"/>
          <w:vertAlign w:val="subscript"/>
        </w:rPr>
        <w:t>10</w:t>
      </w:r>
      <w:r>
        <w:rPr>
          <w:rFonts w:hint="default" w:ascii="Times New Roman" w:hAnsi="Times New Roman" w:eastAsia="黑体" w:cs="Times New Roman"/>
          <w:b/>
          <w:bCs/>
          <w:color w:val="auto"/>
          <w:highlight w:val="none"/>
        </w:rPr>
        <w:t>-C</w:t>
      </w:r>
      <w:r>
        <w:rPr>
          <w:rFonts w:hint="default" w:ascii="Times New Roman" w:hAnsi="Times New Roman" w:eastAsia="黑体" w:cs="Times New Roman"/>
          <w:b/>
          <w:bCs/>
          <w:color w:val="auto"/>
          <w:highlight w:val="none"/>
          <w:vertAlign w:val="subscript"/>
        </w:rPr>
        <w:t>40</w:t>
      </w:r>
      <w:r>
        <w:rPr>
          <w:rFonts w:hint="default" w:ascii="Times New Roman" w:hAnsi="Times New Roman" w:eastAsia="黑体" w:cs="Times New Roman"/>
          <w:b/>
          <w:bCs/>
          <w:color w:val="auto"/>
          <w:highlight w:val="none"/>
        </w:rPr>
        <w:t>）监测值  （单位：mg/kg）</w:t>
      </w:r>
    </w:p>
    <w:tbl>
      <w:tblPr>
        <w:tblStyle w:val="21"/>
        <w:tblW w:w="499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96"/>
        <w:gridCol w:w="1043"/>
        <w:gridCol w:w="3180"/>
        <w:gridCol w:w="2928"/>
        <w:gridCol w:w="1951"/>
      </w:tblGrid>
      <w:tr w14:paraId="7747F7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blHeader/>
          <w:jc w:val="center"/>
        </w:trPr>
        <w:tc>
          <w:tcPr>
            <w:tcW w:w="259" w:type="pct"/>
            <w:tcBorders>
              <w:bottom w:val="single" w:color="auto" w:sz="12" w:space="0"/>
            </w:tcBorders>
            <w:shd w:val="clear" w:color="auto" w:fill="auto"/>
            <w:noWrap/>
            <w:tcMar>
              <w:top w:w="15" w:type="dxa"/>
              <w:left w:w="15" w:type="dxa"/>
              <w:right w:w="15" w:type="dxa"/>
            </w:tcMar>
            <w:vAlign w:val="center"/>
          </w:tcPr>
          <w:p w14:paraId="65BEB501">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序号</w:t>
            </w:r>
          </w:p>
        </w:tc>
        <w:tc>
          <w:tcPr>
            <w:tcW w:w="543" w:type="pct"/>
            <w:tcBorders>
              <w:bottom w:val="single" w:color="auto" w:sz="12" w:space="0"/>
            </w:tcBorders>
            <w:shd w:val="clear" w:color="auto" w:fill="auto"/>
            <w:noWrap/>
            <w:tcMar>
              <w:top w:w="15" w:type="dxa"/>
              <w:left w:w="15" w:type="dxa"/>
              <w:right w:w="15" w:type="dxa"/>
            </w:tcMar>
            <w:vAlign w:val="center"/>
          </w:tcPr>
          <w:p w14:paraId="29B0A9AC">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样品编号</w:t>
            </w:r>
          </w:p>
        </w:tc>
        <w:tc>
          <w:tcPr>
            <w:tcW w:w="1656" w:type="pct"/>
            <w:tcBorders>
              <w:bottom w:val="single" w:color="auto" w:sz="12" w:space="0"/>
            </w:tcBorders>
            <w:shd w:val="clear" w:color="auto" w:fill="auto"/>
            <w:noWrap/>
            <w:tcMar>
              <w:top w:w="15" w:type="dxa"/>
              <w:left w:w="15" w:type="dxa"/>
              <w:right w:w="15" w:type="dxa"/>
            </w:tcMar>
            <w:vAlign w:val="center"/>
          </w:tcPr>
          <w:p w14:paraId="41000BFB">
            <w:pPr>
              <w:widowControl/>
              <w:spacing w:line="240" w:lineRule="auto"/>
              <w:jc w:val="center"/>
              <w:textAlignment w:val="center"/>
              <w:rPr>
                <w:rFonts w:hint="default" w:ascii="Times New Roman" w:hAnsi="Times New Roman" w:eastAsia="宋体" w:cs="Times New Roman"/>
                <w:b/>
                <w:color w:val="auto"/>
                <w:kern w:val="0"/>
                <w:sz w:val="21"/>
                <w:szCs w:val="21"/>
                <w:highlight w:val="none"/>
                <w:lang w:val="en-US" w:eastAsia="zh-CN" w:bidi="ar"/>
              </w:rPr>
            </w:pPr>
            <w:r>
              <w:rPr>
                <w:rFonts w:hint="default" w:ascii="Times New Roman" w:hAnsi="Times New Roman" w:cs="Times New Roman"/>
                <w:b/>
                <w:color w:val="auto"/>
                <w:kern w:val="0"/>
                <w:sz w:val="21"/>
                <w:szCs w:val="21"/>
                <w:highlight w:val="none"/>
                <w:lang w:val="en-US" w:eastAsia="zh-CN" w:bidi="ar"/>
              </w:rPr>
              <w:t>点位位置</w:t>
            </w:r>
          </w:p>
        </w:tc>
        <w:tc>
          <w:tcPr>
            <w:tcW w:w="1524" w:type="pct"/>
            <w:tcBorders>
              <w:bottom w:val="single" w:color="auto" w:sz="12" w:space="0"/>
            </w:tcBorders>
            <w:shd w:val="clear" w:color="auto" w:fill="auto"/>
            <w:noWrap/>
            <w:tcMar>
              <w:top w:w="15" w:type="dxa"/>
              <w:left w:w="15" w:type="dxa"/>
              <w:right w:w="15" w:type="dxa"/>
            </w:tcMar>
            <w:vAlign w:val="center"/>
          </w:tcPr>
          <w:p w14:paraId="31F062E9">
            <w:pPr>
              <w:widowControl/>
              <w:spacing w:line="240" w:lineRule="auto"/>
              <w:jc w:val="center"/>
              <w:textAlignment w:val="center"/>
              <w:rPr>
                <w:rFonts w:hint="default" w:ascii="Times New Roman" w:hAnsi="Times New Roman" w:eastAsia="宋体" w:cs="Times New Roman"/>
                <w:b/>
                <w:color w:val="auto"/>
                <w:kern w:val="0"/>
                <w:sz w:val="21"/>
                <w:szCs w:val="21"/>
                <w:highlight w:val="none"/>
                <w:lang w:val="en-US" w:eastAsia="zh-CN" w:bidi="ar"/>
              </w:rPr>
            </w:pPr>
            <w:r>
              <w:rPr>
                <w:rFonts w:hint="default" w:ascii="Times New Roman" w:hAnsi="Times New Roman" w:cs="Times New Roman"/>
                <w:b/>
                <w:bCs/>
                <w:color w:val="auto"/>
                <w:kern w:val="0"/>
                <w:sz w:val="21"/>
                <w:szCs w:val="21"/>
                <w:highlight w:val="none"/>
                <w:lang w:bidi="ar"/>
              </w:rPr>
              <w:t>参考标准</w:t>
            </w:r>
            <w:r>
              <w:rPr>
                <w:rFonts w:hint="default" w:ascii="Times New Roman" w:hAnsi="Times New Roman" w:cs="Times New Roman"/>
                <w:b/>
                <w:bCs/>
                <w:color w:val="auto"/>
                <w:kern w:val="0"/>
                <w:sz w:val="18"/>
                <w:szCs w:val="18"/>
                <w:highlight w:val="none"/>
                <w:vertAlign w:val="superscript"/>
                <w:lang w:val="en-US" w:eastAsia="zh-CN"/>
              </w:rPr>
              <w:t>①</w:t>
            </w:r>
          </w:p>
        </w:tc>
        <w:tc>
          <w:tcPr>
            <w:tcW w:w="1016" w:type="pct"/>
            <w:tcBorders>
              <w:bottom w:val="single" w:color="auto" w:sz="12" w:space="0"/>
            </w:tcBorders>
            <w:shd w:val="clear" w:color="auto" w:fill="auto"/>
            <w:noWrap/>
            <w:tcMar>
              <w:top w:w="15" w:type="dxa"/>
              <w:left w:w="15" w:type="dxa"/>
              <w:right w:w="15" w:type="dxa"/>
            </w:tcMar>
            <w:vAlign w:val="center"/>
          </w:tcPr>
          <w:p w14:paraId="694E7ACE">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石油烃（C</w:t>
            </w:r>
            <w:r>
              <w:rPr>
                <w:rFonts w:hint="default" w:ascii="Times New Roman" w:hAnsi="Times New Roman" w:cs="Times New Roman"/>
                <w:b/>
                <w:color w:val="auto"/>
                <w:sz w:val="21"/>
                <w:szCs w:val="21"/>
                <w:highlight w:val="none"/>
                <w:vertAlign w:val="subscript"/>
              </w:rPr>
              <w:t>10</w:t>
            </w:r>
            <w:r>
              <w:rPr>
                <w:rFonts w:hint="default" w:ascii="Times New Roman" w:hAnsi="Times New Roman" w:cs="Times New Roman"/>
                <w:b/>
                <w:color w:val="auto"/>
                <w:sz w:val="21"/>
                <w:szCs w:val="21"/>
                <w:highlight w:val="none"/>
              </w:rPr>
              <w:t>-C</w:t>
            </w:r>
            <w:r>
              <w:rPr>
                <w:rFonts w:hint="default" w:ascii="Times New Roman" w:hAnsi="Times New Roman" w:cs="Times New Roman"/>
                <w:b/>
                <w:color w:val="auto"/>
                <w:sz w:val="21"/>
                <w:szCs w:val="21"/>
                <w:highlight w:val="none"/>
                <w:vertAlign w:val="subscript"/>
              </w:rPr>
              <w:t>40</w:t>
            </w:r>
            <w:r>
              <w:rPr>
                <w:rFonts w:hint="default" w:ascii="Times New Roman" w:hAnsi="Times New Roman" w:cs="Times New Roman"/>
                <w:b/>
                <w:color w:val="auto"/>
                <w:sz w:val="21"/>
                <w:szCs w:val="21"/>
                <w:highlight w:val="none"/>
              </w:rPr>
              <w:t>）</w:t>
            </w:r>
          </w:p>
        </w:tc>
      </w:tr>
      <w:tr w14:paraId="0F16A5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9" w:type="pct"/>
            <w:tcBorders>
              <w:top w:val="single" w:color="auto" w:sz="12" w:space="0"/>
              <w:tl2br w:val="nil"/>
              <w:tr2bl w:val="nil"/>
            </w:tcBorders>
            <w:shd w:val="clear" w:color="auto" w:fill="auto"/>
            <w:noWrap/>
            <w:tcMar>
              <w:top w:w="15" w:type="dxa"/>
              <w:left w:w="15" w:type="dxa"/>
              <w:right w:w="15" w:type="dxa"/>
            </w:tcMar>
            <w:vAlign w:val="center"/>
          </w:tcPr>
          <w:p w14:paraId="2FECBCF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w:t>
            </w:r>
          </w:p>
        </w:tc>
        <w:tc>
          <w:tcPr>
            <w:tcW w:w="543" w:type="pct"/>
            <w:tcBorders>
              <w:top w:val="single" w:color="auto" w:sz="12" w:space="0"/>
              <w:tl2br w:val="nil"/>
              <w:tr2bl w:val="nil"/>
            </w:tcBorders>
            <w:shd w:val="clear" w:color="auto" w:fill="auto"/>
            <w:noWrap/>
            <w:tcMar>
              <w:top w:w="15" w:type="dxa"/>
              <w:left w:w="15" w:type="dxa"/>
              <w:right w:w="15" w:type="dxa"/>
            </w:tcMar>
            <w:vAlign w:val="center"/>
          </w:tcPr>
          <w:p w14:paraId="35F3321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XM-1-75</w:t>
            </w:r>
          </w:p>
        </w:tc>
        <w:tc>
          <w:tcPr>
            <w:tcW w:w="1656" w:type="pct"/>
            <w:tcBorders>
              <w:top w:val="single" w:color="auto" w:sz="12" w:space="0"/>
              <w:tl2br w:val="nil"/>
              <w:tr2bl w:val="nil"/>
            </w:tcBorders>
            <w:shd w:val="clear" w:color="auto" w:fill="auto"/>
            <w:noWrap/>
            <w:tcMar>
              <w:top w:w="15" w:type="dxa"/>
              <w:left w:w="15" w:type="dxa"/>
              <w:right w:w="15" w:type="dxa"/>
            </w:tcMar>
            <w:vAlign w:val="center"/>
          </w:tcPr>
          <w:p w14:paraId="70BF0C64">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园区边界西侧下风向75m</w:t>
            </w:r>
          </w:p>
        </w:tc>
        <w:tc>
          <w:tcPr>
            <w:tcW w:w="1524" w:type="pct"/>
            <w:tcBorders>
              <w:top w:val="single" w:color="auto" w:sz="12" w:space="0"/>
              <w:tl2br w:val="nil"/>
              <w:tr2bl w:val="nil"/>
            </w:tcBorders>
            <w:shd w:val="clear" w:color="auto" w:fill="auto"/>
            <w:noWrap/>
            <w:tcMar>
              <w:top w:w="15" w:type="dxa"/>
              <w:left w:w="15" w:type="dxa"/>
              <w:right w:w="15" w:type="dxa"/>
            </w:tcMar>
            <w:vAlign w:val="center"/>
          </w:tcPr>
          <w:p w14:paraId="20A1E28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GB36600第一类用地筛选值</w:t>
            </w:r>
          </w:p>
        </w:tc>
        <w:tc>
          <w:tcPr>
            <w:tcW w:w="1016" w:type="pct"/>
            <w:tcBorders>
              <w:top w:val="single" w:color="auto" w:sz="12" w:space="0"/>
              <w:tl2br w:val="nil"/>
              <w:tr2bl w:val="nil"/>
            </w:tcBorders>
            <w:shd w:val="clear" w:color="auto" w:fill="auto"/>
            <w:noWrap/>
            <w:tcMar>
              <w:top w:w="15" w:type="dxa"/>
              <w:left w:w="15" w:type="dxa"/>
              <w:right w:w="15" w:type="dxa"/>
            </w:tcMar>
          </w:tcPr>
          <w:p w14:paraId="22AE31F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w:t>
            </w:r>
          </w:p>
        </w:tc>
      </w:tr>
      <w:tr w14:paraId="092C0C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9" w:type="pct"/>
            <w:tcBorders>
              <w:tl2br w:val="nil"/>
              <w:tr2bl w:val="nil"/>
            </w:tcBorders>
            <w:shd w:val="clear" w:color="auto" w:fill="auto"/>
            <w:noWrap/>
            <w:tcMar>
              <w:top w:w="15" w:type="dxa"/>
              <w:left w:w="15" w:type="dxa"/>
              <w:right w:w="15" w:type="dxa"/>
            </w:tcMar>
            <w:vAlign w:val="center"/>
          </w:tcPr>
          <w:p w14:paraId="7A29AB1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w:t>
            </w:r>
          </w:p>
        </w:tc>
        <w:tc>
          <w:tcPr>
            <w:tcW w:w="543" w:type="pct"/>
            <w:tcBorders>
              <w:tl2br w:val="nil"/>
              <w:tr2bl w:val="nil"/>
            </w:tcBorders>
            <w:shd w:val="clear" w:color="auto" w:fill="auto"/>
            <w:noWrap/>
            <w:tcMar>
              <w:top w:w="15" w:type="dxa"/>
              <w:left w:w="15" w:type="dxa"/>
              <w:right w:w="15" w:type="dxa"/>
            </w:tcMar>
            <w:vAlign w:val="center"/>
          </w:tcPr>
          <w:p w14:paraId="403FFEF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 -1-200</w:t>
            </w:r>
          </w:p>
        </w:tc>
        <w:tc>
          <w:tcPr>
            <w:tcW w:w="1656" w:type="pct"/>
            <w:tcBorders>
              <w:tl2br w:val="nil"/>
              <w:tr2bl w:val="nil"/>
            </w:tcBorders>
            <w:shd w:val="clear" w:color="auto" w:fill="auto"/>
            <w:noWrap/>
            <w:tcMar>
              <w:top w:w="15" w:type="dxa"/>
              <w:left w:w="15" w:type="dxa"/>
              <w:right w:w="15" w:type="dxa"/>
            </w:tcMar>
            <w:vAlign w:val="center"/>
          </w:tcPr>
          <w:p w14:paraId="4FF163C9">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园区边界西侧下风向200m</w:t>
            </w:r>
          </w:p>
        </w:tc>
        <w:tc>
          <w:tcPr>
            <w:tcW w:w="1524" w:type="pct"/>
            <w:tcBorders>
              <w:tl2br w:val="nil"/>
              <w:tr2bl w:val="nil"/>
            </w:tcBorders>
            <w:shd w:val="clear" w:color="auto" w:fill="auto"/>
            <w:noWrap/>
            <w:tcMar>
              <w:top w:w="15" w:type="dxa"/>
              <w:left w:w="15" w:type="dxa"/>
              <w:right w:w="15" w:type="dxa"/>
            </w:tcMar>
            <w:vAlign w:val="center"/>
          </w:tcPr>
          <w:p w14:paraId="32006025">
            <w:pPr>
              <w:widowControl/>
              <w:spacing w:line="240" w:lineRule="auto"/>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GB36600第一类用地筛选值</w:t>
            </w:r>
          </w:p>
        </w:tc>
        <w:tc>
          <w:tcPr>
            <w:tcW w:w="1016" w:type="pct"/>
            <w:tcBorders>
              <w:tl2br w:val="nil"/>
              <w:tr2bl w:val="nil"/>
            </w:tcBorders>
            <w:shd w:val="clear" w:color="auto" w:fill="auto"/>
            <w:noWrap/>
            <w:tcMar>
              <w:top w:w="15" w:type="dxa"/>
              <w:left w:w="15" w:type="dxa"/>
              <w:right w:w="15" w:type="dxa"/>
            </w:tcMar>
          </w:tcPr>
          <w:p w14:paraId="7200629B">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6</w:t>
            </w:r>
          </w:p>
        </w:tc>
      </w:tr>
      <w:tr w14:paraId="5321F1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9" w:type="pct"/>
            <w:tcBorders>
              <w:tl2br w:val="nil"/>
              <w:tr2bl w:val="nil"/>
            </w:tcBorders>
            <w:shd w:val="clear" w:color="auto" w:fill="auto"/>
            <w:noWrap/>
            <w:tcMar>
              <w:top w:w="15" w:type="dxa"/>
              <w:left w:w="15" w:type="dxa"/>
              <w:right w:w="15" w:type="dxa"/>
            </w:tcMar>
            <w:vAlign w:val="center"/>
          </w:tcPr>
          <w:p w14:paraId="6CEE0F13">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3</w:t>
            </w:r>
          </w:p>
        </w:tc>
        <w:tc>
          <w:tcPr>
            <w:tcW w:w="543" w:type="pct"/>
            <w:tcBorders>
              <w:tl2br w:val="nil"/>
              <w:tr2bl w:val="nil"/>
            </w:tcBorders>
            <w:shd w:val="clear" w:color="auto" w:fill="auto"/>
            <w:noWrap/>
            <w:tcMar>
              <w:top w:w="15" w:type="dxa"/>
              <w:left w:w="15" w:type="dxa"/>
              <w:right w:w="15" w:type="dxa"/>
            </w:tcMar>
            <w:vAlign w:val="center"/>
          </w:tcPr>
          <w:p w14:paraId="446C742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 -1-400</w:t>
            </w:r>
          </w:p>
        </w:tc>
        <w:tc>
          <w:tcPr>
            <w:tcW w:w="1656" w:type="pct"/>
            <w:tcBorders>
              <w:tl2br w:val="nil"/>
              <w:tr2bl w:val="nil"/>
            </w:tcBorders>
            <w:shd w:val="clear" w:color="auto" w:fill="auto"/>
            <w:noWrap/>
            <w:tcMar>
              <w:top w:w="15" w:type="dxa"/>
              <w:left w:w="15" w:type="dxa"/>
              <w:right w:w="15" w:type="dxa"/>
            </w:tcMar>
            <w:vAlign w:val="center"/>
          </w:tcPr>
          <w:p w14:paraId="73C4DA79">
            <w:pPr>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园区边界西侧下风向400m</w:t>
            </w:r>
          </w:p>
        </w:tc>
        <w:tc>
          <w:tcPr>
            <w:tcW w:w="1524" w:type="pct"/>
            <w:tcBorders>
              <w:tl2br w:val="nil"/>
              <w:tr2bl w:val="nil"/>
            </w:tcBorders>
            <w:shd w:val="clear" w:color="auto" w:fill="auto"/>
            <w:noWrap/>
            <w:tcMar>
              <w:top w:w="15" w:type="dxa"/>
              <w:left w:w="15" w:type="dxa"/>
              <w:right w:w="15" w:type="dxa"/>
            </w:tcMar>
            <w:vAlign w:val="center"/>
          </w:tcPr>
          <w:p w14:paraId="2C5D3623">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GB36600第一类用地筛选值</w:t>
            </w:r>
          </w:p>
        </w:tc>
        <w:tc>
          <w:tcPr>
            <w:tcW w:w="1016" w:type="pct"/>
            <w:tcBorders>
              <w:tl2br w:val="nil"/>
              <w:tr2bl w:val="nil"/>
            </w:tcBorders>
            <w:shd w:val="clear" w:color="auto" w:fill="auto"/>
            <w:noWrap/>
            <w:tcMar>
              <w:top w:w="15" w:type="dxa"/>
              <w:left w:w="15" w:type="dxa"/>
              <w:right w:w="15" w:type="dxa"/>
            </w:tcMar>
          </w:tcPr>
          <w:p w14:paraId="2992B9D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12</w:t>
            </w:r>
          </w:p>
        </w:tc>
      </w:tr>
      <w:tr w14:paraId="235C02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9" w:type="pct"/>
            <w:tcBorders>
              <w:tl2br w:val="nil"/>
              <w:tr2bl w:val="nil"/>
            </w:tcBorders>
            <w:shd w:val="clear" w:color="auto" w:fill="auto"/>
            <w:noWrap/>
            <w:tcMar>
              <w:top w:w="15" w:type="dxa"/>
              <w:left w:w="15" w:type="dxa"/>
              <w:right w:w="15" w:type="dxa"/>
            </w:tcMar>
            <w:vAlign w:val="center"/>
          </w:tcPr>
          <w:p w14:paraId="463FA776">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4</w:t>
            </w:r>
          </w:p>
        </w:tc>
        <w:tc>
          <w:tcPr>
            <w:tcW w:w="543" w:type="pct"/>
            <w:tcBorders>
              <w:tl2br w:val="nil"/>
              <w:tr2bl w:val="nil"/>
            </w:tcBorders>
            <w:shd w:val="clear" w:color="auto" w:fill="auto"/>
            <w:noWrap/>
            <w:tcMar>
              <w:top w:w="15" w:type="dxa"/>
              <w:left w:w="15" w:type="dxa"/>
              <w:right w:w="15" w:type="dxa"/>
            </w:tcMar>
            <w:vAlign w:val="center"/>
          </w:tcPr>
          <w:p w14:paraId="7F430E2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 -2-75</w:t>
            </w:r>
          </w:p>
        </w:tc>
        <w:tc>
          <w:tcPr>
            <w:tcW w:w="1656" w:type="pct"/>
            <w:tcBorders>
              <w:tl2br w:val="nil"/>
              <w:tr2bl w:val="nil"/>
            </w:tcBorders>
            <w:shd w:val="clear" w:color="auto" w:fill="auto"/>
            <w:noWrap/>
            <w:tcMar>
              <w:top w:w="15" w:type="dxa"/>
              <w:left w:w="15" w:type="dxa"/>
              <w:right w:w="15" w:type="dxa"/>
            </w:tcMar>
            <w:vAlign w:val="center"/>
          </w:tcPr>
          <w:p w14:paraId="0536E1E9">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园区边界南侧下风向75m</w:t>
            </w:r>
          </w:p>
        </w:tc>
        <w:tc>
          <w:tcPr>
            <w:tcW w:w="1524" w:type="pct"/>
            <w:tcBorders>
              <w:tl2br w:val="nil"/>
              <w:tr2bl w:val="nil"/>
            </w:tcBorders>
            <w:shd w:val="clear" w:color="auto" w:fill="auto"/>
            <w:noWrap/>
            <w:tcMar>
              <w:top w:w="15" w:type="dxa"/>
              <w:left w:w="15" w:type="dxa"/>
              <w:right w:w="15" w:type="dxa"/>
            </w:tcMar>
            <w:vAlign w:val="center"/>
          </w:tcPr>
          <w:p w14:paraId="712A335D">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GB36600第二类用地筛选值</w:t>
            </w:r>
          </w:p>
        </w:tc>
        <w:tc>
          <w:tcPr>
            <w:tcW w:w="1016" w:type="pct"/>
            <w:tcBorders>
              <w:tl2br w:val="nil"/>
              <w:tr2bl w:val="nil"/>
            </w:tcBorders>
            <w:shd w:val="clear" w:color="auto" w:fill="auto"/>
            <w:noWrap/>
            <w:tcMar>
              <w:top w:w="15" w:type="dxa"/>
              <w:left w:w="15" w:type="dxa"/>
              <w:right w:w="15" w:type="dxa"/>
            </w:tcMar>
          </w:tcPr>
          <w:p w14:paraId="7FF1752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&lt;6</w:t>
            </w:r>
          </w:p>
        </w:tc>
      </w:tr>
      <w:tr w14:paraId="76CE7E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9" w:type="pct"/>
            <w:tcBorders>
              <w:tl2br w:val="nil"/>
              <w:tr2bl w:val="nil"/>
            </w:tcBorders>
            <w:shd w:val="clear" w:color="auto" w:fill="auto"/>
            <w:noWrap/>
            <w:tcMar>
              <w:top w:w="15" w:type="dxa"/>
              <w:left w:w="15" w:type="dxa"/>
              <w:right w:w="15" w:type="dxa"/>
            </w:tcMar>
            <w:vAlign w:val="center"/>
          </w:tcPr>
          <w:p w14:paraId="3A1433B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5</w:t>
            </w:r>
          </w:p>
        </w:tc>
        <w:tc>
          <w:tcPr>
            <w:tcW w:w="543" w:type="pct"/>
            <w:tcBorders>
              <w:tl2br w:val="nil"/>
              <w:tr2bl w:val="nil"/>
            </w:tcBorders>
            <w:shd w:val="clear" w:color="auto" w:fill="auto"/>
            <w:noWrap/>
            <w:tcMar>
              <w:top w:w="15" w:type="dxa"/>
              <w:left w:w="15" w:type="dxa"/>
              <w:right w:w="15" w:type="dxa"/>
            </w:tcMar>
            <w:vAlign w:val="center"/>
          </w:tcPr>
          <w:p w14:paraId="6265E7A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 -2-200</w:t>
            </w:r>
          </w:p>
        </w:tc>
        <w:tc>
          <w:tcPr>
            <w:tcW w:w="1656" w:type="pct"/>
            <w:tcBorders>
              <w:tl2br w:val="nil"/>
              <w:tr2bl w:val="nil"/>
            </w:tcBorders>
            <w:shd w:val="clear" w:color="auto" w:fill="auto"/>
            <w:noWrap/>
            <w:tcMar>
              <w:top w:w="15" w:type="dxa"/>
              <w:left w:w="15" w:type="dxa"/>
              <w:right w:w="15" w:type="dxa"/>
            </w:tcMar>
            <w:vAlign w:val="center"/>
          </w:tcPr>
          <w:p w14:paraId="5F613EA8">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园区边界南侧下风向200m</w:t>
            </w:r>
          </w:p>
        </w:tc>
        <w:tc>
          <w:tcPr>
            <w:tcW w:w="1524" w:type="pct"/>
            <w:tcBorders>
              <w:tl2br w:val="nil"/>
              <w:tr2bl w:val="nil"/>
            </w:tcBorders>
            <w:shd w:val="clear" w:color="auto" w:fill="auto"/>
            <w:noWrap/>
            <w:tcMar>
              <w:top w:w="15" w:type="dxa"/>
              <w:left w:w="15" w:type="dxa"/>
              <w:right w:w="15" w:type="dxa"/>
            </w:tcMar>
            <w:vAlign w:val="center"/>
          </w:tcPr>
          <w:p w14:paraId="1303D06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GB36600第二类用地筛选值</w:t>
            </w:r>
          </w:p>
        </w:tc>
        <w:tc>
          <w:tcPr>
            <w:tcW w:w="1016" w:type="pct"/>
            <w:tcBorders>
              <w:tl2br w:val="nil"/>
              <w:tr2bl w:val="nil"/>
            </w:tcBorders>
            <w:shd w:val="clear" w:color="auto" w:fill="auto"/>
            <w:noWrap/>
            <w:tcMar>
              <w:top w:w="15" w:type="dxa"/>
              <w:left w:w="15" w:type="dxa"/>
              <w:right w:w="15" w:type="dxa"/>
            </w:tcMar>
          </w:tcPr>
          <w:p w14:paraId="37E8143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&lt;6</w:t>
            </w:r>
          </w:p>
        </w:tc>
      </w:tr>
      <w:tr w14:paraId="2682C2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9" w:type="pct"/>
            <w:tcBorders>
              <w:tl2br w:val="nil"/>
              <w:tr2bl w:val="nil"/>
            </w:tcBorders>
            <w:shd w:val="clear" w:color="auto" w:fill="auto"/>
            <w:noWrap/>
            <w:tcMar>
              <w:top w:w="15" w:type="dxa"/>
              <w:left w:w="15" w:type="dxa"/>
              <w:right w:w="15" w:type="dxa"/>
            </w:tcMar>
            <w:vAlign w:val="center"/>
          </w:tcPr>
          <w:p w14:paraId="20DE99FC">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6</w:t>
            </w:r>
          </w:p>
        </w:tc>
        <w:tc>
          <w:tcPr>
            <w:tcW w:w="543" w:type="pct"/>
            <w:tcBorders>
              <w:tl2br w:val="nil"/>
              <w:tr2bl w:val="nil"/>
            </w:tcBorders>
            <w:shd w:val="clear" w:color="auto" w:fill="auto"/>
            <w:noWrap/>
            <w:tcMar>
              <w:top w:w="15" w:type="dxa"/>
              <w:left w:w="15" w:type="dxa"/>
              <w:right w:w="15" w:type="dxa"/>
            </w:tcMar>
            <w:vAlign w:val="center"/>
          </w:tcPr>
          <w:p w14:paraId="6DAA676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 -2-400</w:t>
            </w:r>
          </w:p>
        </w:tc>
        <w:tc>
          <w:tcPr>
            <w:tcW w:w="1656" w:type="pct"/>
            <w:tcBorders>
              <w:tl2br w:val="nil"/>
              <w:tr2bl w:val="nil"/>
            </w:tcBorders>
            <w:shd w:val="clear" w:color="auto" w:fill="auto"/>
            <w:noWrap/>
            <w:tcMar>
              <w:top w:w="15" w:type="dxa"/>
              <w:left w:w="15" w:type="dxa"/>
              <w:right w:w="15" w:type="dxa"/>
            </w:tcMar>
            <w:vAlign w:val="center"/>
          </w:tcPr>
          <w:p w14:paraId="78630E91">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园区边界南侧下风向400m</w:t>
            </w:r>
          </w:p>
        </w:tc>
        <w:tc>
          <w:tcPr>
            <w:tcW w:w="1524" w:type="pct"/>
            <w:tcBorders>
              <w:tl2br w:val="nil"/>
              <w:tr2bl w:val="nil"/>
            </w:tcBorders>
            <w:shd w:val="clear" w:color="auto" w:fill="auto"/>
            <w:noWrap/>
            <w:tcMar>
              <w:top w:w="15" w:type="dxa"/>
              <w:left w:w="15" w:type="dxa"/>
              <w:right w:w="15" w:type="dxa"/>
            </w:tcMar>
            <w:vAlign w:val="center"/>
          </w:tcPr>
          <w:p w14:paraId="170A467C">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GB36600第二类用地筛选值</w:t>
            </w:r>
          </w:p>
        </w:tc>
        <w:tc>
          <w:tcPr>
            <w:tcW w:w="1016" w:type="pct"/>
            <w:tcBorders>
              <w:tl2br w:val="nil"/>
              <w:tr2bl w:val="nil"/>
            </w:tcBorders>
            <w:shd w:val="clear" w:color="auto" w:fill="auto"/>
            <w:noWrap/>
            <w:tcMar>
              <w:top w:w="15" w:type="dxa"/>
              <w:left w:w="15" w:type="dxa"/>
              <w:right w:w="15" w:type="dxa"/>
            </w:tcMar>
          </w:tcPr>
          <w:p w14:paraId="132AC1D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&lt;6</w:t>
            </w:r>
          </w:p>
        </w:tc>
      </w:tr>
      <w:tr w14:paraId="3616C4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9" w:type="pct"/>
            <w:tcBorders>
              <w:tl2br w:val="nil"/>
              <w:tr2bl w:val="nil"/>
            </w:tcBorders>
            <w:shd w:val="clear" w:color="auto" w:fill="auto"/>
            <w:noWrap/>
            <w:tcMar>
              <w:top w:w="15" w:type="dxa"/>
              <w:left w:w="15" w:type="dxa"/>
              <w:right w:w="15" w:type="dxa"/>
            </w:tcMar>
            <w:vAlign w:val="center"/>
          </w:tcPr>
          <w:p w14:paraId="196F0AF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7</w:t>
            </w:r>
          </w:p>
        </w:tc>
        <w:tc>
          <w:tcPr>
            <w:tcW w:w="543" w:type="pct"/>
            <w:tcBorders>
              <w:tl2br w:val="nil"/>
              <w:tr2bl w:val="nil"/>
            </w:tcBorders>
            <w:shd w:val="clear" w:color="auto" w:fill="auto"/>
            <w:noWrap/>
            <w:tcMar>
              <w:top w:w="15" w:type="dxa"/>
              <w:left w:w="15" w:type="dxa"/>
              <w:right w:w="15" w:type="dxa"/>
            </w:tcMar>
            <w:vAlign w:val="center"/>
          </w:tcPr>
          <w:p w14:paraId="1FEF876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 -3-75</w:t>
            </w:r>
          </w:p>
        </w:tc>
        <w:tc>
          <w:tcPr>
            <w:tcW w:w="1656" w:type="pct"/>
            <w:tcBorders>
              <w:tl2br w:val="nil"/>
              <w:tr2bl w:val="nil"/>
            </w:tcBorders>
            <w:shd w:val="clear" w:color="auto" w:fill="auto"/>
            <w:noWrap/>
            <w:tcMar>
              <w:top w:w="15" w:type="dxa"/>
              <w:left w:w="15" w:type="dxa"/>
              <w:right w:w="15" w:type="dxa"/>
            </w:tcMar>
            <w:vAlign w:val="center"/>
          </w:tcPr>
          <w:p w14:paraId="750D34D6">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园区边界南侧下风向75m</w:t>
            </w:r>
          </w:p>
        </w:tc>
        <w:tc>
          <w:tcPr>
            <w:tcW w:w="1524" w:type="pct"/>
            <w:tcBorders>
              <w:tl2br w:val="nil"/>
              <w:tr2bl w:val="nil"/>
            </w:tcBorders>
            <w:shd w:val="clear" w:color="auto" w:fill="auto"/>
            <w:noWrap/>
            <w:tcMar>
              <w:top w:w="15" w:type="dxa"/>
              <w:left w:w="15" w:type="dxa"/>
              <w:right w:w="15" w:type="dxa"/>
            </w:tcMar>
            <w:vAlign w:val="center"/>
          </w:tcPr>
          <w:p w14:paraId="2600DB78">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GB36600第一类用地筛选值</w:t>
            </w:r>
          </w:p>
        </w:tc>
        <w:tc>
          <w:tcPr>
            <w:tcW w:w="1016" w:type="pct"/>
            <w:tcBorders>
              <w:tl2br w:val="nil"/>
              <w:tr2bl w:val="nil"/>
            </w:tcBorders>
            <w:shd w:val="clear" w:color="auto" w:fill="auto"/>
            <w:noWrap/>
            <w:tcMar>
              <w:top w:w="15" w:type="dxa"/>
              <w:left w:w="15" w:type="dxa"/>
              <w:right w:w="15" w:type="dxa"/>
            </w:tcMar>
          </w:tcPr>
          <w:p w14:paraId="7D61FED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&lt;6</w:t>
            </w:r>
          </w:p>
        </w:tc>
      </w:tr>
      <w:tr w14:paraId="6466EF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9" w:type="pct"/>
            <w:tcBorders>
              <w:tl2br w:val="nil"/>
              <w:tr2bl w:val="nil"/>
            </w:tcBorders>
            <w:shd w:val="clear" w:color="auto" w:fill="auto"/>
            <w:noWrap/>
            <w:tcMar>
              <w:top w:w="15" w:type="dxa"/>
              <w:left w:w="15" w:type="dxa"/>
              <w:right w:w="15" w:type="dxa"/>
            </w:tcMar>
            <w:vAlign w:val="center"/>
          </w:tcPr>
          <w:p w14:paraId="2ACC60E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8</w:t>
            </w:r>
          </w:p>
        </w:tc>
        <w:tc>
          <w:tcPr>
            <w:tcW w:w="543" w:type="pct"/>
            <w:tcBorders>
              <w:tl2br w:val="nil"/>
              <w:tr2bl w:val="nil"/>
            </w:tcBorders>
            <w:shd w:val="clear" w:color="auto" w:fill="auto"/>
            <w:noWrap/>
            <w:tcMar>
              <w:top w:w="15" w:type="dxa"/>
              <w:left w:w="15" w:type="dxa"/>
              <w:right w:w="15" w:type="dxa"/>
            </w:tcMar>
            <w:vAlign w:val="center"/>
          </w:tcPr>
          <w:p w14:paraId="10DD3D8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 -3-200</w:t>
            </w:r>
          </w:p>
        </w:tc>
        <w:tc>
          <w:tcPr>
            <w:tcW w:w="1656" w:type="pct"/>
            <w:tcBorders>
              <w:tl2br w:val="nil"/>
              <w:tr2bl w:val="nil"/>
            </w:tcBorders>
            <w:shd w:val="clear" w:color="auto" w:fill="auto"/>
            <w:noWrap/>
            <w:tcMar>
              <w:top w:w="15" w:type="dxa"/>
              <w:left w:w="15" w:type="dxa"/>
              <w:right w:w="15" w:type="dxa"/>
            </w:tcMar>
            <w:vAlign w:val="center"/>
          </w:tcPr>
          <w:p w14:paraId="24B69DE3">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园区边界南侧下风向200m</w:t>
            </w:r>
          </w:p>
        </w:tc>
        <w:tc>
          <w:tcPr>
            <w:tcW w:w="1524" w:type="pct"/>
            <w:tcBorders>
              <w:tl2br w:val="nil"/>
              <w:tr2bl w:val="nil"/>
            </w:tcBorders>
            <w:shd w:val="clear" w:color="auto" w:fill="auto"/>
            <w:noWrap/>
            <w:tcMar>
              <w:top w:w="15" w:type="dxa"/>
              <w:left w:w="15" w:type="dxa"/>
              <w:right w:w="15" w:type="dxa"/>
            </w:tcMar>
            <w:vAlign w:val="center"/>
          </w:tcPr>
          <w:p w14:paraId="72A3CA31">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GB36600第一类用地筛选值</w:t>
            </w:r>
          </w:p>
        </w:tc>
        <w:tc>
          <w:tcPr>
            <w:tcW w:w="1016" w:type="pct"/>
            <w:tcBorders>
              <w:tl2br w:val="nil"/>
              <w:tr2bl w:val="nil"/>
            </w:tcBorders>
            <w:shd w:val="clear" w:color="auto" w:fill="auto"/>
            <w:noWrap/>
            <w:tcMar>
              <w:top w:w="15" w:type="dxa"/>
              <w:left w:w="15" w:type="dxa"/>
              <w:right w:w="15" w:type="dxa"/>
            </w:tcMar>
          </w:tcPr>
          <w:p w14:paraId="26C7ED7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28</w:t>
            </w:r>
          </w:p>
        </w:tc>
      </w:tr>
      <w:tr w14:paraId="2AE0BA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9" w:type="pct"/>
            <w:tcBorders>
              <w:tl2br w:val="nil"/>
              <w:tr2bl w:val="nil"/>
            </w:tcBorders>
            <w:shd w:val="clear" w:color="auto" w:fill="auto"/>
            <w:noWrap/>
            <w:tcMar>
              <w:top w:w="15" w:type="dxa"/>
              <w:left w:w="15" w:type="dxa"/>
              <w:right w:w="15" w:type="dxa"/>
            </w:tcMar>
            <w:vAlign w:val="center"/>
          </w:tcPr>
          <w:p w14:paraId="69C1C994">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9</w:t>
            </w:r>
          </w:p>
        </w:tc>
        <w:tc>
          <w:tcPr>
            <w:tcW w:w="543" w:type="pct"/>
            <w:tcBorders>
              <w:tl2br w:val="nil"/>
              <w:tr2bl w:val="nil"/>
            </w:tcBorders>
            <w:shd w:val="clear" w:color="auto" w:fill="auto"/>
            <w:noWrap/>
            <w:tcMar>
              <w:top w:w="15" w:type="dxa"/>
              <w:left w:w="15" w:type="dxa"/>
              <w:right w:w="15" w:type="dxa"/>
            </w:tcMar>
            <w:vAlign w:val="center"/>
          </w:tcPr>
          <w:p w14:paraId="649F68F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 -3-400</w:t>
            </w:r>
          </w:p>
        </w:tc>
        <w:tc>
          <w:tcPr>
            <w:tcW w:w="1656" w:type="pct"/>
            <w:tcBorders>
              <w:tl2br w:val="nil"/>
              <w:tr2bl w:val="nil"/>
            </w:tcBorders>
            <w:shd w:val="clear" w:color="auto" w:fill="auto"/>
            <w:noWrap/>
            <w:tcMar>
              <w:top w:w="15" w:type="dxa"/>
              <w:left w:w="15" w:type="dxa"/>
              <w:right w:w="15" w:type="dxa"/>
            </w:tcMar>
            <w:vAlign w:val="center"/>
          </w:tcPr>
          <w:p w14:paraId="60962C31">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园区边界南侧下风向400m</w:t>
            </w:r>
          </w:p>
        </w:tc>
        <w:tc>
          <w:tcPr>
            <w:tcW w:w="1524" w:type="pct"/>
            <w:tcBorders>
              <w:tl2br w:val="nil"/>
              <w:tr2bl w:val="nil"/>
            </w:tcBorders>
            <w:shd w:val="clear" w:color="auto" w:fill="auto"/>
            <w:noWrap/>
            <w:tcMar>
              <w:top w:w="15" w:type="dxa"/>
              <w:left w:w="15" w:type="dxa"/>
              <w:right w:w="15" w:type="dxa"/>
            </w:tcMar>
            <w:vAlign w:val="center"/>
          </w:tcPr>
          <w:p w14:paraId="4C41B8AC">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GB36600第一类用地筛选值</w:t>
            </w:r>
          </w:p>
        </w:tc>
        <w:tc>
          <w:tcPr>
            <w:tcW w:w="1016" w:type="pct"/>
            <w:tcBorders>
              <w:tl2br w:val="nil"/>
              <w:tr2bl w:val="nil"/>
            </w:tcBorders>
            <w:shd w:val="clear" w:color="auto" w:fill="auto"/>
            <w:noWrap/>
            <w:tcMar>
              <w:top w:w="15" w:type="dxa"/>
              <w:left w:w="15" w:type="dxa"/>
              <w:right w:w="15" w:type="dxa"/>
            </w:tcMar>
          </w:tcPr>
          <w:p w14:paraId="1A98ADD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w:t>
            </w:r>
          </w:p>
        </w:tc>
      </w:tr>
      <w:tr w14:paraId="3F110A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9" w:type="pct"/>
            <w:tcBorders>
              <w:tl2br w:val="nil"/>
              <w:tr2bl w:val="nil"/>
            </w:tcBorders>
            <w:shd w:val="clear" w:color="auto" w:fill="auto"/>
            <w:noWrap/>
            <w:tcMar>
              <w:top w:w="15" w:type="dxa"/>
              <w:left w:w="15" w:type="dxa"/>
              <w:right w:w="15" w:type="dxa"/>
            </w:tcMar>
            <w:vAlign w:val="center"/>
          </w:tcPr>
          <w:p w14:paraId="6115D7B7">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10</w:t>
            </w:r>
          </w:p>
        </w:tc>
        <w:tc>
          <w:tcPr>
            <w:tcW w:w="543" w:type="pct"/>
            <w:tcBorders>
              <w:tl2br w:val="nil"/>
              <w:tr2bl w:val="nil"/>
            </w:tcBorders>
            <w:shd w:val="clear" w:color="auto" w:fill="auto"/>
            <w:noWrap/>
            <w:tcMar>
              <w:top w:w="15" w:type="dxa"/>
              <w:left w:w="15" w:type="dxa"/>
              <w:right w:w="15" w:type="dxa"/>
            </w:tcMar>
            <w:vAlign w:val="center"/>
          </w:tcPr>
          <w:p w14:paraId="4BF3FA8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 -4</w:t>
            </w:r>
          </w:p>
        </w:tc>
        <w:tc>
          <w:tcPr>
            <w:tcW w:w="1656" w:type="pct"/>
            <w:tcBorders>
              <w:tl2br w:val="nil"/>
              <w:tr2bl w:val="nil"/>
            </w:tcBorders>
            <w:shd w:val="clear" w:color="auto" w:fill="auto"/>
            <w:noWrap/>
            <w:tcMar>
              <w:top w:w="15" w:type="dxa"/>
              <w:left w:w="15" w:type="dxa"/>
              <w:right w:w="15" w:type="dxa"/>
            </w:tcMar>
            <w:vAlign w:val="center"/>
          </w:tcPr>
          <w:p w14:paraId="7DE875C8">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园区边界北侧上风向20m</w:t>
            </w:r>
            <w:r>
              <w:rPr>
                <w:rFonts w:hint="default" w:ascii="Times New Roman" w:hAnsi="Times New Roman" w:cs="Times New Roman"/>
                <w:color w:val="auto"/>
                <w:sz w:val="21"/>
                <w:szCs w:val="21"/>
                <w:highlight w:val="none"/>
                <w:lang w:val="en-US" w:eastAsia="zh-CN"/>
              </w:rPr>
              <w:t>以外</w:t>
            </w:r>
          </w:p>
        </w:tc>
        <w:tc>
          <w:tcPr>
            <w:tcW w:w="1524" w:type="pct"/>
            <w:tcBorders>
              <w:tl2br w:val="nil"/>
              <w:tr2bl w:val="nil"/>
            </w:tcBorders>
            <w:shd w:val="clear" w:color="auto" w:fill="auto"/>
            <w:noWrap/>
            <w:tcMar>
              <w:top w:w="15" w:type="dxa"/>
              <w:left w:w="15" w:type="dxa"/>
              <w:right w:w="15" w:type="dxa"/>
            </w:tcMar>
            <w:vAlign w:val="center"/>
          </w:tcPr>
          <w:p w14:paraId="4CD2272D">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GB36600第二类用地筛选值</w:t>
            </w:r>
          </w:p>
        </w:tc>
        <w:tc>
          <w:tcPr>
            <w:tcW w:w="1016" w:type="pct"/>
            <w:tcBorders>
              <w:tl2br w:val="nil"/>
              <w:tr2bl w:val="nil"/>
            </w:tcBorders>
            <w:shd w:val="clear" w:color="auto" w:fill="auto"/>
            <w:noWrap/>
            <w:tcMar>
              <w:top w:w="15" w:type="dxa"/>
              <w:left w:w="15" w:type="dxa"/>
              <w:right w:w="15" w:type="dxa"/>
            </w:tcMar>
          </w:tcPr>
          <w:p w14:paraId="7FC697A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16</w:t>
            </w:r>
          </w:p>
        </w:tc>
      </w:tr>
      <w:tr w14:paraId="71B9DF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9" w:type="pct"/>
            <w:tcBorders>
              <w:tl2br w:val="nil"/>
              <w:tr2bl w:val="nil"/>
            </w:tcBorders>
            <w:shd w:val="clear" w:color="auto" w:fill="auto"/>
            <w:noWrap/>
            <w:tcMar>
              <w:top w:w="15" w:type="dxa"/>
              <w:left w:w="15" w:type="dxa"/>
              <w:right w:w="15" w:type="dxa"/>
            </w:tcMar>
            <w:vAlign w:val="center"/>
          </w:tcPr>
          <w:p w14:paraId="5E9F9DD2">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11</w:t>
            </w:r>
          </w:p>
        </w:tc>
        <w:tc>
          <w:tcPr>
            <w:tcW w:w="543" w:type="pct"/>
            <w:tcBorders>
              <w:tl2br w:val="nil"/>
              <w:tr2bl w:val="nil"/>
            </w:tcBorders>
            <w:shd w:val="clear" w:color="auto" w:fill="auto"/>
            <w:noWrap/>
            <w:tcMar>
              <w:top w:w="15" w:type="dxa"/>
              <w:left w:w="15" w:type="dxa"/>
              <w:right w:w="15" w:type="dxa"/>
            </w:tcMar>
            <w:vAlign w:val="center"/>
          </w:tcPr>
          <w:p w14:paraId="453A769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 -JJ-1</w:t>
            </w:r>
          </w:p>
        </w:tc>
        <w:tc>
          <w:tcPr>
            <w:tcW w:w="1656" w:type="pct"/>
            <w:tcBorders>
              <w:tl2br w:val="nil"/>
              <w:tr2bl w:val="nil"/>
            </w:tcBorders>
            <w:shd w:val="clear" w:color="auto" w:fill="auto"/>
            <w:noWrap/>
            <w:tcMar>
              <w:top w:w="15" w:type="dxa"/>
              <w:left w:w="15" w:type="dxa"/>
              <w:right w:w="15" w:type="dxa"/>
            </w:tcMar>
            <w:vAlign w:val="center"/>
          </w:tcPr>
          <w:p w14:paraId="201C359C">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企业聚集区西侧</w:t>
            </w:r>
          </w:p>
        </w:tc>
        <w:tc>
          <w:tcPr>
            <w:tcW w:w="1524" w:type="pct"/>
            <w:tcBorders>
              <w:tl2br w:val="nil"/>
              <w:tr2bl w:val="nil"/>
            </w:tcBorders>
            <w:shd w:val="clear" w:color="auto" w:fill="auto"/>
            <w:noWrap/>
            <w:tcMar>
              <w:top w:w="15" w:type="dxa"/>
              <w:left w:w="15" w:type="dxa"/>
              <w:right w:w="15" w:type="dxa"/>
            </w:tcMar>
            <w:vAlign w:val="center"/>
          </w:tcPr>
          <w:p w14:paraId="2CA13A7B">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GB36600第一类用地筛选值</w:t>
            </w:r>
          </w:p>
        </w:tc>
        <w:tc>
          <w:tcPr>
            <w:tcW w:w="1016" w:type="pct"/>
            <w:tcBorders>
              <w:tl2br w:val="nil"/>
              <w:tr2bl w:val="nil"/>
            </w:tcBorders>
            <w:shd w:val="clear" w:color="auto" w:fill="auto"/>
            <w:noWrap/>
            <w:tcMar>
              <w:top w:w="15" w:type="dxa"/>
              <w:left w:w="15" w:type="dxa"/>
              <w:right w:w="15" w:type="dxa"/>
            </w:tcMar>
          </w:tcPr>
          <w:p w14:paraId="1FDF533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&lt;6</w:t>
            </w:r>
          </w:p>
        </w:tc>
      </w:tr>
      <w:tr w14:paraId="06B0D0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259" w:type="pct"/>
            <w:tcBorders>
              <w:tl2br w:val="nil"/>
              <w:tr2bl w:val="nil"/>
            </w:tcBorders>
            <w:shd w:val="clear" w:color="auto" w:fill="auto"/>
            <w:noWrap/>
            <w:tcMar>
              <w:top w:w="15" w:type="dxa"/>
              <w:left w:w="15" w:type="dxa"/>
              <w:right w:w="15" w:type="dxa"/>
            </w:tcMar>
            <w:vAlign w:val="center"/>
          </w:tcPr>
          <w:p w14:paraId="308C84C4">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12</w:t>
            </w:r>
          </w:p>
        </w:tc>
        <w:tc>
          <w:tcPr>
            <w:tcW w:w="543" w:type="pct"/>
            <w:tcBorders>
              <w:tl2br w:val="nil"/>
              <w:tr2bl w:val="nil"/>
            </w:tcBorders>
            <w:shd w:val="clear" w:color="auto" w:fill="auto"/>
            <w:noWrap/>
            <w:tcMar>
              <w:top w:w="15" w:type="dxa"/>
              <w:left w:w="15" w:type="dxa"/>
              <w:right w:w="15" w:type="dxa"/>
            </w:tcMar>
            <w:vAlign w:val="center"/>
          </w:tcPr>
          <w:p w14:paraId="28946EE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 -JJ-2</w:t>
            </w:r>
          </w:p>
        </w:tc>
        <w:tc>
          <w:tcPr>
            <w:tcW w:w="1656" w:type="pct"/>
            <w:tcBorders>
              <w:tl2br w:val="nil"/>
              <w:tr2bl w:val="nil"/>
            </w:tcBorders>
            <w:shd w:val="clear" w:color="auto" w:fill="auto"/>
            <w:noWrap/>
            <w:tcMar>
              <w:top w:w="15" w:type="dxa"/>
              <w:left w:w="15" w:type="dxa"/>
              <w:right w:w="15" w:type="dxa"/>
            </w:tcMar>
            <w:vAlign w:val="center"/>
          </w:tcPr>
          <w:p w14:paraId="5056E6C9">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企业聚集区南侧</w:t>
            </w:r>
          </w:p>
        </w:tc>
        <w:tc>
          <w:tcPr>
            <w:tcW w:w="1524" w:type="pct"/>
            <w:tcBorders>
              <w:tl2br w:val="nil"/>
              <w:tr2bl w:val="nil"/>
            </w:tcBorders>
            <w:shd w:val="clear" w:color="auto" w:fill="auto"/>
            <w:noWrap/>
            <w:tcMar>
              <w:top w:w="15" w:type="dxa"/>
              <w:left w:w="15" w:type="dxa"/>
              <w:right w:w="15" w:type="dxa"/>
            </w:tcMar>
            <w:vAlign w:val="center"/>
          </w:tcPr>
          <w:p w14:paraId="5CB78A9C">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GB36600第二类用地筛选值</w:t>
            </w:r>
          </w:p>
        </w:tc>
        <w:tc>
          <w:tcPr>
            <w:tcW w:w="1016" w:type="pct"/>
            <w:tcBorders>
              <w:tl2br w:val="nil"/>
              <w:tr2bl w:val="nil"/>
            </w:tcBorders>
            <w:shd w:val="clear" w:color="auto" w:fill="auto"/>
            <w:noWrap/>
            <w:tcMar>
              <w:top w:w="15" w:type="dxa"/>
              <w:left w:w="15" w:type="dxa"/>
              <w:right w:w="15" w:type="dxa"/>
            </w:tcMar>
          </w:tcPr>
          <w:p w14:paraId="400051D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&lt;6</w:t>
            </w:r>
          </w:p>
        </w:tc>
      </w:tr>
      <w:tr w14:paraId="6D6AC1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9" w:type="pct"/>
            <w:tcBorders>
              <w:tl2br w:val="nil"/>
              <w:tr2bl w:val="nil"/>
            </w:tcBorders>
            <w:shd w:val="clear" w:color="auto" w:fill="auto"/>
            <w:noWrap/>
            <w:tcMar>
              <w:top w:w="15" w:type="dxa"/>
              <w:left w:w="15" w:type="dxa"/>
              <w:right w:w="15" w:type="dxa"/>
            </w:tcMar>
            <w:vAlign w:val="center"/>
          </w:tcPr>
          <w:p w14:paraId="6FD08F1A">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13</w:t>
            </w:r>
          </w:p>
        </w:tc>
        <w:tc>
          <w:tcPr>
            <w:tcW w:w="543" w:type="pct"/>
            <w:tcBorders>
              <w:tl2br w:val="nil"/>
              <w:tr2bl w:val="nil"/>
            </w:tcBorders>
            <w:shd w:val="clear" w:color="auto" w:fill="auto"/>
            <w:noWrap/>
            <w:tcMar>
              <w:top w:w="15" w:type="dxa"/>
              <w:left w:w="15" w:type="dxa"/>
              <w:right w:w="15" w:type="dxa"/>
            </w:tcMar>
            <w:vAlign w:val="center"/>
          </w:tcPr>
          <w:p w14:paraId="67CDEB4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 -JJ-3</w:t>
            </w:r>
          </w:p>
        </w:tc>
        <w:tc>
          <w:tcPr>
            <w:tcW w:w="1656" w:type="pct"/>
            <w:tcBorders>
              <w:tl2br w:val="nil"/>
              <w:tr2bl w:val="nil"/>
            </w:tcBorders>
            <w:shd w:val="clear" w:color="auto" w:fill="auto"/>
            <w:noWrap/>
            <w:tcMar>
              <w:top w:w="15" w:type="dxa"/>
              <w:left w:w="15" w:type="dxa"/>
              <w:right w:w="15" w:type="dxa"/>
            </w:tcMar>
            <w:vAlign w:val="center"/>
          </w:tcPr>
          <w:p w14:paraId="44BD1F25">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企业聚集区西侧</w:t>
            </w:r>
          </w:p>
        </w:tc>
        <w:tc>
          <w:tcPr>
            <w:tcW w:w="1524" w:type="pct"/>
            <w:tcBorders>
              <w:tl2br w:val="nil"/>
              <w:tr2bl w:val="nil"/>
            </w:tcBorders>
            <w:shd w:val="clear" w:color="auto" w:fill="auto"/>
            <w:noWrap/>
            <w:tcMar>
              <w:top w:w="15" w:type="dxa"/>
              <w:left w:w="15" w:type="dxa"/>
              <w:right w:w="15" w:type="dxa"/>
            </w:tcMar>
            <w:vAlign w:val="center"/>
          </w:tcPr>
          <w:p w14:paraId="6274BDF2">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GB36600第一类用地筛选值</w:t>
            </w:r>
          </w:p>
        </w:tc>
        <w:tc>
          <w:tcPr>
            <w:tcW w:w="1016" w:type="pct"/>
            <w:tcBorders>
              <w:tl2br w:val="nil"/>
              <w:tr2bl w:val="nil"/>
            </w:tcBorders>
            <w:shd w:val="clear" w:color="auto" w:fill="auto"/>
            <w:noWrap/>
            <w:tcMar>
              <w:top w:w="15" w:type="dxa"/>
              <w:left w:w="15" w:type="dxa"/>
              <w:right w:w="15" w:type="dxa"/>
            </w:tcMar>
          </w:tcPr>
          <w:p w14:paraId="4F31A3D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&lt;6</w:t>
            </w:r>
          </w:p>
        </w:tc>
      </w:tr>
      <w:tr w14:paraId="744CA3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259" w:type="pct"/>
            <w:tcBorders>
              <w:tl2br w:val="nil"/>
              <w:tr2bl w:val="nil"/>
            </w:tcBorders>
            <w:shd w:val="clear" w:color="auto" w:fill="auto"/>
            <w:noWrap/>
            <w:tcMar>
              <w:top w:w="15" w:type="dxa"/>
              <w:left w:w="15" w:type="dxa"/>
              <w:right w:w="15" w:type="dxa"/>
            </w:tcMar>
            <w:vAlign w:val="center"/>
          </w:tcPr>
          <w:p w14:paraId="3384684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bidi="ar"/>
              </w:rPr>
              <w:t>14</w:t>
            </w:r>
          </w:p>
        </w:tc>
        <w:tc>
          <w:tcPr>
            <w:tcW w:w="543" w:type="pct"/>
            <w:tcBorders>
              <w:tl2br w:val="nil"/>
              <w:tr2bl w:val="nil"/>
            </w:tcBorders>
            <w:shd w:val="clear" w:color="auto" w:fill="auto"/>
            <w:noWrap/>
            <w:tcMar>
              <w:top w:w="15" w:type="dxa"/>
              <w:left w:w="15" w:type="dxa"/>
              <w:right w:w="15" w:type="dxa"/>
            </w:tcMar>
            <w:vAlign w:val="center"/>
          </w:tcPr>
          <w:p w14:paraId="7E558CB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XM -JJ-4</w:t>
            </w:r>
          </w:p>
        </w:tc>
        <w:tc>
          <w:tcPr>
            <w:tcW w:w="1656" w:type="pct"/>
            <w:tcBorders>
              <w:tl2br w:val="nil"/>
              <w:tr2bl w:val="nil"/>
            </w:tcBorders>
            <w:shd w:val="clear" w:color="auto" w:fill="auto"/>
            <w:noWrap/>
            <w:tcMar>
              <w:top w:w="15" w:type="dxa"/>
              <w:left w:w="15" w:type="dxa"/>
              <w:right w:w="15" w:type="dxa"/>
            </w:tcMar>
            <w:vAlign w:val="center"/>
          </w:tcPr>
          <w:p w14:paraId="72A6D28C">
            <w:pPr>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企业聚集区南侧</w:t>
            </w:r>
          </w:p>
        </w:tc>
        <w:tc>
          <w:tcPr>
            <w:tcW w:w="1524" w:type="pct"/>
            <w:tcBorders>
              <w:tl2br w:val="nil"/>
              <w:tr2bl w:val="nil"/>
            </w:tcBorders>
            <w:shd w:val="clear" w:color="auto" w:fill="auto"/>
            <w:noWrap/>
            <w:tcMar>
              <w:top w:w="15" w:type="dxa"/>
              <w:left w:w="15" w:type="dxa"/>
              <w:right w:w="15" w:type="dxa"/>
            </w:tcMar>
            <w:vAlign w:val="center"/>
          </w:tcPr>
          <w:p w14:paraId="63575A2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rPr>
              <w:t>GB36600第二类用地筛选值</w:t>
            </w:r>
          </w:p>
        </w:tc>
        <w:tc>
          <w:tcPr>
            <w:tcW w:w="1016" w:type="pct"/>
            <w:tcBorders>
              <w:tl2br w:val="nil"/>
              <w:tr2bl w:val="nil"/>
            </w:tcBorders>
            <w:shd w:val="clear" w:color="auto" w:fill="auto"/>
            <w:noWrap/>
            <w:tcMar>
              <w:top w:w="15" w:type="dxa"/>
              <w:left w:w="15" w:type="dxa"/>
              <w:right w:w="15" w:type="dxa"/>
            </w:tcMar>
          </w:tcPr>
          <w:p w14:paraId="097A4EC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58</w:t>
            </w:r>
          </w:p>
        </w:tc>
      </w:tr>
      <w:tr w14:paraId="37255D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3983" w:type="pct"/>
            <w:gridSpan w:val="4"/>
            <w:tcBorders>
              <w:tl2br w:val="nil"/>
              <w:tr2bl w:val="nil"/>
            </w:tcBorders>
            <w:shd w:val="clear" w:color="auto" w:fill="auto"/>
            <w:noWrap/>
            <w:tcMar>
              <w:top w:w="15" w:type="dxa"/>
              <w:left w:w="15" w:type="dxa"/>
              <w:right w:w="15" w:type="dxa"/>
            </w:tcMar>
            <w:vAlign w:val="center"/>
          </w:tcPr>
          <w:p w14:paraId="0B9B927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最大值</w:t>
            </w:r>
          </w:p>
        </w:tc>
        <w:tc>
          <w:tcPr>
            <w:tcW w:w="1016" w:type="pct"/>
            <w:tcBorders>
              <w:tl2br w:val="nil"/>
              <w:tr2bl w:val="nil"/>
            </w:tcBorders>
            <w:shd w:val="clear" w:color="auto" w:fill="auto"/>
            <w:noWrap/>
            <w:tcMar>
              <w:top w:w="15" w:type="dxa"/>
              <w:left w:w="15" w:type="dxa"/>
              <w:right w:w="15" w:type="dxa"/>
            </w:tcMar>
            <w:vAlign w:val="center"/>
          </w:tcPr>
          <w:p w14:paraId="52A13F2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58</w:t>
            </w:r>
          </w:p>
        </w:tc>
      </w:tr>
      <w:tr w14:paraId="651D3B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3983" w:type="pct"/>
            <w:gridSpan w:val="4"/>
            <w:tcBorders>
              <w:tl2br w:val="nil"/>
              <w:tr2bl w:val="nil"/>
            </w:tcBorders>
            <w:shd w:val="clear" w:color="auto" w:fill="auto"/>
            <w:noWrap/>
            <w:tcMar>
              <w:top w:w="15" w:type="dxa"/>
              <w:left w:w="15" w:type="dxa"/>
              <w:right w:w="15" w:type="dxa"/>
            </w:tcMar>
            <w:vAlign w:val="center"/>
          </w:tcPr>
          <w:p w14:paraId="2810655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最小值</w:t>
            </w:r>
          </w:p>
        </w:tc>
        <w:tc>
          <w:tcPr>
            <w:tcW w:w="1016" w:type="pct"/>
            <w:tcBorders>
              <w:tl2br w:val="nil"/>
              <w:tr2bl w:val="nil"/>
            </w:tcBorders>
            <w:shd w:val="clear" w:color="auto" w:fill="auto"/>
            <w:noWrap/>
            <w:tcMar>
              <w:top w:w="15" w:type="dxa"/>
              <w:left w:w="15" w:type="dxa"/>
              <w:right w:w="15" w:type="dxa"/>
            </w:tcMar>
            <w:vAlign w:val="center"/>
          </w:tcPr>
          <w:p w14:paraId="1AC5C02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&lt;6</w:t>
            </w:r>
          </w:p>
        </w:tc>
      </w:tr>
      <w:tr w14:paraId="48DF54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3983" w:type="pct"/>
            <w:gridSpan w:val="4"/>
            <w:tcBorders>
              <w:tl2br w:val="nil"/>
              <w:tr2bl w:val="nil"/>
            </w:tcBorders>
            <w:shd w:val="clear" w:color="auto" w:fill="auto"/>
            <w:noWrap/>
            <w:tcMar>
              <w:top w:w="15" w:type="dxa"/>
              <w:left w:w="15" w:type="dxa"/>
              <w:right w:w="15" w:type="dxa"/>
            </w:tcMar>
            <w:vAlign w:val="center"/>
          </w:tcPr>
          <w:p w14:paraId="15154F2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平均值</w:t>
            </w:r>
          </w:p>
        </w:tc>
        <w:tc>
          <w:tcPr>
            <w:tcW w:w="1016" w:type="pct"/>
            <w:tcBorders>
              <w:tl2br w:val="nil"/>
              <w:tr2bl w:val="nil"/>
            </w:tcBorders>
            <w:shd w:val="clear" w:color="auto" w:fill="auto"/>
            <w:noWrap/>
            <w:tcMar>
              <w:top w:w="15" w:type="dxa"/>
              <w:left w:w="15" w:type="dxa"/>
              <w:right w:w="15" w:type="dxa"/>
            </w:tcMar>
            <w:vAlign w:val="center"/>
          </w:tcPr>
          <w:p w14:paraId="1900441E">
            <w:pPr>
              <w:widowControl/>
              <w:spacing w:line="240" w:lineRule="auto"/>
              <w:jc w:val="center"/>
              <w:textAlignment w:val="center"/>
              <w:rPr>
                <w:rFonts w:hint="default" w:ascii="Times New Roman" w:hAnsi="Times New Roman" w:eastAsia="宋体" w:cs="Times New Roman"/>
                <w:color w:val="auto"/>
                <w:kern w:val="0"/>
                <w:sz w:val="21"/>
                <w:szCs w:val="21"/>
                <w:highlight w:val="none"/>
                <w:lang w:eastAsia="zh-CN" w:bidi="ar"/>
              </w:rPr>
            </w:pPr>
            <w:r>
              <w:rPr>
                <w:rFonts w:hint="default" w:ascii="Times New Roman" w:hAnsi="Times New Roman" w:cs="Times New Roman"/>
                <w:color w:val="auto"/>
                <w:kern w:val="0"/>
                <w:sz w:val="21"/>
                <w:szCs w:val="21"/>
                <w:highlight w:val="none"/>
                <w:lang w:bidi="ar"/>
              </w:rPr>
              <w:t>1</w:t>
            </w:r>
            <w:r>
              <w:rPr>
                <w:rFonts w:hint="default" w:ascii="Times New Roman" w:hAnsi="Times New Roman" w:cs="Times New Roman"/>
                <w:color w:val="auto"/>
                <w:kern w:val="0"/>
                <w:sz w:val="21"/>
                <w:szCs w:val="21"/>
                <w:highlight w:val="none"/>
                <w:lang w:val="en-US" w:eastAsia="zh-CN" w:bidi="ar"/>
              </w:rPr>
              <w:t>2</w:t>
            </w:r>
          </w:p>
        </w:tc>
      </w:tr>
      <w:tr w14:paraId="341A08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3983" w:type="pct"/>
            <w:gridSpan w:val="4"/>
            <w:tcBorders>
              <w:tl2br w:val="nil"/>
              <w:tr2bl w:val="nil"/>
            </w:tcBorders>
            <w:shd w:val="clear" w:color="auto" w:fill="auto"/>
            <w:noWrap/>
            <w:tcMar>
              <w:top w:w="15" w:type="dxa"/>
              <w:left w:w="15" w:type="dxa"/>
              <w:right w:w="15" w:type="dxa"/>
            </w:tcMar>
            <w:vAlign w:val="center"/>
          </w:tcPr>
          <w:p w14:paraId="75D24C2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检出率</w:t>
            </w:r>
          </w:p>
        </w:tc>
        <w:tc>
          <w:tcPr>
            <w:tcW w:w="1016" w:type="pct"/>
            <w:tcBorders>
              <w:tl2br w:val="nil"/>
              <w:tr2bl w:val="nil"/>
            </w:tcBorders>
            <w:shd w:val="clear" w:color="auto" w:fill="auto"/>
            <w:noWrap/>
            <w:tcMar>
              <w:top w:w="15" w:type="dxa"/>
              <w:left w:w="15" w:type="dxa"/>
              <w:right w:w="15" w:type="dxa"/>
            </w:tcMar>
            <w:vAlign w:val="center"/>
          </w:tcPr>
          <w:p w14:paraId="7AD18F6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50%</w:t>
            </w:r>
          </w:p>
        </w:tc>
      </w:tr>
      <w:tr w14:paraId="7EC078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3983" w:type="pct"/>
            <w:gridSpan w:val="4"/>
            <w:tcBorders>
              <w:tl2br w:val="nil"/>
              <w:tr2bl w:val="nil"/>
            </w:tcBorders>
            <w:shd w:val="clear" w:color="auto" w:fill="auto"/>
            <w:noWrap/>
            <w:tcMar>
              <w:top w:w="15" w:type="dxa"/>
              <w:left w:w="15" w:type="dxa"/>
              <w:right w:w="15" w:type="dxa"/>
            </w:tcMar>
            <w:vAlign w:val="center"/>
          </w:tcPr>
          <w:p w14:paraId="59E0AEB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第一类用地筛选值</w:t>
            </w:r>
          </w:p>
        </w:tc>
        <w:tc>
          <w:tcPr>
            <w:tcW w:w="1016" w:type="pct"/>
            <w:tcBorders>
              <w:tl2br w:val="nil"/>
              <w:tr2bl w:val="nil"/>
            </w:tcBorders>
            <w:shd w:val="clear" w:color="auto" w:fill="auto"/>
            <w:noWrap/>
            <w:tcMar>
              <w:top w:w="15" w:type="dxa"/>
              <w:left w:w="15" w:type="dxa"/>
              <w:right w:w="15" w:type="dxa"/>
            </w:tcMar>
            <w:vAlign w:val="center"/>
          </w:tcPr>
          <w:p w14:paraId="6FBB52C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826</w:t>
            </w:r>
          </w:p>
        </w:tc>
      </w:tr>
      <w:tr w14:paraId="5E8237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3983" w:type="pct"/>
            <w:gridSpan w:val="4"/>
            <w:tcBorders>
              <w:tl2br w:val="nil"/>
              <w:tr2bl w:val="nil"/>
            </w:tcBorders>
            <w:shd w:val="clear" w:color="auto" w:fill="auto"/>
            <w:noWrap/>
            <w:tcMar>
              <w:top w:w="15" w:type="dxa"/>
              <w:left w:w="15" w:type="dxa"/>
              <w:right w:w="15" w:type="dxa"/>
            </w:tcMar>
            <w:vAlign w:val="center"/>
          </w:tcPr>
          <w:p w14:paraId="41783ED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第二类用地筛选值</w:t>
            </w:r>
          </w:p>
        </w:tc>
        <w:tc>
          <w:tcPr>
            <w:tcW w:w="1016" w:type="pct"/>
            <w:tcBorders>
              <w:tl2br w:val="nil"/>
              <w:tr2bl w:val="nil"/>
            </w:tcBorders>
            <w:shd w:val="clear" w:color="auto" w:fill="auto"/>
            <w:noWrap/>
            <w:tcMar>
              <w:top w:w="15" w:type="dxa"/>
              <w:left w:w="15" w:type="dxa"/>
              <w:right w:w="15" w:type="dxa"/>
            </w:tcMar>
            <w:vAlign w:val="center"/>
          </w:tcPr>
          <w:p w14:paraId="6A66F22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4500</w:t>
            </w:r>
          </w:p>
        </w:tc>
      </w:tr>
      <w:tr w14:paraId="53DCFB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72" w:hRule="atLeast"/>
          <w:jc w:val="center"/>
        </w:trPr>
        <w:tc>
          <w:tcPr>
            <w:tcW w:w="3983" w:type="pct"/>
            <w:gridSpan w:val="4"/>
            <w:tcBorders>
              <w:tl2br w:val="nil"/>
              <w:tr2bl w:val="nil"/>
            </w:tcBorders>
            <w:shd w:val="clear" w:color="auto" w:fill="auto"/>
            <w:noWrap/>
            <w:tcMar>
              <w:top w:w="15" w:type="dxa"/>
              <w:left w:w="15" w:type="dxa"/>
              <w:right w:w="15" w:type="dxa"/>
            </w:tcMar>
            <w:vAlign w:val="center"/>
          </w:tcPr>
          <w:p w14:paraId="2D025EF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达标情况</w:t>
            </w:r>
          </w:p>
        </w:tc>
        <w:tc>
          <w:tcPr>
            <w:tcW w:w="1016" w:type="pct"/>
            <w:tcBorders>
              <w:tl2br w:val="nil"/>
              <w:tr2bl w:val="nil"/>
            </w:tcBorders>
            <w:shd w:val="clear" w:color="auto" w:fill="auto"/>
            <w:noWrap/>
            <w:tcMar>
              <w:top w:w="15" w:type="dxa"/>
              <w:left w:w="15" w:type="dxa"/>
              <w:right w:w="15" w:type="dxa"/>
            </w:tcMar>
            <w:vAlign w:val="center"/>
          </w:tcPr>
          <w:p w14:paraId="6B0918F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bl>
    <w:p w14:paraId="290FB91F">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地下水样品检测结果分析</w:t>
      </w:r>
    </w:p>
    <w:p w14:paraId="7F19A5A1">
      <w:pPr>
        <w:ind w:left="1"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次调查园区内共采集地下水样品2个（不含现场平行样），所有样品全部送检。测试项目中未检出项目包括：挥发酚、阴离子表面活性剂、硫化物、氰化物、铁、铜、铝、铬（总）、汞、硒、铅、镉、铬（六价）、氯仿、四氯化碳、苯、甲苯。其余检出指标检测结果见表5-3-6。</w:t>
      </w:r>
    </w:p>
    <w:p w14:paraId="44CBEF64">
      <w:pPr>
        <w:jc w:val="center"/>
        <w:rPr>
          <w:rFonts w:hint="default" w:ascii="Times New Roman" w:hAnsi="Times New Roman" w:cs="Times New Roman"/>
          <w:color w:val="auto"/>
          <w:highlight w:val="none"/>
        </w:rPr>
      </w:pPr>
      <w:r>
        <w:rPr>
          <w:rFonts w:hint="default" w:ascii="Times New Roman" w:hAnsi="Times New Roman" w:eastAsia="黑体" w:cs="Times New Roman"/>
          <w:b/>
          <w:bCs/>
          <w:color w:val="auto"/>
          <w:highlight w:val="none"/>
        </w:rPr>
        <w:t>表5-3-6 地下水样品已检出指标监测结果</w:t>
      </w:r>
    </w:p>
    <w:tbl>
      <w:tblPr>
        <w:tblStyle w:val="2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52"/>
        <w:gridCol w:w="2340"/>
        <w:gridCol w:w="1581"/>
        <w:gridCol w:w="879"/>
        <w:gridCol w:w="984"/>
        <w:gridCol w:w="1593"/>
        <w:gridCol w:w="792"/>
        <w:gridCol w:w="984"/>
      </w:tblGrid>
      <w:tr w14:paraId="14544F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312" w:type="pct"/>
            <w:tcBorders>
              <w:bottom w:val="single" w:color="auto" w:sz="12" w:space="0"/>
            </w:tcBorders>
            <w:shd w:val="clear" w:color="auto" w:fill="auto"/>
            <w:noWrap/>
            <w:tcMar>
              <w:top w:w="15" w:type="dxa"/>
              <w:left w:w="15" w:type="dxa"/>
              <w:right w:w="15" w:type="dxa"/>
            </w:tcMar>
            <w:vAlign w:val="center"/>
          </w:tcPr>
          <w:p w14:paraId="266B07B1">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序号</w:t>
            </w:r>
          </w:p>
        </w:tc>
        <w:tc>
          <w:tcPr>
            <w:tcW w:w="1184" w:type="pct"/>
            <w:tcBorders>
              <w:bottom w:val="single" w:color="auto" w:sz="12" w:space="0"/>
            </w:tcBorders>
            <w:shd w:val="clear" w:color="auto" w:fill="auto"/>
            <w:noWrap/>
            <w:tcMar>
              <w:top w:w="15" w:type="dxa"/>
              <w:left w:w="15" w:type="dxa"/>
              <w:right w:w="15" w:type="dxa"/>
            </w:tcMar>
            <w:vAlign w:val="center"/>
          </w:tcPr>
          <w:p w14:paraId="361C1C2E">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指标</w:t>
            </w:r>
          </w:p>
        </w:tc>
        <w:tc>
          <w:tcPr>
            <w:tcW w:w="720" w:type="pct"/>
            <w:tcBorders>
              <w:bottom w:val="single" w:color="auto" w:sz="12" w:space="0"/>
            </w:tcBorders>
            <w:shd w:val="clear" w:color="auto" w:fill="auto"/>
            <w:noWrap/>
            <w:tcMar>
              <w:top w:w="15" w:type="dxa"/>
              <w:left w:w="15" w:type="dxa"/>
              <w:right w:w="15" w:type="dxa"/>
            </w:tcMar>
            <w:vAlign w:val="center"/>
          </w:tcPr>
          <w:p w14:paraId="29D461AD">
            <w:pPr>
              <w:widowControl/>
              <w:spacing w:line="240" w:lineRule="auto"/>
              <w:jc w:val="center"/>
              <w:textAlignment w:val="center"/>
              <w:rPr>
                <w:rFonts w:hint="default" w:ascii="Times New Roman" w:hAnsi="Times New Roman" w:eastAsia="宋体" w:cs="Times New Roman"/>
                <w:b/>
                <w:color w:val="auto"/>
                <w:kern w:val="0"/>
                <w:sz w:val="21"/>
                <w:szCs w:val="21"/>
                <w:highlight w:val="none"/>
                <w:lang w:eastAsia="zh-CN" w:bidi="ar"/>
              </w:rPr>
            </w:pPr>
            <w:r>
              <w:rPr>
                <w:rFonts w:hint="default" w:ascii="Times New Roman" w:hAnsi="Times New Roman" w:cs="Times New Roman"/>
                <w:b/>
                <w:color w:val="auto"/>
                <w:kern w:val="0"/>
                <w:sz w:val="21"/>
                <w:szCs w:val="21"/>
                <w:highlight w:val="none"/>
                <w:lang w:bidi="ar"/>
              </w:rPr>
              <w:t>标准值</w:t>
            </w:r>
            <w:r>
              <w:rPr>
                <w:rFonts w:hint="default" w:ascii="Times New Roman" w:hAnsi="Times New Roman" w:cs="Times New Roman"/>
                <w:b/>
                <w:color w:val="auto"/>
                <w:kern w:val="0"/>
                <w:sz w:val="21"/>
                <w:szCs w:val="21"/>
                <w:highlight w:val="none"/>
                <w:lang w:eastAsia="zh-CN" w:bidi="ar"/>
              </w:rPr>
              <w:t>（</w:t>
            </w:r>
            <w:r>
              <w:rPr>
                <w:rFonts w:hint="default" w:ascii="Times New Roman" w:hAnsi="Times New Roman" w:cs="Times New Roman"/>
                <w:b/>
                <w:color w:val="auto"/>
                <w:kern w:val="0"/>
                <w:sz w:val="21"/>
                <w:szCs w:val="21"/>
                <w:highlight w:val="none"/>
                <w:lang w:val="en-US" w:eastAsia="zh-CN" w:bidi="ar"/>
              </w:rPr>
              <w:t>IV类</w:t>
            </w:r>
            <w:r>
              <w:rPr>
                <w:rFonts w:hint="default" w:ascii="Times New Roman" w:hAnsi="Times New Roman" w:cs="Times New Roman"/>
                <w:b/>
                <w:color w:val="auto"/>
                <w:kern w:val="0"/>
                <w:sz w:val="21"/>
                <w:szCs w:val="21"/>
                <w:highlight w:val="none"/>
                <w:lang w:eastAsia="zh-CN" w:bidi="ar"/>
              </w:rPr>
              <w:t>）</w:t>
            </w:r>
          </w:p>
        </w:tc>
        <w:tc>
          <w:tcPr>
            <w:tcW w:w="565" w:type="pct"/>
            <w:tcBorders>
              <w:bottom w:val="single" w:color="auto" w:sz="12" w:space="0"/>
            </w:tcBorders>
            <w:shd w:val="clear" w:color="auto" w:fill="auto"/>
            <w:noWrap/>
            <w:tcMar>
              <w:top w:w="15" w:type="dxa"/>
              <w:left w:w="15" w:type="dxa"/>
              <w:right w:w="15" w:type="dxa"/>
            </w:tcMar>
            <w:vAlign w:val="center"/>
          </w:tcPr>
          <w:p w14:paraId="53EC6E2C">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XM-W1</w:t>
            </w:r>
          </w:p>
        </w:tc>
        <w:tc>
          <w:tcPr>
            <w:tcW w:w="604" w:type="pct"/>
            <w:tcBorders>
              <w:bottom w:val="single" w:color="auto" w:sz="12" w:space="0"/>
            </w:tcBorders>
            <w:shd w:val="clear" w:color="auto" w:fill="auto"/>
            <w:noWrap/>
            <w:tcMar>
              <w:top w:w="15" w:type="dxa"/>
              <w:left w:w="15" w:type="dxa"/>
              <w:right w:w="15" w:type="dxa"/>
            </w:tcMar>
            <w:vAlign w:val="center"/>
          </w:tcPr>
          <w:p w14:paraId="1215FABE">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达标情况</w:t>
            </w:r>
          </w:p>
        </w:tc>
        <w:tc>
          <w:tcPr>
            <w:tcW w:w="504" w:type="pct"/>
            <w:tcBorders>
              <w:bottom w:val="single" w:color="auto" w:sz="12" w:space="0"/>
            </w:tcBorders>
            <w:shd w:val="clear" w:color="auto" w:fill="auto"/>
            <w:noWrap/>
            <w:tcMar>
              <w:top w:w="15" w:type="dxa"/>
              <w:left w:w="15" w:type="dxa"/>
              <w:right w:w="15" w:type="dxa"/>
            </w:tcMar>
            <w:vAlign w:val="center"/>
          </w:tcPr>
          <w:p w14:paraId="54C71159">
            <w:pPr>
              <w:widowControl/>
              <w:spacing w:line="240" w:lineRule="auto"/>
              <w:jc w:val="center"/>
              <w:textAlignment w:val="center"/>
              <w:rPr>
                <w:rFonts w:hint="default" w:ascii="Times New Roman" w:hAnsi="Times New Roman" w:eastAsia="宋体" w:cs="Times New Roman"/>
                <w:b/>
                <w:color w:val="auto"/>
                <w:kern w:val="0"/>
                <w:sz w:val="21"/>
                <w:szCs w:val="21"/>
                <w:highlight w:val="none"/>
                <w:lang w:val="en-US" w:eastAsia="zh-CN" w:bidi="ar"/>
              </w:rPr>
            </w:pPr>
            <w:r>
              <w:rPr>
                <w:rFonts w:hint="default" w:ascii="Times New Roman" w:hAnsi="Times New Roman" w:cs="Times New Roman"/>
                <w:b/>
                <w:color w:val="auto"/>
                <w:kern w:val="0"/>
                <w:sz w:val="21"/>
                <w:szCs w:val="21"/>
                <w:highlight w:val="none"/>
                <w:lang w:val="en-US" w:eastAsia="zh-CN" w:bidi="ar"/>
              </w:rPr>
              <w:t>标准值（III类）</w:t>
            </w:r>
          </w:p>
        </w:tc>
        <w:tc>
          <w:tcPr>
            <w:tcW w:w="504" w:type="pct"/>
            <w:tcBorders>
              <w:bottom w:val="single" w:color="auto" w:sz="12" w:space="0"/>
            </w:tcBorders>
            <w:shd w:val="clear" w:color="auto" w:fill="auto"/>
            <w:noWrap/>
            <w:tcMar>
              <w:top w:w="15" w:type="dxa"/>
              <w:left w:w="15" w:type="dxa"/>
              <w:right w:w="15" w:type="dxa"/>
            </w:tcMar>
            <w:vAlign w:val="center"/>
          </w:tcPr>
          <w:p w14:paraId="7698F110">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XM-W2</w:t>
            </w:r>
          </w:p>
        </w:tc>
        <w:tc>
          <w:tcPr>
            <w:tcW w:w="604" w:type="pct"/>
            <w:tcBorders>
              <w:bottom w:val="single" w:color="auto" w:sz="12" w:space="0"/>
            </w:tcBorders>
            <w:shd w:val="clear" w:color="auto" w:fill="auto"/>
            <w:noWrap/>
            <w:tcMar>
              <w:top w:w="15" w:type="dxa"/>
              <w:left w:w="15" w:type="dxa"/>
              <w:right w:w="15" w:type="dxa"/>
            </w:tcMar>
            <w:vAlign w:val="center"/>
          </w:tcPr>
          <w:p w14:paraId="52298C77">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达标情况</w:t>
            </w:r>
          </w:p>
        </w:tc>
      </w:tr>
      <w:tr w14:paraId="5D2721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12" w:type="pct"/>
            <w:tcBorders>
              <w:top w:val="single" w:color="auto" w:sz="12" w:space="0"/>
              <w:tl2br w:val="nil"/>
              <w:tr2bl w:val="nil"/>
            </w:tcBorders>
            <w:shd w:val="clear" w:color="auto" w:fill="auto"/>
            <w:noWrap/>
            <w:tcMar>
              <w:top w:w="15" w:type="dxa"/>
              <w:left w:w="15" w:type="dxa"/>
              <w:right w:w="15" w:type="dxa"/>
            </w:tcMar>
            <w:vAlign w:val="center"/>
          </w:tcPr>
          <w:p w14:paraId="1D30F44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w:t>
            </w:r>
          </w:p>
        </w:tc>
        <w:tc>
          <w:tcPr>
            <w:tcW w:w="1184" w:type="pct"/>
            <w:tcBorders>
              <w:top w:val="single" w:color="auto" w:sz="12" w:space="0"/>
              <w:tl2br w:val="nil"/>
              <w:tr2bl w:val="nil"/>
            </w:tcBorders>
            <w:shd w:val="clear" w:color="auto" w:fill="auto"/>
            <w:noWrap/>
            <w:tcMar>
              <w:top w:w="15" w:type="dxa"/>
              <w:left w:w="15" w:type="dxa"/>
              <w:right w:w="15" w:type="dxa"/>
            </w:tcMar>
            <w:vAlign w:val="center"/>
          </w:tcPr>
          <w:p w14:paraId="74922DC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pH 值</w:t>
            </w:r>
          </w:p>
        </w:tc>
        <w:tc>
          <w:tcPr>
            <w:tcW w:w="720" w:type="pct"/>
            <w:tcBorders>
              <w:top w:val="single" w:color="auto" w:sz="12" w:space="0"/>
              <w:tl2br w:val="nil"/>
              <w:tr2bl w:val="nil"/>
            </w:tcBorders>
            <w:shd w:val="clear" w:color="auto" w:fill="auto"/>
            <w:noWrap/>
            <w:tcMar>
              <w:top w:w="15" w:type="dxa"/>
              <w:left w:w="15" w:type="dxa"/>
              <w:right w:w="15" w:type="dxa"/>
            </w:tcMar>
            <w:vAlign w:val="center"/>
          </w:tcPr>
          <w:p w14:paraId="4D5B24F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rPr>
              <w:t>.5≤pH</w:t>
            </w:r>
            <w:r>
              <w:rPr>
                <w:rFonts w:hint="default"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.5</w:t>
            </w:r>
          </w:p>
          <w:p w14:paraId="7C43A94F">
            <w:pPr>
              <w:widowControl/>
              <w:spacing w:line="240" w:lineRule="auto"/>
              <w:jc w:val="center"/>
              <w:textAlignment w:val="center"/>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8</w:t>
            </w:r>
            <w:r>
              <w:rPr>
                <w:rFonts w:hint="default" w:ascii="Times New Roman" w:hAnsi="Times New Roman" w:cs="Times New Roman"/>
                <w:color w:val="auto"/>
                <w:sz w:val="21"/>
                <w:szCs w:val="21"/>
                <w:highlight w:val="none"/>
              </w:rPr>
              <w:t>.5</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rPr>
              <w:t>pH≤</w:t>
            </w:r>
            <w:r>
              <w:rPr>
                <w:rFonts w:hint="default" w:ascii="Times New Roman" w:hAnsi="Times New Roman" w:cs="Times New Roman"/>
                <w:color w:val="auto"/>
                <w:sz w:val="21"/>
                <w:szCs w:val="21"/>
                <w:highlight w:val="none"/>
                <w:lang w:val="en-US" w:eastAsia="zh-CN"/>
              </w:rPr>
              <w:t>9.0</w:t>
            </w:r>
          </w:p>
        </w:tc>
        <w:tc>
          <w:tcPr>
            <w:tcW w:w="565" w:type="pct"/>
            <w:tcBorders>
              <w:top w:val="single" w:color="auto" w:sz="12" w:space="0"/>
              <w:tl2br w:val="nil"/>
              <w:tr2bl w:val="nil"/>
            </w:tcBorders>
            <w:shd w:val="clear" w:color="auto" w:fill="auto"/>
            <w:noWrap/>
            <w:tcMar>
              <w:top w:w="15" w:type="dxa"/>
              <w:left w:w="15" w:type="dxa"/>
              <w:right w:w="15" w:type="dxa"/>
            </w:tcMar>
            <w:vAlign w:val="center"/>
          </w:tcPr>
          <w:p w14:paraId="18A952C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7.34</w:t>
            </w:r>
          </w:p>
        </w:tc>
        <w:tc>
          <w:tcPr>
            <w:tcW w:w="604" w:type="pct"/>
            <w:tcBorders>
              <w:top w:val="single" w:color="auto" w:sz="12" w:space="0"/>
              <w:tl2br w:val="nil"/>
              <w:tr2bl w:val="nil"/>
            </w:tcBorders>
            <w:shd w:val="clear" w:color="auto" w:fill="auto"/>
            <w:noWrap/>
            <w:tcMar>
              <w:top w:w="15" w:type="dxa"/>
              <w:left w:w="15" w:type="dxa"/>
              <w:right w:w="15" w:type="dxa"/>
            </w:tcMar>
            <w:vAlign w:val="center"/>
          </w:tcPr>
          <w:p w14:paraId="021492B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504" w:type="pct"/>
            <w:tcBorders>
              <w:top w:val="single" w:color="auto" w:sz="12" w:space="0"/>
              <w:tl2br w:val="nil"/>
              <w:tr2bl w:val="nil"/>
            </w:tcBorders>
            <w:shd w:val="clear" w:color="auto" w:fill="auto"/>
            <w:noWrap/>
            <w:tcMar>
              <w:top w:w="15" w:type="dxa"/>
              <w:left w:w="15" w:type="dxa"/>
              <w:right w:w="15" w:type="dxa"/>
            </w:tcMar>
            <w:vAlign w:val="center"/>
          </w:tcPr>
          <w:p w14:paraId="1405C82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6.5≤pH≤8.5</w:t>
            </w:r>
          </w:p>
        </w:tc>
        <w:tc>
          <w:tcPr>
            <w:tcW w:w="504" w:type="pct"/>
            <w:tcBorders>
              <w:top w:val="single" w:color="auto" w:sz="12" w:space="0"/>
              <w:tl2br w:val="nil"/>
              <w:tr2bl w:val="nil"/>
            </w:tcBorders>
            <w:shd w:val="clear" w:color="auto" w:fill="auto"/>
            <w:noWrap/>
            <w:tcMar>
              <w:top w:w="15" w:type="dxa"/>
              <w:left w:w="15" w:type="dxa"/>
              <w:right w:w="15" w:type="dxa"/>
            </w:tcMar>
            <w:vAlign w:val="center"/>
          </w:tcPr>
          <w:p w14:paraId="2601E25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7.40</w:t>
            </w:r>
          </w:p>
        </w:tc>
        <w:tc>
          <w:tcPr>
            <w:tcW w:w="604" w:type="pct"/>
            <w:tcBorders>
              <w:top w:val="single" w:color="auto" w:sz="12" w:space="0"/>
              <w:tl2br w:val="nil"/>
              <w:tr2bl w:val="nil"/>
            </w:tcBorders>
            <w:shd w:val="clear" w:color="auto" w:fill="auto"/>
            <w:noWrap/>
            <w:tcMar>
              <w:top w:w="15" w:type="dxa"/>
              <w:left w:w="15" w:type="dxa"/>
              <w:right w:w="15" w:type="dxa"/>
            </w:tcMar>
            <w:vAlign w:val="center"/>
          </w:tcPr>
          <w:p w14:paraId="57AABA4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331A7A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12" w:type="pct"/>
            <w:tcBorders>
              <w:tl2br w:val="nil"/>
              <w:tr2bl w:val="nil"/>
            </w:tcBorders>
            <w:shd w:val="clear" w:color="auto" w:fill="auto"/>
            <w:noWrap/>
            <w:tcMar>
              <w:top w:w="15" w:type="dxa"/>
              <w:left w:w="15" w:type="dxa"/>
              <w:right w:w="15" w:type="dxa"/>
            </w:tcMar>
            <w:vAlign w:val="center"/>
          </w:tcPr>
          <w:p w14:paraId="157833C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w:t>
            </w:r>
          </w:p>
        </w:tc>
        <w:tc>
          <w:tcPr>
            <w:tcW w:w="1184" w:type="pct"/>
            <w:tcBorders>
              <w:tl2br w:val="nil"/>
              <w:tr2bl w:val="nil"/>
            </w:tcBorders>
            <w:shd w:val="clear" w:color="auto" w:fill="auto"/>
            <w:noWrap/>
            <w:tcMar>
              <w:top w:w="15" w:type="dxa"/>
              <w:left w:w="15" w:type="dxa"/>
              <w:right w:w="15" w:type="dxa"/>
            </w:tcMar>
            <w:vAlign w:val="center"/>
          </w:tcPr>
          <w:p w14:paraId="17FEDA7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总硬度</w:t>
            </w:r>
          </w:p>
        </w:tc>
        <w:tc>
          <w:tcPr>
            <w:tcW w:w="720" w:type="pct"/>
            <w:tcBorders>
              <w:tl2br w:val="nil"/>
              <w:tr2bl w:val="nil"/>
            </w:tcBorders>
            <w:shd w:val="clear" w:color="auto" w:fill="auto"/>
            <w:noWrap/>
            <w:tcMar>
              <w:top w:w="15" w:type="dxa"/>
              <w:left w:w="15" w:type="dxa"/>
              <w:right w:w="15" w:type="dxa"/>
            </w:tcMar>
            <w:vAlign w:val="center"/>
          </w:tcPr>
          <w:p w14:paraId="5DF3223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≤650</w:t>
            </w:r>
          </w:p>
        </w:tc>
        <w:tc>
          <w:tcPr>
            <w:tcW w:w="565" w:type="pct"/>
            <w:tcBorders>
              <w:tl2br w:val="nil"/>
              <w:tr2bl w:val="nil"/>
            </w:tcBorders>
            <w:shd w:val="clear" w:color="auto" w:fill="auto"/>
            <w:noWrap/>
            <w:tcMar>
              <w:top w:w="15" w:type="dxa"/>
              <w:left w:w="15" w:type="dxa"/>
              <w:right w:w="15" w:type="dxa"/>
            </w:tcMar>
            <w:vAlign w:val="center"/>
          </w:tcPr>
          <w:p w14:paraId="44A1304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425</w:t>
            </w:r>
          </w:p>
        </w:tc>
        <w:tc>
          <w:tcPr>
            <w:tcW w:w="604" w:type="pct"/>
            <w:tcBorders>
              <w:tl2br w:val="nil"/>
              <w:tr2bl w:val="nil"/>
            </w:tcBorders>
            <w:shd w:val="clear" w:color="auto" w:fill="auto"/>
            <w:noWrap/>
            <w:tcMar>
              <w:top w:w="15" w:type="dxa"/>
              <w:left w:w="15" w:type="dxa"/>
              <w:right w:w="15" w:type="dxa"/>
            </w:tcMar>
            <w:vAlign w:val="center"/>
          </w:tcPr>
          <w:p w14:paraId="6327228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1593" w:type="dxa"/>
            <w:tcBorders>
              <w:tl2br w:val="nil"/>
              <w:tr2bl w:val="nil"/>
            </w:tcBorders>
            <w:shd w:val="clear" w:color="auto" w:fill="auto"/>
            <w:noWrap/>
            <w:tcMar>
              <w:top w:w="15" w:type="dxa"/>
              <w:left w:w="15" w:type="dxa"/>
              <w:right w:w="15" w:type="dxa"/>
            </w:tcMar>
            <w:vAlign w:val="center"/>
          </w:tcPr>
          <w:p w14:paraId="7AABDE8F">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1"/>
                <w:szCs w:val="21"/>
                <w:highlight w:val="none"/>
                <w:lang w:val="en-US" w:eastAsia="zh-CN" w:bidi="ar"/>
              </w:rPr>
              <w:t>450</w:t>
            </w:r>
          </w:p>
        </w:tc>
        <w:tc>
          <w:tcPr>
            <w:tcW w:w="504" w:type="pct"/>
            <w:tcBorders>
              <w:tl2br w:val="nil"/>
              <w:tr2bl w:val="nil"/>
            </w:tcBorders>
            <w:shd w:val="clear" w:color="auto" w:fill="auto"/>
            <w:noWrap/>
            <w:tcMar>
              <w:top w:w="15" w:type="dxa"/>
              <w:left w:w="15" w:type="dxa"/>
              <w:right w:w="15" w:type="dxa"/>
            </w:tcMar>
            <w:vAlign w:val="center"/>
          </w:tcPr>
          <w:p w14:paraId="0A17758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285</w:t>
            </w:r>
          </w:p>
        </w:tc>
        <w:tc>
          <w:tcPr>
            <w:tcW w:w="604" w:type="pct"/>
            <w:tcBorders>
              <w:tl2br w:val="nil"/>
              <w:tr2bl w:val="nil"/>
            </w:tcBorders>
            <w:shd w:val="clear" w:color="auto" w:fill="auto"/>
            <w:noWrap/>
            <w:tcMar>
              <w:top w:w="15" w:type="dxa"/>
              <w:left w:w="15" w:type="dxa"/>
              <w:right w:w="15" w:type="dxa"/>
            </w:tcMar>
            <w:vAlign w:val="center"/>
          </w:tcPr>
          <w:p w14:paraId="3FFE549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379BAD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12" w:type="pct"/>
            <w:tcBorders>
              <w:tl2br w:val="nil"/>
              <w:tr2bl w:val="nil"/>
            </w:tcBorders>
            <w:shd w:val="clear" w:color="auto" w:fill="auto"/>
            <w:noWrap/>
            <w:tcMar>
              <w:top w:w="15" w:type="dxa"/>
              <w:left w:w="15" w:type="dxa"/>
              <w:right w:w="15" w:type="dxa"/>
            </w:tcMar>
            <w:vAlign w:val="center"/>
          </w:tcPr>
          <w:p w14:paraId="0F8CC8F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w:t>
            </w:r>
          </w:p>
        </w:tc>
        <w:tc>
          <w:tcPr>
            <w:tcW w:w="1184" w:type="pct"/>
            <w:tcBorders>
              <w:tl2br w:val="nil"/>
              <w:tr2bl w:val="nil"/>
            </w:tcBorders>
            <w:shd w:val="clear" w:color="auto" w:fill="auto"/>
            <w:noWrap/>
            <w:tcMar>
              <w:top w:w="15" w:type="dxa"/>
              <w:left w:w="15" w:type="dxa"/>
              <w:right w:w="15" w:type="dxa"/>
            </w:tcMar>
            <w:vAlign w:val="center"/>
          </w:tcPr>
          <w:p w14:paraId="4C02C0F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溶解性总固体</w:t>
            </w:r>
          </w:p>
        </w:tc>
        <w:tc>
          <w:tcPr>
            <w:tcW w:w="720" w:type="pct"/>
            <w:tcBorders>
              <w:tl2br w:val="nil"/>
              <w:tr2bl w:val="nil"/>
            </w:tcBorders>
            <w:shd w:val="clear" w:color="auto" w:fill="auto"/>
            <w:noWrap/>
            <w:tcMar>
              <w:top w:w="15" w:type="dxa"/>
              <w:left w:w="15" w:type="dxa"/>
              <w:right w:w="15" w:type="dxa"/>
            </w:tcMar>
            <w:vAlign w:val="center"/>
          </w:tcPr>
          <w:p w14:paraId="10992091">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≤2000</w:t>
            </w:r>
          </w:p>
        </w:tc>
        <w:tc>
          <w:tcPr>
            <w:tcW w:w="565" w:type="pct"/>
            <w:tcBorders>
              <w:tl2br w:val="nil"/>
              <w:tr2bl w:val="nil"/>
            </w:tcBorders>
            <w:shd w:val="clear" w:color="auto" w:fill="auto"/>
            <w:noWrap/>
            <w:tcMar>
              <w:top w:w="15" w:type="dxa"/>
              <w:left w:w="15" w:type="dxa"/>
              <w:right w:w="15" w:type="dxa"/>
            </w:tcMar>
            <w:vAlign w:val="center"/>
          </w:tcPr>
          <w:p w14:paraId="21EE824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488</w:t>
            </w:r>
          </w:p>
        </w:tc>
        <w:tc>
          <w:tcPr>
            <w:tcW w:w="604" w:type="pct"/>
            <w:tcBorders>
              <w:tl2br w:val="nil"/>
              <w:tr2bl w:val="nil"/>
            </w:tcBorders>
            <w:shd w:val="clear" w:color="auto" w:fill="auto"/>
            <w:noWrap/>
            <w:tcMar>
              <w:top w:w="15" w:type="dxa"/>
              <w:left w:w="15" w:type="dxa"/>
              <w:right w:w="15" w:type="dxa"/>
            </w:tcMar>
            <w:vAlign w:val="center"/>
          </w:tcPr>
          <w:p w14:paraId="0070C4E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1593" w:type="dxa"/>
            <w:tcBorders>
              <w:tl2br w:val="nil"/>
              <w:tr2bl w:val="nil"/>
            </w:tcBorders>
            <w:shd w:val="clear" w:color="auto" w:fill="auto"/>
            <w:noWrap/>
            <w:tcMar>
              <w:top w:w="15" w:type="dxa"/>
              <w:left w:w="15" w:type="dxa"/>
              <w:right w:w="15" w:type="dxa"/>
            </w:tcMar>
            <w:vAlign w:val="center"/>
          </w:tcPr>
          <w:p w14:paraId="5B6A437E">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1"/>
                <w:szCs w:val="21"/>
                <w:highlight w:val="none"/>
                <w:lang w:val="en-US" w:eastAsia="zh-CN" w:bidi="ar"/>
              </w:rPr>
              <w:t>1000</w:t>
            </w:r>
          </w:p>
        </w:tc>
        <w:tc>
          <w:tcPr>
            <w:tcW w:w="504" w:type="pct"/>
            <w:tcBorders>
              <w:tl2br w:val="nil"/>
              <w:tr2bl w:val="nil"/>
            </w:tcBorders>
            <w:shd w:val="clear" w:color="auto" w:fill="auto"/>
            <w:noWrap/>
            <w:tcMar>
              <w:top w:w="15" w:type="dxa"/>
              <w:left w:w="15" w:type="dxa"/>
              <w:right w:w="15" w:type="dxa"/>
            </w:tcMar>
            <w:vAlign w:val="center"/>
          </w:tcPr>
          <w:p w14:paraId="7E5C988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338</w:t>
            </w:r>
          </w:p>
        </w:tc>
        <w:tc>
          <w:tcPr>
            <w:tcW w:w="604" w:type="pct"/>
            <w:tcBorders>
              <w:tl2br w:val="nil"/>
              <w:tr2bl w:val="nil"/>
            </w:tcBorders>
            <w:shd w:val="clear" w:color="auto" w:fill="auto"/>
            <w:noWrap/>
            <w:tcMar>
              <w:top w:w="15" w:type="dxa"/>
              <w:left w:w="15" w:type="dxa"/>
              <w:right w:w="15" w:type="dxa"/>
            </w:tcMar>
            <w:vAlign w:val="center"/>
          </w:tcPr>
          <w:p w14:paraId="216F2BD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2697BC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12" w:type="pct"/>
            <w:tcBorders>
              <w:tl2br w:val="nil"/>
              <w:tr2bl w:val="nil"/>
            </w:tcBorders>
            <w:shd w:val="clear" w:color="auto" w:fill="auto"/>
            <w:noWrap/>
            <w:tcMar>
              <w:top w:w="15" w:type="dxa"/>
              <w:left w:w="15" w:type="dxa"/>
              <w:right w:w="15" w:type="dxa"/>
            </w:tcMar>
            <w:vAlign w:val="center"/>
          </w:tcPr>
          <w:p w14:paraId="3975A3A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w:t>
            </w:r>
          </w:p>
        </w:tc>
        <w:tc>
          <w:tcPr>
            <w:tcW w:w="1184" w:type="pct"/>
            <w:tcBorders>
              <w:tl2br w:val="nil"/>
              <w:tr2bl w:val="nil"/>
            </w:tcBorders>
            <w:shd w:val="clear" w:color="auto" w:fill="auto"/>
            <w:noWrap/>
            <w:tcMar>
              <w:top w:w="15" w:type="dxa"/>
              <w:left w:w="15" w:type="dxa"/>
              <w:right w:w="15" w:type="dxa"/>
            </w:tcMar>
            <w:vAlign w:val="center"/>
          </w:tcPr>
          <w:p w14:paraId="4721B61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耗氧量（高锰酸盐指数）</w:t>
            </w:r>
          </w:p>
        </w:tc>
        <w:tc>
          <w:tcPr>
            <w:tcW w:w="720" w:type="pct"/>
            <w:tcBorders>
              <w:tl2br w:val="nil"/>
              <w:tr2bl w:val="nil"/>
            </w:tcBorders>
            <w:shd w:val="clear" w:color="auto" w:fill="auto"/>
            <w:noWrap/>
            <w:tcMar>
              <w:top w:w="15" w:type="dxa"/>
              <w:left w:w="15" w:type="dxa"/>
              <w:right w:w="15" w:type="dxa"/>
            </w:tcMar>
            <w:vAlign w:val="center"/>
          </w:tcPr>
          <w:p w14:paraId="78E6B76E">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w:t>
            </w:r>
          </w:p>
        </w:tc>
        <w:tc>
          <w:tcPr>
            <w:tcW w:w="565" w:type="pct"/>
            <w:tcBorders>
              <w:tl2br w:val="nil"/>
              <w:tr2bl w:val="nil"/>
            </w:tcBorders>
            <w:shd w:val="clear" w:color="auto" w:fill="auto"/>
            <w:noWrap/>
            <w:tcMar>
              <w:top w:w="15" w:type="dxa"/>
              <w:left w:w="15" w:type="dxa"/>
              <w:right w:w="15" w:type="dxa"/>
            </w:tcMar>
            <w:vAlign w:val="center"/>
          </w:tcPr>
          <w:p w14:paraId="226EA1C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1.60</w:t>
            </w:r>
          </w:p>
        </w:tc>
        <w:tc>
          <w:tcPr>
            <w:tcW w:w="604" w:type="pct"/>
            <w:tcBorders>
              <w:tl2br w:val="nil"/>
              <w:tr2bl w:val="nil"/>
            </w:tcBorders>
            <w:shd w:val="clear" w:color="auto" w:fill="auto"/>
            <w:noWrap/>
            <w:tcMar>
              <w:top w:w="15" w:type="dxa"/>
              <w:left w:w="15" w:type="dxa"/>
              <w:right w:w="15" w:type="dxa"/>
            </w:tcMar>
            <w:vAlign w:val="center"/>
          </w:tcPr>
          <w:p w14:paraId="3484E81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1593" w:type="dxa"/>
            <w:tcBorders>
              <w:tl2br w:val="nil"/>
              <w:tr2bl w:val="nil"/>
            </w:tcBorders>
            <w:shd w:val="clear" w:color="auto" w:fill="auto"/>
            <w:noWrap/>
            <w:tcMar>
              <w:top w:w="15" w:type="dxa"/>
              <w:left w:w="15" w:type="dxa"/>
              <w:right w:w="15" w:type="dxa"/>
            </w:tcMar>
            <w:vAlign w:val="center"/>
          </w:tcPr>
          <w:p w14:paraId="73BA77BB">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1"/>
                <w:szCs w:val="21"/>
                <w:highlight w:val="none"/>
                <w:lang w:val="en-US" w:eastAsia="zh-CN" w:bidi="ar"/>
              </w:rPr>
              <w:t>3</w:t>
            </w:r>
          </w:p>
        </w:tc>
        <w:tc>
          <w:tcPr>
            <w:tcW w:w="504" w:type="pct"/>
            <w:tcBorders>
              <w:tl2br w:val="nil"/>
              <w:tr2bl w:val="nil"/>
            </w:tcBorders>
            <w:shd w:val="clear" w:color="auto" w:fill="auto"/>
            <w:noWrap/>
            <w:tcMar>
              <w:top w:w="15" w:type="dxa"/>
              <w:left w:w="15" w:type="dxa"/>
              <w:right w:w="15" w:type="dxa"/>
            </w:tcMar>
            <w:vAlign w:val="center"/>
          </w:tcPr>
          <w:p w14:paraId="5DA492D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1.13</w:t>
            </w:r>
          </w:p>
        </w:tc>
        <w:tc>
          <w:tcPr>
            <w:tcW w:w="604" w:type="pct"/>
            <w:tcBorders>
              <w:tl2br w:val="nil"/>
              <w:tr2bl w:val="nil"/>
            </w:tcBorders>
            <w:shd w:val="clear" w:color="auto" w:fill="auto"/>
            <w:noWrap/>
            <w:tcMar>
              <w:top w:w="15" w:type="dxa"/>
              <w:left w:w="15" w:type="dxa"/>
              <w:right w:w="15" w:type="dxa"/>
            </w:tcMar>
            <w:vAlign w:val="center"/>
          </w:tcPr>
          <w:p w14:paraId="24423C9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4C2FB0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12" w:type="pct"/>
            <w:tcBorders>
              <w:tl2br w:val="nil"/>
              <w:tr2bl w:val="nil"/>
            </w:tcBorders>
            <w:shd w:val="clear" w:color="auto" w:fill="auto"/>
            <w:noWrap/>
            <w:tcMar>
              <w:top w:w="15" w:type="dxa"/>
              <w:left w:w="15" w:type="dxa"/>
              <w:right w:w="15" w:type="dxa"/>
            </w:tcMar>
            <w:vAlign w:val="center"/>
          </w:tcPr>
          <w:p w14:paraId="1336DE5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w:t>
            </w:r>
          </w:p>
        </w:tc>
        <w:tc>
          <w:tcPr>
            <w:tcW w:w="1184" w:type="pct"/>
            <w:tcBorders>
              <w:tl2br w:val="nil"/>
              <w:tr2bl w:val="nil"/>
            </w:tcBorders>
            <w:shd w:val="clear" w:color="auto" w:fill="auto"/>
            <w:noWrap/>
            <w:tcMar>
              <w:top w:w="15" w:type="dxa"/>
              <w:left w:w="15" w:type="dxa"/>
              <w:right w:w="15" w:type="dxa"/>
            </w:tcMar>
            <w:vAlign w:val="center"/>
          </w:tcPr>
          <w:p w14:paraId="5412D7A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硫酸盐</w:t>
            </w:r>
          </w:p>
        </w:tc>
        <w:tc>
          <w:tcPr>
            <w:tcW w:w="720" w:type="pct"/>
            <w:tcBorders>
              <w:tl2br w:val="nil"/>
              <w:tr2bl w:val="nil"/>
            </w:tcBorders>
            <w:shd w:val="clear" w:color="auto" w:fill="auto"/>
            <w:noWrap/>
            <w:tcMar>
              <w:top w:w="15" w:type="dxa"/>
              <w:left w:w="15" w:type="dxa"/>
              <w:right w:w="15" w:type="dxa"/>
            </w:tcMar>
            <w:vAlign w:val="center"/>
          </w:tcPr>
          <w:p w14:paraId="771F6F6C">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≤350</w:t>
            </w:r>
          </w:p>
        </w:tc>
        <w:tc>
          <w:tcPr>
            <w:tcW w:w="565" w:type="pct"/>
            <w:tcBorders>
              <w:tl2br w:val="nil"/>
              <w:tr2bl w:val="nil"/>
            </w:tcBorders>
            <w:shd w:val="clear" w:color="auto" w:fill="auto"/>
            <w:noWrap/>
            <w:tcMar>
              <w:top w:w="15" w:type="dxa"/>
              <w:left w:w="15" w:type="dxa"/>
              <w:right w:w="15" w:type="dxa"/>
            </w:tcMar>
            <w:vAlign w:val="center"/>
          </w:tcPr>
          <w:p w14:paraId="756DB22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110</w:t>
            </w:r>
          </w:p>
        </w:tc>
        <w:tc>
          <w:tcPr>
            <w:tcW w:w="604" w:type="pct"/>
            <w:tcBorders>
              <w:tl2br w:val="nil"/>
              <w:tr2bl w:val="nil"/>
            </w:tcBorders>
            <w:shd w:val="clear" w:color="auto" w:fill="auto"/>
            <w:noWrap/>
            <w:tcMar>
              <w:top w:w="15" w:type="dxa"/>
              <w:left w:w="15" w:type="dxa"/>
              <w:right w:w="15" w:type="dxa"/>
            </w:tcMar>
            <w:vAlign w:val="center"/>
          </w:tcPr>
          <w:p w14:paraId="6276B3E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1593" w:type="dxa"/>
            <w:tcBorders>
              <w:tl2br w:val="nil"/>
              <w:tr2bl w:val="nil"/>
            </w:tcBorders>
            <w:shd w:val="clear" w:color="auto" w:fill="auto"/>
            <w:noWrap/>
            <w:tcMar>
              <w:top w:w="15" w:type="dxa"/>
              <w:left w:w="15" w:type="dxa"/>
              <w:right w:w="15" w:type="dxa"/>
            </w:tcMar>
            <w:vAlign w:val="center"/>
          </w:tcPr>
          <w:p w14:paraId="55EA6B92">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1"/>
                <w:szCs w:val="21"/>
                <w:highlight w:val="none"/>
                <w:lang w:val="en-US" w:eastAsia="zh-CN" w:bidi="ar"/>
              </w:rPr>
              <w:t>250</w:t>
            </w:r>
          </w:p>
        </w:tc>
        <w:tc>
          <w:tcPr>
            <w:tcW w:w="504" w:type="pct"/>
            <w:tcBorders>
              <w:tl2br w:val="nil"/>
              <w:tr2bl w:val="nil"/>
            </w:tcBorders>
            <w:shd w:val="clear" w:color="auto" w:fill="auto"/>
            <w:noWrap/>
            <w:tcMar>
              <w:top w:w="15" w:type="dxa"/>
              <w:left w:w="15" w:type="dxa"/>
              <w:right w:w="15" w:type="dxa"/>
            </w:tcMar>
            <w:vAlign w:val="center"/>
          </w:tcPr>
          <w:p w14:paraId="3483444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43.0</w:t>
            </w:r>
          </w:p>
        </w:tc>
        <w:tc>
          <w:tcPr>
            <w:tcW w:w="604" w:type="pct"/>
            <w:tcBorders>
              <w:tl2br w:val="nil"/>
              <w:tr2bl w:val="nil"/>
            </w:tcBorders>
            <w:shd w:val="clear" w:color="auto" w:fill="auto"/>
            <w:noWrap/>
            <w:tcMar>
              <w:top w:w="15" w:type="dxa"/>
              <w:left w:w="15" w:type="dxa"/>
              <w:right w:w="15" w:type="dxa"/>
            </w:tcMar>
            <w:vAlign w:val="center"/>
          </w:tcPr>
          <w:p w14:paraId="3F79AF3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4DB4F5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12" w:type="pct"/>
            <w:tcBorders>
              <w:tl2br w:val="nil"/>
              <w:tr2bl w:val="nil"/>
            </w:tcBorders>
            <w:shd w:val="clear" w:color="auto" w:fill="auto"/>
            <w:noWrap/>
            <w:tcMar>
              <w:top w:w="15" w:type="dxa"/>
              <w:left w:w="15" w:type="dxa"/>
              <w:right w:w="15" w:type="dxa"/>
            </w:tcMar>
            <w:vAlign w:val="center"/>
          </w:tcPr>
          <w:p w14:paraId="4784678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w:t>
            </w:r>
          </w:p>
        </w:tc>
        <w:tc>
          <w:tcPr>
            <w:tcW w:w="1184" w:type="pct"/>
            <w:tcBorders>
              <w:tl2br w:val="nil"/>
              <w:tr2bl w:val="nil"/>
            </w:tcBorders>
            <w:shd w:val="clear" w:color="auto" w:fill="auto"/>
            <w:noWrap/>
            <w:tcMar>
              <w:top w:w="15" w:type="dxa"/>
              <w:left w:w="15" w:type="dxa"/>
              <w:right w:w="15" w:type="dxa"/>
            </w:tcMar>
            <w:vAlign w:val="center"/>
          </w:tcPr>
          <w:p w14:paraId="197397A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硝酸盐(以氮计)</w:t>
            </w:r>
          </w:p>
        </w:tc>
        <w:tc>
          <w:tcPr>
            <w:tcW w:w="720" w:type="pct"/>
            <w:tcBorders>
              <w:tl2br w:val="nil"/>
              <w:tr2bl w:val="nil"/>
            </w:tcBorders>
            <w:shd w:val="clear" w:color="auto" w:fill="auto"/>
            <w:noWrap/>
            <w:tcMar>
              <w:top w:w="15" w:type="dxa"/>
              <w:left w:w="15" w:type="dxa"/>
              <w:right w:w="15" w:type="dxa"/>
            </w:tcMar>
            <w:vAlign w:val="center"/>
          </w:tcPr>
          <w:p w14:paraId="1103534F">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w:t>
            </w:r>
          </w:p>
        </w:tc>
        <w:tc>
          <w:tcPr>
            <w:tcW w:w="565" w:type="pct"/>
            <w:tcBorders>
              <w:tl2br w:val="nil"/>
              <w:tr2bl w:val="nil"/>
            </w:tcBorders>
            <w:shd w:val="clear" w:color="auto" w:fill="auto"/>
            <w:noWrap/>
            <w:tcMar>
              <w:top w:w="15" w:type="dxa"/>
              <w:left w:w="15" w:type="dxa"/>
              <w:right w:w="15" w:type="dxa"/>
            </w:tcMar>
            <w:vAlign w:val="center"/>
          </w:tcPr>
          <w:p w14:paraId="10142F2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0.270</w:t>
            </w:r>
          </w:p>
        </w:tc>
        <w:tc>
          <w:tcPr>
            <w:tcW w:w="604" w:type="pct"/>
            <w:tcBorders>
              <w:tl2br w:val="nil"/>
              <w:tr2bl w:val="nil"/>
            </w:tcBorders>
            <w:shd w:val="clear" w:color="auto" w:fill="auto"/>
            <w:noWrap/>
            <w:tcMar>
              <w:top w:w="15" w:type="dxa"/>
              <w:left w:w="15" w:type="dxa"/>
              <w:right w:w="15" w:type="dxa"/>
            </w:tcMar>
            <w:vAlign w:val="center"/>
          </w:tcPr>
          <w:p w14:paraId="43D2CEA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1593" w:type="dxa"/>
            <w:tcBorders>
              <w:tl2br w:val="nil"/>
              <w:tr2bl w:val="nil"/>
            </w:tcBorders>
            <w:shd w:val="clear" w:color="auto" w:fill="auto"/>
            <w:noWrap/>
            <w:tcMar>
              <w:top w:w="15" w:type="dxa"/>
              <w:left w:w="15" w:type="dxa"/>
              <w:right w:w="15" w:type="dxa"/>
            </w:tcMar>
            <w:vAlign w:val="center"/>
          </w:tcPr>
          <w:p w14:paraId="22094921">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1"/>
                <w:szCs w:val="21"/>
                <w:highlight w:val="none"/>
                <w:lang w:val="en-US" w:eastAsia="zh-CN" w:bidi="ar"/>
              </w:rPr>
              <w:t>20</w:t>
            </w:r>
          </w:p>
        </w:tc>
        <w:tc>
          <w:tcPr>
            <w:tcW w:w="504" w:type="pct"/>
            <w:tcBorders>
              <w:tl2br w:val="nil"/>
              <w:tr2bl w:val="nil"/>
            </w:tcBorders>
            <w:shd w:val="clear" w:color="auto" w:fill="auto"/>
            <w:noWrap/>
            <w:tcMar>
              <w:top w:w="15" w:type="dxa"/>
              <w:left w:w="15" w:type="dxa"/>
              <w:right w:w="15" w:type="dxa"/>
            </w:tcMar>
            <w:vAlign w:val="center"/>
          </w:tcPr>
          <w:p w14:paraId="4CD884C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2.16</w:t>
            </w:r>
          </w:p>
        </w:tc>
        <w:tc>
          <w:tcPr>
            <w:tcW w:w="604" w:type="pct"/>
            <w:tcBorders>
              <w:tl2br w:val="nil"/>
              <w:tr2bl w:val="nil"/>
            </w:tcBorders>
            <w:shd w:val="clear" w:color="auto" w:fill="auto"/>
            <w:noWrap/>
            <w:tcMar>
              <w:top w:w="15" w:type="dxa"/>
              <w:left w:w="15" w:type="dxa"/>
              <w:right w:w="15" w:type="dxa"/>
            </w:tcMar>
            <w:vAlign w:val="center"/>
          </w:tcPr>
          <w:p w14:paraId="236A7CF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4930C5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12" w:type="pct"/>
            <w:tcBorders>
              <w:tl2br w:val="nil"/>
              <w:tr2bl w:val="nil"/>
            </w:tcBorders>
            <w:shd w:val="clear" w:color="auto" w:fill="auto"/>
            <w:noWrap/>
            <w:tcMar>
              <w:top w:w="15" w:type="dxa"/>
              <w:left w:w="15" w:type="dxa"/>
              <w:right w:w="15" w:type="dxa"/>
            </w:tcMar>
            <w:vAlign w:val="center"/>
          </w:tcPr>
          <w:p w14:paraId="45D2A22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w:t>
            </w:r>
          </w:p>
        </w:tc>
        <w:tc>
          <w:tcPr>
            <w:tcW w:w="1184" w:type="pct"/>
            <w:tcBorders>
              <w:tl2br w:val="nil"/>
              <w:tr2bl w:val="nil"/>
            </w:tcBorders>
            <w:shd w:val="clear" w:color="auto" w:fill="auto"/>
            <w:noWrap/>
            <w:tcMar>
              <w:top w:w="15" w:type="dxa"/>
              <w:left w:w="15" w:type="dxa"/>
              <w:right w:w="15" w:type="dxa"/>
            </w:tcMar>
            <w:vAlign w:val="center"/>
          </w:tcPr>
          <w:p w14:paraId="5255481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氯化物</w:t>
            </w:r>
          </w:p>
        </w:tc>
        <w:tc>
          <w:tcPr>
            <w:tcW w:w="720" w:type="pct"/>
            <w:tcBorders>
              <w:tl2br w:val="nil"/>
              <w:tr2bl w:val="nil"/>
            </w:tcBorders>
            <w:shd w:val="clear" w:color="auto" w:fill="auto"/>
            <w:noWrap/>
            <w:tcMar>
              <w:top w:w="15" w:type="dxa"/>
              <w:left w:w="15" w:type="dxa"/>
              <w:right w:w="15" w:type="dxa"/>
            </w:tcMar>
            <w:vAlign w:val="center"/>
          </w:tcPr>
          <w:p w14:paraId="4482F50F">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≤350</w:t>
            </w:r>
          </w:p>
        </w:tc>
        <w:tc>
          <w:tcPr>
            <w:tcW w:w="565" w:type="pct"/>
            <w:tcBorders>
              <w:tl2br w:val="nil"/>
              <w:tr2bl w:val="nil"/>
            </w:tcBorders>
            <w:shd w:val="clear" w:color="auto" w:fill="auto"/>
            <w:noWrap/>
            <w:tcMar>
              <w:top w:w="15" w:type="dxa"/>
              <w:left w:w="15" w:type="dxa"/>
              <w:right w:w="15" w:type="dxa"/>
            </w:tcMar>
            <w:vAlign w:val="center"/>
          </w:tcPr>
          <w:p w14:paraId="109234B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13.4</w:t>
            </w:r>
          </w:p>
        </w:tc>
        <w:tc>
          <w:tcPr>
            <w:tcW w:w="604" w:type="pct"/>
            <w:tcBorders>
              <w:tl2br w:val="nil"/>
              <w:tr2bl w:val="nil"/>
            </w:tcBorders>
            <w:shd w:val="clear" w:color="auto" w:fill="auto"/>
            <w:noWrap/>
            <w:tcMar>
              <w:top w:w="15" w:type="dxa"/>
              <w:left w:w="15" w:type="dxa"/>
              <w:right w:w="15" w:type="dxa"/>
            </w:tcMar>
            <w:vAlign w:val="center"/>
          </w:tcPr>
          <w:p w14:paraId="2FED4E5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1593" w:type="dxa"/>
            <w:tcBorders>
              <w:tl2br w:val="nil"/>
              <w:tr2bl w:val="nil"/>
            </w:tcBorders>
            <w:shd w:val="clear" w:color="auto" w:fill="auto"/>
            <w:noWrap/>
            <w:tcMar>
              <w:top w:w="15" w:type="dxa"/>
              <w:left w:w="15" w:type="dxa"/>
              <w:right w:w="15" w:type="dxa"/>
            </w:tcMar>
            <w:vAlign w:val="center"/>
          </w:tcPr>
          <w:p w14:paraId="1F41AF28">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1"/>
                <w:szCs w:val="21"/>
                <w:highlight w:val="none"/>
                <w:lang w:val="en-US" w:eastAsia="zh-CN" w:bidi="ar"/>
              </w:rPr>
              <w:t>250</w:t>
            </w:r>
          </w:p>
        </w:tc>
        <w:tc>
          <w:tcPr>
            <w:tcW w:w="504" w:type="pct"/>
            <w:tcBorders>
              <w:tl2br w:val="nil"/>
              <w:tr2bl w:val="nil"/>
            </w:tcBorders>
            <w:shd w:val="clear" w:color="auto" w:fill="auto"/>
            <w:noWrap/>
            <w:tcMar>
              <w:top w:w="15" w:type="dxa"/>
              <w:left w:w="15" w:type="dxa"/>
              <w:right w:w="15" w:type="dxa"/>
            </w:tcMar>
            <w:vAlign w:val="center"/>
          </w:tcPr>
          <w:p w14:paraId="650DF0E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16.5</w:t>
            </w:r>
          </w:p>
        </w:tc>
        <w:tc>
          <w:tcPr>
            <w:tcW w:w="604" w:type="pct"/>
            <w:tcBorders>
              <w:tl2br w:val="nil"/>
              <w:tr2bl w:val="nil"/>
            </w:tcBorders>
            <w:shd w:val="clear" w:color="auto" w:fill="auto"/>
            <w:noWrap/>
            <w:tcMar>
              <w:top w:w="15" w:type="dxa"/>
              <w:left w:w="15" w:type="dxa"/>
              <w:right w:w="15" w:type="dxa"/>
            </w:tcMar>
            <w:vAlign w:val="center"/>
          </w:tcPr>
          <w:p w14:paraId="6AE63A8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2147C8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12" w:type="pct"/>
            <w:tcBorders>
              <w:tl2br w:val="nil"/>
              <w:tr2bl w:val="nil"/>
            </w:tcBorders>
            <w:shd w:val="clear" w:color="auto" w:fill="auto"/>
            <w:noWrap/>
            <w:tcMar>
              <w:top w:w="15" w:type="dxa"/>
              <w:left w:w="15" w:type="dxa"/>
              <w:right w:w="15" w:type="dxa"/>
            </w:tcMar>
            <w:vAlign w:val="center"/>
          </w:tcPr>
          <w:p w14:paraId="1193899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8</w:t>
            </w:r>
          </w:p>
        </w:tc>
        <w:tc>
          <w:tcPr>
            <w:tcW w:w="1184" w:type="pct"/>
            <w:tcBorders>
              <w:tl2br w:val="nil"/>
              <w:tr2bl w:val="nil"/>
            </w:tcBorders>
            <w:shd w:val="clear" w:color="auto" w:fill="auto"/>
            <w:noWrap/>
            <w:tcMar>
              <w:top w:w="15" w:type="dxa"/>
              <w:left w:w="15" w:type="dxa"/>
              <w:right w:w="15" w:type="dxa"/>
            </w:tcMar>
            <w:vAlign w:val="center"/>
          </w:tcPr>
          <w:p w14:paraId="63111B6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总氟化物</w:t>
            </w:r>
          </w:p>
        </w:tc>
        <w:tc>
          <w:tcPr>
            <w:tcW w:w="720" w:type="pct"/>
            <w:tcBorders>
              <w:tl2br w:val="nil"/>
              <w:tr2bl w:val="nil"/>
            </w:tcBorders>
            <w:shd w:val="clear" w:color="auto" w:fill="auto"/>
            <w:noWrap/>
            <w:tcMar>
              <w:top w:w="15" w:type="dxa"/>
              <w:left w:w="15" w:type="dxa"/>
              <w:right w:w="15" w:type="dxa"/>
            </w:tcMar>
            <w:vAlign w:val="center"/>
          </w:tcPr>
          <w:p w14:paraId="489188F3">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w:t>
            </w:r>
          </w:p>
        </w:tc>
        <w:tc>
          <w:tcPr>
            <w:tcW w:w="565" w:type="pct"/>
            <w:tcBorders>
              <w:tl2br w:val="nil"/>
              <w:tr2bl w:val="nil"/>
            </w:tcBorders>
            <w:shd w:val="clear" w:color="auto" w:fill="auto"/>
            <w:noWrap/>
            <w:tcMar>
              <w:top w:w="15" w:type="dxa"/>
              <w:left w:w="15" w:type="dxa"/>
              <w:right w:w="15" w:type="dxa"/>
            </w:tcMar>
            <w:vAlign w:val="center"/>
          </w:tcPr>
          <w:p w14:paraId="4DCA3AB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0.681</w:t>
            </w:r>
          </w:p>
        </w:tc>
        <w:tc>
          <w:tcPr>
            <w:tcW w:w="604" w:type="pct"/>
            <w:tcBorders>
              <w:tl2br w:val="nil"/>
              <w:tr2bl w:val="nil"/>
            </w:tcBorders>
            <w:shd w:val="clear" w:color="auto" w:fill="auto"/>
            <w:noWrap/>
            <w:tcMar>
              <w:top w:w="15" w:type="dxa"/>
              <w:left w:w="15" w:type="dxa"/>
              <w:right w:w="15" w:type="dxa"/>
            </w:tcMar>
            <w:vAlign w:val="center"/>
          </w:tcPr>
          <w:p w14:paraId="151FE76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504" w:type="pct"/>
            <w:tcBorders>
              <w:tl2br w:val="nil"/>
              <w:tr2bl w:val="nil"/>
            </w:tcBorders>
            <w:shd w:val="clear" w:color="auto" w:fill="auto"/>
            <w:noWrap/>
            <w:tcMar>
              <w:top w:w="15" w:type="dxa"/>
              <w:left w:w="15" w:type="dxa"/>
              <w:right w:w="15" w:type="dxa"/>
            </w:tcMar>
            <w:vAlign w:val="center"/>
          </w:tcPr>
          <w:p w14:paraId="3E2118A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1"/>
                <w:szCs w:val="21"/>
                <w:highlight w:val="none"/>
                <w:lang w:val="en-US" w:eastAsia="zh-CN" w:bidi="ar"/>
              </w:rPr>
              <w:t>1.0</w:t>
            </w:r>
          </w:p>
        </w:tc>
        <w:tc>
          <w:tcPr>
            <w:tcW w:w="504" w:type="pct"/>
            <w:tcBorders>
              <w:tl2br w:val="nil"/>
              <w:tr2bl w:val="nil"/>
            </w:tcBorders>
            <w:shd w:val="clear" w:color="auto" w:fill="auto"/>
            <w:noWrap/>
            <w:tcMar>
              <w:top w:w="15" w:type="dxa"/>
              <w:left w:w="15" w:type="dxa"/>
              <w:right w:w="15" w:type="dxa"/>
            </w:tcMar>
            <w:vAlign w:val="center"/>
          </w:tcPr>
          <w:p w14:paraId="262C968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0.422</w:t>
            </w:r>
          </w:p>
        </w:tc>
        <w:tc>
          <w:tcPr>
            <w:tcW w:w="604" w:type="pct"/>
            <w:tcBorders>
              <w:tl2br w:val="nil"/>
              <w:tr2bl w:val="nil"/>
            </w:tcBorders>
            <w:shd w:val="clear" w:color="auto" w:fill="auto"/>
            <w:noWrap/>
            <w:tcMar>
              <w:top w:w="15" w:type="dxa"/>
              <w:left w:w="15" w:type="dxa"/>
              <w:right w:w="15" w:type="dxa"/>
            </w:tcMar>
            <w:vAlign w:val="center"/>
          </w:tcPr>
          <w:p w14:paraId="3D17B23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4C6AFD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12" w:type="pct"/>
            <w:tcBorders>
              <w:tl2br w:val="nil"/>
              <w:tr2bl w:val="nil"/>
            </w:tcBorders>
            <w:shd w:val="clear" w:color="auto" w:fill="auto"/>
            <w:noWrap/>
            <w:tcMar>
              <w:top w:w="15" w:type="dxa"/>
              <w:left w:w="15" w:type="dxa"/>
              <w:right w:w="15" w:type="dxa"/>
            </w:tcMar>
            <w:vAlign w:val="center"/>
          </w:tcPr>
          <w:p w14:paraId="7BD1A25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9</w:t>
            </w:r>
          </w:p>
        </w:tc>
        <w:tc>
          <w:tcPr>
            <w:tcW w:w="1184" w:type="pct"/>
            <w:tcBorders>
              <w:tl2br w:val="nil"/>
              <w:tr2bl w:val="nil"/>
            </w:tcBorders>
            <w:shd w:val="clear" w:color="auto" w:fill="auto"/>
            <w:noWrap/>
            <w:tcMar>
              <w:top w:w="15" w:type="dxa"/>
              <w:left w:w="15" w:type="dxa"/>
              <w:right w:w="15" w:type="dxa"/>
            </w:tcMar>
            <w:vAlign w:val="center"/>
          </w:tcPr>
          <w:p w14:paraId="16B878F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氨氮</w:t>
            </w:r>
          </w:p>
        </w:tc>
        <w:tc>
          <w:tcPr>
            <w:tcW w:w="720" w:type="pct"/>
            <w:tcBorders>
              <w:tl2br w:val="nil"/>
              <w:tr2bl w:val="nil"/>
            </w:tcBorders>
            <w:shd w:val="clear" w:color="auto" w:fill="auto"/>
            <w:noWrap/>
            <w:tcMar>
              <w:top w:w="15" w:type="dxa"/>
              <w:left w:w="15" w:type="dxa"/>
              <w:right w:w="15" w:type="dxa"/>
            </w:tcMar>
            <w:vAlign w:val="center"/>
          </w:tcPr>
          <w:p w14:paraId="489630E2">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≤1.50</w:t>
            </w:r>
          </w:p>
        </w:tc>
        <w:tc>
          <w:tcPr>
            <w:tcW w:w="565" w:type="pct"/>
            <w:tcBorders>
              <w:tl2br w:val="nil"/>
              <w:tr2bl w:val="nil"/>
            </w:tcBorders>
            <w:shd w:val="clear" w:color="auto" w:fill="auto"/>
            <w:noWrap/>
            <w:tcMar>
              <w:top w:w="15" w:type="dxa"/>
              <w:left w:w="15" w:type="dxa"/>
              <w:right w:w="15" w:type="dxa"/>
            </w:tcMar>
            <w:vAlign w:val="center"/>
          </w:tcPr>
          <w:p w14:paraId="0F6A493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0.20</w:t>
            </w:r>
          </w:p>
        </w:tc>
        <w:tc>
          <w:tcPr>
            <w:tcW w:w="604" w:type="pct"/>
            <w:tcBorders>
              <w:tl2br w:val="nil"/>
              <w:tr2bl w:val="nil"/>
            </w:tcBorders>
            <w:shd w:val="clear" w:color="auto" w:fill="auto"/>
            <w:noWrap/>
            <w:tcMar>
              <w:top w:w="15" w:type="dxa"/>
              <w:left w:w="15" w:type="dxa"/>
              <w:right w:w="15" w:type="dxa"/>
            </w:tcMar>
            <w:vAlign w:val="center"/>
          </w:tcPr>
          <w:p w14:paraId="643984A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504" w:type="pct"/>
            <w:tcBorders>
              <w:tl2br w:val="nil"/>
              <w:tr2bl w:val="nil"/>
            </w:tcBorders>
            <w:shd w:val="clear" w:color="auto" w:fill="auto"/>
            <w:noWrap/>
            <w:tcMar>
              <w:top w:w="15" w:type="dxa"/>
              <w:left w:w="15" w:type="dxa"/>
              <w:right w:w="15" w:type="dxa"/>
            </w:tcMar>
            <w:vAlign w:val="center"/>
          </w:tcPr>
          <w:p w14:paraId="55266A3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1"/>
                <w:szCs w:val="21"/>
                <w:highlight w:val="none"/>
                <w:lang w:val="en-US" w:eastAsia="zh-CN" w:bidi="ar"/>
              </w:rPr>
              <w:t>0.5</w:t>
            </w:r>
          </w:p>
        </w:tc>
        <w:tc>
          <w:tcPr>
            <w:tcW w:w="504" w:type="pct"/>
            <w:tcBorders>
              <w:tl2br w:val="nil"/>
              <w:tr2bl w:val="nil"/>
            </w:tcBorders>
            <w:shd w:val="clear" w:color="auto" w:fill="auto"/>
            <w:noWrap/>
            <w:tcMar>
              <w:top w:w="15" w:type="dxa"/>
              <w:left w:w="15" w:type="dxa"/>
              <w:right w:w="15" w:type="dxa"/>
            </w:tcMar>
            <w:vAlign w:val="center"/>
          </w:tcPr>
          <w:p w14:paraId="7D82E63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0.16</w:t>
            </w:r>
          </w:p>
        </w:tc>
        <w:tc>
          <w:tcPr>
            <w:tcW w:w="604" w:type="pct"/>
            <w:tcBorders>
              <w:tl2br w:val="nil"/>
              <w:tr2bl w:val="nil"/>
            </w:tcBorders>
            <w:shd w:val="clear" w:color="auto" w:fill="auto"/>
            <w:noWrap/>
            <w:tcMar>
              <w:top w:w="15" w:type="dxa"/>
              <w:left w:w="15" w:type="dxa"/>
              <w:right w:w="15" w:type="dxa"/>
            </w:tcMar>
            <w:vAlign w:val="center"/>
          </w:tcPr>
          <w:p w14:paraId="66DF575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79C1C0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12" w:type="pct"/>
            <w:tcBorders>
              <w:tl2br w:val="nil"/>
              <w:tr2bl w:val="nil"/>
            </w:tcBorders>
            <w:shd w:val="clear" w:color="auto" w:fill="auto"/>
            <w:noWrap/>
            <w:tcMar>
              <w:top w:w="15" w:type="dxa"/>
              <w:left w:w="15" w:type="dxa"/>
              <w:right w:w="15" w:type="dxa"/>
            </w:tcMar>
            <w:vAlign w:val="center"/>
          </w:tcPr>
          <w:p w14:paraId="1D136FC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1184" w:type="pct"/>
            <w:tcBorders>
              <w:tl2br w:val="nil"/>
              <w:tr2bl w:val="nil"/>
            </w:tcBorders>
            <w:shd w:val="clear" w:color="auto" w:fill="auto"/>
            <w:noWrap/>
            <w:tcMar>
              <w:top w:w="15" w:type="dxa"/>
              <w:left w:w="15" w:type="dxa"/>
              <w:right w:w="15" w:type="dxa"/>
            </w:tcMar>
            <w:vAlign w:val="center"/>
          </w:tcPr>
          <w:p w14:paraId="77D7CA3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亚硝酸盐氮</w:t>
            </w:r>
          </w:p>
        </w:tc>
        <w:tc>
          <w:tcPr>
            <w:tcW w:w="720" w:type="pct"/>
            <w:tcBorders>
              <w:tl2br w:val="nil"/>
              <w:tr2bl w:val="nil"/>
            </w:tcBorders>
            <w:shd w:val="clear" w:color="auto" w:fill="auto"/>
            <w:noWrap/>
            <w:tcMar>
              <w:top w:w="15" w:type="dxa"/>
              <w:left w:w="15" w:type="dxa"/>
              <w:right w:w="15" w:type="dxa"/>
            </w:tcMar>
            <w:vAlign w:val="center"/>
          </w:tcPr>
          <w:p w14:paraId="68655DD1">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≤4.80</w:t>
            </w:r>
          </w:p>
        </w:tc>
        <w:tc>
          <w:tcPr>
            <w:tcW w:w="565" w:type="pct"/>
            <w:tcBorders>
              <w:tl2br w:val="nil"/>
              <w:tr2bl w:val="nil"/>
            </w:tcBorders>
            <w:shd w:val="clear" w:color="auto" w:fill="auto"/>
            <w:noWrap/>
            <w:tcMar>
              <w:top w:w="15" w:type="dxa"/>
              <w:left w:w="15" w:type="dxa"/>
              <w:right w:w="15" w:type="dxa"/>
            </w:tcMar>
            <w:vAlign w:val="center"/>
          </w:tcPr>
          <w:p w14:paraId="3C526AA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0.004</w:t>
            </w:r>
          </w:p>
        </w:tc>
        <w:tc>
          <w:tcPr>
            <w:tcW w:w="604" w:type="pct"/>
            <w:tcBorders>
              <w:tl2br w:val="nil"/>
              <w:tr2bl w:val="nil"/>
            </w:tcBorders>
            <w:shd w:val="clear" w:color="auto" w:fill="auto"/>
            <w:noWrap/>
            <w:tcMar>
              <w:top w:w="15" w:type="dxa"/>
              <w:left w:w="15" w:type="dxa"/>
              <w:right w:w="15" w:type="dxa"/>
            </w:tcMar>
            <w:vAlign w:val="center"/>
          </w:tcPr>
          <w:p w14:paraId="471C8CB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504" w:type="pct"/>
            <w:tcBorders>
              <w:tl2br w:val="nil"/>
              <w:tr2bl w:val="nil"/>
            </w:tcBorders>
            <w:shd w:val="clear" w:color="auto" w:fill="auto"/>
            <w:noWrap/>
            <w:tcMar>
              <w:top w:w="15" w:type="dxa"/>
              <w:left w:w="15" w:type="dxa"/>
              <w:right w:w="15" w:type="dxa"/>
            </w:tcMar>
            <w:vAlign w:val="center"/>
          </w:tcPr>
          <w:p w14:paraId="679FB5C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1"/>
                <w:szCs w:val="21"/>
                <w:highlight w:val="none"/>
                <w:lang w:val="en-US" w:eastAsia="zh-CN" w:bidi="ar"/>
              </w:rPr>
              <w:t>1.00</w:t>
            </w:r>
          </w:p>
        </w:tc>
        <w:tc>
          <w:tcPr>
            <w:tcW w:w="504" w:type="pct"/>
            <w:tcBorders>
              <w:tl2br w:val="nil"/>
              <w:tr2bl w:val="nil"/>
            </w:tcBorders>
            <w:shd w:val="clear" w:color="auto" w:fill="auto"/>
            <w:noWrap/>
            <w:tcMar>
              <w:top w:w="15" w:type="dxa"/>
              <w:left w:w="15" w:type="dxa"/>
              <w:right w:w="15" w:type="dxa"/>
            </w:tcMar>
            <w:vAlign w:val="center"/>
          </w:tcPr>
          <w:p w14:paraId="356D4D1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＜0.001</w:t>
            </w:r>
          </w:p>
        </w:tc>
        <w:tc>
          <w:tcPr>
            <w:tcW w:w="604" w:type="pct"/>
            <w:tcBorders>
              <w:tl2br w:val="nil"/>
              <w:tr2bl w:val="nil"/>
            </w:tcBorders>
            <w:shd w:val="clear" w:color="auto" w:fill="auto"/>
            <w:noWrap/>
            <w:tcMar>
              <w:top w:w="15" w:type="dxa"/>
              <w:left w:w="15" w:type="dxa"/>
              <w:right w:w="15" w:type="dxa"/>
            </w:tcMar>
            <w:vAlign w:val="center"/>
          </w:tcPr>
          <w:p w14:paraId="1621535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60FB36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12" w:type="pct"/>
            <w:tcBorders>
              <w:tl2br w:val="nil"/>
              <w:tr2bl w:val="nil"/>
            </w:tcBorders>
            <w:shd w:val="clear" w:color="auto" w:fill="auto"/>
            <w:noWrap/>
            <w:tcMar>
              <w:top w:w="15" w:type="dxa"/>
              <w:left w:w="15" w:type="dxa"/>
              <w:right w:w="15" w:type="dxa"/>
            </w:tcMar>
            <w:vAlign w:val="center"/>
          </w:tcPr>
          <w:p w14:paraId="6ABB0E2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w:t>
            </w:r>
          </w:p>
        </w:tc>
        <w:tc>
          <w:tcPr>
            <w:tcW w:w="1184" w:type="pct"/>
            <w:tcBorders>
              <w:tl2br w:val="nil"/>
              <w:tr2bl w:val="nil"/>
            </w:tcBorders>
            <w:shd w:val="clear" w:color="auto" w:fill="auto"/>
            <w:noWrap/>
            <w:tcMar>
              <w:top w:w="15" w:type="dxa"/>
              <w:left w:w="15" w:type="dxa"/>
              <w:right w:w="15" w:type="dxa"/>
            </w:tcMar>
            <w:vAlign w:val="center"/>
          </w:tcPr>
          <w:p w14:paraId="315319C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锰</w:t>
            </w:r>
          </w:p>
        </w:tc>
        <w:tc>
          <w:tcPr>
            <w:tcW w:w="720" w:type="pct"/>
            <w:tcBorders>
              <w:tl2br w:val="nil"/>
              <w:tr2bl w:val="nil"/>
            </w:tcBorders>
            <w:shd w:val="clear" w:color="auto" w:fill="auto"/>
            <w:noWrap/>
            <w:tcMar>
              <w:top w:w="15" w:type="dxa"/>
              <w:left w:w="15" w:type="dxa"/>
              <w:right w:w="15" w:type="dxa"/>
            </w:tcMar>
            <w:vAlign w:val="center"/>
          </w:tcPr>
          <w:p w14:paraId="2F3F5455">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≤1.50</w:t>
            </w:r>
          </w:p>
        </w:tc>
        <w:tc>
          <w:tcPr>
            <w:tcW w:w="565" w:type="pct"/>
            <w:tcBorders>
              <w:tl2br w:val="nil"/>
              <w:tr2bl w:val="nil"/>
            </w:tcBorders>
            <w:shd w:val="clear" w:color="auto" w:fill="auto"/>
            <w:noWrap/>
            <w:tcMar>
              <w:top w:w="15" w:type="dxa"/>
              <w:left w:w="15" w:type="dxa"/>
              <w:right w:w="15" w:type="dxa"/>
            </w:tcMar>
            <w:vAlign w:val="center"/>
          </w:tcPr>
          <w:p w14:paraId="29F51C1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0.178</w:t>
            </w:r>
          </w:p>
        </w:tc>
        <w:tc>
          <w:tcPr>
            <w:tcW w:w="604" w:type="pct"/>
            <w:tcBorders>
              <w:tl2br w:val="nil"/>
              <w:tr2bl w:val="nil"/>
            </w:tcBorders>
            <w:shd w:val="clear" w:color="auto" w:fill="auto"/>
            <w:noWrap/>
            <w:tcMar>
              <w:top w:w="15" w:type="dxa"/>
              <w:left w:w="15" w:type="dxa"/>
              <w:right w:w="15" w:type="dxa"/>
            </w:tcMar>
            <w:vAlign w:val="center"/>
          </w:tcPr>
          <w:p w14:paraId="5368F67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504" w:type="pct"/>
            <w:tcBorders>
              <w:tl2br w:val="nil"/>
              <w:tr2bl w:val="nil"/>
            </w:tcBorders>
            <w:shd w:val="clear" w:color="auto" w:fill="auto"/>
            <w:noWrap/>
            <w:tcMar>
              <w:top w:w="15" w:type="dxa"/>
              <w:left w:w="15" w:type="dxa"/>
              <w:right w:w="15" w:type="dxa"/>
            </w:tcMar>
            <w:vAlign w:val="center"/>
          </w:tcPr>
          <w:p w14:paraId="779137D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1"/>
                <w:szCs w:val="21"/>
                <w:highlight w:val="none"/>
                <w:lang w:val="en-US" w:eastAsia="zh-CN" w:bidi="ar"/>
              </w:rPr>
              <w:t>0.10</w:t>
            </w:r>
          </w:p>
        </w:tc>
        <w:tc>
          <w:tcPr>
            <w:tcW w:w="504" w:type="pct"/>
            <w:tcBorders>
              <w:tl2br w:val="nil"/>
              <w:tr2bl w:val="nil"/>
            </w:tcBorders>
            <w:shd w:val="clear" w:color="auto" w:fill="auto"/>
            <w:noWrap/>
            <w:tcMar>
              <w:top w:w="15" w:type="dxa"/>
              <w:left w:w="15" w:type="dxa"/>
              <w:right w:w="15" w:type="dxa"/>
            </w:tcMar>
            <w:vAlign w:val="center"/>
          </w:tcPr>
          <w:p w14:paraId="5B68B4B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0.0022</w:t>
            </w:r>
          </w:p>
        </w:tc>
        <w:tc>
          <w:tcPr>
            <w:tcW w:w="604" w:type="pct"/>
            <w:tcBorders>
              <w:tl2br w:val="nil"/>
              <w:tr2bl w:val="nil"/>
            </w:tcBorders>
            <w:shd w:val="clear" w:color="auto" w:fill="auto"/>
            <w:noWrap/>
            <w:tcMar>
              <w:top w:w="15" w:type="dxa"/>
              <w:left w:w="15" w:type="dxa"/>
              <w:right w:w="15" w:type="dxa"/>
            </w:tcMar>
            <w:vAlign w:val="center"/>
          </w:tcPr>
          <w:p w14:paraId="4ACA9891">
            <w:pPr>
              <w:widowControl/>
              <w:spacing w:line="240" w:lineRule="auto"/>
              <w:jc w:val="center"/>
              <w:textAlignment w:val="center"/>
              <w:rPr>
                <w:rFonts w:hint="default" w:ascii="Times New Roman" w:hAnsi="Times New Roman" w:cs="Times New Roman"/>
                <w:b/>
                <w:bCs/>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4FF540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12" w:type="pct"/>
            <w:tcBorders>
              <w:tl2br w:val="nil"/>
              <w:tr2bl w:val="nil"/>
            </w:tcBorders>
            <w:shd w:val="clear" w:color="auto" w:fill="auto"/>
            <w:noWrap/>
            <w:tcMar>
              <w:top w:w="15" w:type="dxa"/>
              <w:left w:w="15" w:type="dxa"/>
              <w:right w:w="15" w:type="dxa"/>
            </w:tcMar>
            <w:vAlign w:val="center"/>
          </w:tcPr>
          <w:p w14:paraId="1867FD6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w:t>
            </w:r>
          </w:p>
        </w:tc>
        <w:tc>
          <w:tcPr>
            <w:tcW w:w="1184" w:type="pct"/>
            <w:tcBorders>
              <w:tl2br w:val="nil"/>
              <w:tr2bl w:val="nil"/>
            </w:tcBorders>
            <w:shd w:val="clear" w:color="auto" w:fill="auto"/>
            <w:noWrap/>
            <w:tcMar>
              <w:top w:w="15" w:type="dxa"/>
              <w:left w:w="15" w:type="dxa"/>
              <w:right w:w="15" w:type="dxa"/>
            </w:tcMar>
            <w:vAlign w:val="center"/>
          </w:tcPr>
          <w:p w14:paraId="498C393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钠</w:t>
            </w:r>
          </w:p>
        </w:tc>
        <w:tc>
          <w:tcPr>
            <w:tcW w:w="720" w:type="pct"/>
            <w:tcBorders>
              <w:tl2br w:val="nil"/>
              <w:tr2bl w:val="nil"/>
            </w:tcBorders>
            <w:shd w:val="clear" w:color="auto" w:fill="auto"/>
            <w:noWrap/>
            <w:tcMar>
              <w:top w:w="15" w:type="dxa"/>
              <w:left w:w="15" w:type="dxa"/>
              <w:right w:w="15" w:type="dxa"/>
            </w:tcMar>
            <w:vAlign w:val="center"/>
          </w:tcPr>
          <w:p w14:paraId="6775DE6D">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w:t>
            </w:r>
          </w:p>
        </w:tc>
        <w:tc>
          <w:tcPr>
            <w:tcW w:w="565" w:type="pct"/>
            <w:tcBorders>
              <w:tl2br w:val="nil"/>
              <w:tr2bl w:val="nil"/>
            </w:tcBorders>
            <w:shd w:val="clear" w:color="auto" w:fill="auto"/>
            <w:noWrap/>
            <w:tcMar>
              <w:top w:w="15" w:type="dxa"/>
              <w:left w:w="15" w:type="dxa"/>
              <w:right w:w="15" w:type="dxa"/>
            </w:tcMar>
            <w:vAlign w:val="center"/>
          </w:tcPr>
          <w:p w14:paraId="3184CE8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19.8</w:t>
            </w:r>
          </w:p>
        </w:tc>
        <w:tc>
          <w:tcPr>
            <w:tcW w:w="604" w:type="pct"/>
            <w:tcBorders>
              <w:tl2br w:val="nil"/>
              <w:tr2bl w:val="nil"/>
            </w:tcBorders>
            <w:shd w:val="clear" w:color="auto" w:fill="auto"/>
            <w:noWrap/>
            <w:tcMar>
              <w:top w:w="15" w:type="dxa"/>
              <w:left w:w="15" w:type="dxa"/>
              <w:right w:w="15" w:type="dxa"/>
            </w:tcMar>
            <w:vAlign w:val="center"/>
          </w:tcPr>
          <w:p w14:paraId="1796D6A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504" w:type="pct"/>
            <w:tcBorders>
              <w:tl2br w:val="nil"/>
              <w:tr2bl w:val="nil"/>
            </w:tcBorders>
            <w:shd w:val="clear" w:color="auto" w:fill="auto"/>
            <w:noWrap/>
            <w:tcMar>
              <w:top w:w="15" w:type="dxa"/>
              <w:left w:w="15" w:type="dxa"/>
              <w:right w:w="15" w:type="dxa"/>
            </w:tcMar>
            <w:vAlign w:val="center"/>
          </w:tcPr>
          <w:p w14:paraId="7E71E12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1"/>
                <w:szCs w:val="21"/>
                <w:highlight w:val="none"/>
                <w:lang w:val="en-US" w:eastAsia="zh-CN" w:bidi="ar"/>
              </w:rPr>
              <w:t>200</w:t>
            </w:r>
          </w:p>
        </w:tc>
        <w:tc>
          <w:tcPr>
            <w:tcW w:w="504" w:type="pct"/>
            <w:tcBorders>
              <w:tl2br w:val="nil"/>
              <w:tr2bl w:val="nil"/>
            </w:tcBorders>
            <w:shd w:val="clear" w:color="auto" w:fill="auto"/>
            <w:noWrap/>
            <w:tcMar>
              <w:top w:w="15" w:type="dxa"/>
              <w:left w:w="15" w:type="dxa"/>
              <w:right w:w="15" w:type="dxa"/>
            </w:tcMar>
            <w:vAlign w:val="center"/>
          </w:tcPr>
          <w:p w14:paraId="09F98AF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16.8</w:t>
            </w:r>
          </w:p>
        </w:tc>
        <w:tc>
          <w:tcPr>
            <w:tcW w:w="604" w:type="pct"/>
            <w:tcBorders>
              <w:tl2br w:val="nil"/>
              <w:tr2bl w:val="nil"/>
            </w:tcBorders>
            <w:shd w:val="clear" w:color="auto" w:fill="auto"/>
            <w:noWrap/>
            <w:tcMar>
              <w:top w:w="15" w:type="dxa"/>
              <w:left w:w="15" w:type="dxa"/>
              <w:right w:w="15" w:type="dxa"/>
            </w:tcMar>
            <w:vAlign w:val="center"/>
          </w:tcPr>
          <w:p w14:paraId="19EAA24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4B87F8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12" w:type="pct"/>
            <w:tcBorders>
              <w:tl2br w:val="nil"/>
              <w:tr2bl w:val="nil"/>
            </w:tcBorders>
            <w:shd w:val="clear" w:color="auto" w:fill="auto"/>
            <w:noWrap/>
            <w:tcMar>
              <w:top w:w="15" w:type="dxa"/>
              <w:left w:w="15" w:type="dxa"/>
              <w:right w:w="15" w:type="dxa"/>
            </w:tcMar>
            <w:vAlign w:val="center"/>
          </w:tcPr>
          <w:p w14:paraId="5AECA79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13</w:t>
            </w:r>
          </w:p>
        </w:tc>
        <w:tc>
          <w:tcPr>
            <w:tcW w:w="1184" w:type="pct"/>
            <w:tcBorders>
              <w:tl2br w:val="nil"/>
              <w:tr2bl w:val="nil"/>
            </w:tcBorders>
            <w:shd w:val="clear" w:color="auto" w:fill="auto"/>
            <w:noWrap/>
            <w:tcMar>
              <w:top w:w="15" w:type="dxa"/>
              <w:left w:w="15" w:type="dxa"/>
              <w:right w:w="15" w:type="dxa"/>
            </w:tcMar>
            <w:vAlign w:val="center"/>
          </w:tcPr>
          <w:p w14:paraId="78EDCB3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锌</w:t>
            </w:r>
          </w:p>
        </w:tc>
        <w:tc>
          <w:tcPr>
            <w:tcW w:w="720" w:type="pct"/>
            <w:tcBorders>
              <w:tl2br w:val="nil"/>
              <w:tr2bl w:val="nil"/>
            </w:tcBorders>
            <w:shd w:val="clear" w:color="auto" w:fill="auto"/>
            <w:noWrap/>
            <w:tcMar>
              <w:top w:w="15" w:type="dxa"/>
              <w:left w:w="15" w:type="dxa"/>
              <w:right w:w="15" w:type="dxa"/>
            </w:tcMar>
            <w:vAlign w:val="center"/>
          </w:tcPr>
          <w:p w14:paraId="50754C64">
            <w:pPr>
              <w:widowControl/>
              <w:spacing w:line="240" w:lineRule="auto"/>
              <w:jc w:val="center"/>
              <w:textAlignment w:val="top"/>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≤5.00</w:t>
            </w:r>
          </w:p>
        </w:tc>
        <w:tc>
          <w:tcPr>
            <w:tcW w:w="565" w:type="pct"/>
            <w:tcBorders>
              <w:tl2br w:val="nil"/>
              <w:tr2bl w:val="nil"/>
            </w:tcBorders>
            <w:shd w:val="clear" w:color="auto" w:fill="auto"/>
            <w:noWrap/>
            <w:tcMar>
              <w:top w:w="15" w:type="dxa"/>
              <w:left w:w="15" w:type="dxa"/>
              <w:right w:w="15" w:type="dxa"/>
            </w:tcMar>
            <w:vAlign w:val="center"/>
          </w:tcPr>
          <w:p w14:paraId="26189B2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0.002</w:t>
            </w:r>
          </w:p>
        </w:tc>
        <w:tc>
          <w:tcPr>
            <w:tcW w:w="604" w:type="pct"/>
            <w:tcBorders>
              <w:tl2br w:val="nil"/>
              <w:tr2bl w:val="nil"/>
            </w:tcBorders>
            <w:shd w:val="clear" w:color="auto" w:fill="auto"/>
            <w:noWrap/>
            <w:tcMar>
              <w:top w:w="15" w:type="dxa"/>
              <w:left w:w="15" w:type="dxa"/>
              <w:right w:w="15" w:type="dxa"/>
            </w:tcMar>
            <w:vAlign w:val="center"/>
          </w:tcPr>
          <w:p w14:paraId="3B534D7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504" w:type="pct"/>
            <w:tcBorders>
              <w:tl2br w:val="nil"/>
              <w:tr2bl w:val="nil"/>
            </w:tcBorders>
            <w:shd w:val="clear" w:color="auto" w:fill="auto"/>
            <w:noWrap/>
            <w:tcMar>
              <w:top w:w="15" w:type="dxa"/>
              <w:left w:w="15" w:type="dxa"/>
              <w:right w:w="15" w:type="dxa"/>
            </w:tcMar>
            <w:vAlign w:val="center"/>
          </w:tcPr>
          <w:p w14:paraId="6EC3C6C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1"/>
                <w:szCs w:val="21"/>
                <w:highlight w:val="none"/>
                <w:lang w:val="en-US" w:eastAsia="zh-CN" w:bidi="ar"/>
              </w:rPr>
              <w:t>1.00</w:t>
            </w:r>
          </w:p>
        </w:tc>
        <w:tc>
          <w:tcPr>
            <w:tcW w:w="504" w:type="pct"/>
            <w:tcBorders>
              <w:tl2br w:val="nil"/>
              <w:tr2bl w:val="nil"/>
            </w:tcBorders>
            <w:shd w:val="clear" w:color="auto" w:fill="auto"/>
            <w:noWrap/>
            <w:tcMar>
              <w:top w:w="15" w:type="dxa"/>
              <w:left w:w="15" w:type="dxa"/>
              <w:right w:w="15" w:type="dxa"/>
            </w:tcMar>
            <w:vAlign w:val="center"/>
          </w:tcPr>
          <w:p w14:paraId="159978E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0.002</w:t>
            </w:r>
          </w:p>
        </w:tc>
        <w:tc>
          <w:tcPr>
            <w:tcW w:w="604" w:type="pct"/>
            <w:tcBorders>
              <w:tl2br w:val="nil"/>
              <w:tr2bl w:val="nil"/>
            </w:tcBorders>
            <w:shd w:val="clear" w:color="auto" w:fill="auto"/>
            <w:noWrap/>
            <w:tcMar>
              <w:top w:w="15" w:type="dxa"/>
              <w:left w:w="15" w:type="dxa"/>
              <w:right w:w="15" w:type="dxa"/>
            </w:tcMar>
            <w:vAlign w:val="center"/>
          </w:tcPr>
          <w:p w14:paraId="182D006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3BF7F4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12" w:type="pct"/>
            <w:tcBorders>
              <w:tl2br w:val="nil"/>
              <w:tr2bl w:val="nil"/>
            </w:tcBorders>
            <w:shd w:val="clear" w:color="auto" w:fill="auto"/>
            <w:noWrap/>
            <w:tcMar>
              <w:top w:w="15" w:type="dxa"/>
              <w:left w:w="15" w:type="dxa"/>
              <w:right w:w="15" w:type="dxa"/>
            </w:tcMar>
            <w:vAlign w:val="center"/>
          </w:tcPr>
          <w:p w14:paraId="576F0EC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14</w:t>
            </w:r>
          </w:p>
        </w:tc>
        <w:tc>
          <w:tcPr>
            <w:tcW w:w="1184" w:type="pct"/>
            <w:tcBorders>
              <w:tl2br w:val="nil"/>
              <w:tr2bl w:val="nil"/>
            </w:tcBorders>
            <w:shd w:val="clear" w:color="auto" w:fill="auto"/>
            <w:noWrap/>
            <w:tcMar>
              <w:top w:w="15" w:type="dxa"/>
              <w:left w:w="15" w:type="dxa"/>
              <w:right w:w="15" w:type="dxa"/>
            </w:tcMar>
            <w:vAlign w:val="center"/>
          </w:tcPr>
          <w:p w14:paraId="7A8F3C4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砷</w:t>
            </w:r>
          </w:p>
        </w:tc>
        <w:tc>
          <w:tcPr>
            <w:tcW w:w="720" w:type="pct"/>
            <w:tcBorders>
              <w:tl2br w:val="nil"/>
              <w:tr2bl w:val="nil"/>
            </w:tcBorders>
            <w:shd w:val="clear" w:color="auto" w:fill="auto"/>
            <w:noWrap/>
            <w:tcMar>
              <w:top w:w="15" w:type="dxa"/>
              <w:left w:w="15" w:type="dxa"/>
              <w:right w:w="15" w:type="dxa"/>
            </w:tcMar>
            <w:vAlign w:val="center"/>
          </w:tcPr>
          <w:p w14:paraId="7EDD2BDC">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≤0.05</w:t>
            </w:r>
          </w:p>
        </w:tc>
        <w:tc>
          <w:tcPr>
            <w:tcW w:w="565" w:type="pct"/>
            <w:tcBorders>
              <w:tl2br w:val="nil"/>
              <w:tr2bl w:val="nil"/>
            </w:tcBorders>
            <w:shd w:val="clear" w:color="auto" w:fill="auto"/>
            <w:noWrap/>
            <w:tcMar>
              <w:top w:w="15" w:type="dxa"/>
              <w:left w:w="15" w:type="dxa"/>
              <w:right w:w="15" w:type="dxa"/>
            </w:tcMar>
            <w:vAlign w:val="center"/>
          </w:tcPr>
          <w:p w14:paraId="0DBFDE4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0.0017</w:t>
            </w:r>
          </w:p>
        </w:tc>
        <w:tc>
          <w:tcPr>
            <w:tcW w:w="604" w:type="pct"/>
            <w:tcBorders>
              <w:tl2br w:val="nil"/>
              <w:tr2bl w:val="nil"/>
            </w:tcBorders>
            <w:shd w:val="clear" w:color="auto" w:fill="auto"/>
            <w:noWrap/>
            <w:tcMar>
              <w:top w:w="15" w:type="dxa"/>
              <w:left w:w="15" w:type="dxa"/>
              <w:right w:w="15" w:type="dxa"/>
            </w:tcMar>
            <w:vAlign w:val="center"/>
          </w:tcPr>
          <w:p w14:paraId="7F07E71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504" w:type="pct"/>
            <w:tcBorders>
              <w:tl2br w:val="nil"/>
              <w:tr2bl w:val="nil"/>
            </w:tcBorders>
            <w:shd w:val="clear" w:color="auto" w:fill="auto"/>
            <w:noWrap/>
            <w:tcMar>
              <w:top w:w="15" w:type="dxa"/>
              <w:left w:w="15" w:type="dxa"/>
              <w:right w:w="15" w:type="dxa"/>
            </w:tcMar>
            <w:vAlign w:val="center"/>
          </w:tcPr>
          <w:p w14:paraId="1355690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1"/>
                <w:szCs w:val="21"/>
                <w:highlight w:val="none"/>
                <w:lang w:val="en-US" w:eastAsia="zh-CN" w:bidi="ar"/>
              </w:rPr>
              <w:t>0.01</w:t>
            </w:r>
          </w:p>
        </w:tc>
        <w:tc>
          <w:tcPr>
            <w:tcW w:w="504" w:type="pct"/>
            <w:tcBorders>
              <w:tl2br w:val="nil"/>
              <w:tr2bl w:val="nil"/>
            </w:tcBorders>
            <w:shd w:val="clear" w:color="auto" w:fill="auto"/>
            <w:noWrap/>
            <w:tcMar>
              <w:top w:w="15" w:type="dxa"/>
              <w:left w:w="15" w:type="dxa"/>
              <w:right w:w="15" w:type="dxa"/>
            </w:tcMar>
            <w:vAlign w:val="center"/>
          </w:tcPr>
          <w:p w14:paraId="6A8D1AE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0.0043</w:t>
            </w:r>
          </w:p>
        </w:tc>
        <w:tc>
          <w:tcPr>
            <w:tcW w:w="604" w:type="pct"/>
            <w:tcBorders>
              <w:tl2br w:val="nil"/>
              <w:tr2bl w:val="nil"/>
            </w:tcBorders>
            <w:shd w:val="clear" w:color="auto" w:fill="auto"/>
            <w:noWrap/>
            <w:tcMar>
              <w:top w:w="15" w:type="dxa"/>
              <w:left w:w="15" w:type="dxa"/>
              <w:right w:w="15" w:type="dxa"/>
            </w:tcMar>
            <w:vAlign w:val="center"/>
          </w:tcPr>
          <w:p w14:paraId="2EBFDC2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r w14:paraId="3AF007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312" w:type="pct"/>
            <w:tcBorders>
              <w:tl2br w:val="nil"/>
              <w:tr2bl w:val="nil"/>
            </w:tcBorders>
            <w:shd w:val="clear" w:color="auto" w:fill="auto"/>
            <w:noWrap/>
            <w:tcMar>
              <w:top w:w="15" w:type="dxa"/>
              <w:left w:w="15" w:type="dxa"/>
              <w:right w:w="15" w:type="dxa"/>
            </w:tcMar>
            <w:vAlign w:val="center"/>
          </w:tcPr>
          <w:p w14:paraId="64C5C14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w:t>
            </w:r>
          </w:p>
        </w:tc>
        <w:tc>
          <w:tcPr>
            <w:tcW w:w="1184" w:type="pct"/>
            <w:tcBorders>
              <w:tl2br w:val="nil"/>
              <w:tr2bl w:val="nil"/>
            </w:tcBorders>
            <w:shd w:val="clear" w:color="auto" w:fill="auto"/>
            <w:noWrap/>
            <w:tcMar>
              <w:top w:w="15" w:type="dxa"/>
              <w:left w:w="15" w:type="dxa"/>
              <w:right w:w="15" w:type="dxa"/>
            </w:tcMar>
            <w:vAlign w:val="center"/>
          </w:tcPr>
          <w:p w14:paraId="01D512D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石油类</w:t>
            </w:r>
          </w:p>
        </w:tc>
        <w:tc>
          <w:tcPr>
            <w:tcW w:w="720" w:type="pct"/>
            <w:tcBorders>
              <w:tl2br w:val="nil"/>
              <w:tr2bl w:val="nil"/>
            </w:tcBorders>
            <w:shd w:val="clear" w:color="auto" w:fill="auto"/>
            <w:noWrap/>
            <w:tcMar>
              <w:top w:w="15" w:type="dxa"/>
              <w:left w:w="15" w:type="dxa"/>
              <w:right w:w="15" w:type="dxa"/>
            </w:tcMar>
            <w:vAlign w:val="center"/>
          </w:tcPr>
          <w:p w14:paraId="55370B00">
            <w:pPr>
              <w:widowControl/>
              <w:spacing w:line="240" w:lineRule="auto"/>
              <w:jc w:val="center"/>
              <w:textAlignment w:val="top"/>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≤0.5</w:t>
            </w:r>
          </w:p>
        </w:tc>
        <w:tc>
          <w:tcPr>
            <w:tcW w:w="565" w:type="pct"/>
            <w:tcBorders>
              <w:tl2br w:val="nil"/>
              <w:tr2bl w:val="nil"/>
            </w:tcBorders>
            <w:shd w:val="clear" w:color="auto" w:fill="auto"/>
            <w:noWrap/>
            <w:tcMar>
              <w:top w:w="15" w:type="dxa"/>
              <w:left w:w="15" w:type="dxa"/>
              <w:right w:w="15" w:type="dxa"/>
            </w:tcMar>
            <w:vAlign w:val="center"/>
          </w:tcPr>
          <w:p w14:paraId="6AF27C6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0.02</w:t>
            </w:r>
          </w:p>
        </w:tc>
        <w:tc>
          <w:tcPr>
            <w:tcW w:w="604" w:type="pct"/>
            <w:tcBorders>
              <w:tl2br w:val="nil"/>
              <w:tr2bl w:val="nil"/>
            </w:tcBorders>
            <w:shd w:val="clear" w:color="auto" w:fill="auto"/>
            <w:noWrap/>
            <w:tcMar>
              <w:top w:w="15" w:type="dxa"/>
              <w:left w:w="15" w:type="dxa"/>
              <w:right w:w="15" w:type="dxa"/>
            </w:tcMar>
            <w:vAlign w:val="center"/>
          </w:tcPr>
          <w:p w14:paraId="3A62AE6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c>
          <w:tcPr>
            <w:tcW w:w="504" w:type="pct"/>
            <w:tcBorders>
              <w:tl2br w:val="nil"/>
              <w:tr2bl w:val="nil"/>
            </w:tcBorders>
            <w:shd w:val="clear" w:color="auto" w:fill="auto"/>
            <w:noWrap/>
            <w:tcMar>
              <w:top w:w="15" w:type="dxa"/>
              <w:left w:w="15" w:type="dxa"/>
              <w:right w:w="15" w:type="dxa"/>
            </w:tcMar>
            <w:vAlign w:val="center"/>
          </w:tcPr>
          <w:p w14:paraId="360BBD7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kern w:val="0"/>
                <w:sz w:val="21"/>
                <w:szCs w:val="21"/>
                <w:highlight w:val="none"/>
                <w:lang w:val="en-US" w:eastAsia="zh-CN" w:bidi="ar"/>
              </w:rPr>
              <w:t>0.05</w:t>
            </w:r>
          </w:p>
        </w:tc>
        <w:tc>
          <w:tcPr>
            <w:tcW w:w="504" w:type="pct"/>
            <w:tcBorders>
              <w:tl2br w:val="nil"/>
              <w:tr2bl w:val="nil"/>
            </w:tcBorders>
            <w:shd w:val="clear" w:color="auto" w:fill="auto"/>
            <w:noWrap/>
            <w:tcMar>
              <w:top w:w="15" w:type="dxa"/>
              <w:left w:w="15" w:type="dxa"/>
              <w:right w:w="15" w:type="dxa"/>
            </w:tcMar>
            <w:vAlign w:val="center"/>
          </w:tcPr>
          <w:p w14:paraId="191BEEB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0.02</w:t>
            </w:r>
          </w:p>
        </w:tc>
        <w:tc>
          <w:tcPr>
            <w:tcW w:w="604" w:type="pct"/>
            <w:tcBorders>
              <w:tl2br w:val="nil"/>
              <w:tr2bl w:val="nil"/>
            </w:tcBorders>
            <w:shd w:val="clear" w:color="auto" w:fill="auto"/>
            <w:noWrap/>
            <w:tcMar>
              <w:top w:w="15" w:type="dxa"/>
              <w:left w:w="15" w:type="dxa"/>
              <w:right w:w="15" w:type="dxa"/>
            </w:tcMar>
            <w:vAlign w:val="center"/>
          </w:tcPr>
          <w:p w14:paraId="124E5C7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达标</w:t>
            </w:r>
          </w:p>
        </w:tc>
      </w:tr>
    </w:tbl>
    <w:p w14:paraId="75D848B0">
      <w:pPr>
        <w:spacing w:line="240" w:lineRule="auto"/>
        <w:rPr>
          <w:rFonts w:hint="default" w:ascii="Times New Roman" w:hAnsi="Times New Roman" w:cs="Times New Roman"/>
          <w:b/>
          <w:bCs/>
          <w:color w:val="auto"/>
          <w:sz w:val="18"/>
          <w:szCs w:val="18"/>
          <w:highlight w:val="none"/>
          <w:lang w:val="en-US" w:eastAsia="zh-CN"/>
        </w:rPr>
      </w:pPr>
      <w:bookmarkStart w:id="46" w:name="_Toc55399883"/>
      <w:r>
        <w:rPr>
          <w:rFonts w:hint="default" w:ascii="Times New Roman" w:hAnsi="Times New Roman" w:cs="Times New Roman"/>
          <w:b/>
          <w:bCs/>
          <w:color w:val="auto"/>
          <w:sz w:val="18"/>
          <w:szCs w:val="18"/>
          <w:highlight w:val="none"/>
          <w:lang w:val="en-US" w:eastAsia="zh-CN"/>
        </w:rPr>
        <w:t>注：表格中阴影数值表示超标因子检测数据</w:t>
      </w:r>
    </w:p>
    <w:p w14:paraId="40613A26">
      <w:pPr>
        <w:ind w:firstLine="480" w:firstLineChars="200"/>
        <w:jc w:val="left"/>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由表可知，</w:t>
      </w:r>
      <w:r>
        <w:rPr>
          <w:rFonts w:hint="default" w:ascii="Times New Roman" w:hAnsi="Times New Roman" w:cs="Times New Roman"/>
          <w:color w:val="auto"/>
          <w:highlight w:val="none"/>
          <w:lang w:val="en-US" w:eastAsia="zh-CN"/>
        </w:rPr>
        <w:t>地下水监测点位中XM-W1样品</w:t>
      </w:r>
      <w:r>
        <w:rPr>
          <w:rFonts w:hint="default" w:ascii="Times New Roman" w:hAnsi="Times New Roman" w:cs="Times New Roman"/>
          <w:color w:val="auto"/>
          <w:highlight w:val="none"/>
        </w:rPr>
        <w:t>已检出污染物（总硬度、溶解性总固体、耗氧量、硫酸盐、硝酸盐、氯化物、总氟化物、氨氮、亚硝酸盐氮、锰、钠、锌、砷）均满足《地下水质量标准》（GB/T 14848-2017）中Ⅳ类标准限值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XM-W2样品</w:t>
      </w:r>
      <w:r>
        <w:rPr>
          <w:rFonts w:hint="default" w:ascii="Times New Roman" w:hAnsi="Times New Roman" w:cs="Times New Roman"/>
          <w:color w:val="auto"/>
          <w:highlight w:val="none"/>
        </w:rPr>
        <w:t>已检出污染物（总硬度、溶解性总固体、耗氧量、硫酸盐、硝酸盐、氯化物、总氟化物、氨氮、亚硝酸盐氮、锰、钠、锌、砷）均满足《地下水质量标准》（GB/T 14848-2017）中</w:t>
      </w:r>
      <w:r>
        <w:rPr>
          <w:rFonts w:hint="default" w:ascii="Times New Roman" w:hAnsi="Times New Roman" w:cs="Times New Roman"/>
          <w:color w:val="auto"/>
          <w:highlight w:val="none"/>
          <w:lang w:val="en-US" w:eastAsia="zh-CN"/>
        </w:rPr>
        <w:t>III</w:t>
      </w:r>
      <w:r>
        <w:rPr>
          <w:rFonts w:hint="default" w:ascii="Times New Roman" w:hAnsi="Times New Roman" w:cs="Times New Roman"/>
          <w:color w:val="auto"/>
          <w:highlight w:val="none"/>
        </w:rPr>
        <w:t>类标准限值</w:t>
      </w:r>
      <w:r>
        <w:rPr>
          <w:rFonts w:hint="default" w:ascii="Times New Roman" w:hAnsi="Times New Roman" w:cs="Times New Roman"/>
          <w:color w:val="auto"/>
          <w:highlight w:val="none"/>
          <w:lang w:val="en-US" w:eastAsia="zh-CN"/>
        </w:rPr>
        <w:t>要求</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此外，XM-W1样品</w:t>
      </w:r>
      <w:r>
        <w:rPr>
          <w:rFonts w:hint="default" w:ascii="Times New Roman" w:hAnsi="Times New Roman" w:cs="Times New Roman"/>
          <w:color w:val="auto"/>
          <w:highlight w:val="none"/>
        </w:rPr>
        <w:t>石油类</w:t>
      </w:r>
      <w:r>
        <w:rPr>
          <w:rFonts w:hint="default" w:ascii="Times New Roman" w:hAnsi="Times New Roman" w:cs="Times New Roman"/>
          <w:color w:val="auto"/>
          <w:highlight w:val="none"/>
          <w:lang w:val="en-US" w:eastAsia="zh-CN"/>
        </w:rPr>
        <w:t>监测值可</w:t>
      </w:r>
      <w:r>
        <w:rPr>
          <w:rFonts w:hint="default" w:ascii="Times New Roman" w:hAnsi="Times New Roman" w:cs="Times New Roman"/>
          <w:color w:val="auto"/>
          <w:highlight w:val="none"/>
        </w:rPr>
        <w:t>满足《地表水环境质量标准》（GB3838-2002）（以下简称GB3838）</w:t>
      </w:r>
      <w:r>
        <w:rPr>
          <w:rFonts w:hint="default" w:ascii="Times New Roman" w:hAnsi="Times New Roman" w:cs="Times New Roman"/>
          <w:color w:val="auto"/>
          <w:highlight w:val="none"/>
          <w:lang w:val="en-US" w:eastAsia="zh-CN"/>
        </w:rPr>
        <w:t>IV类</w:t>
      </w:r>
      <w:r>
        <w:rPr>
          <w:rFonts w:hint="default" w:ascii="Times New Roman" w:hAnsi="Times New Roman" w:cs="Times New Roman"/>
          <w:color w:val="auto"/>
          <w:highlight w:val="none"/>
        </w:rPr>
        <w:t>标准限值要求</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XM-W2样品</w:t>
      </w:r>
      <w:r>
        <w:rPr>
          <w:rFonts w:hint="default" w:ascii="Times New Roman" w:hAnsi="Times New Roman" w:cs="Times New Roman"/>
          <w:color w:val="auto"/>
          <w:highlight w:val="none"/>
        </w:rPr>
        <w:t>石油类</w:t>
      </w:r>
      <w:r>
        <w:rPr>
          <w:rFonts w:hint="default" w:ascii="Times New Roman" w:hAnsi="Times New Roman" w:cs="Times New Roman"/>
          <w:color w:val="auto"/>
          <w:highlight w:val="none"/>
          <w:lang w:val="en-US" w:eastAsia="zh-CN"/>
        </w:rPr>
        <w:t>监测值可</w:t>
      </w:r>
      <w:r>
        <w:rPr>
          <w:rFonts w:hint="default" w:ascii="Times New Roman" w:hAnsi="Times New Roman" w:cs="Times New Roman"/>
          <w:color w:val="auto"/>
          <w:highlight w:val="none"/>
        </w:rPr>
        <w:t>满足《地表水环境质量标准》（GB3838-2002）（以下简称GB3838）</w:t>
      </w:r>
      <w:r>
        <w:rPr>
          <w:rFonts w:hint="default" w:ascii="Times New Roman" w:hAnsi="Times New Roman" w:cs="Times New Roman"/>
          <w:color w:val="auto"/>
          <w:highlight w:val="none"/>
          <w:lang w:val="en-US" w:eastAsia="zh-CN"/>
        </w:rPr>
        <w:t>III类</w:t>
      </w:r>
      <w:r>
        <w:rPr>
          <w:rFonts w:hint="default" w:ascii="Times New Roman" w:hAnsi="Times New Roman" w:cs="Times New Roman"/>
          <w:color w:val="auto"/>
          <w:highlight w:val="none"/>
        </w:rPr>
        <w:t>标准限值要求</w:t>
      </w:r>
      <w:r>
        <w:rPr>
          <w:rFonts w:hint="default" w:ascii="Times New Roman" w:hAnsi="Times New Roman" w:cs="Times New Roman" w:eastAsiaTheme="minorEastAsia"/>
          <w:color w:val="auto"/>
          <w:highlight w:val="none"/>
        </w:rPr>
        <w:t>。</w:t>
      </w:r>
    </w:p>
    <w:p w14:paraId="7F4B9959">
      <w:pPr>
        <w:pStyle w:val="4"/>
        <w:tabs>
          <w:tab w:val="clear" w:pos="425"/>
        </w:tabs>
        <w:rPr>
          <w:rFonts w:hint="default" w:ascii="Times New Roman" w:hAnsi="Times New Roman" w:cs="Times New Roman"/>
          <w:color w:val="auto"/>
          <w:highlight w:val="none"/>
        </w:rPr>
      </w:pPr>
      <w:bookmarkStart w:id="47" w:name="_Toc6638"/>
      <w:r>
        <w:rPr>
          <w:rFonts w:hint="default" w:ascii="Times New Roman" w:hAnsi="Times New Roman" w:cs="Times New Roman"/>
          <w:color w:val="auto"/>
          <w:highlight w:val="none"/>
        </w:rPr>
        <w:t>土壤环境质量评价</w:t>
      </w:r>
      <w:bookmarkEnd w:id="47"/>
    </w:p>
    <w:p w14:paraId="72E87D79">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污染指数</w:t>
      </w:r>
    </w:p>
    <w:p w14:paraId="43DB55BE">
      <w:pPr>
        <w:pStyle w:val="2"/>
        <w:tabs>
          <w:tab w:val="center" w:pos="4855"/>
          <w:tab w:val="left" w:pos="7572"/>
        </w:tabs>
        <w:spacing w:after="0"/>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由于本次工业园周边调查未出现超标情况，故只对已检出的污染项目进行土壤单项污染指数分析。各项污染物项目单项污染指数见表5-4-1。</w:t>
      </w:r>
    </w:p>
    <w:p w14:paraId="6D49FBF0">
      <w:pPr>
        <w:pStyle w:val="2"/>
        <w:tabs>
          <w:tab w:val="center" w:pos="4855"/>
          <w:tab w:val="left" w:pos="7572"/>
        </w:tabs>
        <w:spacing w:after="0"/>
        <w:ind w:firstLine="480" w:firstLineChars="200"/>
        <w:jc w:val="left"/>
        <w:rPr>
          <w:rFonts w:hint="default" w:ascii="Times New Roman" w:hAnsi="Times New Roman" w:cs="Times New Roman"/>
          <w:color w:val="auto"/>
          <w:highlight w:val="none"/>
        </w:rPr>
      </w:pPr>
    </w:p>
    <w:p w14:paraId="02D6DD3E">
      <w:pPr>
        <w:pStyle w:val="2"/>
        <w:spacing w:after="0"/>
        <w:ind w:firstLine="420"/>
        <w:rPr>
          <w:rFonts w:hint="default" w:ascii="Times New Roman" w:hAnsi="Times New Roman" w:cs="Times New Roman"/>
          <w:color w:val="auto"/>
          <w:highlight w:val="none"/>
        </w:rPr>
        <w:sectPr>
          <w:headerReference r:id="rId20" w:type="default"/>
          <w:pgSz w:w="11849" w:h="16781"/>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p>
    <w:p w14:paraId="0BE9F0F3">
      <w:pPr>
        <w:pStyle w:val="2"/>
        <w:spacing w:before="165" w:beforeLines="50" w:after="0" w:line="240" w:lineRule="auto"/>
        <w:jc w:val="center"/>
        <w:rPr>
          <w:rFonts w:hint="default" w:ascii="Times New Roman" w:hAnsi="Times New Roman" w:cs="Times New Roman"/>
          <w:color w:val="auto"/>
          <w:highlight w:val="none"/>
        </w:rPr>
      </w:pPr>
      <w:r>
        <w:rPr>
          <w:rFonts w:hint="default" w:ascii="Times New Roman" w:hAnsi="Times New Roman" w:eastAsia="黑体" w:cs="Times New Roman"/>
          <w:b/>
          <w:bCs/>
          <w:color w:val="auto"/>
          <w:highlight w:val="none"/>
        </w:rPr>
        <w:t>表5-4-1 土壤单项污染指数表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01"/>
        <w:gridCol w:w="1030"/>
        <w:gridCol w:w="968"/>
        <w:gridCol w:w="674"/>
        <w:gridCol w:w="675"/>
        <w:gridCol w:w="675"/>
        <w:gridCol w:w="675"/>
        <w:gridCol w:w="675"/>
        <w:gridCol w:w="675"/>
        <w:gridCol w:w="675"/>
        <w:gridCol w:w="675"/>
        <w:gridCol w:w="675"/>
        <w:gridCol w:w="651"/>
        <w:gridCol w:w="651"/>
        <w:gridCol w:w="651"/>
        <w:gridCol w:w="1259"/>
        <w:gridCol w:w="712"/>
        <w:gridCol w:w="736"/>
        <w:gridCol w:w="1367"/>
      </w:tblGrid>
      <w:tr w14:paraId="6EE214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8" w:hRule="atLeast"/>
          <w:tblHeader/>
          <w:jc w:val="center"/>
        </w:trPr>
        <w:tc>
          <w:tcPr>
            <w:tcW w:w="172" w:type="pct"/>
            <w:tcBorders>
              <w:bottom w:val="single" w:color="auto" w:sz="12" w:space="0"/>
            </w:tcBorders>
            <w:shd w:val="clear" w:color="auto" w:fill="auto"/>
            <w:noWrap/>
            <w:tcMar>
              <w:top w:w="15" w:type="dxa"/>
              <w:left w:w="15" w:type="dxa"/>
              <w:right w:w="15" w:type="dxa"/>
            </w:tcMar>
            <w:vAlign w:val="center"/>
          </w:tcPr>
          <w:p w14:paraId="2E8E7201">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序号</w:t>
            </w:r>
          </w:p>
        </w:tc>
        <w:tc>
          <w:tcPr>
            <w:tcW w:w="353" w:type="pct"/>
            <w:tcBorders>
              <w:bottom w:val="single" w:color="auto" w:sz="12" w:space="0"/>
            </w:tcBorders>
            <w:shd w:val="clear" w:color="auto" w:fill="auto"/>
            <w:noWrap/>
            <w:tcMar>
              <w:top w:w="15" w:type="dxa"/>
              <w:left w:w="15" w:type="dxa"/>
              <w:right w:w="15" w:type="dxa"/>
            </w:tcMar>
            <w:vAlign w:val="center"/>
          </w:tcPr>
          <w:p w14:paraId="408825C6">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样品编号</w:t>
            </w:r>
          </w:p>
        </w:tc>
        <w:tc>
          <w:tcPr>
            <w:tcW w:w="332" w:type="pct"/>
            <w:tcBorders>
              <w:bottom w:val="single" w:color="auto" w:sz="12" w:space="0"/>
            </w:tcBorders>
            <w:shd w:val="clear" w:color="auto" w:fill="auto"/>
            <w:noWrap/>
            <w:tcMar>
              <w:top w:w="15" w:type="dxa"/>
              <w:left w:w="15" w:type="dxa"/>
              <w:right w:w="15" w:type="dxa"/>
            </w:tcMar>
            <w:vAlign w:val="center"/>
          </w:tcPr>
          <w:p w14:paraId="4F810E8E">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总氟化物</w:t>
            </w:r>
          </w:p>
        </w:tc>
        <w:tc>
          <w:tcPr>
            <w:tcW w:w="231" w:type="pct"/>
            <w:tcBorders>
              <w:bottom w:val="single" w:color="auto" w:sz="12" w:space="0"/>
            </w:tcBorders>
            <w:shd w:val="clear" w:color="auto" w:fill="auto"/>
            <w:noWrap/>
            <w:tcMar>
              <w:top w:w="15" w:type="dxa"/>
              <w:left w:w="15" w:type="dxa"/>
              <w:right w:w="15" w:type="dxa"/>
            </w:tcMar>
            <w:vAlign w:val="center"/>
          </w:tcPr>
          <w:p w14:paraId="46A6437B">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铅</w:t>
            </w:r>
          </w:p>
        </w:tc>
        <w:tc>
          <w:tcPr>
            <w:tcW w:w="231" w:type="pct"/>
            <w:tcBorders>
              <w:bottom w:val="single" w:color="auto" w:sz="12" w:space="0"/>
            </w:tcBorders>
            <w:shd w:val="clear" w:color="auto" w:fill="auto"/>
            <w:noWrap/>
            <w:tcMar>
              <w:top w:w="15" w:type="dxa"/>
              <w:left w:w="15" w:type="dxa"/>
              <w:right w:w="15" w:type="dxa"/>
            </w:tcMar>
            <w:vAlign w:val="center"/>
          </w:tcPr>
          <w:p w14:paraId="7E8149A6">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汞</w:t>
            </w:r>
          </w:p>
        </w:tc>
        <w:tc>
          <w:tcPr>
            <w:tcW w:w="231" w:type="pct"/>
            <w:tcBorders>
              <w:bottom w:val="single" w:color="auto" w:sz="12" w:space="0"/>
            </w:tcBorders>
            <w:shd w:val="clear" w:color="auto" w:fill="auto"/>
            <w:noWrap/>
            <w:tcMar>
              <w:top w:w="15" w:type="dxa"/>
              <w:left w:w="15" w:type="dxa"/>
              <w:right w:w="15" w:type="dxa"/>
            </w:tcMar>
            <w:vAlign w:val="center"/>
          </w:tcPr>
          <w:p w14:paraId="08F0E0E2">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钴</w:t>
            </w:r>
          </w:p>
        </w:tc>
        <w:tc>
          <w:tcPr>
            <w:tcW w:w="231" w:type="pct"/>
            <w:tcBorders>
              <w:bottom w:val="single" w:color="auto" w:sz="12" w:space="0"/>
            </w:tcBorders>
            <w:shd w:val="clear" w:color="auto" w:fill="auto"/>
            <w:noWrap/>
            <w:tcMar>
              <w:top w:w="15" w:type="dxa"/>
              <w:left w:w="15" w:type="dxa"/>
              <w:right w:w="15" w:type="dxa"/>
            </w:tcMar>
            <w:vAlign w:val="center"/>
          </w:tcPr>
          <w:p w14:paraId="0ADF58C3">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镉</w:t>
            </w:r>
          </w:p>
        </w:tc>
        <w:tc>
          <w:tcPr>
            <w:tcW w:w="231" w:type="pct"/>
            <w:tcBorders>
              <w:bottom w:val="single" w:color="auto" w:sz="12" w:space="0"/>
            </w:tcBorders>
            <w:shd w:val="clear" w:color="auto" w:fill="auto"/>
            <w:noWrap/>
            <w:tcMar>
              <w:top w:w="15" w:type="dxa"/>
              <w:left w:w="15" w:type="dxa"/>
              <w:right w:w="15" w:type="dxa"/>
            </w:tcMar>
            <w:vAlign w:val="center"/>
          </w:tcPr>
          <w:p w14:paraId="20156496">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铜</w:t>
            </w:r>
          </w:p>
        </w:tc>
        <w:tc>
          <w:tcPr>
            <w:tcW w:w="231" w:type="pct"/>
            <w:tcBorders>
              <w:bottom w:val="single" w:color="auto" w:sz="12" w:space="0"/>
            </w:tcBorders>
            <w:shd w:val="clear" w:color="auto" w:fill="auto"/>
            <w:noWrap/>
            <w:tcMar>
              <w:top w:w="15" w:type="dxa"/>
              <w:left w:w="15" w:type="dxa"/>
              <w:right w:w="15" w:type="dxa"/>
            </w:tcMar>
            <w:vAlign w:val="center"/>
          </w:tcPr>
          <w:p w14:paraId="64315C35">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镍</w:t>
            </w:r>
          </w:p>
        </w:tc>
        <w:tc>
          <w:tcPr>
            <w:tcW w:w="231" w:type="pct"/>
            <w:tcBorders>
              <w:bottom w:val="single" w:color="auto" w:sz="12" w:space="0"/>
            </w:tcBorders>
            <w:shd w:val="clear" w:color="auto" w:fill="auto"/>
            <w:noWrap/>
            <w:tcMar>
              <w:top w:w="15" w:type="dxa"/>
              <w:left w:w="15" w:type="dxa"/>
              <w:right w:w="15" w:type="dxa"/>
            </w:tcMar>
            <w:vAlign w:val="center"/>
          </w:tcPr>
          <w:p w14:paraId="60B21E83">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铬</w:t>
            </w:r>
          </w:p>
        </w:tc>
        <w:tc>
          <w:tcPr>
            <w:tcW w:w="231" w:type="pct"/>
            <w:tcBorders>
              <w:bottom w:val="single" w:color="auto" w:sz="12" w:space="0"/>
            </w:tcBorders>
            <w:shd w:val="clear" w:color="auto" w:fill="auto"/>
            <w:noWrap/>
            <w:tcMar>
              <w:top w:w="15" w:type="dxa"/>
              <w:left w:w="15" w:type="dxa"/>
              <w:right w:w="15" w:type="dxa"/>
            </w:tcMar>
            <w:vAlign w:val="center"/>
          </w:tcPr>
          <w:p w14:paraId="711288E7">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锌</w:t>
            </w:r>
          </w:p>
        </w:tc>
        <w:tc>
          <w:tcPr>
            <w:tcW w:w="231" w:type="pct"/>
            <w:tcBorders>
              <w:bottom w:val="single" w:color="auto" w:sz="12" w:space="0"/>
            </w:tcBorders>
            <w:shd w:val="clear" w:color="auto" w:fill="auto"/>
            <w:noWrap/>
            <w:tcMar>
              <w:top w:w="15" w:type="dxa"/>
              <w:left w:w="15" w:type="dxa"/>
              <w:right w:w="15" w:type="dxa"/>
            </w:tcMar>
            <w:vAlign w:val="center"/>
          </w:tcPr>
          <w:p w14:paraId="3FD71971">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砷</w:t>
            </w:r>
          </w:p>
        </w:tc>
        <w:tc>
          <w:tcPr>
            <w:tcW w:w="223" w:type="pct"/>
            <w:tcBorders>
              <w:bottom w:val="single" w:color="auto" w:sz="12" w:space="0"/>
            </w:tcBorders>
            <w:vAlign w:val="center"/>
          </w:tcPr>
          <w:p w14:paraId="0F4E93EC">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钼</w:t>
            </w:r>
          </w:p>
        </w:tc>
        <w:tc>
          <w:tcPr>
            <w:tcW w:w="223" w:type="pct"/>
            <w:tcBorders>
              <w:bottom w:val="single" w:color="auto" w:sz="12" w:space="0"/>
            </w:tcBorders>
            <w:vAlign w:val="center"/>
          </w:tcPr>
          <w:p w14:paraId="3A15327F">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锑</w:t>
            </w:r>
          </w:p>
        </w:tc>
        <w:tc>
          <w:tcPr>
            <w:tcW w:w="223" w:type="pct"/>
            <w:tcBorders>
              <w:bottom w:val="single" w:color="auto" w:sz="12" w:space="0"/>
            </w:tcBorders>
            <w:vAlign w:val="center"/>
          </w:tcPr>
          <w:p w14:paraId="1FB34AF9">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甲苯</w:t>
            </w:r>
          </w:p>
        </w:tc>
        <w:tc>
          <w:tcPr>
            <w:tcW w:w="431" w:type="pct"/>
            <w:tcBorders>
              <w:bottom w:val="single" w:color="auto" w:sz="12" w:space="0"/>
            </w:tcBorders>
            <w:vAlign w:val="center"/>
          </w:tcPr>
          <w:p w14:paraId="7EA86A66">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间-二甲苯和</w:t>
            </w:r>
          </w:p>
          <w:p w14:paraId="0F529B7C">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对-二甲苯</w:t>
            </w:r>
          </w:p>
        </w:tc>
        <w:tc>
          <w:tcPr>
            <w:tcW w:w="244" w:type="pct"/>
            <w:tcBorders>
              <w:bottom w:val="single" w:color="auto" w:sz="12" w:space="0"/>
            </w:tcBorders>
            <w:vAlign w:val="center"/>
          </w:tcPr>
          <w:p w14:paraId="498810E9">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苯乙烯</w:t>
            </w:r>
          </w:p>
        </w:tc>
        <w:tc>
          <w:tcPr>
            <w:tcW w:w="252" w:type="pct"/>
            <w:tcBorders>
              <w:bottom w:val="single" w:color="auto" w:sz="12" w:space="0"/>
            </w:tcBorders>
            <w:shd w:val="clear" w:color="auto" w:fill="auto"/>
            <w:noWrap/>
            <w:tcMar>
              <w:top w:w="15" w:type="dxa"/>
              <w:left w:w="15" w:type="dxa"/>
              <w:right w:w="15" w:type="dxa"/>
            </w:tcMar>
            <w:vAlign w:val="center"/>
          </w:tcPr>
          <w:p w14:paraId="1C6991EA">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二噁英</w:t>
            </w:r>
          </w:p>
        </w:tc>
        <w:tc>
          <w:tcPr>
            <w:tcW w:w="468" w:type="pct"/>
            <w:tcBorders>
              <w:bottom w:val="single" w:color="auto" w:sz="12" w:space="0"/>
            </w:tcBorders>
            <w:shd w:val="clear" w:color="auto" w:fill="auto"/>
            <w:noWrap/>
            <w:tcMar>
              <w:top w:w="15" w:type="dxa"/>
              <w:left w:w="15" w:type="dxa"/>
              <w:right w:w="15" w:type="dxa"/>
            </w:tcMar>
            <w:vAlign w:val="center"/>
          </w:tcPr>
          <w:p w14:paraId="1FDA7970">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石油烃</w:t>
            </w:r>
          </w:p>
          <w:p w14:paraId="63EAC488">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（C</w:t>
            </w:r>
            <w:r>
              <w:rPr>
                <w:rFonts w:hint="default" w:ascii="Times New Roman" w:hAnsi="Times New Roman" w:cs="Times New Roman"/>
                <w:b/>
                <w:color w:val="auto"/>
                <w:kern w:val="0"/>
                <w:sz w:val="21"/>
                <w:szCs w:val="21"/>
                <w:highlight w:val="none"/>
                <w:vertAlign w:val="subscript"/>
                <w:lang w:bidi="ar"/>
              </w:rPr>
              <w:t>10</w:t>
            </w:r>
            <w:r>
              <w:rPr>
                <w:rFonts w:hint="default" w:ascii="Times New Roman" w:hAnsi="Times New Roman" w:cs="Times New Roman"/>
                <w:b/>
                <w:color w:val="auto"/>
                <w:kern w:val="0"/>
                <w:sz w:val="21"/>
                <w:szCs w:val="21"/>
                <w:highlight w:val="none"/>
                <w:lang w:bidi="ar"/>
              </w:rPr>
              <w:t>-C</w:t>
            </w:r>
            <w:r>
              <w:rPr>
                <w:rFonts w:hint="default" w:ascii="Times New Roman" w:hAnsi="Times New Roman" w:cs="Times New Roman"/>
                <w:b/>
                <w:color w:val="auto"/>
                <w:kern w:val="0"/>
                <w:sz w:val="21"/>
                <w:szCs w:val="21"/>
                <w:highlight w:val="none"/>
                <w:vertAlign w:val="subscript"/>
                <w:lang w:bidi="ar"/>
              </w:rPr>
              <w:t>40</w:t>
            </w:r>
            <w:r>
              <w:rPr>
                <w:rFonts w:hint="default" w:ascii="Times New Roman" w:hAnsi="Times New Roman" w:cs="Times New Roman"/>
                <w:b/>
                <w:color w:val="auto"/>
                <w:kern w:val="0"/>
                <w:sz w:val="21"/>
                <w:szCs w:val="21"/>
                <w:highlight w:val="none"/>
                <w:lang w:bidi="ar"/>
              </w:rPr>
              <w:t>）</w:t>
            </w:r>
          </w:p>
        </w:tc>
      </w:tr>
      <w:tr w14:paraId="6C0B21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2" w:type="pct"/>
            <w:tcBorders>
              <w:top w:val="single" w:color="auto" w:sz="12" w:space="0"/>
              <w:tl2br w:val="nil"/>
              <w:tr2bl w:val="nil"/>
            </w:tcBorders>
            <w:shd w:val="clear" w:color="auto" w:fill="auto"/>
            <w:noWrap/>
            <w:tcMar>
              <w:top w:w="15" w:type="dxa"/>
              <w:left w:w="15" w:type="dxa"/>
              <w:right w:w="15" w:type="dxa"/>
            </w:tcMar>
            <w:vAlign w:val="center"/>
          </w:tcPr>
          <w:p w14:paraId="242EBE5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w:t>
            </w:r>
          </w:p>
        </w:tc>
        <w:tc>
          <w:tcPr>
            <w:tcW w:w="353" w:type="pct"/>
            <w:tcBorders>
              <w:top w:val="single" w:color="auto" w:sz="12" w:space="0"/>
              <w:tl2br w:val="nil"/>
              <w:tr2bl w:val="nil"/>
            </w:tcBorders>
            <w:shd w:val="clear" w:color="auto" w:fill="auto"/>
            <w:noWrap/>
            <w:tcMar>
              <w:top w:w="15" w:type="dxa"/>
              <w:left w:w="15" w:type="dxa"/>
              <w:right w:w="15" w:type="dxa"/>
            </w:tcMar>
            <w:vAlign w:val="center"/>
          </w:tcPr>
          <w:p w14:paraId="0C3E64C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XM-1-75</w:t>
            </w:r>
          </w:p>
        </w:tc>
        <w:tc>
          <w:tcPr>
            <w:tcW w:w="332" w:type="pct"/>
            <w:tcBorders>
              <w:top w:val="single" w:color="auto" w:sz="12" w:space="0"/>
              <w:tl2br w:val="nil"/>
              <w:tr2bl w:val="nil"/>
            </w:tcBorders>
            <w:shd w:val="clear" w:color="auto" w:fill="auto"/>
            <w:noWrap/>
            <w:tcMar>
              <w:top w:w="15" w:type="dxa"/>
              <w:left w:w="15" w:type="dxa"/>
              <w:right w:w="15" w:type="dxa"/>
            </w:tcMar>
          </w:tcPr>
          <w:p w14:paraId="59070FC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0.3505 </w:t>
            </w:r>
          </w:p>
        </w:tc>
        <w:tc>
          <w:tcPr>
            <w:tcW w:w="231" w:type="pct"/>
            <w:tcBorders>
              <w:top w:val="single" w:color="auto" w:sz="12" w:space="0"/>
              <w:tl2br w:val="nil"/>
              <w:tr2bl w:val="nil"/>
            </w:tcBorders>
            <w:shd w:val="clear" w:color="auto" w:fill="auto"/>
            <w:noWrap/>
            <w:tcMar>
              <w:top w:w="15" w:type="dxa"/>
              <w:left w:w="15" w:type="dxa"/>
              <w:right w:w="15" w:type="dxa"/>
            </w:tcMar>
          </w:tcPr>
          <w:p w14:paraId="7709458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0.1747 </w:t>
            </w:r>
          </w:p>
        </w:tc>
        <w:tc>
          <w:tcPr>
            <w:tcW w:w="231" w:type="pct"/>
            <w:tcBorders>
              <w:top w:val="single" w:color="auto" w:sz="12" w:space="0"/>
              <w:tl2br w:val="nil"/>
              <w:tr2bl w:val="nil"/>
            </w:tcBorders>
            <w:shd w:val="clear" w:color="auto" w:fill="auto"/>
            <w:noWrap/>
            <w:tcMar>
              <w:top w:w="15" w:type="dxa"/>
              <w:left w:w="15" w:type="dxa"/>
              <w:right w:w="15" w:type="dxa"/>
            </w:tcMar>
          </w:tcPr>
          <w:p w14:paraId="61B6E83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0.0559 </w:t>
            </w:r>
          </w:p>
        </w:tc>
        <w:tc>
          <w:tcPr>
            <w:tcW w:w="231" w:type="pct"/>
            <w:tcBorders>
              <w:top w:val="single" w:color="auto" w:sz="12" w:space="0"/>
              <w:tl2br w:val="nil"/>
              <w:tr2bl w:val="nil"/>
            </w:tcBorders>
            <w:shd w:val="clear" w:color="auto" w:fill="auto"/>
            <w:noWrap/>
            <w:tcMar>
              <w:top w:w="15" w:type="dxa"/>
              <w:left w:w="15" w:type="dxa"/>
              <w:right w:w="15" w:type="dxa"/>
            </w:tcMar>
          </w:tcPr>
          <w:p w14:paraId="542B014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0.5800 </w:t>
            </w:r>
          </w:p>
        </w:tc>
        <w:tc>
          <w:tcPr>
            <w:tcW w:w="231" w:type="pct"/>
            <w:tcBorders>
              <w:top w:val="single" w:color="auto" w:sz="12" w:space="0"/>
              <w:tl2br w:val="nil"/>
              <w:tr2bl w:val="nil"/>
            </w:tcBorders>
            <w:shd w:val="clear" w:color="auto" w:fill="auto"/>
            <w:noWrap/>
            <w:tcMar>
              <w:top w:w="15" w:type="dxa"/>
              <w:left w:w="15" w:type="dxa"/>
              <w:right w:w="15" w:type="dxa"/>
            </w:tcMar>
          </w:tcPr>
          <w:p w14:paraId="6D1F9F6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0.1000 </w:t>
            </w:r>
          </w:p>
        </w:tc>
        <w:tc>
          <w:tcPr>
            <w:tcW w:w="231" w:type="pct"/>
            <w:tcBorders>
              <w:top w:val="single" w:color="auto" w:sz="12" w:space="0"/>
              <w:tl2br w:val="nil"/>
              <w:tr2bl w:val="nil"/>
            </w:tcBorders>
            <w:shd w:val="clear" w:color="auto" w:fill="auto"/>
            <w:noWrap/>
            <w:tcMar>
              <w:top w:w="15" w:type="dxa"/>
              <w:left w:w="15" w:type="dxa"/>
              <w:right w:w="15" w:type="dxa"/>
            </w:tcMar>
          </w:tcPr>
          <w:p w14:paraId="6F77BEA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0.3500 </w:t>
            </w:r>
          </w:p>
        </w:tc>
        <w:tc>
          <w:tcPr>
            <w:tcW w:w="231" w:type="pct"/>
            <w:tcBorders>
              <w:top w:val="single" w:color="auto" w:sz="12" w:space="0"/>
              <w:tl2br w:val="nil"/>
              <w:tr2bl w:val="nil"/>
            </w:tcBorders>
            <w:shd w:val="clear" w:color="auto" w:fill="auto"/>
            <w:noWrap/>
            <w:tcMar>
              <w:top w:w="15" w:type="dxa"/>
              <w:left w:w="15" w:type="dxa"/>
              <w:right w:w="15" w:type="dxa"/>
            </w:tcMar>
          </w:tcPr>
          <w:p w14:paraId="64DD855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0.1895 </w:t>
            </w:r>
          </w:p>
        </w:tc>
        <w:tc>
          <w:tcPr>
            <w:tcW w:w="231" w:type="pct"/>
            <w:tcBorders>
              <w:top w:val="single" w:color="auto" w:sz="12" w:space="0"/>
              <w:tl2br w:val="nil"/>
              <w:tr2bl w:val="nil"/>
            </w:tcBorders>
            <w:shd w:val="clear" w:color="auto" w:fill="auto"/>
            <w:noWrap/>
            <w:tcMar>
              <w:top w:w="15" w:type="dxa"/>
              <w:left w:w="15" w:type="dxa"/>
              <w:right w:w="15" w:type="dxa"/>
            </w:tcMar>
          </w:tcPr>
          <w:p w14:paraId="6C4FF38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0.2920 </w:t>
            </w:r>
          </w:p>
        </w:tc>
        <w:tc>
          <w:tcPr>
            <w:tcW w:w="231" w:type="pct"/>
            <w:tcBorders>
              <w:top w:val="single" w:color="auto" w:sz="12" w:space="0"/>
              <w:tl2br w:val="nil"/>
              <w:tr2bl w:val="nil"/>
            </w:tcBorders>
            <w:shd w:val="clear" w:color="auto" w:fill="auto"/>
            <w:noWrap/>
            <w:tcMar>
              <w:top w:w="15" w:type="dxa"/>
              <w:left w:w="15" w:type="dxa"/>
              <w:right w:w="15" w:type="dxa"/>
            </w:tcMar>
          </w:tcPr>
          <w:p w14:paraId="729F07A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0.2733 </w:t>
            </w:r>
          </w:p>
        </w:tc>
        <w:tc>
          <w:tcPr>
            <w:tcW w:w="231" w:type="pct"/>
            <w:tcBorders>
              <w:top w:val="single" w:color="auto" w:sz="12" w:space="0"/>
              <w:tl2br w:val="nil"/>
              <w:tr2bl w:val="nil"/>
            </w:tcBorders>
            <w:shd w:val="clear" w:color="auto" w:fill="auto"/>
            <w:noWrap/>
            <w:tcMar>
              <w:top w:w="15" w:type="dxa"/>
              <w:left w:w="15" w:type="dxa"/>
              <w:right w:w="15" w:type="dxa"/>
            </w:tcMar>
          </w:tcPr>
          <w:p w14:paraId="5C16FA1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0.3720 </w:t>
            </w:r>
          </w:p>
        </w:tc>
        <w:tc>
          <w:tcPr>
            <w:tcW w:w="223" w:type="pct"/>
            <w:tcBorders>
              <w:top w:val="single" w:color="auto" w:sz="12" w:space="0"/>
              <w:tl2br w:val="nil"/>
              <w:tr2bl w:val="nil"/>
            </w:tcBorders>
          </w:tcPr>
          <w:p w14:paraId="61B60F5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0.0026 </w:t>
            </w:r>
          </w:p>
        </w:tc>
        <w:tc>
          <w:tcPr>
            <w:tcW w:w="223" w:type="pct"/>
            <w:tcBorders>
              <w:top w:val="single" w:color="auto" w:sz="12" w:space="0"/>
              <w:tl2br w:val="nil"/>
              <w:tr2bl w:val="nil"/>
            </w:tcBorders>
          </w:tcPr>
          <w:p w14:paraId="5FA2563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0.0400 </w:t>
            </w:r>
          </w:p>
        </w:tc>
        <w:tc>
          <w:tcPr>
            <w:tcW w:w="223" w:type="pct"/>
            <w:tcBorders>
              <w:top w:val="single" w:color="auto" w:sz="12" w:space="0"/>
              <w:tl2br w:val="nil"/>
              <w:tr2bl w:val="nil"/>
            </w:tcBorders>
          </w:tcPr>
          <w:p w14:paraId="64A1BDD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31" w:type="pct"/>
            <w:tcBorders>
              <w:top w:val="single" w:color="auto" w:sz="12" w:space="0"/>
              <w:tl2br w:val="nil"/>
              <w:tr2bl w:val="nil"/>
            </w:tcBorders>
          </w:tcPr>
          <w:p w14:paraId="5897BB9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44" w:type="pct"/>
            <w:tcBorders>
              <w:top w:val="single" w:color="auto" w:sz="12" w:space="0"/>
              <w:tl2br w:val="nil"/>
              <w:tr2bl w:val="nil"/>
            </w:tcBorders>
          </w:tcPr>
          <w:p w14:paraId="42F0BB6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52" w:type="pct"/>
            <w:tcBorders>
              <w:top w:val="single" w:color="auto" w:sz="12" w:space="0"/>
              <w:tl2br w:val="nil"/>
              <w:tr2bl w:val="nil"/>
            </w:tcBorders>
            <w:shd w:val="clear" w:color="auto" w:fill="auto"/>
            <w:noWrap/>
            <w:tcMar>
              <w:top w:w="15" w:type="dxa"/>
              <w:left w:w="15" w:type="dxa"/>
              <w:right w:w="15" w:type="dxa"/>
            </w:tcMar>
          </w:tcPr>
          <w:p w14:paraId="3048572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367" w:type="dxa"/>
            <w:tcBorders>
              <w:top w:val="single" w:color="auto" w:sz="12" w:space="0"/>
              <w:tl2br w:val="nil"/>
              <w:tr2bl w:val="nil"/>
            </w:tcBorders>
            <w:shd w:val="clear" w:color="auto" w:fill="auto"/>
            <w:noWrap/>
            <w:tcMar>
              <w:top w:w="15" w:type="dxa"/>
              <w:left w:w="15" w:type="dxa"/>
              <w:right w:w="15" w:type="dxa"/>
            </w:tcMar>
            <w:vAlign w:val="center"/>
          </w:tcPr>
          <w:p w14:paraId="7DCE75C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0.0121 </w:t>
            </w:r>
          </w:p>
        </w:tc>
      </w:tr>
      <w:tr w14:paraId="010B55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2" w:type="pct"/>
            <w:tcBorders>
              <w:tl2br w:val="nil"/>
              <w:tr2bl w:val="nil"/>
            </w:tcBorders>
            <w:shd w:val="clear" w:color="auto" w:fill="auto"/>
            <w:noWrap/>
            <w:tcMar>
              <w:top w:w="15" w:type="dxa"/>
              <w:left w:w="15" w:type="dxa"/>
              <w:right w:w="15" w:type="dxa"/>
            </w:tcMar>
            <w:vAlign w:val="center"/>
          </w:tcPr>
          <w:p w14:paraId="1E1E169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w:t>
            </w:r>
          </w:p>
        </w:tc>
        <w:tc>
          <w:tcPr>
            <w:tcW w:w="353" w:type="pct"/>
            <w:tcBorders>
              <w:tl2br w:val="nil"/>
              <w:tr2bl w:val="nil"/>
            </w:tcBorders>
            <w:shd w:val="clear" w:color="auto" w:fill="auto"/>
            <w:noWrap/>
            <w:tcMar>
              <w:top w:w="15" w:type="dxa"/>
              <w:left w:w="15" w:type="dxa"/>
              <w:right w:w="15" w:type="dxa"/>
            </w:tcMar>
            <w:vAlign w:val="center"/>
          </w:tcPr>
          <w:p w14:paraId="2EB908D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XM-1-200</w:t>
            </w:r>
          </w:p>
        </w:tc>
        <w:tc>
          <w:tcPr>
            <w:tcW w:w="332" w:type="pct"/>
            <w:tcBorders>
              <w:tl2br w:val="nil"/>
              <w:tr2bl w:val="nil"/>
            </w:tcBorders>
            <w:shd w:val="clear" w:color="auto" w:fill="auto"/>
            <w:noWrap/>
            <w:tcMar>
              <w:top w:w="15" w:type="dxa"/>
              <w:left w:w="15" w:type="dxa"/>
              <w:right w:w="15" w:type="dxa"/>
            </w:tcMar>
          </w:tcPr>
          <w:p w14:paraId="312CBD1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0.3204 </w:t>
            </w:r>
          </w:p>
        </w:tc>
        <w:tc>
          <w:tcPr>
            <w:tcW w:w="231" w:type="pct"/>
            <w:tcBorders>
              <w:tl2br w:val="nil"/>
              <w:tr2bl w:val="nil"/>
            </w:tcBorders>
            <w:shd w:val="clear" w:color="auto" w:fill="auto"/>
            <w:noWrap/>
            <w:tcMar>
              <w:top w:w="15" w:type="dxa"/>
              <w:left w:w="15" w:type="dxa"/>
              <w:right w:w="15" w:type="dxa"/>
            </w:tcMar>
          </w:tcPr>
          <w:p w14:paraId="2179134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0.2141 </w:t>
            </w:r>
          </w:p>
        </w:tc>
        <w:tc>
          <w:tcPr>
            <w:tcW w:w="231" w:type="pct"/>
            <w:tcBorders>
              <w:tl2br w:val="nil"/>
              <w:tr2bl w:val="nil"/>
            </w:tcBorders>
            <w:shd w:val="clear" w:color="auto" w:fill="auto"/>
            <w:noWrap/>
            <w:tcMar>
              <w:top w:w="15" w:type="dxa"/>
              <w:left w:w="15" w:type="dxa"/>
              <w:right w:w="15" w:type="dxa"/>
            </w:tcMar>
          </w:tcPr>
          <w:p w14:paraId="379A224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0.0559 </w:t>
            </w:r>
          </w:p>
        </w:tc>
        <w:tc>
          <w:tcPr>
            <w:tcW w:w="231" w:type="pct"/>
            <w:tcBorders>
              <w:tl2br w:val="nil"/>
              <w:tr2bl w:val="nil"/>
            </w:tcBorders>
            <w:shd w:val="clear" w:color="auto" w:fill="auto"/>
            <w:noWrap/>
            <w:tcMar>
              <w:top w:w="15" w:type="dxa"/>
              <w:left w:w="15" w:type="dxa"/>
              <w:right w:w="15" w:type="dxa"/>
            </w:tcMar>
          </w:tcPr>
          <w:p w14:paraId="5A6F09A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0.6250 </w:t>
            </w:r>
          </w:p>
        </w:tc>
        <w:tc>
          <w:tcPr>
            <w:tcW w:w="231" w:type="pct"/>
            <w:tcBorders>
              <w:tl2br w:val="nil"/>
              <w:tr2bl w:val="nil"/>
            </w:tcBorders>
            <w:shd w:val="clear" w:color="auto" w:fill="auto"/>
            <w:noWrap/>
            <w:tcMar>
              <w:top w:w="15" w:type="dxa"/>
              <w:left w:w="15" w:type="dxa"/>
              <w:right w:w="15" w:type="dxa"/>
            </w:tcMar>
          </w:tcPr>
          <w:p w14:paraId="6139129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0.0833 </w:t>
            </w:r>
          </w:p>
        </w:tc>
        <w:tc>
          <w:tcPr>
            <w:tcW w:w="231" w:type="pct"/>
            <w:tcBorders>
              <w:tl2br w:val="nil"/>
              <w:tr2bl w:val="nil"/>
            </w:tcBorders>
            <w:shd w:val="clear" w:color="auto" w:fill="auto"/>
            <w:noWrap/>
            <w:tcMar>
              <w:top w:w="15" w:type="dxa"/>
              <w:left w:w="15" w:type="dxa"/>
              <w:right w:w="15" w:type="dxa"/>
            </w:tcMar>
          </w:tcPr>
          <w:p w14:paraId="191F5D5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0.3700 </w:t>
            </w:r>
          </w:p>
        </w:tc>
        <w:tc>
          <w:tcPr>
            <w:tcW w:w="231" w:type="pct"/>
            <w:tcBorders>
              <w:tl2br w:val="nil"/>
              <w:tr2bl w:val="nil"/>
            </w:tcBorders>
            <w:shd w:val="clear" w:color="auto" w:fill="auto"/>
            <w:noWrap/>
            <w:tcMar>
              <w:top w:w="15" w:type="dxa"/>
              <w:left w:w="15" w:type="dxa"/>
              <w:right w:w="15" w:type="dxa"/>
            </w:tcMar>
          </w:tcPr>
          <w:p w14:paraId="2735DF2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0.2000 </w:t>
            </w:r>
          </w:p>
        </w:tc>
        <w:tc>
          <w:tcPr>
            <w:tcW w:w="231" w:type="pct"/>
            <w:tcBorders>
              <w:tl2br w:val="nil"/>
              <w:tr2bl w:val="nil"/>
            </w:tcBorders>
            <w:shd w:val="clear" w:color="auto" w:fill="auto"/>
            <w:noWrap/>
            <w:tcMar>
              <w:top w:w="15" w:type="dxa"/>
              <w:left w:w="15" w:type="dxa"/>
              <w:right w:w="15" w:type="dxa"/>
            </w:tcMar>
          </w:tcPr>
          <w:p w14:paraId="4105343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0.3200 </w:t>
            </w:r>
          </w:p>
        </w:tc>
        <w:tc>
          <w:tcPr>
            <w:tcW w:w="231" w:type="pct"/>
            <w:tcBorders>
              <w:tl2br w:val="nil"/>
              <w:tr2bl w:val="nil"/>
            </w:tcBorders>
            <w:shd w:val="clear" w:color="auto" w:fill="auto"/>
            <w:noWrap/>
            <w:tcMar>
              <w:top w:w="15" w:type="dxa"/>
              <w:left w:w="15" w:type="dxa"/>
              <w:right w:w="15" w:type="dxa"/>
            </w:tcMar>
          </w:tcPr>
          <w:p w14:paraId="52DE32B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0.2800 </w:t>
            </w:r>
          </w:p>
        </w:tc>
        <w:tc>
          <w:tcPr>
            <w:tcW w:w="231" w:type="pct"/>
            <w:tcBorders>
              <w:tl2br w:val="nil"/>
              <w:tr2bl w:val="nil"/>
            </w:tcBorders>
            <w:shd w:val="clear" w:color="auto" w:fill="auto"/>
            <w:noWrap/>
            <w:tcMar>
              <w:top w:w="15" w:type="dxa"/>
              <w:left w:w="15" w:type="dxa"/>
              <w:right w:w="15" w:type="dxa"/>
            </w:tcMar>
          </w:tcPr>
          <w:p w14:paraId="575613C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0.4040 </w:t>
            </w:r>
          </w:p>
        </w:tc>
        <w:tc>
          <w:tcPr>
            <w:tcW w:w="223" w:type="pct"/>
            <w:tcBorders>
              <w:tl2br w:val="nil"/>
              <w:tr2bl w:val="nil"/>
            </w:tcBorders>
          </w:tcPr>
          <w:p w14:paraId="06B70E0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0.0030 </w:t>
            </w:r>
          </w:p>
        </w:tc>
        <w:tc>
          <w:tcPr>
            <w:tcW w:w="223" w:type="pct"/>
            <w:tcBorders>
              <w:tl2br w:val="nil"/>
              <w:tr2bl w:val="nil"/>
            </w:tcBorders>
          </w:tcPr>
          <w:p w14:paraId="77AE203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0.0550 </w:t>
            </w:r>
          </w:p>
        </w:tc>
        <w:tc>
          <w:tcPr>
            <w:tcW w:w="223" w:type="pct"/>
            <w:tcBorders>
              <w:tl2br w:val="nil"/>
              <w:tr2bl w:val="nil"/>
            </w:tcBorders>
          </w:tcPr>
          <w:p w14:paraId="5FC7C5D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31" w:type="pct"/>
            <w:tcBorders>
              <w:tl2br w:val="nil"/>
              <w:tr2bl w:val="nil"/>
            </w:tcBorders>
          </w:tcPr>
          <w:p w14:paraId="1EB4249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44" w:type="pct"/>
            <w:tcBorders>
              <w:tl2br w:val="nil"/>
              <w:tr2bl w:val="nil"/>
            </w:tcBorders>
          </w:tcPr>
          <w:p w14:paraId="2569CEE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52" w:type="pct"/>
            <w:tcBorders>
              <w:tl2br w:val="nil"/>
              <w:tr2bl w:val="nil"/>
            </w:tcBorders>
            <w:shd w:val="clear" w:color="auto" w:fill="auto"/>
            <w:noWrap/>
            <w:tcMar>
              <w:top w:w="15" w:type="dxa"/>
              <w:left w:w="15" w:type="dxa"/>
              <w:right w:w="15" w:type="dxa"/>
            </w:tcMar>
          </w:tcPr>
          <w:p w14:paraId="77ED32F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367" w:type="dxa"/>
            <w:tcBorders>
              <w:tl2br w:val="nil"/>
              <w:tr2bl w:val="nil"/>
            </w:tcBorders>
            <w:shd w:val="clear" w:color="auto" w:fill="auto"/>
            <w:noWrap/>
            <w:tcMar>
              <w:top w:w="15" w:type="dxa"/>
              <w:left w:w="15" w:type="dxa"/>
              <w:right w:w="15" w:type="dxa"/>
            </w:tcMar>
            <w:vAlign w:val="center"/>
          </w:tcPr>
          <w:p w14:paraId="562F679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0.0073 </w:t>
            </w:r>
          </w:p>
        </w:tc>
      </w:tr>
      <w:tr w14:paraId="49DAC9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2" w:type="pct"/>
            <w:tcBorders>
              <w:tl2br w:val="nil"/>
              <w:tr2bl w:val="nil"/>
            </w:tcBorders>
            <w:shd w:val="clear" w:color="auto" w:fill="auto"/>
            <w:noWrap/>
            <w:tcMar>
              <w:top w:w="15" w:type="dxa"/>
              <w:left w:w="15" w:type="dxa"/>
              <w:right w:w="15" w:type="dxa"/>
            </w:tcMar>
            <w:vAlign w:val="center"/>
          </w:tcPr>
          <w:p w14:paraId="441577C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w:t>
            </w:r>
          </w:p>
        </w:tc>
        <w:tc>
          <w:tcPr>
            <w:tcW w:w="353" w:type="pct"/>
            <w:tcBorders>
              <w:tl2br w:val="nil"/>
              <w:tr2bl w:val="nil"/>
            </w:tcBorders>
            <w:shd w:val="clear" w:color="auto" w:fill="auto"/>
            <w:noWrap/>
            <w:tcMar>
              <w:top w:w="15" w:type="dxa"/>
              <w:left w:w="15" w:type="dxa"/>
              <w:right w:w="15" w:type="dxa"/>
            </w:tcMar>
            <w:vAlign w:val="center"/>
          </w:tcPr>
          <w:p w14:paraId="30C535C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XM-1-400</w:t>
            </w:r>
          </w:p>
        </w:tc>
        <w:tc>
          <w:tcPr>
            <w:tcW w:w="332" w:type="pct"/>
            <w:tcBorders>
              <w:tl2br w:val="nil"/>
              <w:tr2bl w:val="nil"/>
            </w:tcBorders>
            <w:shd w:val="clear" w:color="auto" w:fill="auto"/>
            <w:noWrap/>
            <w:tcMar>
              <w:top w:w="15" w:type="dxa"/>
              <w:left w:w="15" w:type="dxa"/>
              <w:right w:w="15" w:type="dxa"/>
            </w:tcMar>
          </w:tcPr>
          <w:p w14:paraId="19C8F2F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0.3194 </w:t>
            </w:r>
          </w:p>
        </w:tc>
        <w:tc>
          <w:tcPr>
            <w:tcW w:w="231" w:type="pct"/>
            <w:tcBorders>
              <w:tl2br w:val="nil"/>
              <w:tr2bl w:val="nil"/>
            </w:tcBorders>
            <w:shd w:val="clear" w:color="auto" w:fill="auto"/>
            <w:noWrap/>
            <w:tcMar>
              <w:top w:w="15" w:type="dxa"/>
              <w:left w:w="15" w:type="dxa"/>
              <w:right w:w="15" w:type="dxa"/>
            </w:tcMar>
          </w:tcPr>
          <w:p w14:paraId="06FF1F1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0.1518 </w:t>
            </w:r>
          </w:p>
        </w:tc>
        <w:tc>
          <w:tcPr>
            <w:tcW w:w="231" w:type="pct"/>
            <w:tcBorders>
              <w:tl2br w:val="nil"/>
              <w:tr2bl w:val="nil"/>
            </w:tcBorders>
            <w:shd w:val="clear" w:color="auto" w:fill="auto"/>
            <w:noWrap/>
            <w:tcMar>
              <w:top w:w="15" w:type="dxa"/>
              <w:left w:w="15" w:type="dxa"/>
              <w:right w:w="15" w:type="dxa"/>
            </w:tcMar>
          </w:tcPr>
          <w:p w14:paraId="7EB20EC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0.0529 </w:t>
            </w:r>
          </w:p>
        </w:tc>
        <w:tc>
          <w:tcPr>
            <w:tcW w:w="231" w:type="pct"/>
            <w:tcBorders>
              <w:tl2br w:val="nil"/>
              <w:tr2bl w:val="nil"/>
            </w:tcBorders>
            <w:shd w:val="clear" w:color="auto" w:fill="auto"/>
            <w:noWrap/>
            <w:tcMar>
              <w:top w:w="15" w:type="dxa"/>
              <w:left w:w="15" w:type="dxa"/>
              <w:right w:w="15" w:type="dxa"/>
            </w:tcMar>
          </w:tcPr>
          <w:p w14:paraId="5C91945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0.6500 </w:t>
            </w:r>
          </w:p>
        </w:tc>
        <w:tc>
          <w:tcPr>
            <w:tcW w:w="231" w:type="pct"/>
            <w:tcBorders>
              <w:tl2br w:val="nil"/>
              <w:tr2bl w:val="nil"/>
            </w:tcBorders>
            <w:shd w:val="clear" w:color="auto" w:fill="auto"/>
            <w:noWrap/>
            <w:tcMar>
              <w:top w:w="15" w:type="dxa"/>
              <w:left w:w="15" w:type="dxa"/>
              <w:right w:w="15" w:type="dxa"/>
            </w:tcMar>
          </w:tcPr>
          <w:p w14:paraId="5BAAC46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0.0833 </w:t>
            </w:r>
          </w:p>
        </w:tc>
        <w:tc>
          <w:tcPr>
            <w:tcW w:w="231" w:type="pct"/>
            <w:tcBorders>
              <w:tl2br w:val="nil"/>
              <w:tr2bl w:val="nil"/>
            </w:tcBorders>
            <w:shd w:val="clear" w:color="auto" w:fill="auto"/>
            <w:noWrap/>
            <w:tcMar>
              <w:top w:w="15" w:type="dxa"/>
              <w:left w:w="15" w:type="dxa"/>
              <w:right w:w="15" w:type="dxa"/>
            </w:tcMar>
          </w:tcPr>
          <w:p w14:paraId="653B49A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0.3600 </w:t>
            </w:r>
          </w:p>
        </w:tc>
        <w:tc>
          <w:tcPr>
            <w:tcW w:w="231" w:type="pct"/>
            <w:tcBorders>
              <w:tl2br w:val="nil"/>
              <w:tr2bl w:val="nil"/>
            </w:tcBorders>
            <w:shd w:val="clear" w:color="auto" w:fill="auto"/>
            <w:noWrap/>
            <w:tcMar>
              <w:top w:w="15" w:type="dxa"/>
              <w:left w:w="15" w:type="dxa"/>
              <w:right w:w="15" w:type="dxa"/>
            </w:tcMar>
          </w:tcPr>
          <w:p w14:paraId="09A2177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0.2000 </w:t>
            </w:r>
          </w:p>
        </w:tc>
        <w:tc>
          <w:tcPr>
            <w:tcW w:w="231" w:type="pct"/>
            <w:tcBorders>
              <w:tl2br w:val="nil"/>
              <w:tr2bl w:val="nil"/>
            </w:tcBorders>
            <w:shd w:val="clear" w:color="auto" w:fill="auto"/>
            <w:noWrap/>
            <w:tcMar>
              <w:top w:w="15" w:type="dxa"/>
              <w:left w:w="15" w:type="dxa"/>
              <w:right w:w="15" w:type="dxa"/>
            </w:tcMar>
          </w:tcPr>
          <w:p w14:paraId="2A157CC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0.3280 </w:t>
            </w:r>
          </w:p>
        </w:tc>
        <w:tc>
          <w:tcPr>
            <w:tcW w:w="231" w:type="pct"/>
            <w:tcBorders>
              <w:tl2br w:val="nil"/>
              <w:tr2bl w:val="nil"/>
            </w:tcBorders>
            <w:shd w:val="clear" w:color="auto" w:fill="auto"/>
            <w:noWrap/>
            <w:tcMar>
              <w:top w:w="15" w:type="dxa"/>
              <w:left w:w="15" w:type="dxa"/>
              <w:right w:w="15" w:type="dxa"/>
            </w:tcMar>
          </w:tcPr>
          <w:p w14:paraId="10BC76E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0.2900 </w:t>
            </w:r>
          </w:p>
        </w:tc>
        <w:tc>
          <w:tcPr>
            <w:tcW w:w="231" w:type="pct"/>
            <w:tcBorders>
              <w:tl2br w:val="nil"/>
              <w:tr2bl w:val="nil"/>
            </w:tcBorders>
            <w:shd w:val="clear" w:color="auto" w:fill="auto"/>
            <w:noWrap/>
            <w:tcMar>
              <w:top w:w="15" w:type="dxa"/>
              <w:left w:w="15" w:type="dxa"/>
              <w:right w:w="15" w:type="dxa"/>
            </w:tcMar>
          </w:tcPr>
          <w:p w14:paraId="53D7D8C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0.4160 </w:t>
            </w:r>
          </w:p>
        </w:tc>
        <w:tc>
          <w:tcPr>
            <w:tcW w:w="223" w:type="pct"/>
            <w:tcBorders>
              <w:tl2br w:val="nil"/>
              <w:tr2bl w:val="nil"/>
            </w:tcBorders>
          </w:tcPr>
          <w:p w14:paraId="464AC78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0.0026 </w:t>
            </w:r>
          </w:p>
        </w:tc>
        <w:tc>
          <w:tcPr>
            <w:tcW w:w="223" w:type="pct"/>
            <w:tcBorders>
              <w:tl2br w:val="nil"/>
              <w:tr2bl w:val="nil"/>
            </w:tcBorders>
          </w:tcPr>
          <w:p w14:paraId="2A9A140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0.0400 </w:t>
            </w:r>
          </w:p>
        </w:tc>
        <w:tc>
          <w:tcPr>
            <w:tcW w:w="223" w:type="pct"/>
            <w:tcBorders>
              <w:tl2br w:val="nil"/>
              <w:tr2bl w:val="nil"/>
            </w:tcBorders>
          </w:tcPr>
          <w:p w14:paraId="06B5C1C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31" w:type="pct"/>
            <w:tcBorders>
              <w:tl2br w:val="nil"/>
              <w:tr2bl w:val="nil"/>
            </w:tcBorders>
          </w:tcPr>
          <w:p w14:paraId="52E7517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44" w:type="pct"/>
            <w:tcBorders>
              <w:tl2br w:val="nil"/>
              <w:tr2bl w:val="nil"/>
            </w:tcBorders>
          </w:tcPr>
          <w:p w14:paraId="1012595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52" w:type="pct"/>
            <w:tcBorders>
              <w:tl2br w:val="nil"/>
              <w:tr2bl w:val="nil"/>
            </w:tcBorders>
            <w:shd w:val="clear" w:color="auto" w:fill="auto"/>
            <w:noWrap/>
            <w:tcMar>
              <w:top w:w="15" w:type="dxa"/>
              <w:left w:w="15" w:type="dxa"/>
              <w:right w:w="15" w:type="dxa"/>
            </w:tcMar>
          </w:tcPr>
          <w:p w14:paraId="02BC34E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367" w:type="dxa"/>
            <w:tcBorders>
              <w:tl2br w:val="nil"/>
              <w:tr2bl w:val="nil"/>
            </w:tcBorders>
            <w:shd w:val="clear" w:color="auto" w:fill="auto"/>
            <w:noWrap/>
            <w:tcMar>
              <w:top w:w="15" w:type="dxa"/>
              <w:left w:w="15" w:type="dxa"/>
              <w:right w:w="15" w:type="dxa"/>
            </w:tcMar>
            <w:vAlign w:val="center"/>
          </w:tcPr>
          <w:p w14:paraId="307AF62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0.0145 </w:t>
            </w:r>
          </w:p>
        </w:tc>
      </w:tr>
      <w:tr w14:paraId="79B65B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2" w:type="pct"/>
            <w:tcBorders>
              <w:tl2br w:val="nil"/>
              <w:tr2bl w:val="nil"/>
            </w:tcBorders>
            <w:shd w:val="clear" w:color="auto" w:fill="auto"/>
            <w:noWrap/>
            <w:tcMar>
              <w:top w:w="15" w:type="dxa"/>
              <w:left w:w="15" w:type="dxa"/>
              <w:right w:w="15" w:type="dxa"/>
            </w:tcMar>
            <w:vAlign w:val="center"/>
          </w:tcPr>
          <w:p w14:paraId="6DBF66C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4</w:t>
            </w:r>
          </w:p>
        </w:tc>
        <w:tc>
          <w:tcPr>
            <w:tcW w:w="353" w:type="pct"/>
            <w:tcBorders>
              <w:tl2br w:val="nil"/>
              <w:tr2bl w:val="nil"/>
            </w:tcBorders>
            <w:shd w:val="clear" w:color="auto" w:fill="auto"/>
            <w:noWrap/>
            <w:tcMar>
              <w:top w:w="15" w:type="dxa"/>
              <w:left w:w="15" w:type="dxa"/>
              <w:right w:w="15" w:type="dxa"/>
            </w:tcMar>
            <w:vAlign w:val="center"/>
          </w:tcPr>
          <w:p w14:paraId="6DD715D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XM-2-75</w:t>
            </w:r>
          </w:p>
        </w:tc>
        <w:tc>
          <w:tcPr>
            <w:tcW w:w="332" w:type="pct"/>
            <w:tcBorders>
              <w:tl2br w:val="nil"/>
              <w:tr2bl w:val="nil"/>
            </w:tcBorders>
            <w:shd w:val="clear" w:color="auto" w:fill="auto"/>
            <w:noWrap/>
            <w:tcMar>
              <w:top w:w="15" w:type="dxa"/>
              <w:left w:w="15" w:type="dxa"/>
              <w:right w:w="15" w:type="dxa"/>
            </w:tcMar>
          </w:tcPr>
          <w:p w14:paraId="2147DF4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0.0557 </w:t>
            </w:r>
          </w:p>
        </w:tc>
        <w:tc>
          <w:tcPr>
            <w:tcW w:w="231" w:type="pct"/>
            <w:tcBorders>
              <w:tl2br w:val="nil"/>
              <w:tr2bl w:val="nil"/>
            </w:tcBorders>
            <w:shd w:val="clear" w:color="auto" w:fill="auto"/>
            <w:noWrap/>
            <w:tcMar>
              <w:top w:w="15" w:type="dxa"/>
              <w:left w:w="15" w:type="dxa"/>
              <w:right w:w="15" w:type="dxa"/>
            </w:tcMar>
          </w:tcPr>
          <w:p w14:paraId="0005BB8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0.0654 </w:t>
            </w:r>
          </w:p>
        </w:tc>
        <w:tc>
          <w:tcPr>
            <w:tcW w:w="231" w:type="pct"/>
            <w:tcBorders>
              <w:tl2br w:val="nil"/>
              <w:tr2bl w:val="nil"/>
            </w:tcBorders>
            <w:shd w:val="clear" w:color="auto" w:fill="auto"/>
            <w:noWrap/>
            <w:tcMar>
              <w:top w:w="15" w:type="dxa"/>
              <w:left w:w="15" w:type="dxa"/>
              <w:right w:w="15" w:type="dxa"/>
            </w:tcMar>
          </w:tcPr>
          <w:p w14:paraId="7C26F3C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0.0045 </w:t>
            </w:r>
          </w:p>
        </w:tc>
        <w:tc>
          <w:tcPr>
            <w:tcW w:w="231" w:type="pct"/>
            <w:tcBorders>
              <w:tl2br w:val="nil"/>
              <w:tr2bl w:val="nil"/>
            </w:tcBorders>
            <w:shd w:val="clear" w:color="auto" w:fill="auto"/>
            <w:noWrap/>
            <w:tcMar>
              <w:top w:w="15" w:type="dxa"/>
              <w:left w:w="15" w:type="dxa"/>
              <w:right w:w="15" w:type="dxa"/>
            </w:tcMar>
          </w:tcPr>
          <w:p w14:paraId="30B1979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0.1304 </w:t>
            </w:r>
          </w:p>
        </w:tc>
        <w:tc>
          <w:tcPr>
            <w:tcW w:w="231" w:type="pct"/>
            <w:tcBorders>
              <w:tl2br w:val="nil"/>
              <w:tr2bl w:val="nil"/>
            </w:tcBorders>
            <w:shd w:val="clear" w:color="auto" w:fill="auto"/>
            <w:noWrap/>
            <w:tcMar>
              <w:top w:w="15" w:type="dxa"/>
              <w:left w:w="15" w:type="dxa"/>
              <w:right w:w="15" w:type="dxa"/>
            </w:tcMar>
          </w:tcPr>
          <w:p w14:paraId="6A59369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0.0005 </w:t>
            </w:r>
          </w:p>
        </w:tc>
        <w:tc>
          <w:tcPr>
            <w:tcW w:w="231" w:type="pct"/>
            <w:tcBorders>
              <w:tl2br w:val="nil"/>
              <w:tr2bl w:val="nil"/>
            </w:tcBorders>
            <w:shd w:val="clear" w:color="auto" w:fill="auto"/>
            <w:noWrap/>
            <w:tcMar>
              <w:top w:w="15" w:type="dxa"/>
              <w:left w:w="15" w:type="dxa"/>
              <w:right w:w="15" w:type="dxa"/>
            </w:tcMar>
          </w:tcPr>
          <w:p w14:paraId="7D53524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0.0014 </w:t>
            </w:r>
          </w:p>
        </w:tc>
        <w:tc>
          <w:tcPr>
            <w:tcW w:w="231" w:type="pct"/>
            <w:tcBorders>
              <w:tl2br w:val="nil"/>
              <w:tr2bl w:val="nil"/>
            </w:tcBorders>
            <w:shd w:val="clear" w:color="auto" w:fill="auto"/>
            <w:noWrap/>
            <w:tcMar>
              <w:top w:w="15" w:type="dxa"/>
              <w:left w:w="15" w:type="dxa"/>
              <w:right w:w="15" w:type="dxa"/>
            </w:tcMar>
          </w:tcPr>
          <w:p w14:paraId="4EC87EE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0.0300 </w:t>
            </w:r>
          </w:p>
        </w:tc>
        <w:tc>
          <w:tcPr>
            <w:tcW w:w="231" w:type="pct"/>
            <w:tcBorders>
              <w:tl2br w:val="nil"/>
              <w:tr2bl w:val="nil"/>
            </w:tcBorders>
            <w:shd w:val="clear" w:color="auto" w:fill="auto"/>
            <w:noWrap/>
            <w:tcMar>
              <w:top w:w="15" w:type="dxa"/>
              <w:left w:w="15" w:type="dxa"/>
              <w:right w:w="15" w:type="dxa"/>
            </w:tcMar>
          </w:tcPr>
          <w:p w14:paraId="34BFA2E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31" w:type="pct"/>
            <w:tcBorders>
              <w:tl2br w:val="nil"/>
              <w:tr2bl w:val="nil"/>
            </w:tcBorders>
            <w:shd w:val="clear" w:color="auto" w:fill="auto"/>
            <w:noWrap/>
            <w:tcMar>
              <w:top w:w="15" w:type="dxa"/>
              <w:left w:w="15" w:type="dxa"/>
              <w:right w:w="15" w:type="dxa"/>
            </w:tcMar>
          </w:tcPr>
          <w:p w14:paraId="065929D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31" w:type="pct"/>
            <w:tcBorders>
              <w:tl2br w:val="nil"/>
              <w:tr2bl w:val="nil"/>
            </w:tcBorders>
            <w:shd w:val="clear" w:color="auto" w:fill="auto"/>
            <w:noWrap/>
            <w:tcMar>
              <w:top w:w="15" w:type="dxa"/>
              <w:left w:w="15" w:type="dxa"/>
              <w:right w:w="15" w:type="dxa"/>
            </w:tcMar>
          </w:tcPr>
          <w:p w14:paraId="673ED6A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0.1050 </w:t>
            </w:r>
          </w:p>
        </w:tc>
        <w:tc>
          <w:tcPr>
            <w:tcW w:w="223" w:type="pct"/>
            <w:tcBorders>
              <w:tl2br w:val="nil"/>
              <w:tr2bl w:val="nil"/>
            </w:tcBorders>
          </w:tcPr>
          <w:p w14:paraId="540F039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223" w:type="pct"/>
            <w:tcBorders>
              <w:tl2br w:val="nil"/>
              <w:tr2bl w:val="nil"/>
            </w:tcBorders>
          </w:tcPr>
          <w:p w14:paraId="249AEBE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0.0028 </w:t>
            </w:r>
          </w:p>
        </w:tc>
        <w:tc>
          <w:tcPr>
            <w:tcW w:w="223" w:type="pct"/>
            <w:tcBorders>
              <w:tl2br w:val="nil"/>
              <w:tr2bl w:val="nil"/>
            </w:tcBorders>
          </w:tcPr>
          <w:p w14:paraId="0C8E67E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31" w:type="pct"/>
            <w:tcBorders>
              <w:tl2br w:val="nil"/>
              <w:tr2bl w:val="nil"/>
            </w:tcBorders>
          </w:tcPr>
          <w:p w14:paraId="60B5698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44" w:type="pct"/>
            <w:tcBorders>
              <w:tl2br w:val="nil"/>
              <w:tr2bl w:val="nil"/>
            </w:tcBorders>
          </w:tcPr>
          <w:p w14:paraId="0825690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52" w:type="pct"/>
            <w:tcBorders>
              <w:tl2br w:val="nil"/>
              <w:tr2bl w:val="nil"/>
            </w:tcBorders>
            <w:shd w:val="clear" w:color="auto" w:fill="auto"/>
            <w:noWrap/>
            <w:tcMar>
              <w:top w:w="15" w:type="dxa"/>
              <w:left w:w="15" w:type="dxa"/>
              <w:right w:w="15" w:type="dxa"/>
            </w:tcMar>
          </w:tcPr>
          <w:p w14:paraId="2D76BE8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367" w:type="dxa"/>
            <w:tcBorders>
              <w:tl2br w:val="nil"/>
              <w:tr2bl w:val="nil"/>
            </w:tcBorders>
            <w:shd w:val="clear" w:color="auto" w:fill="auto"/>
            <w:noWrap/>
            <w:tcMar>
              <w:top w:w="15" w:type="dxa"/>
              <w:left w:w="15" w:type="dxa"/>
              <w:right w:w="15" w:type="dxa"/>
            </w:tcMar>
            <w:vAlign w:val="center"/>
          </w:tcPr>
          <w:p w14:paraId="1EF3A88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0.0007 </w:t>
            </w:r>
          </w:p>
        </w:tc>
      </w:tr>
      <w:tr w14:paraId="35F739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2" w:type="pct"/>
            <w:tcBorders>
              <w:tl2br w:val="nil"/>
              <w:tr2bl w:val="nil"/>
            </w:tcBorders>
            <w:shd w:val="clear" w:color="auto" w:fill="auto"/>
            <w:noWrap/>
            <w:tcMar>
              <w:top w:w="15" w:type="dxa"/>
              <w:left w:w="15" w:type="dxa"/>
              <w:right w:w="15" w:type="dxa"/>
            </w:tcMar>
            <w:vAlign w:val="center"/>
          </w:tcPr>
          <w:p w14:paraId="0A60FE8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5</w:t>
            </w:r>
          </w:p>
        </w:tc>
        <w:tc>
          <w:tcPr>
            <w:tcW w:w="353" w:type="pct"/>
            <w:tcBorders>
              <w:tl2br w:val="nil"/>
              <w:tr2bl w:val="nil"/>
            </w:tcBorders>
            <w:shd w:val="clear" w:color="auto" w:fill="auto"/>
            <w:noWrap/>
            <w:tcMar>
              <w:top w:w="15" w:type="dxa"/>
              <w:left w:w="15" w:type="dxa"/>
              <w:right w:w="15" w:type="dxa"/>
            </w:tcMar>
            <w:vAlign w:val="center"/>
          </w:tcPr>
          <w:p w14:paraId="7DC7CD1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XM-2-200</w:t>
            </w:r>
          </w:p>
        </w:tc>
        <w:tc>
          <w:tcPr>
            <w:tcW w:w="332" w:type="pct"/>
            <w:tcBorders>
              <w:tl2br w:val="nil"/>
              <w:tr2bl w:val="nil"/>
            </w:tcBorders>
            <w:shd w:val="clear" w:color="auto" w:fill="auto"/>
            <w:noWrap/>
            <w:tcMar>
              <w:top w:w="15" w:type="dxa"/>
              <w:left w:w="15" w:type="dxa"/>
              <w:right w:w="15" w:type="dxa"/>
            </w:tcMar>
          </w:tcPr>
          <w:p w14:paraId="7FC75FB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0.0610 </w:t>
            </w:r>
          </w:p>
        </w:tc>
        <w:tc>
          <w:tcPr>
            <w:tcW w:w="231" w:type="pct"/>
            <w:tcBorders>
              <w:tl2br w:val="nil"/>
              <w:tr2bl w:val="nil"/>
            </w:tcBorders>
            <w:shd w:val="clear" w:color="auto" w:fill="auto"/>
            <w:noWrap/>
            <w:tcMar>
              <w:top w:w="15" w:type="dxa"/>
              <w:left w:w="15" w:type="dxa"/>
              <w:right w:w="15" w:type="dxa"/>
            </w:tcMar>
          </w:tcPr>
          <w:p w14:paraId="25A5E85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0.0369 </w:t>
            </w:r>
          </w:p>
        </w:tc>
        <w:tc>
          <w:tcPr>
            <w:tcW w:w="231" w:type="pct"/>
            <w:tcBorders>
              <w:tl2br w:val="nil"/>
              <w:tr2bl w:val="nil"/>
            </w:tcBorders>
            <w:shd w:val="clear" w:color="auto" w:fill="auto"/>
            <w:noWrap/>
            <w:tcMar>
              <w:top w:w="15" w:type="dxa"/>
              <w:left w:w="15" w:type="dxa"/>
              <w:right w:w="15" w:type="dxa"/>
            </w:tcMar>
          </w:tcPr>
          <w:p w14:paraId="1383E39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0.0034 </w:t>
            </w:r>
          </w:p>
        </w:tc>
        <w:tc>
          <w:tcPr>
            <w:tcW w:w="231" w:type="pct"/>
            <w:tcBorders>
              <w:tl2br w:val="nil"/>
              <w:tr2bl w:val="nil"/>
            </w:tcBorders>
            <w:shd w:val="clear" w:color="auto" w:fill="auto"/>
            <w:noWrap/>
            <w:tcMar>
              <w:top w:w="15" w:type="dxa"/>
              <w:left w:w="15" w:type="dxa"/>
              <w:right w:w="15" w:type="dxa"/>
            </w:tcMar>
          </w:tcPr>
          <w:p w14:paraId="266FA90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0.2157 </w:t>
            </w:r>
          </w:p>
        </w:tc>
        <w:tc>
          <w:tcPr>
            <w:tcW w:w="231" w:type="pct"/>
            <w:tcBorders>
              <w:tl2br w:val="nil"/>
              <w:tr2bl w:val="nil"/>
            </w:tcBorders>
            <w:shd w:val="clear" w:color="auto" w:fill="auto"/>
            <w:noWrap/>
            <w:tcMar>
              <w:top w:w="15" w:type="dxa"/>
              <w:left w:w="15" w:type="dxa"/>
              <w:right w:w="15" w:type="dxa"/>
            </w:tcMar>
          </w:tcPr>
          <w:p w14:paraId="217F4C7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0.0012 </w:t>
            </w:r>
          </w:p>
        </w:tc>
        <w:tc>
          <w:tcPr>
            <w:tcW w:w="231" w:type="pct"/>
            <w:tcBorders>
              <w:tl2br w:val="nil"/>
              <w:tr2bl w:val="nil"/>
            </w:tcBorders>
            <w:shd w:val="clear" w:color="auto" w:fill="auto"/>
            <w:noWrap/>
            <w:tcMar>
              <w:top w:w="15" w:type="dxa"/>
              <w:left w:w="15" w:type="dxa"/>
              <w:right w:w="15" w:type="dxa"/>
            </w:tcMar>
          </w:tcPr>
          <w:p w14:paraId="60250AF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0.0023 </w:t>
            </w:r>
          </w:p>
        </w:tc>
        <w:tc>
          <w:tcPr>
            <w:tcW w:w="231" w:type="pct"/>
            <w:tcBorders>
              <w:tl2br w:val="nil"/>
              <w:tr2bl w:val="nil"/>
            </w:tcBorders>
            <w:shd w:val="clear" w:color="auto" w:fill="auto"/>
            <w:noWrap/>
            <w:tcMar>
              <w:top w:w="15" w:type="dxa"/>
              <w:left w:w="15" w:type="dxa"/>
              <w:right w:w="15" w:type="dxa"/>
            </w:tcMar>
          </w:tcPr>
          <w:p w14:paraId="5598980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0.0611 </w:t>
            </w:r>
          </w:p>
        </w:tc>
        <w:tc>
          <w:tcPr>
            <w:tcW w:w="231" w:type="pct"/>
            <w:tcBorders>
              <w:tl2br w:val="nil"/>
              <w:tr2bl w:val="nil"/>
            </w:tcBorders>
            <w:shd w:val="clear" w:color="auto" w:fill="auto"/>
            <w:noWrap/>
            <w:tcMar>
              <w:top w:w="15" w:type="dxa"/>
              <w:left w:w="15" w:type="dxa"/>
              <w:right w:w="15" w:type="dxa"/>
            </w:tcMar>
          </w:tcPr>
          <w:p w14:paraId="6A8D7FB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31" w:type="pct"/>
            <w:tcBorders>
              <w:tl2br w:val="nil"/>
              <w:tr2bl w:val="nil"/>
            </w:tcBorders>
            <w:shd w:val="clear" w:color="auto" w:fill="auto"/>
            <w:noWrap/>
            <w:tcMar>
              <w:top w:w="15" w:type="dxa"/>
              <w:left w:w="15" w:type="dxa"/>
              <w:right w:w="15" w:type="dxa"/>
            </w:tcMar>
          </w:tcPr>
          <w:p w14:paraId="4E53551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31" w:type="pct"/>
            <w:tcBorders>
              <w:tl2br w:val="nil"/>
              <w:tr2bl w:val="nil"/>
            </w:tcBorders>
            <w:shd w:val="clear" w:color="auto" w:fill="auto"/>
            <w:noWrap/>
            <w:tcMar>
              <w:top w:w="15" w:type="dxa"/>
              <w:left w:w="15" w:type="dxa"/>
              <w:right w:w="15" w:type="dxa"/>
            </w:tcMar>
          </w:tcPr>
          <w:p w14:paraId="43D456A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0.1900 </w:t>
            </w:r>
          </w:p>
        </w:tc>
        <w:tc>
          <w:tcPr>
            <w:tcW w:w="223" w:type="pct"/>
            <w:tcBorders>
              <w:tl2br w:val="nil"/>
              <w:tr2bl w:val="nil"/>
            </w:tcBorders>
          </w:tcPr>
          <w:p w14:paraId="038F723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223" w:type="pct"/>
            <w:tcBorders>
              <w:tl2br w:val="nil"/>
              <w:tr2bl w:val="nil"/>
            </w:tcBorders>
          </w:tcPr>
          <w:p w14:paraId="2A5CF88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0.0044 </w:t>
            </w:r>
          </w:p>
        </w:tc>
        <w:tc>
          <w:tcPr>
            <w:tcW w:w="223" w:type="pct"/>
            <w:tcBorders>
              <w:tl2br w:val="nil"/>
              <w:tr2bl w:val="nil"/>
            </w:tcBorders>
          </w:tcPr>
          <w:p w14:paraId="01BEA91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31" w:type="pct"/>
            <w:tcBorders>
              <w:tl2br w:val="nil"/>
              <w:tr2bl w:val="nil"/>
            </w:tcBorders>
          </w:tcPr>
          <w:p w14:paraId="59EFB61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44" w:type="pct"/>
            <w:tcBorders>
              <w:tl2br w:val="nil"/>
              <w:tr2bl w:val="nil"/>
            </w:tcBorders>
          </w:tcPr>
          <w:p w14:paraId="63C7CD2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52" w:type="pct"/>
            <w:tcBorders>
              <w:tl2br w:val="nil"/>
              <w:tr2bl w:val="nil"/>
            </w:tcBorders>
            <w:shd w:val="clear" w:color="auto" w:fill="auto"/>
            <w:noWrap/>
            <w:tcMar>
              <w:top w:w="15" w:type="dxa"/>
              <w:left w:w="15" w:type="dxa"/>
              <w:right w:w="15" w:type="dxa"/>
            </w:tcMar>
          </w:tcPr>
          <w:p w14:paraId="550D1CB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367" w:type="dxa"/>
            <w:tcBorders>
              <w:tl2br w:val="nil"/>
              <w:tr2bl w:val="nil"/>
            </w:tcBorders>
            <w:shd w:val="clear" w:color="auto" w:fill="auto"/>
            <w:noWrap/>
            <w:tcMar>
              <w:top w:w="15" w:type="dxa"/>
              <w:left w:w="15" w:type="dxa"/>
              <w:right w:w="15" w:type="dxa"/>
            </w:tcMar>
            <w:vAlign w:val="center"/>
          </w:tcPr>
          <w:p w14:paraId="46A1F88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0.0007 </w:t>
            </w:r>
          </w:p>
        </w:tc>
      </w:tr>
      <w:tr w14:paraId="5C6100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2" w:type="pct"/>
            <w:tcBorders>
              <w:tl2br w:val="nil"/>
              <w:tr2bl w:val="nil"/>
            </w:tcBorders>
            <w:shd w:val="clear" w:color="auto" w:fill="auto"/>
            <w:noWrap/>
            <w:tcMar>
              <w:top w:w="15" w:type="dxa"/>
              <w:left w:w="15" w:type="dxa"/>
              <w:right w:w="15" w:type="dxa"/>
            </w:tcMar>
            <w:vAlign w:val="center"/>
          </w:tcPr>
          <w:p w14:paraId="68D6EAA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w:t>
            </w:r>
          </w:p>
        </w:tc>
        <w:tc>
          <w:tcPr>
            <w:tcW w:w="353" w:type="pct"/>
            <w:tcBorders>
              <w:tl2br w:val="nil"/>
              <w:tr2bl w:val="nil"/>
            </w:tcBorders>
            <w:shd w:val="clear" w:color="auto" w:fill="auto"/>
            <w:noWrap/>
            <w:tcMar>
              <w:top w:w="15" w:type="dxa"/>
              <w:left w:w="15" w:type="dxa"/>
              <w:right w:w="15" w:type="dxa"/>
            </w:tcMar>
            <w:vAlign w:val="center"/>
          </w:tcPr>
          <w:p w14:paraId="1A62BEB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XM-2-400</w:t>
            </w:r>
          </w:p>
        </w:tc>
        <w:tc>
          <w:tcPr>
            <w:tcW w:w="332" w:type="pct"/>
            <w:tcBorders>
              <w:tl2br w:val="nil"/>
              <w:tr2bl w:val="nil"/>
            </w:tcBorders>
            <w:shd w:val="clear" w:color="auto" w:fill="auto"/>
            <w:noWrap/>
            <w:tcMar>
              <w:top w:w="15" w:type="dxa"/>
              <w:left w:w="15" w:type="dxa"/>
              <w:right w:w="15" w:type="dxa"/>
            </w:tcMar>
          </w:tcPr>
          <w:p w14:paraId="6D49BD2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0.0583 </w:t>
            </w:r>
          </w:p>
        </w:tc>
        <w:tc>
          <w:tcPr>
            <w:tcW w:w="231" w:type="pct"/>
            <w:tcBorders>
              <w:tl2br w:val="nil"/>
              <w:tr2bl w:val="nil"/>
            </w:tcBorders>
            <w:shd w:val="clear" w:color="auto" w:fill="auto"/>
            <w:noWrap/>
            <w:tcMar>
              <w:top w:w="15" w:type="dxa"/>
              <w:left w:w="15" w:type="dxa"/>
              <w:right w:w="15" w:type="dxa"/>
            </w:tcMar>
          </w:tcPr>
          <w:p w14:paraId="5228945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0.0226 </w:t>
            </w:r>
          </w:p>
        </w:tc>
        <w:tc>
          <w:tcPr>
            <w:tcW w:w="231" w:type="pct"/>
            <w:tcBorders>
              <w:tl2br w:val="nil"/>
              <w:tr2bl w:val="nil"/>
            </w:tcBorders>
            <w:shd w:val="clear" w:color="auto" w:fill="auto"/>
            <w:noWrap/>
            <w:tcMar>
              <w:top w:w="15" w:type="dxa"/>
              <w:left w:w="15" w:type="dxa"/>
              <w:right w:w="15" w:type="dxa"/>
            </w:tcMar>
          </w:tcPr>
          <w:p w14:paraId="574F900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0.0026 </w:t>
            </w:r>
          </w:p>
        </w:tc>
        <w:tc>
          <w:tcPr>
            <w:tcW w:w="231" w:type="pct"/>
            <w:tcBorders>
              <w:tl2br w:val="nil"/>
              <w:tr2bl w:val="nil"/>
            </w:tcBorders>
            <w:shd w:val="clear" w:color="auto" w:fill="auto"/>
            <w:noWrap/>
            <w:tcMar>
              <w:top w:w="15" w:type="dxa"/>
              <w:left w:w="15" w:type="dxa"/>
              <w:right w:w="15" w:type="dxa"/>
            </w:tcMar>
          </w:tcPr>
          <w:p w14:paraId="2298CF8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0.1190 </w:t>
            </w:r>
          </w:p>
        </w:tc>
        <w:tc>
          <w:tcPr>
            <w:tcW w:w="231" w:type="pct"/>
            <w:tcBorders>
              <w:tl2br w:val="nil"/>
              <w:tr2bl w:val="nil"/>
            </w:tcBorders>
            <w:shd w:val="clear" w:color="auto" w:fill="auto"/>
            <w:noWrap/>
            <w:tcMar>
              <w:top w:w="15" w:type="dxa"/>
              <w:left w:w="15" w:type="dxa"/>
              <w:right w:w="15" w:type="dxa"/>
            </w:tcMar>
          </w:tcPr>
          <w:p w14:paraId="04C7AC2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0.0006 </w:t>
            </w:r>
          </w:p>
        </w:tc>
        <w:tc>
          <w:tcPr>
            <w:tcW w:w="231" w:type="pct"/>
            <w:tcBorders>
              <w:tl2br w:val="nil"/>
              <w:tr2bl w:val="nil"/>
            </w:tcBorders>
            <w:shd w:val="clear" w:color="auto" w:fill="auto"/>
            <w:noWrap/>
            <w:tcMar>
              <w:top w:w="15" w:type="dxa"/>
              <w:left w:w="15" w:type="dxa"/>
              <w:right w:w="15" w:type="dxa"/>
            </w:tcMar>
          </w:tcPr>
          <w:p w14:paraId="31D2AF8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0.0011 </w:t>
            </w:r>
          </w:p>
        </w:tc>
        <w:tc>
          <w:tcPr>
            <w:tcW w:w="231" w:type="pct"/>
            <w:tcBorders>
              <w:tl2br w:val="nil"/>
              <w:tr2bl w:val="nil"/>
            </w:tcBorders>
            <w:shd w:val="clear" w:color="auto" w:fill="auto"/>
            <w:noWrap/>
            <w:tcMar>
              <w:top w:w="15" w:type="dxa"/>
              <w:left w:w="15" w:type="dxa"/>
              <w:right w:w="15" w:type="dxa"/>
            </w:tcMar>
          </w:tcPr>
          <w:p w14:paraId="24E830D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0.0322 </w:t>
            </w:r>
          </w:p>
        </w:tc>
        <w:tc>
          <w:tcPr>
            <w:tcW w:w="231" w:type="pct"/>
            <w:tcBorders>
              <w:tl2br w:val="nil"/>
              <w:tr2bl w:val="nil"/>
            </w:tcBorders>
            <w:shd w:val="clear" w:color="auto" w:fill="auto"/>
            <w:noWrap/>
            <w:tcMar>
              <w:top w:w="15" w:type="dxa"/>
              <w:left w:w="15" w:type="dxa"/>
              <w:right w:w="15" w:type="dxa"/>
            </w:tcMar>
          </w:tcPr>
          <w:p w14:paraId="713D947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31" w:type="pct"/>
            <w:tcBorders>
              <w:tl2br w:val="nil"/>
              <w:tr2bl w:val="nil"/>
            </w:tcBorders>
            <w:shd w:val="clear" w:color="auto" w:fill="auto"/>
            <w:noWrap/>
            <w:tcMar>
              <w:top w:w="15" w:type="dxa"/>
              <w:left w:w="15" w:type="dxa"/>
              <w:right w:w="15" w:type="dxa"/>
            </w:tcMar>
          </w:tcPr>
          <w:p w14:paraId="3B000F2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31" w:type="pct"/>
            <w:tcBorders>
              <w:tl2br w:val="nil"/>
              <w:tr2bl w:val="nil"/>
            </w:tcBorders>
            <w:shd w:val="clear" w:color="auto" w:fill="auto"/>
            <w:noWrap/>
            <w:tcMar>
              <w:top w:w="15" w:type="dxa"/>
              <w:left w:w="15" w:type="dxa"/>
              <w:right w:w="15" w:type="dxa"/>
            </w:tcMar>
          </w:tcPr>
          <w:p w14:paraId="116D05F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0.1717 </w:t>
            </w:r>
          </w:p>
        </w:tc>
        <w:tc>
          <w:tcPr>
            <w:tcW w:w="223" w:type="pct"/>
            <w:tcBorders>
              <w:tl2br w:val="nil"/>
              <w:tr2bl w:val="nil"/>
            </w:tcBorders>
          </w:tcPr>
          <w:p w14:paraId="00000F1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223" w:type="pct"/>
            <w:tcBorders>
              <w:tl2br w:val="nil"/>
              <w:tr2bl w:val="nil"/>
            </w:tcBorders>
          </w:tcPr>
          <w:p w14:paraId="738D613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0.0033 </w:t>
            </w:r>
          </w:p>
        </w:tc>
        <w:tc>
          <w:tcPr>
            <w:tcW w:w="223" w:type="pct"/>
            <w:tcBorders>
              <w:tl2br w:val="nil"/>
              <w:tr2bl w:val="nil"/>
            </w:tcBorders>
          </w:tcPr>
          <w:p w14:paraId="38F8A32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31" w:type="pct"/>
            <w:tcBorders>
              <w:tl2br w:val="nil"/>
              <w:tr2bl w:val="nil"/>
            </w:tcBorders>
          </w:tcPr>
          <w:p w14:paraId="06CB736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44" w:type="pct"/>
            <w:tcBorders>
              <w:tl2br w:val="nil"/>
              <w:tr2bl w:val="nil"/>
            </w:tcBorders>
          </w:tcPr>
          <w:p w14:paraId="0F884D7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52" w:type="pct"/>
            <w:tcBorders>
              <w:tl2br w:val="nil"/>
              <w:tr2bl w:val="nil"/>
            </w:tcBorders>
            <w:shd w:val="clear" w:color="auto" w:fill="auto"/>
            <w:noWrap/>
            <w:tcMar>
              <w:top w:w="15" w:type="dxa"/>
              <w:left w:w="15" w:type="dxa"/>
              <w:right w:w="15" w:type="dxa"/>
            </w:tcMar>
          </w:tcPr>
          <w:p w14:paraId="132A08C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367" w:type="dxa"/>
            <w:tcBorders>
              <w:tl2br w:val="nil"/>
              <w:tr2bl w:val="nil"/>
            </w:tcBorders>
            <w:shd w:val="clear" w:color="auto" w:fill="auto"/>
            <w:noWrap/>
            <w:tcMar>
              <w:top w:w="15" w:type="dxa"/>
              <w:left w:w="15" w:type="dxa"/>
              <w:right w:w="15" w:type="dxa"/>
            </w:tcMar>
            <w:vAlign w:val="center"/>
          </w:tcPr>
          <w:p w14:paraId="3ACF41B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0.0007 </w:t>
            </w:r>
          </w:p>
        </w:tc>
      </w:tr>
      <w:tr w14:paraId="06008C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2" w:type="pct"/>
            <w:tcBorders>
              <w:tl2br w:val="nil"/>
              <w:tr2bl w:val="nil"/>
            </w:tcBorders>
            <w:shd w:val="clear" w:color="auto" w:fill="auto"/>
            <w:noWrap/>
            <w:tcMar>
              <w:top w:w="15" w:type="dxa"/>
              <w:left w:w="15" w:type="dxa"/>
              <w:right w:w="15" w:type="dxa"/>
            </w:tcMar>
            <w:vAlign w:val="center"/>
          </w:tcPr>
          <w:p w14:paraId="64505C1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7</w:t>
            </w:r>
          </w:p>
        </w:tc>
        <w:tc>
          <w:tcPr>
            <w:tcW w:w="353" w:type="pct"/>
            <w:tcBorders>
              <w:tl2br w:val="nil"/>
              <w:tr2bl w:val="nil"/>
            </w:tcBorders>
            <w:shd w:val="clear" w:color="auto" w:fill="auto"/>
            <w:noWrap/>
            <w:tcMar>
              <w:top w:w="15" w:type="dxa"/>
              <w:left w:w="15" w:type="dxa"/>
              <w:right w:w="15" w:type="dxa"/>
            </w:tcMar>
            <w:vAlign w:val="center"/>
          </w:tcPr>
          <w:p w14:paraId="6D6699A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XM-3-75</w:t>
            </w:r>
          </w:p>
        </w:tc>
        <w:tc>
          <w:tcPr>
            <w:tcW w:w="332" w:type="pct"/>
            <w:tcBorders>
              <w:tl2br w:val="nil"/>
              <w:tr2bl w:val="nil"/>
            </w:tcBorders>
            <w:shd w:val="clear" w:color="auto" w:fill="auto"/>
            <w:noWrap/>
            <w:tcMar>
              <w:top w:w="15" w:type="dxa"/>
              <w:left w:w="15" w:type="dxa"/>
              <w:right w:w="15" w:type="dxa"/>
            </w:tcMar>
          </w:tcPr>
          <w:p w14:paraId="46B0C07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0.2316 </w:t>
            </w:r>
          </w:p>
        </w:tc>
        <w:tc>
          <w:tcPr>
            <w:tcW w:w="231" w:type="pct"/>
            <w:tcBorders>
              <w:tl2br w:val="nil"/>
              <w:tr2bl w:val="nil"/>
            </w:tcBorders>
            <w:shd w:val="clear" w:color="auto" w:fill="auto"/>
            <w:noWrap/>
            <w:tcMar>
              <w:top w:w="15" w:type="dxa"/>
              <w:left w:w="15" w:type="dxa"/>
              <w:right w:w="15" w:type="dxa"/>
            </w:tcMar>
          </w:tcPr>
          <w:p w14:paraId="762B0E7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0.1967 </w:t>
            </w:r>
          </w:p>
        </w:tc>
        <w:tc>
          <w:tcPr>
            <w:tcW w:w="231" w:type="pct"/>
            <w:tcBorders>
              <w:tl2br w:val="nil"/>
              <w:tr2bl w:val="nil"/>
            </w:tcBorders>
            <w:shd w:val="clear" w:color="auto" w:fill="auto"/>
            <w:noWrap/>
            <w:tcMar>
              <w:top w:w="15" w:type="dxa"/>
              <w:left w:w="15" w:type="dxa"/>
              <w:right w:w="15" w:type="dxa"/>
            </w:tcMar>
          </w:tcPr>
          <w:p w14:paraId="7445F24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0.0611 </w:t>
            </w:r>
          </w:p>
        </w:tc>
        <w:tc>
          <w:tcPr>
            <w:tcW w:w="231" w:type="pct"/>
            <w:tcBorders>
              <w:tl2br w:val="nil"/>
              <w:tr2bl w:val="nil"/>
            </w:tcBorders>
            <w:shd w:val="clear" w:color="auto" w:fill="auto"/>
            <w:noWrap/>
            <w:tcMar>
              <w:top w:w="15" w:type="dxa"/>
              <w:left w:w="15" w:type="dxa"/>
              <w:right w:w="15" w:type="dxa"/>
            </w:tcMar>
          </w:tcPr>
          <w:p w14:paraId="70FF258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0.8000 </w:t>
            </w:r>
          </w:p>
        </w:tc>
        <w:tc>
          <w:tcPr>
            <w:tcW w:w="231" w:type="pct"/>
            <w:tcBorders>
              <w:tl2br w:val="nil"/>
              <w:tr2bl w:val="nil"/>
            </w:tcBorders>
            <w:shd w:val="clear" w:color="auto" w:fill="auto"/>
            <w:noWrap/>
            <w:tcMar>
              <w:top w:w="15" w:type="dxa"/>
              <w:left w:w="15" w:type="dxa"/>
              <w:right w:w="15" w:type="dxa"/>
            </w:tcMar>
          </w:tcPr>
          <w:p w14:paraId="1B96024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0.1333 </w:t>
            </w:r>
          </w:p>
        </w:tc>
        <w:tc>
          <w:tcPr>
            <w:tcW w:w="231" w:type="pct"/>
            <w:tcBorders>
              <w:tl2br w:val="nil"/>
              <w:tr2bl w:val="nil"/>
            </w:tcBorders>
            <w:shd w:val="clear" w:color="auto" w:fill="auto"/>
            <w:noWrap/>
            <w:tcMar>
              <w:top w:w="15" w:type="dxa"/>
              <w:left w:w="15" w:type="dxa"/>
              <w:right w:w="15" w:type="dxa"/>
            </w:tcMar>
          </w:tcPr>
          <w:p w14:paraId="794E77C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0.3800 </w:t>
            </w:r>
          </w:p>
        </w:tc>
        <w:tc>
          <w:tcPr>
            <w:tcW w:w="231" w:type="pct"/>
            <w:tcBorders>
              <w:tl2br w:val="nil"/>
              <w:tr2bl w:val="nil"/>
            </w:tcBorders>
            <w:shd w:val="clear" w:color="auto" w:fill="auto"/>
            <w:noWrap/>
            <w:tcMar>
              <w:top w:w="15" w:type="dxa"/>
              <w:left w:w="15" w:type="dxa"/>
              <w:right w:w="15" w:type="dxa"/>
            </w:tcMar>
          </w:tcPr>
          <w:p w14:paraId="48FF119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0.3000 </w:t>
            </w:r>
          </w:p>
        </w:tc>
        <w:tc>
          <w:tcPr>
            <w:tcW w:w="231" w:type="pct"/>
            <w:tcBorders>
              <w:tl2br w:val="nil"/>
              <w:tr2bl w:val="nil"/>
            </w:tcBorders>
            <w:shd w:val="clear" w:color="auto" w:fill="auto"/>
            <w:noWrap/>
            <w:tcMar>
              <w:top w:w="15" w:type="dxa"/>
              <w:left w:w="15" w:type="dxa"/>
              <w:right w:w="15" w:type="dxa"/>
            </w:tcMar>
          </w:tcPr>
          <w:p w14:paraId="5DAE12E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0.3267 </w:t>
            </w:r>
          </w:p>
        </w:tc>
        <w:tc>
          <w:tcPr>
            <w:tcW w:w="231" w:type="pct"/>
            <w:tcBorders>
              <w:tl2br w:val="nil"/>
              <w:tr2bl w:val="nil"/>
            </w:tcBorders>
            <w:shd w:val="clear" w:color="auto" w:fill="auto"/>
            <w:noWrap/>
            <w:tcMar>
              <w:top w:w="15" w:type="dxa"/>
              <w:left w:w="15" w:type="dxa"/>
              <w:right w:w="15" w:type="dxa"/>
            </w:tcMar>
          </w:tcPr>
          <w:p w14:paraId="76BF037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0.2300 </w:t>
            </w:r>
          </w:p>
        </w:tc>
        <w:tc>
          <w:tcPr>
            <w:tcW w:w="231" w:type="pct"/>
            <w:tcBorders>
              <w:tl2br w:val="nil"/>
              <w:tr2bl w:val="nil"/>
            </w:tcBorders>
            <w:shd w:val="clear" w:color="auto" w:fill="auto"/>
            <w:noWrap/>
            <w:tcMar>
              <w:top w:w="15" w:type="dxa"/>
              <w:left w:w="15" w:type="dxa"/>
              <w:right w:w="15" w:type="dxa"/>
            </w:tcMar>
          </w:tcPr>
          <w:p w14:paraId="7278DC2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0.2275 </w:t>
            </w:r>
          </w:p>
        </w:tc>
        <w:tc>
          <w:tcPr>
            <w:tcW w:w="223" w:type="pct"/>
            <w:tcBorders>
              <w:tl2br w:val="nil"/>
              <w:tr2bl w:val="nil"/>
            </w:tcBorders>
          </w:tcPr>
          <w:p w14:paraId="7416BD4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0.0043 </w:t>
            </w:r>
          </w:p>
        </w:tc>
        <w:tc>
          <w:tcPr>
            <w:tcW w:w="223" w:type="pct"/>
            <w:tcBorders>
              <w:tl2br w:val="nil"/>
              <w:tr2bl w:val="nil"/>
            </w:tcBorders>
          </w:tcPr>
          <w:p w14:paraId="57EF655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0.0250 </w:t>
            </w:r>
          </w:p>
        </w:tc>
        <w:tc>
          <w:tcPr>
            <w:tcW w:w="223" w:type="pct"/>
            <w:tcBorders>
              <w:tl2br w:val="nil"/>
              <w:tr2bl w:val="nil"/>
            </w:tcBorders>
          </w:tcPr>
          <w:p w14:paraId="56CB4F5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31" w:type="pct"/>
            <w:tcBorders>
              <w:tl2br w:val="nil"/>
              <w:tr2bl w:val="nil"/>
            </w:tcBorders>
          </w:tcPr>
          <w:p w14:paraId="16D3BB7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44" w:type="pct"/>
            <w:tcBorders>
              <w:tl2br w:val="nil"/>
              <w:tr2bl w:val="nil"/>
            </w:tcBorders>
          </w:tcPr>
          <w:p w14:paraId="4F7A3C5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52" w:type="pct"/>
            <w:tcBorders>
              <w:tl2br w:val="nil"/>
              <w:tr2bl w:val="nil"/>
            </w:tcBorders>
            <w:shd w:val="clear" w:color="auto" w:fill="auto"/>
            <w:noWrap/>
            <w:tcMar>
              <w:top w:w="15" w:type="dxa"/>
              <w:left w:w="15" w:type="dxa"/>
              <w:right w:w="15" w:type="dxa"/>
            </w:tcMar>
          </w:tcPr>
          <w:p w14:paraId="359F294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367" w:type="dxa"/>
            <w:tcBorders>
              <w:tl2br w:val="nil"/>
              <w:tr2bl w:val="nil"/>
            </w:tcBorders>
            <w:shd w:val="clear" w:color="auto" w:fill="auto"/>
            <w:noWrap/>
            <w:tcMar>
              <w:top w:w="15" w:type="dxa"/>
              <w:left w:w="15" w:type="dxa"/>
              <w:right w:w="15" w:type="dxa"/>
            </w:tcMar>
            <w:vAlign w:val="center"/>
          </w:tcPr>
          <w:p w14:paraId="4C25C53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0.0036 </w:t>
            </w:r>
          </w:p>
        </w:tc>
      </w:tr>
      <w:tr w14:paraId="413BAF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2" w:type="pct"/>
            <w:tcBorders>
              <w:tl2br w:val="nil"/>
              <w:tr2bl w:val="nil"/>
            </w:tcBorders>
            <w:shd w:val="clear" w:color="auto" w:fill="auto"/>
            <w:noWrap/>
            <w:tcMar>
              <w:top w:w="15" w:type="dxa"/>
              <w:left w:w="15" w:type="dxa"/>
              <w:right w:w="15" w:type="dxa"/>
            </w:tcMar>
            <w:vAlign w:val="center"/>
          </w:tcPr>
          <w:p w14:paraId="3312522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8</w:t>
            </w:r>
          </w:p>
        </w:tc>
        <w:tc>
          <w:tcPr>
            <w:tcW w:w="353" w:type="pct"/>
            <w:tcBorders>
              <w:tl2br w:val="nil"/>
              <w:tr2bl w:val="nil"/>
            </w:tcBorders>
            <w:shd w:val="clear" w:color="auto" w:fill="auto"/>
            <w:noWrap/>
            <w:tcMar>
              <w:top w:w="15" w:type="dxa"/>
              <w:left w:w="15" w:type="dxa"/>
              <w:right w:w="15" w:type="dxa"/>
            </w:tcMar>
            <w:vAlign w:val="center"/>
          </w:tcPr>
          <w:p w14:paraId="4DC3BD1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XM-3-200</w:t>
            </w:r>
          </w:p>
        </w:tc>
        <w:tc>
          <w:tcPr>
            <w:tcW w:w="332" w:type="pct"/>
            <w:tcBorders>
              <w:tl2br w:val="nil"/>
              <w:tr2bl w:val="nil"/>
            </w:tcBorders>
            <w:shd w:val="clear" w:color="auto" w:fill="auto"/>
            <w:noWrap/>
            <w:tcMar>
              <w:top w:w="15" w:type="dxa"/>
              <w:left w:w="15" w:type="dxa"/>
              <w:right w:w="15" w:type="dxa"/>
            </w:tcMar>
          </w:tcPr>
          <w:p w14:paraId="38E4447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0.2546 </w:t>
            </w:r>
          </w:p>
        </w:tc>
        <w:tc>
          <w:tcPr>
            <w:tcW w:w="231" w:type="pct"/>
            <w:tcBorders>
              <w:tl2br w:val="nil"/>
              <w:tr2bl w:val="nil"/>
            </w:tcBorders>
            <w:shd w:val="clear" w:color="auto" w:fill="auto"/>
            <w:noWrap/>
            <w:tcMar>
              <w:top w:w="15" w:type="dxa"/>
              <w:left w:w="15" w:type="dxa"/>
              <w:right w:w="15" w:type="dxa"/>
            </w:tcMar>
          </w:tcPr>
          <w:p w14:paraId="7B5F754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0.3070 </w:t>
            </w:r>
          </w:p>
        </w:tc>
        <w:tc>
          <w:tcPr>
            <w:tcW w:w="231" w:type="pct"/>
            <w:tcBorders>
              <w:tl2br w:val="nil"/>
              <w:tr2bl w:val="nil"/>
            </w:tcBorders>
            <w:shd w:val="clear" w:color="auto" w:fill="auto"/>
            <w:noWrap/>
            <w:tcMar>
              <w:top w:w="15" w:type="dxa"/>
              <w:left w:w="15" w:type="dxa"/>
              <w:right w:w="15" w:type="dxa"/>
            </w:tcMar>
          </w:tcPr>
          <w:p w14:paraId="40E126F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0.3400 </w:t>
            </w:r>
          </w:p>
        </w:tc>
        <w:tc>
          <w:tcPr>
            <w:tcW w:w="231" w:type="pct"/>
            <w:tcBorders>
              <w:tl2br w:val="nil"/>
              <w:tr2bl w:val="nil"/>
            </w:tcBorders>
            <w:shd w:val="clear" w:color="auto" w:fill="auto"/>
            <w:noWrap/>
            <w:tcMar>
              <w:top w:w="15" w:type="dxa"/>
              <w:left w:w="15" w:type="dxa"/>
              <w:right w:w="15" w:type="dxa"/>
            </w:tcMar>
          </w:tcPr>
          <w:p w14:paraId="3C1715E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0.3310 </w:t>
            </w:r>
          </w:p>
        </w:tc>
        <w:tc>
          <w:tcPr>
            <w:tcW w:w="231" w:type="pct"/>
            <w:tcBorders>
              <w:tl2br w:val="nil"/>
              <w:tr2bl w:val="nil"/>
            </w:tcBorders>
            <w:shd w:val="clear" w:color="auto" w:fill="auto"/>
            <w:noWrap/>
            <w:tcMar>
              <w:top w:w="15" w:type="dxa"/>
              <w:left w:w="15" w:type="dxa"/>
              <w:right w:w="15" w:type="dxa"/>
            </w:tcMar>
          </w:tcPr>
          <w:p w14:paraId="049819D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0.3000 </w:t>
            </w:r>
          </w:p>
        </w:tc>
        <w:tc>
          <w:tcPr>
            <w:tcW w:w="231" w:type="pct"/>
            <w:tcBorders>
              <w:tl2br w:val="nil"/>
              <w:tr2bl w:val="nil"/>
            </w:tcBorders>
            <w:shd w:val="clear" w:color="auto" w:fill="auto"/>
            <w:noWrap/>
            <w:tcMar>
              <w:top w:w="15" w:type="dxa"/>
              <w:left w:w="15" w:type="dxa"/>
              <w:right w:w="15" w:type="dxa"/>
            </w:tcMar>
          </w:tcPr>
          <w:p w14:paraId="3747953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0.4800 </w:t>
            </w:r>
          </w:p>
        </w:tc>
        <w:tc>
          <w:tcPr>
            <w:tcW w:w="231" w:type="pct"/>
            <w:tcBorders>
              <w:tl2br w:val="nil"/>
              <w:tr2bl w:val="nil"/>
            </w:tcBorders>
            <w:shd w:val="clear" w:color="auto" w:fill="auto"/>
            <w:noWrap/>
            <w:tcMar>
              <w:top w:w="15" w:type="dxa"/>
              <w:left w:w="15" w:type="dxa"/>
              <w:right w:w="15" w:type="dxa"/>
            </w:tcMar>
          </w:tcPr>
          <w:p w14:paraId="5809962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0.2714 </w:t>
            </w:r>
          </w:p>
        </w:tc>
        <w:tc>
          <w:tcPr>
            <w:tcW w:w="231" w:type="pct"/>
            <w:tcBorders>
              <w:tl2br w:val="nil"/>
              <w:tr2bl w:val="nil"/>
            </w:tcBorders>
            <w:shd w:val="clear" w:color="auto" w:fill="auto"/>
            <w:noWrap/>
            <w:tcMar>
              <w:top w:w="15" w:type="dxa"/>
              <w:left w:w="15" w:type="dxa"/>
              <w:right w:w="15" w:type="dxa"/>
            </w:tcMar>
          </w:tcPr>
          <w:p w14:paraId="66AEB70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0.1640 </w:t>
            </w:r>
          </w:p>
        </w:tc>
        <w:tc>
          <w:tcPr>
            <w:tcW w:w="231" w:type="pct"/>
            <w:tcBorders>
              <w:tl2br w:val="nil"/>
              <w:tr2bl w:val="nil"/>
            </w:tcBorders>
            <w:shd w:val="clear" w:color="auto" w:fill="auto"/>
            <w:noWrap/>
            <w:tcMar>
              <w:top w:w="15" w:type="dxa"/>
              <w:left w:w="15" w:type="dxa"/>
              <w:right w:w="15" w:type="dxa"/>
            </w:tcMar>
          </w:tcPr>
          <w:p w14:paraId="6FF70FF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0.2900 </w:t>
            </w:r>
          </w:p>
        </w:tc>
        <w:tc>
          <w:tcPr>
            <w:tcW w:w="231" w:type="pct"/>
            <w:tcBorders>
              <w:tl2br w:val="nil"/>
              <w:tr2bl w:val="nil"/>
            </w:tcBorders>
            <w:shd w:val="clear" w:color="auto" w:fill="auto"/>
            <w:noWrap/>
            <w:tcMar>
              <w:top w:w="15" w:type="dxa"/>
              <w:left w:w="15" w:type="dxa"/>
              <w:right w:w="15" w:type="dxa"/>
            </w:tcMar>
          </w:tcPr>
          <w:p w14:paraId="5E53DF1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0.1800 </w:t>
            </w:r>
          </w:p>
        </w:tc>
        <w:tc>
          <w:tcPr>
            <w:tcW w:w="223" w:type="pct"/>
            <w:tcBorders>
              <w:tl2br w:val="nil"/>
              <w:tr2bl w:val="nil"/>
            </w:tcBorders>
          </w:tcPr>
          <w:p w14:paraId="3A3DCFE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0.0034 </w:t>
            </w:r>
          </w:p>
        </w:tc>
        <w:tc>
          <w:tcPr>
            <w:tcW w:w="223" w:type="pct"/>
            <w:tcBorders>
              <w:tl2br w:val="nil"/>
              <w:tr2bl w:val="nil"/>
            </w:tcBorders>
          </w:tcPr>
          <w:p w14:paraId="00FCF39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0.0350 </w:t>
            </w:r>
          </w:p>
        </w:tc>
        <w:tc>
          <w:tcPr>
            <w:tcW w:w="223" w:type="pct"/>
            <w:tcBorders>
              <w:tl2br w:val="nil"/>
              <w:tr2bl w:val="nil"/>
            </w:tcBorders>
          </w:tcPr>
          <w:p w14:paraId="50F0310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31" w:type="pct"/>
            <w:tcBorders>
              <w:tl2br w:val="nil"/>
              <w:tr2bl w:val="nil"/>
            </w:tcBorders>
          </w:tcPr>
          <w:p w14:paraId="630A522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44" w:type="pct"/>
            <w:tcBorders>
              <w:tl2br w:val="nil"/>
              <w:tr2bl w:val="nil"/>
            </w:tcBorders>
          </w:tcPr>
          <w:p w14:paraId="2B52728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52" w:type="pct"/>
            <w:tcBorders>
              <w:tl2br w:val="nil"/>
              <w:tr2bl w:val="nil"/>
            </w:tcBorders>
            <w:shd w:val="clear" w:color="auto" w:fill="auto"/>
            <w:noWrap/>
            <w:tcMar>
              <w:top w:w="15" w:type="dxa"/>
              <w:left w:w="15" w:type="dxa"/>
              <w:right w:w="15" w:type="dxa"/>
            </w:tcMar>
          </w:tcPr>
          <w:p w14:paraId="08462E0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367" w:type="dxa"/>
            <w:tcBorders>
              <w:tl2br w:val="nil"/>
              <w:tr2bl w:val="nil"/>
            </w:tcBorders>
            <w:shd w:val="clear" w:color="auto" w:fill="auto"/>
            <w:noWrap/>
            <w:tcMar>
              <w:top w:w="15" w:type="dxa"/>
              <w:left w:w="15" w:type="dxa"/>
              <w:right w:w="15" w:type="dxa"/>
            </w:tcMar>
            <w:vAlign w:val="center"/>
          </w:tcPr>
          <w:p w14:paraId="10161F2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0.0339 </w:t>
            </w:r>
          </w:p>
        </w:tc>
      </w:tr>
      <w:tr w14:paraId="250DBE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2" w:type="pct"/>
            <w:tcBorders>
              <w:tl2br w:val="nil"/>
              <w:tr2bl w:val="nil"/>
            </w:tcBorders>
            <w:shd w:val="clear" w:color="auto" w:fill="auto"/>
            <w:noWrap/>
            <w:tcMar>
              <w:top w:w="15" w:type="dxa"/>
              <w:left w:w="15" w:type="dxa"/>
              <w:right w:w="15" w:type="dxa"/>
            </w:tcMar>
            <w:vAlign w:val="center"/>
          </w:tcPr>
          <w:p w14:paraId="6EAA8CC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w:t>
            </w:r>
          </w:p>
        </w:tc>
        <w:tc>
          <w:tcPr>
            <w:tcW w:w="353" w:type="pct"/>
            <w:tcBorders>
              <w:tl2br w:val="nil"/>
              <w:tr2bl w:val="nil"/>
            </w:tcBorders>
            <w:shd w:val="clear" w:color="auto" w:fill="auto"/>
            <w:noWrap/>
            <w:tcMar>
              <w:top w:w="15" w:type="dxa"/>
              <w:left w:w="15" w:type="dxa"/>
              <w:right w:w="15" w:type="dxa"/>
            </w:tcMar>
            <w:vAlign w:val="center"/>
          </w:tcPr>
          <w:p w14:paraId="4A8322B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XM-3-400</w:t>
            </w:r>
          </w:p>
        </w:tc>
        <w:tc>
          <w:tcPr>
            <w:tcW w:w="332" w:type="pct"/>
            <w:tcBorders>
              <w:tl2br w:val="nil"/>
              <w:tr2bl w:val="nil"/>
            </w:tcBorders>
            <w:shd w:val="clear" w:color="auto" w:fill="auto"/>
            <w:noWrap/>
            <w:tcMar>
              <w:top w:w="15" w:type="dxa"/>
              <w:left w:w="15" w:type="dxa"/>
              <w:right w:w="15" w:type="dxa"/>
            </w:tcMar>
          </w:tcPr>
          <w:p w14:paraId="0898B9D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0.2148 </w:t>
            </w:r>
          </w:p>
        </w:tc>
        <w:tc>
          <w:tcPr>
            <w:tcW w:w="231" w:type="pct"/>
            <w:tcBorders>
              <w:tl2br w:val="nil"/>
              <w:tr2bl w:val="nil"/>
            </w:tcBorders>
            <w:shd w:val="clear" w:color="auto" w:fill="auto"/>
            <w:noWrap/>
            <w:tcMar>
              <w:top w:w="15" w:type="dxa"/>
              <w:left w:w="15" w:type="dxa"/>
              <w:right w:w="15" w:type="dxa"/>
            </w:tcMar>
          </w:tcPr>
          <w:p w14:paraId="641FEF6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0.3457 </w:t>
            </w:r>
          </w:p>
        </w:tc>
        <w:tc>
          <w:tcPr>
            <w:tcW w:w="231" w:type="pct"/>
            <w:tcBorders>
              <w:tl2br w:val="nil"/>
              <w:tr2bl w:val="nil"/>
            </w:tcBorders>
            <w:shd w:val="clear" w:color="auto" w:fill="auto"/>
            <w:noWrap/>
            <w:tcMar>
              <w:top w:w="15" w:type="dxa"/>
              <w:left w:w="15" w:type="dxa"/>
              <w:right w:w="15" w:type="dxa"/>
            </w:tcMar>
          </w:tcPr>
          <w:p w14:paraId="2744F9D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0.1462 </w:t>
            </w:r>
          </w:p>
        </w:tc>
        <w:tc>
          <w:tcPr>
            <w:tcW w:w="231" w:type="pct"/>
            <w:tcBorders>
              <w:tl2br w:val="nil"/>
              <w:tr2bl w:val="nil"/>
            </w:tcBorders>
            <w:shd w:val="clear" w:color="auto" w:fill="auto"/>
            <w:noWrap/>
            <w:tcMar>
              <w:top w:w="15" w:type="dxa"/>
              <w:left w:w="15" w:type="dxa"/>
              <w:right w:w="15" w:type="dxa"/>
            </w:tcMar>
          </w:tcPr>
          <w:p w14:paraId="5B9E5DB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0.4355 </w:t>
            </w:r>
          </w:p>
        </w:tc>
        <w:tc>
          <w:tcPr>
            <w:tcW w:w="231" w:type="pct"/>
            <w:tcBorders>
              <w:tl2br w:val="nil"/>
              <w:tr2bl w:val="nil"/>
            </w:tcBorders>
            <w:shd w:val="clear" w:color="auto" w:fill="auto"/>
            <w:noWrap/>
            <w:tcMar>
              <w:top w:w="15" w:type="dxa"/>
              <w:left w:w="15" w:type="dxa"/>
              <w:right w:w="15" w:type="dxa"/>
            </w:tcMar>
          </w:tcPr>
          <w:p w14:paraId="6EB2240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0.2000 </w:t>
            </w:r>
          </w:p>
        </w:tc>
        <w:tc>
          <w:tcPr>
            <w:tcW w:w="231" w:type="pct"/>
            <w:tcBorders>
              <w:tl2br w:val="nil"/>
              <w:tr2bl w:val="nil"/>
            </w:tcBorders>
            <w:shd w:val="clear" w:color="auto" w:fill="auto"/>
            <w:noWrap/>
            <w:tcMar>
              <w:top w:w="15" w:type="dxa"/>
              <w:left w:w="15" w:type="dxa"/>
              <w:right w:w="15" w:type="dxa"/>
            </w:tcMar>
          </w:tcPr>
          <w:p w14:paraId="3F6FCC8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0.4400 </w:t>
            </w:r>
          </w:p>
        </w:tc>
        <w:tc>
          <w:tcPr>
            <w:tcW w:w="231" w:type="pct"/>
            <w:tcBorders>
              <w:tl2br w:val="nil"/>
              <w:tr2bl w:val="nil"/>
            </w:tcBorders>
            <w:shd w:val="clear" w:color="auto" w:fill="auto"/>
            <w:noWrap/>
            <w:tcMar>
              <w:top w:w="15" w:type="dxa"/>
              <w:left w:w="15" w:type="dxa"/>
              <w:right w:w="15" w:type="dxa"/>
            </w:tcMar>
          </w:tcPr>
          <w:p w14:paraId="12E52EC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0.3000 </w:t>
            </w:r>
          </w:p>
        </w:tc>
        <w:tc>
          <w:tcPr>
            <w:tcW w:w="231" w:type="pct"/>
            <w:tcBorders>
              <w:tl2br w:val="nil"/>
              <w:tr2bl w:val="nil"/>
            </w:tcBorders>
            <w:shd w:val="clear" w:color="auto" w:fill="auto"/>
            <w:noWrap/>
            <w:tcMar>
              <w:top w:w="15" w:type="dxa"/>
              <w:left w:w="15" w:type="dxa"/>
              <w:right w:w="15" w:type="dxa"/>
            </w:tcMar>
          </w:tcPr>
          <w:p w14:paraId="63379AE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0.2667 </w:t>
            </w:r>
          </w:p>
        </w:tc>
        <w:tc>
          <w:tcPr>
            <w:tcW w:w="231" w:type="pct"/>
            <w:tcBorders>
              <w:tl2br w:val="nil"/>
              <w:tr2bl w:val="nil"/>
            </w:tcBorders>
            <w:shd w:val="clear" w:color="auto" w:fill="auto"/>
            <w:noWrap/>
            <w:tcMar>
              <w:top w:w="15" w:type="dxa"/>
              <w:left w:w="15" w:type="dxa"/>
              <w:right w:w="15" w:type="dxa"/>
            </w:tcMar>
          </w:tcPr>
          <w:p w14:paraId="393C575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0.2400 </w:t>
            </w:r>
          </w:p>
        </w:tc>
        <w:tc>
          <w:tcPr>
            <w:tcW w:w="231" w:type="pct"/>
            <w:tcBorders>
              <w:tl2br w:val="nil"/>
              <w:tr2bl w:val="nil"/>
            </w:tcBorders>
            <w:shd w:val="clear" w:color="auto" w:fill="auto"/>
            <w:noWrap/>
            <w:tcMar>
              <w:top w:w="15" w:type="dxa"/>
              <w:left w:w="15" w:type="dxa"/>
              <w:right w:w="15" w:type="dxa"/>
            </w:tcMar>
          </w:tcPr>
          <w:p w14:paraId="49357EA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0.2300 </w:t>
            </w:r>
          </w:p>
        </w:tc>
        <w:tc>
          <w:tcPr>
            <w:tcW w:w="223" w:type="pct"/>
            <w:tcBorders>
              <w:tl2br w:val="nil"/>
              <w:tr2bl w:val="nil"/>
            </w:tcBorders>
          </w:tcPr>
          <w:p w14:paraId="4B40EF7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0.0047 </w:t>
            </w:r>
          </w:p>
        </w:tc>
        <w:tc>
          <w:tcPr>
            <w:tcW w:w="223" w:type="pct"/>
            <w:tcBorders>
              <w:tl2br w:val="nil"/>
              <w:tr2bl w:val="nil"/>
            </w:tcBorders>
          </w:tcPr>
          <w:p w14:paraId="50B281D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0.0350 </w:t>
            </w:r>
          </w:p>
        </w:tc>
        <w:tc>
          <w:tcPr>
            <w:tcW w:w="223" w:type="pct"/>
            <w:tcBorders>
              <w:tl2br w:val="nil"/>
              <w:tr2bl w:val="nil"/>
            </w:tcBorders>
          </w:tcPr>
          <w:p w14:paraId="0C64541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31" w:type="pct"/>
            <w:tcBorders>
              <w:tl2br w:val="nil"/>
              <w:tr2bl w:val="nil"/>
            </w:tcBorders>
          </w:tcPr>
          <w:p w14:paraId="33442F1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44" w:type="pct"/>
            <w:tcBorders>
              <w:tl2br w:val="nil"/>
              <w:tr2bl w:val="nil"/>
            </w:tcBorders>
          </w:tcPr>
          <w:p w14:paraId="2468885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52" w:type="pct"/>
            <w:tcBorders>
              <w:tl2br w:val="nil"/>
              <w:tr2bl w:val="nil"/>
            </w:tcBorders>
            <w:shd w:val="clear" w:color="auto" w:fill="auto"/>
            <w:noWrap/>
            <w:tcMar>
              <w:top w:w="15" w:type="dxa"/>
              <w:left w:w="15" w:type="dxa"/>
              <w:right w:w="15" w:type="dxa"/>
            </w:tcMar>
          </w:tcPr>
          <w:p w14:paraId="64A229C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367" w:type="dxa"/>
            <w:tcBorders>
              <w:tl2br w:val="nil"/>
              <w:tr2bl w:val="nil"/>
            </w:tcBorders>
            <w:shd w:val="clear" w:color="auto" w:fill="auto"/>
            <w:noWrap/>
            <w:tcMar>
              <w:top w:w="15" w:type="dxa"/>
              <w:left w:w="15" w:type="dxa"/>
              <w:right w:w="15" w:type="dxa"/>
            </w:tcMar>
            <w:vAlign w:val="center"/>
          </w:tcPr>
          <w:p w14:paraId="349AC1D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0.0242 </w:t>
            </w:r>
          </w:p>
        </w:tc>
      </w:tr>
      <w:tr w14:paraId="2F9070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2" w:type="pct"/>
            <w:tcBorders>
              <w:tl2br w:val="nil"/>
              <w:tr2bl w:val="nil"/>
            </w:tcBorders>
            <w:shd w:val="clear" w:color="auto" w:fill="auto"/>
            <w:noWrap/>
            <w:tcMar>
              <w:top w:w="15" w:type="dxa"/>
              <w:left w:w="15" w:type="dxa"/>
              <w:right w:w="15" w:type="dxa"/>
            </w:tcMar>
            <w:vAlign w:val="center"/>
          </w:tcPr>
          <w:p w14:paraId="2CBFB76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w:t>
            </w:r>
          </w:p>
        </w:tc>
        <w:tc>
          <w:tcPr>
            <w:tcW w:w="353" w:type="pct"/>
            <w:tcBorders>
              <w:tl2br w:val="nil"/>
              <w:tr2bl w:val="nil"/>
            </w:tcBorders>
            <w:shd w:val="clear" w:color="auto" w:fill="auto"/>
            <w:noWrap/>
            <w:tcMar>
              <w:top w:w="15" w:type="dxa"/>
              <w:left w:w="15" w:type="dxa"/>
              <w:right w:w="15" w:type="dxa"/>
            </w:tcMar>
            <w:vAlign w:val="center"/>
          </w:tcPr>
          <w:p w14:paraId="505B196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XM-4</w:t>
            </w:r>
          </w:p>
        </w:tc>
        <w:tc>
          <w:tcPr>
            <w:tcW w:w="332" w:type="pct"/>
            <w:tcBorders>
              <w:tl2br w:val="nil"/>
              <w:tr2bl w:val="nil"/>
            </w:tcBorders>
            <w:shd w:val="clear" w:color="auto" w:fill="auto"/>
            <w:noWrap/>
            <w:tcMar>
              <w:top w:w="15" w:type="dxa"/>
              <w:left w:w="15" w:type="dxa"/>
              <w:right w:w="15" w:type="dxa"/>
            </w:tcMar>
          </w:tcPr>
          <w:p w14:paraId="2078FC2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0.0560 </w:t>
            </w:r>
          </w:p>
        </w:tc>
        <w:tc>
          <w:tcPr>
            <w:tcW w:w="231" w:type="pct"/>
            <w:tcBorders>
              <w:tl2br w:val="nil"/>
              <w:tr2bl w:val="nil"/>
            </w:tcBorders>
            <w:shd w:val="clear" w:color="auto" w:fill="auto"/>
            <w:noWrap/>
            <w:tcMar>
              <w:top w:w="15" w:type="dxa"/>
              <w:left w:w="15" w:type="dxa"/>
              <w:right w:w="15" w:type="dxa"/>
            </w:tcMar>
          </w:tcPr>
          <w:p w14:paraId="506B688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0.0484 </w:t>
            </w:r>
          </w:p>
        </w:tc>
        <w:tc>
          <w:tcPr>
            <w:tcW w:w="231" w:type="pct"/>
            <w:tcBorders>
              <w:tl2br w:val="nil"/>
              <w:tr2bl w:val="nil"/>
            </w:tcBorders>
            <w:shd w:val="clear" w:color="auto" w:fill="auto"/>
            <w:noWrap/>
            <w:tcMar>
              <w:top w:w="15" w:type="dxa"/>
              <w:left w:w="15" w:type="dxa"/>
              <w:right w:w="15" w:type="dxa"/>
            </w:tcMar>
          </w:tcPr>
          <w:p w14:paraId="3086FD4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0.0053 </w:t>
            </w:r>
          </w:p>
        </w:tc>
        <w:tc>
          <w:tcPr>
            <w:tcW w:w="231" w:type="pct"/>
            <w:tcBorders>
              <w:tl2br w:val="nil"/>
              <w:tr2bl w:val="nil"/>
            </w:tcBorders>
            <w:shd w:val="clear" w:color="auto" w:fill="auto"/>
            <w:noWrap/>
            <w:tcMar>
              <w:top w:w="15" w:type="dxa"/>
              <w:left w:w="15" w:type="dxa"/>
              <w:right w:w="15" w:type="dxa"/>
            </w:tcMar>
          </w:tcPr>
          <w:p w14:paraId="1D1FA16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0.2057 </w:t>
            </w:r>
          </w:p>
        </w:tc>
        <w:tc>
          <w:tcPr>
            <w:tcW w:w="231" w:type="pct"/>
            <w:tcBorders>
              <w:tl2br w:val="nil"/>
              <w:tr2bl w:val="nil"/>
            </w:tcBorders>
            <w:shd w:val="clear" w:color="auto" w:fill="auto"/>
            <w:noWrap/>
            <w:tcMar>
              <w:top w:w="15" w:type="dxa"/>
              <w:left w:w="15" w:type="dxa"/>
              <w:right w:w="15" w:type="dxa"/>
            </w:tcMar>
          </w:tcPr>
          <w:p w14:paraId="32571A1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0.0020 </w:t>
            </w:r>
          </w:p>
        </w:tc>
        <w:tc>
          <w:tcPr>
            <w:tcW w:w="231" w:type="pct"/>
            <w:tcBorders>
              <w:tl2br w:val="nil"/>
              <w:tr2bl w:val="nil"/>
            </w:tcBorders>
            <w:shd w:val="clear" w:color="auto" w:fill="auto"/>
            <w:noWrap/>
            <w:tcMar>
              <w:top w:w="15" w:type="dxa"/>
              <w:left w:w="15" w:type="dxa"/>
              <w:right w:w="15" w:type="dxa"/>
            </w:tcMar>
          </w:tcPr>
          <w:p w14:paraId="557CE7F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0.0032 </w:t>
            </w:r>
          </w:p>
        </w:tc>
        <w:tc>
          <w:tcPr>
            <w:tcW w:w="231" w:type="pct"/>
            <w:tcBorders>
              <w:tl2br w:val="nil"/>
              <w:tr2bl w:val="nil"/>
            </w:tcBorders>
            <w:shd w:val="clear" w:color="auto" w:fill="auto"/>
            <w:noWrap/>
            <w:tcMar>
              <w:top w:w="15" w:type="dxa"/>
              <w:left w:w="15" w:type="dxa"/>
              <w:right w:w="15" w:type="dxa"/>
            </w:tcMar>
          </w:tcPr>
          <w:p w14:paraId="15F02AA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0.0522 </w:t>
            </w:r>
          </w:p>
        </w:tc>
        <w:tc>
          <w:tcPr>
            <w:tcW w:w="231" w:type="pct"/>
            <w:tcBorders>
              <w:tl2br w:val="nil"/>
              <w:tr2bl w:val="nil"/>
            </w:tcBorders>
            <w:shd w:val="clear" w:color="auto" w:fill="auto"/>
            <w:noWrap/>
            <w:tcMar>
              <w:top w:w="15" w:type="dxa"/>
              <w:left w:w="15" w:type="dxa"/>
              <w:right w:w="15" w:type="dxa"/>
            </w:tcMar>
          </w:tcPr>
          <w:p w14:paraId="20D7BFC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31" w:type="pct"/>
            <w:tcBorders>
              <w:tl2br w:val="nil"/>
              <w:tr2bl w:val="nil"/>
            </w:tcBorders>
            <w:shd w:val="clear" w:color="auto" w:fill="auto"/>
            <w:noWrap/>
            <w:tcMar>
              <w:top w:w="15" w:type="dxa"/>
              <w:left w:w="15" w:type="dxa"/>
              <w:right w:w="15" w:type="dxa"/>
            </w:tcMar>
          </w:tcPr>
          <w:p w14:paraId="2D76645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31" w:type="pct"/>
            <w:tcBorders>
              <w:tl2br w:val="nil"/>
              <w:tr2bl w:val="nil"/>
            </w:tcBorders>
            <w:shd w:val="clear" w:color="auto" w:fill="auto"/>
            <w:noWrap/>
            <w:tcMar>
              <w:top w:w="15" w:type="dxa"/>
              <w:left w:w="15" w:type="dxa"/>
              <w:right w:w="15" w:type="dxa"/>
            </w:tcMar>
          </w:tcPr>
          <w:p w14:paraId="1E01611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0.1967 </w:t>
            </w:r>
          </w:p>
        </w:tc>
        <w:tc>
          <w:tcPr>
            <w:tcW w:w="223" w:type="pct"/>
            <w:tcBorders>
              <w:tl2br w:val="nil"/>
              <w:tr2bl w:val="nil"/>
            </w:tcBorders>
          </w:tcPr>
          <w:p w14:paraId="6FF485B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0.0004 </w:t>
            </w:r>
          </w:p>
        </w:tc>
        <w:tc>
          <w:tcPr>
            <w:tcW w:w="223" w:type="pct"/>
            <w:tcBorders>
              <w:tl2br w:val="nil"/>
              <w:tr2bl w:val="nil"/>
            </w:tcBorders>
          </w:tcPr>
          <w:p w14:paraId="371DA2D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0.0083 </w:t>
            </w:r>
          </w:p>
        </w:tc>
        <w:tc>
          <w:tcPr>
            <w:tcW w:w="223" w:type="pct"/>
            <w:tcBorders>
              <w:tl2br w:val="nil"/>
              <w:tr2bl w:val="nil"/>
            </w:tcBorders>
          </w:tcPr>
          <w:p w14:paraId="17FB498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31" w:type="pct"/>
            <w:tcBorders>
              <w:tl2br w:val="nil"/>
              <w:tr2bl w:val="nil"/>
            </w:tcBorders>
          </w:tcPr>
          <w:p w14:paraId="768363F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44" w:type="pct"/>
            <w:tcBorders>
              <w:tl2br w:val="nil"/>
              <w:tr2bl w:val="nil"/>
            </w:tcBorders>
          </w:tcPr>
          <w:p w14:paraId="5EE086D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52" w:type="pct"/>
            <w:tcBorders>
              <w:tl2br w:val="nil"/>
              <w:tr2bl w:val="nil"/>
            </w:tcBorders>
            <w:shd w:val="clear" w:color="auto" w:fill="auto"/>
            <w:noWrap/>
            <w:tcMar>
              <w:top w:w="15" w:type="dxa"/>
              <w:left w:w="15" w:type="dxa"/>
              <w:right w:w="15" w:type="dxa"/>
            </w:tcMar>
          </w:tcPr>
          <w:p w14:paraId="7F19B15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367" w:type="dxa"/>
            <w:tcBorders>
              <w:tl2br w:val="nil"/>
              <w:tr2bl w:val="nil"/>
            </w:tcBorders>
            <w:shd w:val="clear" w:color="auto" w:fill="auto"/>
            <w:noWrap/>
            <w:tcMar>
              <w:top w:w="15" w:type="dxa"/>
              <w:left w:w="15" w:type="dxa"/>
              <w:right w:w="15" w:type="dxa"/>
            </w:tcMar>
            <w:vAlign w:val="center"/>
          </w:tcPr>
          <w:p w14:paraId="4EEE372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0.0036 </w:t>
            </w:r>
          </w:p>
        </w:tc>
      </w:tr>
      <w:tr w14:paraId="0166C5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2" w:type="pct"/>
            <w:tcBorders>
              <w:tl2br w:val="nil"/>
              <w:tr2bl w:val="nil"/>
            </w:tcBorders>
            <w:shd w:val="clear" w:color="auto" w:fill="auto"/>
            <w:noWrap/>
            <w:tcMar>
              <w:top w:w="15" w:type="dxa"/>
              <w:left w:w="15" w:type="dxa"/>
              <w:right w:w="15" w:type="dxa"/>
            </w:tcMar>
            <w:vAlign w:val="center"/>
          </w:tcPr>
          <w:p w14:paraId="78203AA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11</w:t>
            </w:r>
          </w:p>
        </w:tc>
        <w:tc>
          <w:tcPr>
            <w:tcW w:w="353" w:type="pct"/>
            <w:tcBorders>
              <w:tl2br w:val="nil"/>
              <w:tr2bl w:val="nil"/>
            </w:tcBorders>
            <w:shd w:val="clear" w:color="auto" w:fill="auto"/>
            <w:noWrap/>
            <w:tcMar>
              <w:top w:w="15" w:type="dxa"/>
              <w:left w:w="15" w:type="dxa"/>
              <w:right w:w="15" w:type="dxa"/>
            </w:tcMar>
            <w:vAlign w:val="center"/>
          </w:tcPr>
          <w:p w14:paraId="0E61F1A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XM-JJ-1</w:t>
            </w:r>
          </w:p>
        </w:tc>
        <w:tc>
          <w:tcPr>
            <w:tcW w:w="332" w:type="pct"/>
            <w:tcBorders>
              <w:tl2br w:val="nil"/>
              <w:tr2bl w:val="nil"/>
            </w:tcBorders>
            <w:shd w:val="clear" w:color="auto" w:fill="auto"/>
            <w:noWrap/>
            <w:tcMar>
              <w:top w:w="15" w:type="dxa"/>
              <w:left w:w="15" w:type="dxa"/>
              <w:right w:w="15" w:type="dxa"/>
            </w:tcMar>
          </w:tcPr>
          <w:p w14:paraId="2C302F1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0.2316 </w:t>
            </w:r>
          </w:p>
        </w:tc>
        <w:tc>
          <w:tcPr>
            <w:tcW w:w="231" w:type="pct"/>
            <w:tcBorders>
              <w:tl2br w:val="nil"/>
              <w:tr2bl w:val="nil"/>
            </w:tcBorders>
            <w:shd w:val="clear" w:color="auto" w:fill="auto"/>
            <w:noWrap/>
            <w:tcMar>
              <w:top w:w="15" w:type="dxa"/>
              <w:left w:w="15" w:type="dxa"/>
              <w:right w:w="15" w:type="dxa"/>
            </w:tcMar>
          </w:tcPr>
          <w:p w14:paraId="78EB087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0.0530 </w:t>
            </w:r>
          </w:p>
        </w:tc>
        <w:tc>
          <w:tcPr>
            <w:tcW w:w="231" w:type="pct"/>
            <w:tcBorders>
              <w:tl2br w:val="nil"/>
              <w:tr2bl w:val="nil"/>
            </w:tcBorders>
            <w:shd w:val="clear" w:color="auto" w:fill="auto"/>
            <w:noWrap/>
            <w:tcMar>
              <w:top w:w="15" w:type="dxa"/>
              <w:left w:w="15" w:type="dxa"/>
              <w:right w:w="15" w:type="dxa"/>
            </w:tcMar>
          </w:tcPr>
          <w:p w14:paraId="3079F58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0.0525 </w:t>
            </w:r>
          </w:p>
        </w:tc>
        <w:tc>
          <w:tcPr>
            <w:tcW w:w="231" w:type="pct"/>
            <w:tcBorders>
              <w:tl2br w:val="nil"/>
              <w:tr2bl w:val="nil"/>
            </w:tcBorders>
            <w:shd w:val="clear" w:color="auto" w:fill="auto"/>
            <w:noWrap/>
            <w:tcMar>
              <w:top w:w="15" w:type="dxa"/>
              <w:left w:w="15" w:type="dxa"/>
              <w:right w:w="15" w:type="dxa"/>
            </w:tcMar>
          </w:tcPr>
          <w:p w14:paraId="42A84BA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0.4700 </w:t>
            </w:r>
          </w:p>
        </w:tc>
        <w:tc>
          <w:tcPr>
            <w:tcW w:w="231" w:type="pct"/>
            <w:tcBorders>
              <w:tl2br w:val="nil"/>
              <w:tr2bl w:val="nil"/>
            </w:tcBorders>
            <w:shd w:val="clear" w:color="auto" w:fill="auto"/>
            <w:noWrap/>
            <w:tcMar>
              <w:top w:w="15" w:type="dxa"/>
              <w:left w:w="15" w:type="dxa"/>
              <w:right w:w="15" w:type="dxa"/>
            </w:tcMar>
          </w:tcPr>
          <w:p w14:paraId="2AB48DC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0.0010 </w:t>
            </w:r>
          </w:p>
        </w:tc>
        <w:tc>
          <w:tcPr>
            <w:tcW w:w="231" w:type="pct"/>
            <w:tcBorders>
              <w:tl2br w:val="nil"/>
              <w:tr2bl w:val="nil"/>
            </w:tcBorders>
            <w:shd w:val="clear" w:color="auto" w:fill="auto"/>
            <w:noWrap/>
            <w:tcMar>
              <w:top w:w="15" w:type="dxa"/>
              <w:left w:w="15" w:type="dxa"/>
              <w:right w:w="15" w:type="dxa"/>
            </w:tcMar>
          </w:tcPr>
          <w:p w14:paraId="6CC7A12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0.0100 </w:t>
            </w:r>
          </w:p>
        </w:tc>
        <w:tc>
          <w:tcPr>
            <w:tcW w:w="231" w:type="pct"/>
            <w:tcBorders>
              <w:tl2br w:val="nil"/>
              <w:tr2bl w:val="nil"/>
            </w:tcBorders>
            <w:shd w:val="clear" w:color="auto" w:fill="auto"/>
            <w:noWrap/>
            <w:tcMar>
              <w:top w:w="15" w:type="dxa"/>
              <w:left w:w="15" w:type="dxa"/>
              <w:right w:w="15" w:type="dxa"/>
            </w:tcMar>
          </w:tcPr>
          <w:p w14:paraId="5C47C6D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0.1333 </w:t>
            </w:r>
          </w:p>
        </w:tc>
        <w:tc>
          <w:tcPr>
            <w:tcW w:w="231" w:type="pct"/>
            <w:tcBorders>
              <w:tl2br w:val="nil"/>
              <w:tr2bl w:val="nil"/>
            </w:tcBorders>
            <w:shd w:val="clear" w:color="auto" w:fill="auto"/>
            <w:noWrap/>
            <w:tcMar>
              <w:top w:w="15" w:type="dxa"/>
              <w:left w:w="15" w:type="dxa"/>
              <w:right w:w="15" w:type="dxa"/>
            </w:tcMar>
          </w:tcPr>
          <w:p w14:paraId="182AF49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31" w:type="pct"/>
            <w:tcBorders>
              <w:tl2br w:val="nil"/>
              <w:tr2bl w:val="nil"/>
            </w:tcBorders>
            <w:shd w:val="clear" w:color="auto" w:fill="auto"/>
            <w:noWrap/>
            <w:tcMar>
              <w:top w:w="15" w:type="dxa"/>
              <w:left w:w="15" w:type="dxa"/>
              <w:right w:w="15" w:type="dxa"/>
            </w:tcMar>
          </w:tcPr>
          <w:p w14:paraId="0B050CB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31" w:type="pct"/>
            <w:tcBorders>
              <w:tl2br w:val="nil"/>
              <w:tr2bl w:val="nil"/>
            </w:tcBorders>
            <w:shd w:val="clear" w:color="auto" w:fill="auto"/>
            <w:noWrap/>
            <w:tcMar>
              <w:top w:w="15" w:type="dxa"/>
              <w:left w:w="15" w:type="dxa"/>
              <w:right w:w="15" w:type="dxa"/>
            </w:tcMar>
          </w:tcPr>
          <w:p w14:paraId="03DA3CC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0.3750 </w:t>
            </w:r>
          </w:p>
        </w:tc>
        <w:tc>
          <w:tcPr>
            <w:tcW w:w="223" w:type="pct"/>
            <w:tcBorders>
              <w:tl2br w:val="nil"/>
              <w:tr2bl w:val="nil"/>
            </w:tcBorders>
          </w:tcPr>
          <w:p w14:paraId="57E2E40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0.0017 </w:t>
            </w:r>
          </w:p>
        </w:tc>
        <w:tc>
          <w:tcPr>
            <w:tcW w:w="223" w:type="pct"/>
            <w:tcBorders>
              <w:tl2br w:val="nil"/>
              <w:tr2bl w:val="nil"/>
            </w:tcBorders>
          </w:tcPr>
          <w:p w14:paraId="6DFFB63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0.0250 </w:t>
            </w:r>
          </w:p>
        </w:tc>
        <w:tc>
          <w:tcPr>
            <w:tcW w:w="223" w:type="pct"/>
            <w:tcBorders>
              <w:tl2br w:val="nil"/>
              <w:tr2bl w:val="nil"/>
            </w:tcBorders>
          </w:tcPr>
          <w:p w14:paraId="4B0FE91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31" w:type="pct"/>
            <w:tcBorders>
              <w:tl2br w:val="nil"/>
              <w:tr2bl w:val="nil"/>
            </w:tcBorders>
          </w:tcPr>
          <w:p w14:paraId="729AF3A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44" w:type="pct"/>
            <w:tcBorders>
              <w:tl2br w:val="nil"/>
              <w:tr2bl w:val="nil"/>
            </w:tcBorders>
          </w:tcPr>
          <w:p w14:paraId="51DFDDC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52" w:type="pct"/>
            <w:tcBorders>
              <w:tl2br w:val="nil"/>
              <w:tr2bl w:val="nil"/>
            </w:tcBorders>
            <w:shd w:val="clear" w:color="auto" w:fill="auto"/>
            <w:noWrap/>
            <w:tcMar>
              <w:top w:w="15" w:type="dxa"/>
              <w:left w:w="15" w:type="dxa"/>
              <w:right w:w="15" w:type="dxa"/>
            </w:tcMar>
          </w:tcPr>
          <w:p w14:paraId="133CC33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367" w:type="dxa"/>
            <w:tcBorders>
              <w:tl2br w:val="nil"/>
              <w:tr2bl w:val="nil"/>
            </w:tcBorders>
            <w:shd w:val="clear" w:color="auto" w:fill="auto"/>
            <w:noWrap/>
            <w:tcMar>
              <w:top w:w="15" w:type="dxa"/>
              <w:left w:w="15" w:type="dxa"/>
              <w:right w:w="15" w:type="dxa"/>
            </w:tcMar>
            <w:vAlign w:val="center"/>
          </w:tcPr>
          <w:p w14:paraId="1976679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0.0036 </w:t>
            </w:r>
          </w:p>
        </w:tc>
      </w:tr>
      <w:tr w14:paraId="52E564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2" w:type="pct"/>
            <w:tcBorders>
              <w:tl2br w:val="nil"/>
              <w:tr2bl w:val="nil"/>
            </w:tcBorders>
            <w:shd w:val="clear" w:color="auto" w:fill="auto"/>
            <w:noWrap/>
            <w:tcMar>
              <w:top w:w="15" w:type="dxa"/>
              <w:left w:w="15" w:type="dxa"/>
              <w:right w:w="15" w:type="dxa"/>
            </w:tcMar>
            <w:vAlign w:val="center"/>
          </w:tcPr>
          <w:p w14:paraId="5753C53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w:t>
            </w:r>
          </w:p>
        </w:tc>
        <w:tc>
          <w:tcPr>
            <w:tcW w:w="353" w:type="pct"/>
            <w:tcBorders>
              <w:tl2br w:val="nil"/>
              <w:tr2bl w:val="nil"/>
            </w:tcBorders>
            <w:shd w:val="clear" w:color="auto" w:fill="auto"/>
            <w:noWrap/>
            <w:tcMar>
              <w:top w:w="15" w:type="dxa"/>
              <w:left w:w="15" w:type="dxa"/>
              <w:right w:w="15" w:type="dxa"/>
            </w:tcMar>
            <w:vAlign w:val="center"/>
          </w:tcPr>
          <w:p w14:paraId="7AB98F4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XM-JJ-2</w:t>
            </w:r>
          </w:p>
        </w:tc>
        <w:tc>
          <w:tcPr>
            <w:tcW w:w="332" w:type="pct"/>
            <w:tcBorders>
              <w:tl2br w:val="nil"/>
              <w:tr2bl w:val="nil"/>
            </w:tcBorders>
            <w:shd w:val="clear" w:color="auto" w:fill="auto"/>
            <w:noWrap/>
            <w:tcMar>
              <w:top w:w="15" w:type="dxa"/>
              <w:left w:w="15" w:type="dxa"/>
              <w:right w:w="15" w:type="dxa"/>
            </w:tcMar>
          </w:tcPr>
          <w:p w14:paraId="2F2F0FF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0.0433 </w:t>
            </w:r>
          </w:p>
        </w:tc>
        <w:tc>
          <w:tcPr>
            <w:tcW w:w="231" w:type="pct"/>
            <w:tcBorders>
              <w:tl2br w:val="nil"/>
              <w:tr2bl w:val="nil"/>
            </w:tcBorders>
            <w:shd w:val="clear" w:color="auto" w:fill="auto"/>
            <w:noWrap/>
            <w:tcMar>
              <w:top w:w="15" w:type="dxa"/>
              <w:left w:w="15" w:type="dxa"/>
              <w:right w:w="15" w:type="dxa"/>
            </w:tcMar>
          </w:tcPr>
          <w:p w14:paraId="065371C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0.0239 </w:t>
            </w:r>
          </w:p>
        </w:tc>
        <w:tc>
          <w:tcPr>
            <w:tcW w:w="231" w:type="pct"/>
            <w:tcBorders>
              <w:tl2br w:val="nil"/>
              <w:tr2bl w:val="nil"/>
            </w:tcBorders>
            <w:shd w:val="clear" w:color="auto" w:fill="auto"/>
            <w:noWrap/>
            <w:tcMar>
              <w:top w:w="15" w:type="dxa"/>
              <w:left w:w="15" w:type="dxa"/>
              <w:right w:w="15" w:type="dxa"/>
            </w:tcMar>
          </w:tcPr>
          <w:p w14:paraId="65B051C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0.0037 </w:t>
            </w:r>
          </w:p>
        </w:tc>
        <w:tc>
          <w:tcPr>
            <w:tcW w:w="231" w:type="pct"/>
            <w:tcBorders>
              <w:tl2br w:val="nil"/>
              <w:tr2bl w:val="nil"/>
            </w:tcBorders>
            <w:shd w:val="clear" w:color="auto" w:fill="auto"/>
            <w:noWrap/>
            <w:tcMar>
              <w:top w:w="15" w:type="dxa"/>
              <w:left w:w="15" w:type="dxa"/>
              <w:right w:w="15" w:type="dxa"/>
            </w:tcMar>
          </w:tcPr>
          <w:p w14:paraId="50FA60A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0.0643 </w:t>
            </w:r>
          </w:p>
        </w:tc>
        <w:tc>
          <w:tcPr>
            <w:tcW w:w="231" w:type="pct"/>
            <w:tcBorders>
              <w:tl2br w:val="nil"/>
              <w:tr2bl w:val="nil"/>
            </w:tcBorders>
            <w:shd w:val="clear" w:color="auto" w:fill="auto"/>
            <w:noWrap/>
            <w:tcMar>
              <w:top w:w="15" w:type="dxa"/>
              <w:left w:w="15" w:type="dxa"/>
              <w:right w:w="15" w:type="dxa"/>
            </w:tcMar>
          </w:tcPr>
          <w:p w14:paraId="55ABA6F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0.0001 </w:t>
            </w:r>
          </w:p>
        </w:tc>
        <w:tc>
          <w:tcPr>
            <w:tcW w:w="231" w:type="pct"/>
            <w:tcBorders>
              <w:tl2br w:val="nil"/>
              <w:tr2bl w:val="nil"/>
            </w:tcBorders>
            <w:shd w:val="clear" w:color="auto" w:fill="auto"/>
            <w:noWrap/>
            <w:tcMar>
              <w:top w:w="15" w:type="dxa"/>
              <w:left w:w="15" w:type="dxa"/>
              <w:right w:w="15" w:type="dxa"/>
            </w:tcMar>
          </w:tcPr>
          <w:p w14:paraId="43EBA7F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0.0009 </w:t>
            </w:r>
          </w:p>
        </w:tc>
        <w:tc>
          <w:tcPr>
            <w:tcW w:w="231" w:type="pct"/>
            <w:tcBorders>
              <w:tl2br w:val="nil"/>
              <w:tr2bl w:val="nil"/>
            </w:tcBorders>
            <w:shd w:val="clear" w:color="auto" w:fill="auto"/>
            <w:noWrap/>
            <w:tcMar>
              <w:top w:w="15" w:type="dxa"/>
              <w:left w:w="15" w:type="dxa"/>
              <w:right w:w="15" w:type="dxa"/>
            </w:tcMar>
          </w:tcPr>
          <w:p w14:paraId="4FF98B5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0.0156 </w:t>
            </w:r>
          </w:p>
        </w:tc>
        <w:tc>
          <w:tcPr>
            <w:tcW w:w="231" w:type="pct"/>
            <w:tcBorders>
              <w:tl2br w:val="nil"/>
              <w:tr2bl w:val="nil"/>
            </w:tcBorders>
            <w:shd w:val="clear" w:color="auto" w:fill="auto"/>
            <w:noWrap/>
            <w:tcMar>
              <w:top w:w="15" w:type="dxa"/>
              <w:left w:w="15" w:type="dxa"/>
              <w:right w:w="15" w:type="dxa"/>
            </w:tcMar>
          </w:tcPr>
          <w:p w14:paraId="48A00EA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31" w:type="pct"/>
            <w:tcBorders>
              <w:tl2br w:val="nil"/>
              <w:tr2bl w:val="nil"/>
            </w:tcBorders>
            <w:shd w:val="clear" w:color="auto" w:fill="auto"/>
            <w:noWrap/>
            <w:tcMar>
              <w:top w:w="15" w:type="dxa"/>
              <w:left w:w="15" w:type="dxa"/>
              <w:right w:w="15" w:type="dxa"/>
            </w:tcMar>
          </w:tcPr>
          <w:p w14:paraId="4BCB6DD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31" w:type="pct"/>
            <w:tcBorders>
              <w:tl2br w:val="nil"/>
              <w:tr2bl w:val="nil"/>
            </w:tcBorders>
            <w:shd w:val="clear" w:color="auto" w:fill="auto"/>
            <w:noWrap/>
            <w:tcMar>
              <w:top w:w="15" w:type="dxa"/>
              <w:left w:w="15" w:type="dxa"/>
              <w:right w:w="15" w:type="dxa"/>
            </w:tcMar>
          </w:tcPr>
          <w:p w14:paraId="7E744DB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0.0450 </w:t>
            </w:r>
          </w:p>
        </w:tc>
        <w:tc>
          <w:tcPr>
            <w:tcW w:w="223" w:type="pct"/>
            <w:tcBorders>
              <w:tl2br w:val="nil"/>
              <w:tr2bl w:val="nil"/>
            </w:tcBorders>
          </w:tcPr>
          <w:p w14:paraId="589F545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0.0001 </w:t>
            </w:r>
          </w:p>
        </w:tc>
        <w:tc>
          <w:tcPr>
            <w:tcW w:w="223" w:type="pct"/>
            <w:tcBorders>
              <w:tl2br w:val="nil"/>
              <w:tr2bl w:val="nil"/>
            </w:tcBorders>
          </w:tcPr>
          <w:p w14:paraId="78D6372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0.0008 </w:t>
            </w:r>
          </w:p>
        </w:tc>
        <w:tc>
          <w:tcPr>
            <w:tcW w:w="223" w:type="pct"/>
            <w:tcBorders>
              <w:tl2br w:val="nil"/>
              <w:tr2bl w:val="nil"/>
            </w:tcBorders>
          </w:tcPr>
          <w:p w14:paraId="0B79166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31" w:type="pct"/>
            <w:tcBorders>
              <w:tl2br w:val="nil"/>
              <w:tr2bl w:val="nil"/>
            </w:tcBorders>
          </w:tcPr>
          <w:p w14:paraId="618536C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44" w:type="pct"/>
            <w:tcBorders>
              <w:tl2br w:val="nil"/>
              <w:tr2bl w:val="nil"/>
            </w:tcBorders>
          </w:tcPr>
          <w:p w14:paraId="12F17DB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52" w:type="pct"/>
            <w:tcBorders>
              <w:tl2br w:val="nil"/>
              <w:tr2bl w:val="nil"/>
            </w:tcBorders>
            <w:shd w:val="clear" w:color="auto" w:fill="auto"/>
            <w:noWrap/>
            <w:tcMar>
              <w:top w:w="15" w:type="dxa"/>
              <w:left w:w="15" w:type="dxa"/>
              <w:right w:w="15" w:type="dxa"/>
            </w:tcMar>
          </w:tcPr>
          <w:p w14:paraId="5E73879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367" w:type="dxa"/>
            <w:tcBorders>
              <w:tl2br w:val="nil"/>
              <w:tr2bl w:val="nil"/>
            </w:tcBorders>
            <w:shd w:val="clear" w:color="auto" w:fill="auto"/>
            <w:noWrap/>
            <w:tcMar>
              <w:top w:w="15" w:type="dxa"/>
              <w:left w:w="15" w:type="dxa"/>
              <w:right w:w="15" w:type="dxa"/>
            </w:tcMar>
            <w:vAlign w:val="center"/>
          </w:tcPr>
          <w:p w14:paraId="4C7ECCA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0.0007 </w:t>
            </w:r>
          </w:p>
        </w:tc>
      </w:tr>
      <w:tr w14:paraId="53ED4C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2" w:type="pct"/>
            <w:tcBorders>
              <w:tl2br w:val="nil"/>
              <w:tr2bl w:val="nil"/>
            </w:tcBorders>
            <w:shd w:val="clear" w:color="auto" w:fill="auto"/>
            <w:noWrap/>
            <w:tcMar>
              <w:top w:w="15" w:type="dxa"/>
              <w:left w:w="15" w:type="dxa"/>
              <w:right w:w="15" w:type="dxa"/>
            </w:tcMar>
            <w:vAlign w:val="center"/>
          </w:tcPr>
          <w:p w14:paraId="2BB6A32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13</w:t>
            </w:r>
          </w:p>
        </w:tc>
        <w:tc>
          <w:tcPr>
            <w:tcW w:w="353" w:type="pct"/>
            <w:tcBorders>
              <w:tl2br w:val="nil"/>
              <w:tr2bl w:val="nil"/>
            </w:tcBorders>
            <w:shd w:val="clear" w:color="auto" w:fill="auto"/>
            <w:noWrap/>
            <w:tcMar>
              <w:top w:w="15" w:type="dxa"/>
              <w:left w:w="15" w:type="dxa"/>
              <w:right w:w="15" w:type="dxa"/>
            </w:tcMar>
            <w:vAlign w:val="center"/>
          </w:tcPr>
          <w:p w14:paraId="745D582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XM-JJ-3</w:t>
            </w:r>
          </w:p>
        </w:tc>
        <w:tc>
          <w:tcPr>
            <w:tcW w:w="332" w:type="pct"/>
            <w:tcBorders>
              <w:tl2br w:val="nil"/>
              <w:tr2bl w:val="nil"/>
            </w:tcBorders>
            <w:shd w:val="clear" w:color="auto" w:fill="auto"/>
            <w:noWrap/>
            <w:tcMar>
              <w:top w:w="15" w:type="dxa"/>
              <w:left w:w="15" w:type="dxa"/>
              <w:right w:w="15" w:type="dxa"/>
            </w:tcMar>
          </w:tcPr>
          <w:p w14:paraId="3FA779C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0.2867 </w:t>
            </w:r>
          </w:p>
        </w:tc>
        <w:tc>
          <w:tcPr>
            <w:tcW w:w="231" w:type="pct"/>
            <w:tcBorders>
              <w:tl2br w:val="nil"/>
              <w:tr2bl w:val="nil"/>
            </w:tcBorders>
            <w:shd w:val="clear" w:color="auto" w:fill="auto"/>
            <w:noWrap/>
            <w:tcMar>
              <w:top w:w="15" w:type="dxa"/>
              <w:left w:w="15" w:type="dxa"/>
              <w:right w:w="15" w:type="dxa"/>
            </w:tcMar>
          </w:tcPr>
          <w:p w14:paraId="44AAD50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0.0508 </w:t>
            </w:r>
          </w:p>
        </w:tc>
        <w:tc>
          <w:tcPr>
            <w:tcW w:w="231" w:type="pct"/>
            <w:tcBorders>
              <w:tl2br w:val="nil"/>
              <w:tr2bl w:val="nil"/>
            </w:tcBorders>
            <w:shd w:val="clear" w:color="auto" w:fill="auto"/>
            <w:noWrap/>
            <w:tcMar>
              <w:top w:w="15" w:type="dxa"/>
              <w:left w:w="15" w:type="dxa"/>
              <w:right w:w="15" w:type="dxa"/>
            </w:tcMar>
          </w:tcPr>
          <w:p w14:paraId="40E18AF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0.0213 </w:t>
            </w:r>
          </w:p>
        </w:tc>
        <w:tc>
          <w:tcPr>
            <w:tcW w:w="231" w:type="pct"/>
            <w:tcBorders>
              <w:tl2br w:val="nil"/>
              <w:tr2bl w:val="nil"/>
            </w:tcBorders>
            <w:shd w:val="clear" w:color="auto" w:fill="auto"/>
            <w:noWrap/>
            <w:tcMar>
              <w:top w:w="15" w:type="dxa"/>
              <w:left w:w="15" w:type="dxa"/>
              <w:right w:w="15" w:type="dxa"/>
            </w:tcMar>
          </w:tcPr>
          <w:p w14:paraId="36A1C8D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0.7150 </w:t>
            </w:r>
          </w:p>
        </w:tc>
        <w:tc>
          <w:tcPr>
            <w:tcW w:w="231" w:type="pct"/>
            <w:tcBorders>
              <w:tl2br w:val="nil"/>
              <w:tr2bl w:val="nil"/>
            </w:tcBorders>
            <w:shd w:val="clear" w:color="auto" w:fill="auto"/>
            <w:noWrap/>
            <w:tcMar>
              <w:top w:w="15" w:type="dxa"/>
              <w:left w:w="15" w:type="dxa"/>
              <w:right w:w="15" w:type="dxa"/>
            </w:tcMar>
          </w:tcPr>
          <w:p w14:paraId="04E6170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0.0005 </w:t>
            </w:r>
          </w:p>
        </w:tc>
        <w:tc>
          <w:tcPr>
            <w:tcW w:w="231" w:type="pct"/>
            <w:tcBorders>
              <w:tl2br w:val="nil"/>
              <w:tr2bl w:val="nil"/>
            </w:tcBorders>
            <w:shd w:val="clear" w:color="auto" w:fill="auto"/>
            <w:noWrap/>
            <w:tcMar>
              <w:top w:w="15" w:type="dxa"/>
              <w:left w:w="15" w:type="dxa"/>
              <w:right w:w="15" w:type="dxa"/>
            </w:tcMar>
          </w:tcPr>
          <w:p w14:paraId="401E602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0.0105 </w:t>
            </w:r>
          </w:p>
        </w:tc>
        <w:tc>
          <w:tcPr>
            <w:tcW w:w="231" w:type="pct"/>
            <w:tcBorders>
              <w:tl2br w:val="nil"/>
              <w:tr2bl w:val="nil"/>
            </w:tcBorders>
            <w:shd w:val="clear" w:color="auto" w:fill="auto"/>
            <w:noWrap/>
            <w:tcMar>
              <w:top w:w="15" w:type="dxa"/>
              <w:left w:w="15" w:type="dxa"/>
              <w:right w:w="15" w:type="dxa"/>
            </w:tcMar>
          </w:tcPr>
          <w:p w14:paraId="18C34EA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0.1467 </w:t>
            </w:r>
          </w:p>
        </w:tc>
        <w:tc>
          <w:tcPr>
            <w:tcW w:w="231" w:type="pct"/>
            <w:tcBorders>
              <w:tl2br w:val="nil"/>
              <w:tr2bl w:val="nil"/>
            </w:tcBorders>
            <w:shd w:val="clear" w:color="auto" w:fill="auto"/>
            <w:noWrap/>
            <w:tcMar>
              <w:top w:w="15" w:type="dxa"/>
              <w:left w:w="15" w:type="dxa"/>
              <w:right w:w="15" w:type="dxa"/>
            </w:tcMar>
          </w:tcPr>
          <w:p w14:paraId="42C4E2C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31" w:type="pct"/>
            <w:tcBorders>
              <w:tl2br w:val="nil"/>
              <w:tr2bl w:val="nil"/>
            </w:tcBorders>
            <w:shd w:val="clear" w:color="auto" w:fill="auto"/>
            <w:noWrap/>
            <w:tcMar>
              <w:top w:w="15" w:type="dxa"/>
              <w:left w:w="15" w:type="dxa"/>
              <w:right w:w="15" w:type="dxa"/>
            </w:tcMar>
          </w:tcPr>
          <w:p w14:paraId="36053F8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31" w:type="pct"/>
            <w:tcBorders>
              <w:tl2br w:val="nil"/>
              <w:tr2bl w:val="nil"/>
            </w:tcBorders>
            <w:shd w:val="clear" w:color="auto" w:fill="auto"/>
            <w:noWrap/>
            <w:tcMar>
              <w:top w:w="15" w:type="dxa"/>
              <w:left w:w="15" w:type="dxa"/>
              <w:right w:w="15" w:type="dxa"/>
            </w:tcMar>
          </w:tcPr>
          <w:p w14:paraId="4E9DD1F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0.4750 </w:t>
            </w:r>
          </w:p>
        </w:tc>
        <w:tc>
          <w:tcPr>
            <w:tcW w:w="223" w:type="pct"/>
            <w:tcBorders>
              <w:tl2br w:val="nil"/>
              <w:tr2bl w:val="nil"/>
            </w:tcBorders>
          </w:tcPr>
          <w:p w14:paraId="11B5370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0.0017 </w:t>
            </w:r>
          </w:p>
        </w:tc>
        <w:tc>
          <w:tcPr>
            <w:tcW w:w="223" w:type="pct"/>
            <w:tcBorders>
              <w:tl2br w:val="nil"/>
              <w:tr2bl w:val="nil"/>
            </w:tcBorders>
          </w:tcPr>
          <w:p w14:paraId="1F6E3E2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0.0300 </w:t>
            </w:r>
          </w:p>
        </w:tc>
        <w:tc>
          <w:tcPr>
            <w:tcW w:w="223" w:type="pct"/>
            <w:tcBorders>
              <w:tl2br w:val="nil"/>
              <w:tr2bl w:val="nil"/>
            </w:tcBorders>
          </w:tcPr>
          <w:p w14:paraId="6F3E74C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31" w:type="pct"/>
            <w:tcBorders>
              <w:tl2br w:val="nil"/>
              <w:tr2bl w:val="nil"/>
            </w:tcBorders>
          </w:tcPr>
          <w:p w14:paraId="40139F2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44" w:type="pct"/>
            <w:tcBorders>
              <w:tl2br w:val="nil"/>
              <w:tr2bl w:val="nil"/>
            </w:tcBorders>
          </w:tcPr>
          <w:p w14:paraId="17006F9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52" w:type="pct"/>
            <w:tcBorders>
              <w:tl2br w:val="nil"/>
              <w:tr2bl w:val="nil"/>
            </w:tcBorders>
            <w:shd w:val="clear" w:color="auto" w:fill="auto"/>
            <w:noWrap/>
            <w:tcMar>
              <w:top w:w="15" w:type="dxa"/>
              <w:left w:w="15" w:type="dxa"/>
              <w:right w:w="15" w:type="dxa"/>
            </w:tcMar>
          </w:tcPr>
          <w:p w14:paraId="1942301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367" w:type="dxa"/>
            <w:tcBorders>
              <w:tl2br w:val="nil"/>
              <w:tr2bl w:val="nil"/>
            </w:tcBorders>
            <w:shd w:val="clear" w:color="auto" w:fill="auto"/>
            <w:noWrap/>
            <w:tcMar>
              <w:top w:w="15" w:type="dxa"/>
              <w:left w:w="15" w:type="dxa"/>
              <w:right w:w="15" w:type="dxa"/>
            </w:tcMar>
            <w:vAlign w:val="center"/>
          </w:tcPr>
          <w:p w14:paraId="076FC3F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0.0036 </w:t>
            </w:r>
          </w:p>
        </w:tc>
      </w:tr>
      <w:tr w14:paraId="4F64BD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2" w:type="pct"/>
            <w:tcBorders>
              <w:tl2br w:val="nil"/>
              <w:tr2bl w:val="nil"/>
            </w:tcBorders>
            <w:shd w:val="clear" w:color="auto" w:fill="auto"/>
            <w:noWrap/>
            <w:tcMar>
              <w:top w:w="15" w:type="dxa"/>
              <w:left w:w="15" w:type="dxa"/>
              <w:right w:w="15" w:type="dxa"/>
            </w:tcMar>
            <w:vAlign w:val="center"/>
          </w:tcPr>
          <w:p w14:paraId="162E712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14</w:t>
            </w:r>
          </w:p>
        </w:tc>
        <w:tc>
          <w:tcPr>
            <w:tcW w:w="353" w:type="pct"/>
            <w:tcBorders>
              <w:tl2br w:val="nil"/>
              <w:tr2bl w:val="nil"/>
            </w:tcBorders>
            <w:shd w:val="clear" w:color="auto" w:fill="auto"/>
            <w:noWrap/>
            <w:tcMar>
              <w:top w:w="15" w:type="dxa"/>
              <w:left w:w="15" w:type="dxa"/>
              <w:right w:w="15" w:type="dxa"/>
            </w:tcMar>
            <w:vAlign w:val="center"/>
          </w:tcPr>
          <w:p w14:paraId="5FB6E83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XM-JJ-4</w:t>
            </w:r>
          </w:p>
        </w:tc>
        <w:tc>
          <w:tcPr>
            <w:tcW w:w="332" w:type="pct"/>
            <w:tcBorders>
              <w:tl2br w:val="nil"/>
              <w:tr2bl w:val="nil"/>
            </w:tcBorders>
            <w:shd w:val="clear" w:color="auto" w:fill="auto"/>
            <w:noWrap/>
            <w:tcMar>
              <w:top w:w="15" w:type="dxa"/>
              <w:left w:w="15" w:type="dxa"/>
              <w:right w:w="15" w:type="dxa"/>
            </w:tcMar>
          </w:tcPr>
          <w:p w14:paraId="2F87909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0.0713 </w:t>
            </w:r>
          </w:p>
        </w:tc>
        <w:tc>
          <w:tcPr>
            <w:tcW w:w="231" w:type="pct"/>
            <w:tcBorders>
              <w:tl2br w:val="nil"/>
              <w:tr2bl w:val="nil"/>
            </w:tcBorders>
            <w:shd w:val="clear" w:color="auto" w:fill="auto"/>
            <w:noWrap/>
            <w:tcMar>
              <w:top w:w="15" w:type="dxa"/>
              <w:left w:w="15" w:type="dxa"/>
              <w:right w:w="15" w:type="dxa"/>
            </w:tcMar>
          </w:tcPr>
          <w:p w14:paraId="64C6101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0.0423 </w:t>
            </w:r>
          </w:p>
        </w:tc>
        <w:tc>
          <w:tcPr>
            <w:tcW w:w="231" w:type="pct"/>
            <w:tcBorders>
              <w:tl2br w:val="nil"/>
              <w:tr2bl w:val="nil"/>
            </w:tcBorders>
            <w:shd w:val="clear" w:color="auto" w:fill="auto"/>
            <w:noWrap/>
            <w:tcMar>
              <w:top w:w="15" w:type="dxa"/>
              <w:left w:w="15" w:type="dxa"/>
              <w:right w:w="15" w:type="dxa"/>
            </w:tcMar>
          </w:tcPr>
          <w:p w14:paraId="671EA8D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0.0045 </w:t>
            </w:r>
          </w:p>
        </w:tc>
        <w:tc>
          <w:tcPr>
            <w:tcW w:w="231" w:type="pct"/>
            <w:tcBorders>
              <w:tl2br w:val="nil"/>
              <w:tr2bl w:val="nil"/>
            </w:tcBorders>
            <w:shd w:val="clear" w:color="auto" w:fill="auto"/>
            <w:noWrap/>
            <w:tcMar>
              <w:top w:w="15" w:type="dxa"/>
              <w:left w:w="15" w:type="dxa"/>
              <w:right w:w="15" w:type="dxa"/>
            </w:tcMar>
          </w:tcPr>
          <w:p w14:paraId="1F60077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0.1857 </w:t>
            </w:r>
          </w:p>
        </w:tc>
        <w:tc>
          <w:tcPr>
            <w:tcW w:w="231" w:type="pct"/>
            <w:tcBorders>
              <w:tl2br w:val="nil"/>
              <w:tr2bl w:val="nil"/>
            </w:tcBorders>
            <w:shd w:val="clear" w:color="auto" w:fill="auto"/>
            <w:noWrap/>
            <w:tcMar>
              <w:top w:w="15" w:type="dxa"/>
              <w:left w:w="15" w:type="dxa"/>
              <w:right w:w="15" w:type="dxa"/>
            </w:tcMar>
          </w:tcPr>
          <w:p w14:paraId="70E4F87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0.0017 </w:t>
            </w:r>
          </w:p>
        </w:tc>
        <w:tc>
          <w:tcPr>
            <w:tcW w:w="231" w:type="pct"/>
            <w:tcBorders>
              <w:tl2br w:val="nil"/>
              <w:tr2bl w:val="nil"/>
            </w:tcBorders>
            <w:shd w:val="clear" w:color="auto" w:fill="auto"/>
            <w:noWrap/>
            <w:tcMar>
              <w:top w:w="15" w:type="dxa"/>
              <w:left w:w="15" w:type="dxa"/>
              <w:right w:w="15" w:type="dxa"/>
            </w:tcMar>
          </w:tcPr>
          <w:p w14:paraId="7297310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0.0103 </w:t>
            </w:r>
          </w:p>
        </w:tc>
        <w:tc>
          <w:tcPr>
            <w:tcW w:w="231" w:type="pct"/>
            <w:tcBorders>
              <w:tl2br w:val="nil"/>
              <w:tr2bl w:val="nil"/>
            </w:tcBorders>
            <w:shd w:val="clear" w:color="auto" w:fill="auto"/>
            <w:noWrap/>
            <w:tcMar>
              <w:top w:w="15" w:type="dxa"/>
              <w:left w:w="15" w:type="dxa"/>
              <w:right w:w="15" w:type="dxa"/>
            </w:tcMar>
          </w:tcPr>
          <w:p w14:paraId="0FBD749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0.0378 </w:t>
            </w:r>
          </w:p>
        </w:tc>
        <w:tc>
          <w:tcPr>
            <w:tcW w:w="231" w:type="pct"/>
            <w:tcBorders>
              <w:tl2br w:val="nil"/>
              <w:tr2bl w:val="nil"/>
            </w:tcBorders>
            <w:shd w:val="clear" w:color="auto" w:fill="auto"/>
            <w:noWrap/>
            <w:tcMar>
              <w:top w:w="15" w:type="dxa"/>
              <w:left w:w="15" w:type="dxa"/>
              <w:right w:w="15" w:type="dxa"/>
            </w:tcMar>
          </w:tcPr>
          <w:p w14:paraId="4F7B3BB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31" w:type="pct"/>
            <w:tcBorders>
              <w:tl2br w:val="nil"/>
              <w:tr2bl w:val="nil"/>
            </w:tcBorders>
            <w:shd w:val="clear" w:color="auto" w:fill="auto"/>
            <w:noWrap/>
            <w:tcMar>
              <w:top w:w="15" w:type="dxa"/>
              <w:left w:w="15" w:type="dxa"/>
              <w:right w:w="15" w:type="dxa"/>
            </w:tcMar>
          </w:tcPr>
          <w:p w14:paraId="7634BAD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31" w:type="pct"/>
            <w:tcBorders>
              <w:tl2br w:val="nil"/>
              <w:tr2bl w:val="nil"/>
            </w:tcBorders>
            <w:shd w:val="clear" w:color="auto" w:fill="auto"/>
            <w:noWrap/>
            <w:tcMar>
              <w:top w:w="15" w:type="dxa"/>
              <w:left w:w="15" w:type="dxa"/>
              <w:right w:w="15" w:type="dxa"/>
            </w:tcMar>
          </w:tcPr>
          <w:p w14:paraId="4DCCF0B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0.3083 </w:t>
            </w:r>
          </w:p>
        </w:tc>
        <w:tc>
          <w:tcPr>
            <w:tcW w:w="223" w:type="pct"/>
            <w:tcBorders>
              <w:tl2br w:val="nil"/>
              <w:tr2bl w:val="nil"/>
            </w:tcBorders>
          </w:tcPr>
          <w:p w14:paraId="6C291D6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0.0008 </w:t>
            </w:r>
          </w:p>
        </w:tc>
        <w:tc>
          <w:tcPr>
            <w:tcW w:w="223" w:type="pct"/>
            <w:tcBorders>
              <w:tl2br w:val="nil"/>
              <w:tr2bl w:val="nil"/>
            </w:tcBorders>
          </w:tcPr>
          <w:p w14:paraId="0978ADE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0.0083 </w:t>
            </w:r>
          </w:p>
        </w:tc>
        <w:tc>
          <w:tcPr>
            <w:tcW w:w="223" w:type="pct"/>
            <w:tcBorders>
              <w:tl2br w:val="nil"/>
              <w:tr2bl w:val="nil"/>
            </w:tcBorders>
          </w:tcPr>
          <w:p w14:paraId="3E39F29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0.0001 </w:t>
            </w:r>
          </w:p>
        </w:tc>
        <w:tc>
          <w:tcPr>
            <w:tcW w:w="431" w:type="pct"/>
            <w:tcBorders>
              <w:tl2br w:val="nil"/>
              <w:tr2bl w:val="nil"/>
            </w:tcBorders>
          </w:tcPr>
          <w:p w14:paraId="469A468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244" w:type="pct"/>
            <w:tcBorders>
              <w:tl2br w:val="nil"/>
              <w:tr2bl w:val="nil"/>
            </w:tcBorders>
          </w:tcPr>
          <w:p w14:paraId="6645369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0.0007 </w:t>
            </w:r>
          </w:p>
        </w:tc>
        <w:tc>
          <w:tcPr>
            <w:tcW w:w="252" w:type="pct"/>
            <w:tcBorders>
              <w:tl2br w:val="nil"/>
              <w:tr2bl w:val="nil"/>
            </w:tcBorders>
            <w:shd w:val="clear" w:color="auto" w:fill="auto"/>
            <w:noWrap/>
            <w:tcMar>
              <w:top w:w="15" w:type="dxa"/>
              <w:left w:w="15" w:type="dxa"/>
              <w:right w:w="15" w:type="dxa"/>
            </w:tcMar>
          </w:tcPr>
          <w:p w14:paraId="7275DB1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1367" w:type="dxa"/>
            <w:tcBorders>
              <w:tl2br w:val="nil"/>
              <w:tr2bl w:val="nil"/>
            </w:tcBorders>
            <w:shd w:val="clear" w:color="auto" w:fill="auto"/>
            <w:noWrap/>
            <w:tcMar>
              <w:top w:w="15" w:type="dxa"/>
              <w:left w:w="15" w:type="dxa"/>
              <w:right w:w="15" w:type="dxa"/>
            </w:tcMar>
            <w:vAlign w:val="center"/>
          </w:tcPr>
          <w:p w14:paraId="1FFC98E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0.0129 </w:t>
            </w:r>
          </w:p>
        </w:tc>
      </w:tr>
      <w:tr w14:paraId="0256F4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4" w:type="pct"/>
            <w:gridSpan w:val="2"/>
            <w:tcBorders>
              <w:tl2br w:val="nil"/>
              <w:tr2bl w:val="nil"/>
            </w:tcBorders>
            <w:shd w:val="clear" w:color="auto" w:fill="auto"/>
            <w:noWrap/>
            <w:tcMar>
              <w:top w:w="15" w:type="dxa"/>
              <w:left w:w="15" w:type="dxa"/>
              <w:right w:w="15" w:type="dxa"/>
            </w:tcMar>
            <w:vAlign w:val="center"/>
          </w:tcPr>
          <w:p w14:paraId="07B6152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最大值</w:t>
            </w:r>
          </w:p>
        </w:tc>
        <w:tc>
          <w:tcPr>
            <w:tcW w:w="332" w:type="pct"/>
            <w:tcBorders>
              <w:tl2br w:val="nil"/>
              <w:tr2bl w:val="nil"/>
            </w:tcBorders>
            <w:shd w:val="clear" w:color="auto" w:fill="auto"/>
            <w:noWrap/>
            <w:tcMar>
              <w:top w:w="15" w:type="dxa"/>
              <w:left w:w="15" w:type="dxa"/>
              <w:right w:w="15" w:type="dxa"/>
            </w:tcMar>
          </w:tcPr>
          <w:p w14:paraId="3A8B536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0.3505 </w:t>
            </w:r>
          </w:p>
        </w:tc>
        <w:tc>
          <w:tcPr>
            <w:tcW w:w="231" w:type="pct"/>
            <w:tcBorders>
              <w:tl2br w:val="nil"/>
              <w:tr2bl w:val="nil"/>
            </w:tcBorders>
            <w:shd w:val="clear" w:color="auto" w:fill="auto"/>
            <w:noWrap/>
            <w:tcMar>
              <w:top w:w="15" w:type="dxa"/>
              <w:left w:w="15" w:type="dxa"/>
              <w:right w:w="15" w:type="dxa"/>
            </w:tcMar>
          </w:tcPr>
          <w:p w14:paraId="17C8845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0.3457 </w:t>
            </w:r>
          </w:p>
        </w:tc>
        <w:tc>
          <w:tcPr>
            <w:tcW w:w="231" w:type="pct"/>
            <w:tcBorders>
              <w:tl2br w:val="nil"/>
              <w:tr2bl w:val="nil"/>
            </w:tcBorders>
            <w:shd w:val="clear" w:color="auto" w:fill="auto"/>
            <w:noWrap/>
            <w:tcMar>
              <w:top w:w="15" w:type="dxa"/>
              <w:left w:w="15" w:type="dxa"/>
              <w:right w:w="15" w:type="dxa"/>
            </w:tcMar>
          </w:tcPr>
          <w:p w14:paraId="69EA549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0.3400 </w:t>
            </w:r>
          </w:p>
        </w:tc>
        <w:tc>
          <w:tcPr>
            <w:tcW w:w="231" w:type="pct"/>
            <w:tcBorders>
              <w:tl2br w:val="nil"/>
              <w:tr2bl w:val="nil"/>
            </w:tcBorders>
            <w:shd w:val="clear" w:color="auto" w:fill="auto"/>
            <w:noWrap/>
            <w:tcMar>
              <w:top w:w="15" w:type="dxa"/>
              <w:left w:w="15" w:type="dxa"/>
              <w:right w:w="15" w:type="dxa"/>
            </w:tcMar>
          </w:tcPr>
          <w:p w14:paraId="4B0B133C">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 xml:space="preserve">0.8000 </w:t>
            </w:r>
          </w:p>
        </w:tc>
        <w:tc>
          <w:tcPr>
            <w:tcW w:w="231" w:type="pct"/>
            <w:tcBorders>
              <w:tl2br w:val="nil"/>
              <w:tr2bl w:val="nil"/>
            </w:tcBorders>
            <w:shd w:val="clear" w:color="auto" w:fill="auto"/>
            <w:noWrap/>
            <w:tcMar>
              <w:top w:w="15" w:type="dxa"/>
              <w:left w:w="15" w:type="dxa"/>
              <w:right w:w="15" w:type="dxa"/>
            </w:tcMar>
          </w:tcPr>
          <w:p w14:paraId="6AAD481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0.3000 </w:t>
            </w:r>
          </w:p>
        </w:tc>
        <w:tc>
          <w:tcPr>
            <w:tcW w:w="231" w:type="pct"/>
            <w:tcBorders>
              <w:tl2br w:val="nil"/>
              <w:tr2bl w:val="nil"/>
            </w:tcBorders>
            <w:shd w:val="clear" w:color="auto" w:fill="auto"/>
            <w:noWrap/>
            <w:tcMar>
              <w:top w:w="15" w:type="dxa"/>
              <w:left w:w="15" w:type="dxa"/>
              <w:right w:w="15" w:type="dxa"/>
            </w:tcMar>
          </w:tcPr>
          <w:p w14:paraId="023EBBF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0.4800 </w:t>
            </w:r>
          </w:p>
        </w:tc>
        <w:tc>
          <w:tcPr>
            <w:tcW w:w="231" w:type="pct"/>
            <w:tcBorders>
              <w:tl2br w:val="nil"/>
              <w:tr2bl w:val="nil"/>
            </w:tcBorders>
            <w:shd w:val="clear" w:color="auto" w:fill="auto"/>
            <w:noWrap/>
            <w:tcMar>
              <w:top w:w="15" w:type="dxa"/>
              <w:left w:w="15" w:type="dxa"/>
              <w:right w:w="15" w:type="dxa"/>
            </w:tcMar>
          </w:tcPr>
          <w:p w14:paraId="219F933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0.3000 </w:t>
            </w:r>
          </w:p>
        </w:tc>
        <w:tc>
          <w:tcPr>
            <w:tcW w:w="231" w:type="pct"/>
            <w:tcBorders>
              <w:tl2br w:val="nil"/>
              <w:tr2bl w:val="nil"/>
            </w:tcBorders>
            <w:shd w:val="clear" w:color="auto" w:fill="auto"/>
            <w:noWrap/>
            <w:tcMar>
              <w:top w:w="15" w:type="dxa"/>
              <w:left w:w="15" w:type="dxa"/>
              <w:right w:w="15" w:type="dxa"/>
            </w:tcMar>
          </w:tcPr>
          <w:p w14:paraId="014EAA1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0.3280 </w:t>
            </w:r>
          </w:p>
        </w:tc>
        <w:tc>
          <w:tcPr>
            <w:tcW w:w="231" w:type="pct"/>
            <w:tcBorders>
              <w:tl2br w:val="nil"/>
              <w:tr2bl w:val="nil"/>
            </w:tcBorders>
            <w:shd w:val="clear" w:color="auto" w:fill="auto"/>
            <w:noWrap/>
            <w:tcMar>
              <w:top w:w="15" w:type="dxa"/>
              <w:left w:w="15" w:type="dxa"/>
              <w:right w:w="15" w:type="dxa"/>
            </w:tcMar>
          </w:tcPr>
          <w:p w14:paraId="4B5263C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0.2900 </w:t>
            </w:r>
          </w:p>
        </w:tc>
        <w:tc>
          <w:tcPr>
            <w:tcW w:w="231" w:type="pct"/>
            <w:tcBorders>
              <w:tl2br w:val="nil"/>
              <w:tr2bl w:val="nil"/>
            </w:tcBorders>
            <w:shd w:val="clear" w:color="auto" w:fill="auto"/>
            <w:noWrap/>
            <w:tcMar>
              <w:top w:w="15" w:type="dxa"/>
              <w:left w:w="15" w:type="dxa"/>
              <w:right w:w="15" w:type="dxa"/>
            </w:tcMar>
          </w:tcPr>
          <w:p w14:paraId="291A2B3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0.4750 </w:t>
            </w:r>
          </w:p>
        </w:tc>
        <w:tc>
          <w:tcPr>
            <w:tcW w:w="223" w:type="pct"/>
            <w:tcBorders>
              <w:tl2br w:val="nil"/>
              <w:tr2bl w:val="nil"/>
            </w:tcBorders>
          </w:tcPr>
          <w:p w14:paraId="6B7A760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0.0047 </w:t>
            </w:r>
          </w:p>
        </w:tc>
        <w:tc>
          <w:tcPr>
            <w:tcW w:w="223" w:type="pct"/>
            <w:tcBorders>
              <w:tl2br w:val="nil"/>
              <w:tr2bl w:val="nil"/>
            </w:tcBorders>
          </w:tcPr>
          <w:p w14:paraId="342CBDC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0.0550 </w:t>
            </w:r>
          </w:p>
        </w:tc>
        <w:tc>
          <w:tcPr>
            <w:tcW w:w="223" w:type="pct"/>
            <w:tcBorders>
              <w:tl2br w:val="nil"/>
              <w:tr2bl w:val="nil"/>
            </w:tcBorders>
          </w:tcPr>
          <w:p w14:paraId="17BDD17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0.0001 </w:t>
            </w:r>
          </w:p>
        </w:tc>
        <w:tc>
          <w:tcPr>
            <w:tcW w:w="431" w:type="pct"/>
            <w:tcBorders>
              <w:tl2br w:val="nil"/>
              <w:tr2bl w:val="nil"/>
            </w:tcBorders>
          </w:tcPr>
          <w:p w14:paraId="3F61EFB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244" w:type="pct"/>
            <w:tcBorders>
              <w:tl2br w:val="nil"/>
              <w:tr2bl w:val="nil"/>
            </w:tcBorders>
          </w:tcPr>
          <w:p w14:paraId="3D32A1D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0.0007 </w:t>
            </w:r>
          </w:p>
        </w:tc>
        <w:tc>
          <w:tcPr>
            <w:tcW w:w="252" w:type="pct"/>
            <w:tcBorders>
              <w:tl2br w:val="nil"/>
              <w:tr2bl w:val="nil"/>
            </w:tcBorders>
            <w:shd w:val="clear" w:color="auto" w:fill="auto"/>
            <w:noWrap/>
            <w:tcMar>
              <w:top w:w="15" w:type="dxa"/>
              <w:left w:w="15" w:type="dxa"/>
              <w:right w:w="15" w:type="dxa"/>
            </w:tcMar>
          </w:tcPr>
          <w:p w14:paraId="171610A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1367" w:type="dxa"/>
            <w:tcBorders>
              <w:tl2br w:val="nil"/>
              <w:tr2bl w:val="nil"/>
            </w:tcBorders>
            <w:shd w:val="clear" w:color="auto" w:fill="auto"/>
            <w:noWrap/>
            <w:tcMar>
              <w:top w:w="15" w:type="dxa"/>
              <w:left w:w="15" w:type="dxa"/>
              <w:right w:w="15" w:type="dxa"/>
            </w:tcMar>
            <w:vAlign w:val="center"/>
          </w:tcPr>
          <w:p w14:paraId="073E8752">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 xml:space="preserve">0.0339 </w:t>
            </w:r>
          </w:p>
        </w:tc>
      </w:tr>
      <w:tr w14:paraId="17B195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4" w:type="pct"/>
            <w:gridSpan w:val="2"/>
            <w:tcBorders>
              <w:tl2br w:val="nil"/>
              <w:tr2bl w:val="nil"/>
            </w:tcBorders>
            <w:shd w:val="clear" w:color="auto" w:fill="auto"/>
            <w:noWrap/>
            <w:tcMar>
              <w:top w:w="15" w:type="dxa"/>
              <w:left w:w="15" w:type="dxa"/>
              <w:right w:w="15" w:type="dxa"/>
            </w:tcMar>
            <w:vAlign w:val="center"/>
          </w:tcPr>
          <w:p w14:paraId="279126B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最小值</w:t>
            </w:r>
          </w:p>
        </w:tc>
        <w:tc>
          <w:tcPr>
            <w:tcW w:w="332" w:type="pct"/>
            <w:tcBorders>
              <w:tl2br w:val="nil"/>
              <w:tr2bl w:val="nil"/>
            </w:tcBorders>
            <w:shd w:val="clear" w:color="auto" w:fill="auto"/>
            <w:noWrap/>
            <w:tcMar>
              <w:top w:w="15" w:type="dxa"/>
              <w:left w:w="15" w:type="dxa"/>
              <w:right w:w="15" w:type="dxa"/>
            </w:tcMar>
          </w:tcPr>
          <w:p w14:paraId="7B8D753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0.0433 </w:t>
            </w:r>
          </w:p>
        </w:tc>
        <w:tc>
          <w:tcPr>
            <w:tcW w:w="231" w:type="pct"/>
            <w:tcBorders>
              <w:tl2br w:val="nil"/>
              <w:tr2bl w:val="nil"/>
            </w:tcBorders>
            <w:shd w:val="clear" w:color="auto" w:fill="auto"/>
            <w:noWrap/>
            <w:tcMar>
              <w:top w:w="15" w:type="dxa"/>
              <w:left w:w="15" w:type="dxa"/>
              <w:right w:w="15" w:type="dxa"/>
            </w:tcMar>
          </w:tcPr>
          <w:p w14:paraId="435FBF9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0.0226 </w:t>
            </w:r>
          </w:p>
        </w:tc>
        <w:tc>
          <w:tcPr>
            <w:tcW w:w="231" w:type="pct"/>
            <w:tcBorders>
              <w:tl2br w:val="nil"/>
              <w:tr2bl w:val="nil"/>
            </w:tcBorders>
            <w:shd w:val="clear" w:color="auto" w:fill="auto"/>
            <w:noWrap/>
            <w:tcMar>
              <w:top w:w="15" w:type="dxa"/>
              <w:left w:w="15" w:type="dxa"/>
              <w:right w:w="15" w:type="dxa"/>
            </w:tcMar>
          </w:tcPr>
          <w:p w14:paraId="6668236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0.0026 </w:t>
            </w:r>
          </w:p>
        </w:tc>
        <w:tc>
          <w:tcPr>
            <w:tcW w:w="231" w:type="pct"/>
            <w:tcBorders>
              <w:tl2br w:val="nil"/>
              <w:tr2bl w:val="nil"/>
            </w:tcBorders>
            <w:shd w:val="clear" w:color="auto" w:fill="auto"/>
            <w:noWrap/>
            <w:tcMar>
              <w:top w:w="15" w:type="dxa"/>
              <w:left w:w="15" w:type="dxa"/>
              <w:right w:w="15" w:type="dxa"/>
            </w:tcMar>
          </w:tcPr>
          <w:p w14:paraId="0605958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0.0643 </w:t>
            </w:r>
          </w:p>
        </w:tc>
        <w:tc>
          <w:tcPr>
            <w:tcW w:w="231" w:type="pct"/>
            <w:tcBorders>
              <w:tl2br w:val="nil"/>
              <w:tr2bl w:val="nil"/>
            </w:tcBorders>
            <w:shd w:val="clear" w:color="auto" w:fill="auto"/>
            <w:noWrap/>
            <w:tcMar>
              <w:top w:w="15" w:type="dxa"/>
              <w:left w:w="15" w:type="dxa"/>
              <w:right w:w="15" w:type="dxa"/>
            </w:tcMar>
          </w:tcPr>
          <w:p w14:paraId="33B6F0D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0.0001 </w:t>
            </w:r>
          </w:p>
        </w:tc>
        <w:tc>
          <w:tcPr>
            <w:tcW w:w="231" w:type="pct"/>
            <w:tcBorders>
              <w:tl2br w:val="nil"/>
              <w:tr2bl w:val="nil"/>
            </w:tcBorders>
            <w:shd w:val="clear" w:color="auto" w:fill="auto"/>
            <w:noWrap/>
            <w:tcMar>
              <w:top w:w="15" w:type="dxa"/>
              <w:left w:w="15" w:type="dxa"/>
              <w:right w:w="15" w:type="dxa"/>
            </w:tcMar>
          </w:tcPr>
          <w:p w14:paraId="66E3E66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0.0009 </w:t>
            </w:r>
          </w:p>
        </w:tc>
        <w:tc>
          <w:tcPr>
            <w:tcW w:w="231" w:type="pct"/>
            <w:tcBorders>
              <w:tl2br w:val="nil"/>
              <w:tr2bl w:val="nil"/>
            </w:tcBorders>
            <w:shd w:val="clear" w:color="auto" w:fill="auto"/>
            <w:noWrap/>
            <w:tcMar>
              <w:top w:w="15" w:type="dxa"/>
              <w:left w:w="15" w:type="dxa"/>
              <w:right w:w="15" w:type="dxa"/>
            </w:tcMar>
          </w:tcPr>
          <w:p w14:paraId="30EFA9F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0.0156 </w:t>
            </w:r>
          </w:p>
        </w:tc>
        <w:tc>
          <w:tcPr>
            <w:tcW w:w="231" w:type="pct"/>
            <w:tcBorders>
              <w:tl2br w:val="nil"/>
              <w:tr2bl w:val="nil"/>
            </w:tcBorders>
            <w:shd w:val="clear" w:color="auto" w:fill="auto"/>
            <w:noWrap/>
            <w:tcMar>
              <w:top w:w="15" w:type="dxa"/>
              <w:left w:w="15" w:type="dxa"/>
              <w:right w:w="15" w:type="dxa"/>
            </w:tcMar>
          </w:tcPr>
          <w:p w14:paraId="0C0245B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0.1640 </w:t>
            </w:r>
          </w:p>
        </w:tc>
        <w:tc>
          <w:tcPr>
            <w:tcW w:w="231" w:type="pct"/>
            <w:tcBorders>
              <w:tl2br w:val="nil"/>
              <w:tr2bl w:val="nil"/>
            </w:tcBorders>
            <w:shd w:val="clear" w:color="auto" w:fill="auto"/>
            <w:noWrap/>
            <w:tcMar>
              <w:top w:w="15" w:type="dxa"/>
              <w:left w:w="15" w:type="dxa"/>
              <w:right w:w="15" w:type="dxa"/>
            </w:tcMar>
          </w:tcPr>
          <w:p w14:paraId="723462A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0.2300 </w:t>
            </w:r>
          </w:p>
        </w:tc>
        <w:tc>
          <w:tcPr>
            <w:tcW w:w="231" w:type="pct"/>
            <w:tcBorders>
              <w:tl2br w:val="nil"/>
              <w:tr2bl w:val="nil"/>
            </w:tcBorders>
            <w:shd w:val="clear" w:color="auto" w:fill="auto"/>
            <w:noWrap/>
            <w:tcMar>
              <w:top w:w="15" w:type="dxa"/>
              <w:left w:w="15" w:type="dxa"/>
              <w:right w:w="15" w:type="dxa"/>
            </w:tcMar>
          </w:tcPr>
          <w:p w14:paraId="5327FFF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0.0450 </w:t>
            </w:r>
          </w:p>
        </w:tc>
        <w:tc>
          <w:tcPr>
            <w:tcW w:w="223" w:type="pct"/>
            <w:tcBorders>
              <w:tl2br w:val="nil"/>
              <w:tr2bl w:val="nil"/>
            </w:tcBorders>
          </w:tcPr>
          <w:p w14:paraId="598ABAD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0.0001 </w:t>
            </w:r>
          </w:p>
        </w:tc>
        <w:tc>
          <w:tcPr>
            <w:tcW w:w="223" w:type="pct"/>
            <w:tcBorders>
              <w:tl2br w:val="nil"/>
              <w:tr2bl w:val="nil"/>
            </w:tcBorders>
          </w:tcPr>
          <w:p w14:paraId="019E701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0.0008 </w:t>
            </w:r>
          </w:p>
        </w:tc>
        <w:tc>
          <w:tcPr>
            <w:tcW w:w="223" w:type="pct"/>
            <w:tcBorders>
              <w:tl2br w:val="nil"/>
              <w:tr2bl w:val="nil"/>
            </w:tcBorders>
          </w:tcPr>
          <w:p w14:paraId="6F58548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0.0001 </w:t>
            </w:r>
          </w:p>
        </w:tc>
        <w:tc>
          <w:tcPr>
            <w:tcW w:w="431" w:type="pct"/>
            <w:tcBorders>
              <w:tl2br w:val="nil"/>
              <w:tr2bl w:val="nil"/>
            </w:tcBorders>
          </w:tcPr>
          <w:p w14:paraId="0564531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244" w:type="pct"/>
            <w:tcBorders>
              <w:tl2br w:val="nil"/>
              <w:tr2bl w:val="nil"/>
            </w:tcBorders>
          </w:tcPr>
          <w:p w14:paraId="6029A6C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0.0007 </w:t>
            </w:r>
          </w:p>
        </w:tc>
        <w:tc>
          <w:tcPr>
            <w:tcW w:w="252" w:type="pct"/>
            <w:tcBorders>
              <w:tl2br w:val="nil"/>
              <w:tr2bl w:val="nil"/>
            </w:tcBorders>
            <w:shd w:val="clear" w:color="auto" w:fill="auto"/>
            <w:noWrap/>
            <w:tcMar>
              <w:top w:w="15" w:type="dxa"/>
              <w:left w:w="15" w:type="dxa"/>
              <w:right w:w="15" w:type="dxa"/>
            </w:tcMar>
          </w:tcPr>
          <w:p w14:paraId="551FA6C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1367" w:type="dxa"/>
            <w:tcBorders>
              <w:tl2br w:val="nil"/>
              <w:tr2bl w:val="nil"/>
            </w:tcBorders>
            <w:shd w:val="clear" w:color="auto" w:fill="auto"/>
            <w:noWrap/>
            <w:tcMar>
              <w:top w:w="15" w:type="dxa"/>
              <w:left w:w="15" w:type="dxa"/>
              <w:right w:w="15" w:type="dxa"/>
            </w:tcMar>
            <w:vAlign w:val="center"/>
          </w:tcPr>
          <w:p w14:paraId="1884E662">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 xml:space="preserve">0.0007 </w:t>
            </w:r>
          </w:p>
        </w:tc>
      </w:tr>
      <w:tr w14:paraId="047D57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4" w:type="pct"/>
            <w:gridSpan w:val="2"/>
            <w:tcBorders>
              <w:tl2br w:val="nil"/>
              <w:tr2bl w:val="nil"/>
            </w:tcBorders>
            <w:shd w:val="clear" w:color="auto" w:fill="auto"/>
            <w:noWrap/>
            <w:tcMar>
              <w:top w:w="15" w:type="dxa"/>
              <w:left w:w="15" w:type="dxa"/>
              <w:right w:w="15" w:type="dxa"/>
            </w:tcMar>
            <w:vAlign w:val="center"/>
          </w:tcPr>
          <w:p w14:paraId="7CD50E7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平均值</w:t>
            </w:r>
          </w:p>
        </w:tc>
        <w:tc>
          <w:tcPr>
            <w:tcW w:w="332" w:type="pct"/>
            <w:tcBorders>
              <w:tl2br w:val="nil"/>
              <w:tr2bl w:val="nil"/>
            </w:tcBorders>
            <w:shd w:val="clear" w:color="auto" w:fill="auto"/>
            <w:noWrap/>
            <w:tcMar>
              <w:top w:w="15" w:type="dxa"/>
              <w:left w:w="15" w:type="dxa"/>
              <w:right w:w="15" w:type="dxa"/>
            </w:tcMar>
          </w:tcPr>
          <w:p w14:paraId="0468461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0.1825 </w:t>
            </w:r>
          </w:p>
        </w:tc>
        <w:tc>
          <w:tcPr>
            <w:tcW w:w="231" w:type="pct"/>
            <w:tcBorders>
              <w:tl2br w:val="nil"/>
              <w:tr2bl w:val="nil"/>
            </w:tcBorders>
            <w:shd w:val="clear" w:color="auto" w:fill="auto"/>
            <w:noWrap/>
            <w:tcMar>
              <w:top w:w="15" w:type="dxa"/>
              <w:left w:w="15" w:type="dxa"/>
              <w:right w:w="15" w:type="dxa"/>
            </w:tcMar>
          </w:tcPr>
          <w:p w14:paraId="3EA16AF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0.1238 </w:t>
            </w:r>
          </w:p>
        </w:tc>
        <w:tc>
          <w:tcPr>
            <w:tcW w:w="231" w:type="pct"/>
            <w:tcBorders>
              <w:tl2br w:val="nil"/>
              <w:tr2bl w:val="nil"/>
            </w:tcBorders>
            <w:shd w:val="clear" w:color="auto" w:fill="auto"/>
            <w:noWrap/>
            <w:tcMar>
              <w:top w:w="15" w:type="dxa"/>
              <w:left w:w="15" w:type="dxa"/>
              <w:right w:w="15" w:type="dxa"/>
            </w:tcMar>
          </w:tcPr>
          <w:p w14:paraId="6E26377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0.0578 </w:t>
            </w:r>
          </w:p>
        </w:tc>
        <w:tc>
          <w:tcPr>
            <w:tcW w:w="231" w:type="pct"/>
            <w:tcBorders>
              <w:tl2br w:val="nil"/>
              <w:tr2bl w:val="nil"/>
            </w:tcBorders>
            <w:shd w:val="clear" w:color="auto" w:fill="auto"/>
            <w:noWrap/>
            <w:tcMar>
              <w:top w:w="15" w:type="dxa"/>
              <w:left w:w="15" w:type="dxa"/>
              <w:right w:w="15" w:type="dxa"/>
            </w:tcMar>
          </w:tcPr>
          <w:p w14:paraId="3EB7652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0.3948 </w:t>
            </w:r>
          </w:p>
        </w:tc>
        <w:tc>
          <w:tcPr>
            <w:tcW w:w="231" w:type="pct"/>
            <w:tcBorders>
              <w:tl2br w:val="nil"/>
              <w:tr2bl w:val="nil"/>
            </w:tcBorders>
            <w:shd w:val="clear" w:color="auto" w:fill="auto"/>
            <w:noWrap/>
            <w:tcMar>
              <w:top w:w="15" w:type="dxa"/>
              <w:left w:w="15" w:type="dxa"/>
              <w:right w:w="15" w:type="dxa"/>
            </w:tcMar>
          </w:tcPr>
          <w:p w14:paraId="36ECC21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0.0648 </w:t>
            </w:r>
          </w:p>
        </w:tc>
        <w:tc>
          <w:tcPr>
            <w:tcW w:w="231" w:type="pct"/>
            <w:tcBorders>
              <w:tl2br w:val="nil"/>
              <w:tr2bl w:val="nil"/>
            </w:tcBorders>
            <w:shd w:val="clear" w:color="auto" w:fill="auto"/>
            <w:noWrap/>
            <w:tcMar>
              <w:top w:w="15" w:type="dxa"/>
              <w:left w:w="15" w:type="dxa"/>
              <w:right w:w="15" w:type="dxa"/>
            </w:tcMar>
          </w:tcPr>
          <w:p w14:paraId="2590181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0.1728 </w:t>
            </w:r>
          </w:p>
        </w:tc>
        <w:tc>
          <w:tcPr>
            <w:tcW w:w="231" w:type="pct"/>
            <w:tcBorders>
              <w:tl2br w:val="nil"/>
              <w:tr2bl w:val="nil"/>
            </w:tcBorders>
            <w:shd w:val="clear" w:color="auto" w:fill="auto"/>
            <w:noWrap/>
            <w:tcMar>
              <w:top w:w="15" w:type="dxa"/>
              <w:left w:w="15" w:type="dxa"/>
              <w:right w:w="15" w:type="dxa"/>
            </w:tcMar>
          </w:tcPr>
          <w:p w14:paraId="0EF6C18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0.1407 </w:t>
            </w:r>
          </w:p>
        </w:tc>
        <w:tc>
          <w:tcPr>
            <w:tcW w:w="231" w:type="pct"/>
            <w:tcBorders>
              <w:tl2br w:val="nil"/>
              <w:tr2bl w:val="nil"/>
            </w:tcBorders>
            <w:shd w:val="clear" w:color="auto" w:fill="auto"/>
            <w:noWrap/>
            <w:tcMar>
              <w:top w:w="15" w:type="dxa"/>
              <w:left w:w="15" w:type="dxa"/>
              <w:right w:w="15" w:type="dxa"/>
            </w:tcMar>
          </w:tcPr>
          <w:p w14:paraId="333A06B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0.2829 </w:t>
            </w:r>
          </w:p>
        </w:tc>
        <w:tc>
          <w:tcPr>
            <w:tcW w:w="231" w:type="pct"/>
            <w:tcBorders>
              <w:tl2br w:val="nil"/>
              <w:tr2bl w:val="nil"/>
            </w:tcBorders>
            <w:shd w:val="clear" w:color="auto" w:fill="auto"/>
            <w:noWrap/>
            <w:tcMar>
              <w:top w:w="15" w:type="dxa"/>
              <w:left w:w="15" w:type="dxa"/>
              <w:right w:w="15" w:type="dxa"/>
            </w:tcMar>
          </w:tcPr>
          <w:p w14:paraId="6A83116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0.2672 </w:t>
            </w:r>
          </w:p>
        </w:tc>
        <w:tc>
          <w:tcPr>
            <w:tcW w:w="231" w:type="pct"/>
            <w:tcBorders>
              <w:tl2br w:val="nil"/>
              <w:tr2bl w:val="nil"/>
            </w:tcBorders>
            <w:shd w:val="clear" w:color="auto" w:fill="auto"/>
            <w:noWrap/>
            <w:tcMar>
              <w:top w:w="15" w:type="dxa"/>
              <w:left w:w="15" w:type="dxa"/>
              <w:right w:w="15" w:type="dxa"/>
            </w:tcMar>
          </w:tcPr>
          <w:p w14:paraId="25EA251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0.2640 </w:t>
            </w:r>
          </w:p>
        </w:tc>
        <w:tc>
          <w:tcPr>
            <w:tcW w:w="223" w:type="pct"/>
            <w:tcBorders>
              <w:tl2br w:val="nil"/>
              <w:tr2bl w:val="nil"/>
            </w:tcBorders>
          </w:tcPr>
          <w:p w14:paraId="777DDBF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0.0019 </w:t>
            </w:r>
          </w:p>
        </w:tc>
        <w:tc>
          <w:tcPr>
            <w:tcW w:w="223" w:type="pct"/>
            <w:tcBorders>
              <w:tl2br w:val="nil"/>
              <w:tr2bl w:val="nil"/>
            </w:tcBorders>
          </w:tcPr>
          <w:p w14:paraId="203154E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0.0224 </w:t>
            </w:r>
          </w:p>
        </w:tc>
        <w:tc>
          <w:tcPr>
            <w:tcW w:w="223" w:type="pct"/>
            <w:tcBorders>
              <w:tl2br w:val="nil"/>
              <w:tr2bl w:val="nil"/>
            </w:tcBorders>
          </w:tcPr>
          <w:p w14:paraId="2468A05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0.0001 </w:t>
            </w:r>
          </w:p>
        </w:tc>
        <w:tc>
          <w:tcPr>
            <w:tcW w:w="431" w:type="pct"/>
            <w:tcBorders>
              <w:tl2br w:val="nil"/>
              <w:tr2bl w:val="nil"/>
            </w:tcBorders>
          </w:tcPr>
          <w:p w14:paraId="3BCFAFF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244" w:type="pct"/>
            <w:tcBorders>
              <w:tl2br w:val="nil"/>
              <w:tr2bl w:val="nil"/>
            </w:tcBorders>
          </w:tcPr>
          <w:p w14:paraId="07CE328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0.0007 </w:t>
            </w:r>
          </w:p>
        </w:tc>
        <w:tc>
          <w:tcPr>
            <w:tcW w:w="252" w:type="pct"/>
            <w:tcBorders>
              <w:tl2br w:val="nil"/>
              <w:tr2bl w:val="nil"/>
            </w:tcBorders>
            <w:shd w:val="clear" w:color="auto" w:fill="auto"/>
            <w:noWrap/>
            <w:tcMar>
              <w:top w:w="15" w:type="dxa"/>
              <w:left w:w="15" w:type="dxa"/>
              <w:right w:w="15" w:type="dxa"/>
            </w:tcMar>
          </w:tcPr>
          <w:p w14:paraId="19ECF7F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1367" w:type="dxa"/>
            <w:tcBorders>
              <w:tl2br w:val="nil"/>
              <w:tr2bl w:val="nil"/>
            </w:tcBorders>
            <w:shd w:val="clear" w:color="auto" w:fill="auto"/>
            <w:noWrap/>
            <w:tcMar>
              <w:top w:w="15" w:type="dxa"/>
              <w:left w:w="15" w:type="dxa"/>
              <w:right w:w="15" w:type="dxa"/>
            </w:tcMar>
            <w:vAlign w:val="center"/>
          </w:tcPr>
          <w:p w14:paraId="02AE286E">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 xml:space="preserve">0.0087 </w:t>
            </w:r>
          </w:p>
        </w:tc>
      </w:tr>
    </w:tbl>
    <w:p w14:paraId="7AE36702">
      <w:pPr>
        <w:pStyle w:val="2"/>
        <w:tabs>
          <w:tab w:val="center" w:pos="4855"/>
          <w:tab w:val="left" w:pos="7572"/>
        </w:tabs>
        <w:spacing w:after="0"/>
        <w:ind w:firstLine="480" w:firstLineChars="200"/>
        <w:jc w:val="left"/>
        <w:rPr>
          <w:rFonts w:hint="default" w:ascii="Times New Roman" w:hAnsi="Times New Roman" w:cs="Times New Roman"/>
          <w:color w:val="auto"/>
          <w:highlight w:val="none"/>
        </w:rPr>
        <w:sectPr>
          <w:headerReference r:id="rId21" w:type="default"/>
          <w:pgSz w:w="16838" w:h="11906" w:orient="landscape"/>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r>
        <w:rPr>
          <w:rFonts w:hint="default" w:ascii="Times New Roman" w:hAnsi="Times New Roman" w:cs="Times New Roman"/>
          <w:color w:val="auto"/>
          <w:highlight w:val="none"/>
        </w:rPr>
        <w:t>经统计，土壤单项污染指数Pimax=0.8000＜1，可以判断本工业园区</w:t>
      </w:r>
      <w:r>
        <w:rPr>
          <w:rFonts w:hint="default" w:ascii="Times New Roman" w:hAnsi="Times New Roman" w:cs="Times New Roman"/>
          <w:color w:val="auto"/>
          <w:highlight w:val="none"/>
          <w:lang w:val="en-US" w:eastAsia="zh-CN"/>
        </w:rPr>
        <w:t>及周边</w:t>
      </w:r>
      <w:r>
        <w:rPr>
          <w:rFonts w:hint="default" w:ascii="Times New Roman" w:hAnsi="Times New Roman" w:cs="Times New Roman"/>
          <w:color w:val="auto"/>
          <w:highlight w:val="none"/>
        </w:rPr>
        <w:t>所有检出因子的单项污染指数对应的污染程度均为无污染。</w:t>
      </w:r>
    </w:p>
    <w:p w14:paraId="62F28362">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内梅罗污染指数评价</w:t>
      </w:r>
    </w:p>
    <w:p w14:paraId="0944A740">
      <w:pPr>
        <w:pStyle w:val="2"/>
        <w:spacing w:after="0"/>
        <w:ind w:firstLine="420"/>
        <w:rPr>
          <w:rFonts w:hint="default" w:ascii="Times New Roman" w:hAnsi="Times New Roman" w:cs="Times New Roman"/>
          <w:color w:val="auto"/>
          <w:szCs w:val="32"/>
          <w:highlight w:val="none"/>
        </w:rPr>
      </w:pPr>
      <w:r>
        <w:rPr>
          <w:rFonts w:hint="default" w:ascii="Times New Roman" w:hAnsi="Times New Roman" w:cs="Times New Roman"/>
          <w:color w:val="auto"/>
          <w:highlight w:val="none"/>
        </w:rPr>
        <w:t>根据公式：内梅罗污染指数（P</w:t>
      </w:r>
      <w:r>
        <w:rPr>
          <w:rFonts w:hint="default" w:ascii="Times New Roman" w:hAnsi="Times New Roman" w:cs="Times New Roman"/>
          <w:color w:val="auto"/>
          <w:highlight w:val="none"/>
          <w:vertAlign w:val="subscript"/>
        </w:rPr>
        <w:t>N</w:t>
      </w:r>
      <w:r>
        <w:rPr>
          <w:rFonts w:hint="default" w:ascii="Times New Roman" w:hAnsi="Times New Roman" w:cs="Times New Roman"/>
          <w:color w:val="auto"/>
          <w:highlight w:val="none"/>
        </w:rPr>
        <w:t xml:space="preserve">）= {[(PI </w:t>
      </w:r>
      <w:r>
        <w:rPr>
          <w:rFonts w:hint="default" w:ascii="Times New Roman" w:hAnsi="Times New Roman" w:cs="Times New Roman"/>
          <w:color w:val="auto"/>
          <w:highlight w:val="none"/>
          <w:vertAlign w:val="subscript"/>
        </w:rPr>
        <w:t>均</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 xml:space="preserve">)+ (PI </w:t>
      </w:r>
      <w:r>
        <w:rPr>
          <w:rFonts w:hint="default" w:ascii="Times New Roman" w:hAnsi="Times New Roman" w:cs="Times New Roman"/>
          <w:color w:val="auto"/>
          <w:highlight w:val="none"/>
          <w:vertAlign w:val="subscript"/>
        </w:rPr>
        <w:t>最大</w:t>
      </w:r>
      <w:r>
        <w:rPr>
          <w:rFonts w:hint="default" w:ascii="Times New Roman" w:hAnsi="Times New Roman" w:cs="Times New Roman"/>
          <w:color w:val="auto"/>
          <w:highlight w:val="none"/>
          <w:vertAlign w:val="superscript"/>
        </w:rPr>
        <w:t xml:space="preserve">2 </w:t>
      </w:r>
      <w:r>
        <w:rPr>
          <w:rFonts w:hint="default" w:ascii="Times New Roman" w:hAnsi="Times New Roman" w:cs="Times New Roman"/>
          <w:color w:val="auto"/>
          <w:highlight w:val="none"/>
        </w:rPr>
        <w:t>)]/2｝</w:t>
      </w:r>
      <w:r>
        <w:rPr>
          <w:rFonts w:hint="default" w:ascii="Times New Roman" w:hAnsi="Times New Roman" w:cs="Times New Roman"/>
          <w:color w:val="auto"/>
          <w:highlight w:val="none"/>
          <w:vertAlign w:val="superscript"/>
        </w:rPr>
        <w:t>1/2</w:t>
      </w:r>
      <w:r>
        <w:rPr>
          <w:rFonts w:hint="default" w:ascii="Times New Roman" w:hAnsi="Times New Roman" w:cs="Times New Roman"/>
          <w:color w:val="auto"/>
          <w:highlight w:val="none"/>
        </w:rPr>
        <w:t xml:space="preserve">（式中 PI </w:t>
      </w:r>
      <w:r>
        <w:rPr>
          <w:rFonts w:hint="default" w:ascii="Times New Roman" w:hAnsi="Times New Roman" w:cs="Times New Roman"/>
          <w:color w:val="auto"/>
          <w:highlight w:val="none"/>
          <w:vertAlign w:val="subscript"/>
        </w:rPr>
        <w:t>均</w:t>
      </w:r>
      <w:r>
        <w:rPr>
          <w:rFonts w:hint="default" w:ascii="Times New Roman" w:hAnsi="Times New Roman" w:cs="Times New Roman"/>
          <w:color w:val="auto"/>
          <w:highlight w:val="none"/>
        </w:rPr>
        <w:t xml:space="preserve">和 PI </w:t>
      </w:r>
      <w:r>
        <w:rPr>
          <w:rFonts w:hint="default" w:ascii="Times New Roman" w:hAnsi="Times New Roman" w:cs="Times New Roman"/>
          <w:color w:val="auto"/>
          <w:highlight w:val="none"/>
          <w:vertAlign w:val="subscript"/>
        </w:rPr>
        <w:t>最大</w:t>
      </w:r>
      <w:r>
        <w:rPr>
          <w:rFonts w:hint="default" w:ascii="Times New Roman" w:hAnsi="Times New Roman" w:cs="Times New Roman"/>
          <w:color w:val="auto"/>
          <w:highlight w:val="none"/>
        </w:rPr>
        <w:t>分别是平均单项污染指数和最大单项污染指数），引用表5-4-1中污染指数的结果可得到内梅罗污染指数，具体如下：</w:t>
      </w:r>
    </w:p>
    <w:p w14:paraId="2FB46646">
      <w:pPr>
        <w:pStyle w:val="2"/>
        <w:spacing w:before="165" w:beforeLines="50" w:after="0" w:line="240" w:lineRule="auto"/>
        <w:ind w:firstLine="420"/>
        <w:jc w:val="center"/>
        <w:rPr>
          <w:rFonts w:hint="default" w:ascii="Times New Roman" w:hAnsi="Times New Roman" w:cs="Times New Roman"/>
          <w:color w:val="auto"/>
          <w:szCs w:val="32"/>
          <w:highlight w:val="none"/>
        </w:rPr>
      </w:pPr>
      <w:r>
        <w:rPr>
          <w:rFonts w:hint="default" w:ascii="Times New Roman" w:hAnsi="Times New Roman" w:eastAsia="黑体" w:cs="Times New Roman"/>
          <w:b/>
          <w:bCs/>
          <w:color w:val="auto"/>
          <w:szCs w:val="32"/>
          <w:highlight w:val="none"/>
        </w:rPr>
        <w:t>表</w:t>
      </w:r>
      <w:r>
        <w:rPr>
          <w:rFonts w:hint="default" w:ascii="Times New Roman" w:hAnsi="Times New Roman" w:cs="Times New Roman"/>
          <w:b/>
          <w:bCs/>
          <w:color w:val="auto"/>
          <w:szCs w:val="32"/>
          <w:highlight w:val="none"/>
        </w:rPr>
        <w:t>5-4-2</w:t>
      </w:r>
      <w:r>
        <w:rPr>
          <w:rFonts w:hint="default" w:ascii="Times New Roman" w:hAnsi="Times New Roman" w:eastAsia="黑体" w:cs="Times New Roman"/>
          <w:b/>
          <w:bCs/>
          <w:color w:val="auto"/>
          <w:szCs w:val="32"/>
          <w:highlight w:val="none"/>
        </w:rPr>
        <w:t xml:space="preserve"> 内梅罗污染指数表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522"/>
        <w:gridCol w:w="966"/>
        <w:gridCol w:w="672"/>
        <w:gridCol w:w="672"/>
        <w:gridCol w:w="672"/>
        <w:gridCol w:w="672"/>
        <w:gridCol w:w="672"/>
        <w:gridCol w:w="672"/>
        <w:gridCol w:w="672"/>
        <w:gridCol w:w="672"/>
        <w:gridCol w:w="672"/>
        <w:gridCol w:w="649"/>
        <w:gridCol w:w="649"/>
        <w:gridCol w:w="649"/>
        <w:gridCol w:w="1254"/>
        <w:gridCol w:w="710"/>
        <w:gridCol w:w="733"/>
        <w:gridCol w:w="1363"/>
      </w:tblGrid>
      <w:tr w14:paraId="5A6428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8" w:hRule="atLeast"/>
          <w:tblHeader/>
          <w:jc w:val="center"/>
        </w:trPr>
        <w:tc>
          <w:tcPr>
            <w:tcW w:w="523" w:type="pct"/>
            <w:tcBorders>
              <w:bottom w:val="single" w:color="auto" w:sz="12" w:space="0"/>
            </w:tcBorders>
            <w:shd w:val="clear" w:color="auto" w:fill="auto"/>
            <w:noWrap/>
            <w:tcMar>
              <w:top w:w="15" w:type="dxa"/>
              <w:left w:w="15" w:type="dxa"/>
              <w:right w:w="15" w:type="dxa"/>
            </w:tcMar>
            <w:vAlign w:val="center"/>
          </w:tcPr>
          <w:p w14:paraId="556125A2">
            <w:pPr>
              <w:widowControl/>
              <w:spacing w:line="240" w:lineRule="auto"/>
              <w:jc w:val="center"/>
              <w:textAlignment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kern w:val="0"/>
                <w:sz w:val="21"/>
                <w:szCs w:val="21"/>
                <w:highlight w:val="none"/>
                <w:lang w:bidi="ar"/>
              </w:rPr>
              <w:t>单项污染指数</w:t>
            </w:r>
          </w:p>
        </w:tc>
        <w:tc>
          <w:tcPr>
            <w:tcW w:w="332" w:type="pct"/>
            <w:tcBorders>
              <w:bottom w:val="single" w:color="auto" w:sz="12" w:space="0"/>
            </w:tcBorders>
            <w:shd w:val="clear" w:color="auto" w:fill="auto"/>
            <w:noWrap/>
            <w:tcMar>
              <w:top w:w="15" w:type="dxa"/>
              <w:left w:w="15" w:type="dxa"/>
              <w:right w:w="15" w:type="dxa"/>
            </w:tcMar>
            <w:vAlign w:val="center"/>
          </w:tcPr>
          <w:p w14:paraId="6A406BC4">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总氟化物</w:t>
            </w:r>
          </w:p>
        </w:tc>
        <w:tc>
          <w:tcPr>
            <w:tcW w:w="231" w:type="pct"/>
            <w:tcBorders>
              <w:bottom w:val="single" w:color="auto" w:sz="12" w:space="0"/>
            </w:tcBorders>
            <w:shd w:val="clear" w:color="auto" w:fill="auto"/>
            <w:noWrap/>
            <w:tcMar>
              <w:top w:w="15" w:type="dxa"/>
              <w:left w:w="15" w:type="dxa"/>
              <w:right w:w="15" w:type="dxa"/>
            </w:tcMar>
            <w:vAlign w:val="center"/>
          </w:tcPr>
          <w:p w14:paraId="17EAC304">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铅</w:t>
            </w:r>
          </w:p>
        </w:tc>
        <w:tc>
          <w:tcPr>
            <w:tcW w:w="231" w:type="pct"/>
            <w:tcBorders>
              <w:bottom w:val="single" w:color="auto" w:sz="12" w:space="0"/>
            </w:tcBorders>
            <w:shd w:val="clear" w:color="auto" w:fill="auto"/>
            <w:noWrap/>
            <w:tcMar>
              <w:top w:w="15" w:type="dxa"/>
              <w:left w:w="15" w:type="dxa"/>
              <w:right w:w="15" w:type="dxa"/>
            </w:tcMar>
            <w:vAlign w:val="center"/>
          </w:tcPr>
          <w:p w14:paraId="7306F4F8">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汞</w:t>
            </w:r>
          </w:p>
        </w:tc>
        <w:tc>
          <w:tcPr>
            <w:tcW w:w="231" w:type="pct"/>
            <w:tcBorders>
              <w:bottom w:val="single" w:color="auto" w:sz="12" w:space="0"/>
            </w:tcBorders>
            <w:shd w:val="clear" w:color="auto" w:fill="auto"/>
            <w:noWrap/>
            <w:tcMar>
              <w:top w:w="15" w:type="dxa"/>
              <w:left w:w="15" w:type="dxa"/>
              <w:right w:w="15" w:type="dxa"/>
            </w:tcMar>
            <w:vAlign w:val="center"/>
          </w:tcPr>
          <w:p w14:paraId="264F4523">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钴</w:t>
            </w:r>
          </w:p>
        </w:tc>
        <w:tc>
          <w:tcPr>
            <w:tcW w:w="231" w:type="pct"/>
            <w:tcBorders>
              <w:bottom w:val="single" w:color="auto" w:sz="12" w:space="0"/>
            </w:tcBorders>
            <w:shd w:val="clear" w:color="auto" w:fill="auto"/>
            <w:noWrap/>
            <w:tcMar>
              <w:top w:w="15" w:type="dxa"/>
              <w:left w:w="15" w:type="dxa"/>
              <w:right w:w="15" w:type="dxa"/>
            </w:tcMar>
            <w:vAlign w:val="center"/>
          </w:tcPr>
          <w:p w14:paraId="29FDFEB7">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镉</w:t>
            </w:r>
          </w:p>
        </w:tc>
        <w:tc>
          <w:tcPr>
            <w:tcW w:w="231" w:type="pct"/>
            <w:tcBorders>
              <w:bottom w:val="single" w:color="auto" w:sz="12" w:space="0"/>
            </w:tcBorders>
            <w:shd w:val="clear" w:color="auto" w:fill="auto"/>
            <w:noWrap/>
            <w:tcMar>
              <w:top w:w="15" w:type="dxa"/>
              <w:left w:w="15" w:type="dxa"/>
              <w:right w:w="15" w:type="dxa"/>
            </w:tcMar>
            <w:vAlign w:val="center"/>
          </w:tcPr>
          <w:p w14:paraId="5FCB5347">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铜</w:t>
            </w:r>
          </w:p>
        </w:tc>
        <w:tc>
          <w:tcPr>
            <w:tcW w:w="231" w:type="pct"/>
            <w:tcBorders>
              <w:bottom w:val="single" w:color="auto" w:sz="12" w:space="0"/>
            </w:tcBorders>
            <w:shd w:val="clear" w:color="auto" w:fill="auto"/>
            <w:noWrap/>
            <w:tcMar>
              <w:top w:w="15" w:type="dxa"/>
              <w:left w:w="15" w:type="dxa"/>
              <w:right w:w="15" w:type="dxa"/>
            </w:tcMar>
            <w:vAlign w:val="center"/>
          </w:tcPr>
          <w:p w14:paraId="2579B685">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镍</w:t>
            </w:r>
          </w:p>
        </w:tc>
        <w:tc>
          <w:tcPr>
            <w:tcW w:w="231" w:type="pct"/>
            <w:tcBorders>
              <w:bottom w:val="single" w:color="auto" w:sz="12" w:space="0"/>
            </w:tcBorders>
            <w:shd w:val="clear" w:color="auto" w:fill="auto"/>
            <w:noWrap/>
            <w:tcMar>
              <w:top w:w="15" w:type="dxa"/>
              <w:left w:w="15" w:type="dxa"/>
              <w:right w:w="15" w:type="dxa"/>
            </w:tcMar>
            <w:vAlign w:val="center"/>
          </w:tcPr>
          <w:p w14:paraId="76132F81">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铬</w:t>
            </w:r>
          </w:p>
        </w:tc>
        <w:tc>
          <w:tcPr>
            <w:tcW w:w="231" w:type="pct"/>
            <w:tcBorders>
              <w:bottom w:val="single" w:color="auto" w:sz="12" w:space="0"/>
            </w:tcBorders>
            <w:shd w:val="clear" w:color="auto" w:fill="auto"/>
            <w:noWrap/>
            <w:tcMar>
              <w:top w:w="15" w:type="dxa"/>
              <w:left w:w="15" w:type="dxa"/>
              <w:right w:w="15" w:type="dxa"/>
            </w:tcMar>
            <w:vAlign w:val="center"/>
          </w:tcPr>
          <w:p w14:paraId="2A78A8C7">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锌</w:t>
            </w:r>
          </w:p>
        </w:tc>
        <w:tc>
          <w:tcPr>
            <w:tcW w:w="231" w:type="pct"/>
            <w:tcBorders>
              <w:bottom w:val="single" w:color="auto" w:sz="12" w:space="0"/>
            </w:tcBorders>
            <w:shd w:val="clear" w:color="auto" w:fill="auto"/>
            <w:noWrap/>
            <w:tcMar>
              <w:top w:w="15" w:type="dxa"/>
              <w:left w:w="15" w:type="dxa"/>
              <w:right w:w="15" w:type="dxa"/>
            </w:tcMar>
            <w:vAlign w:val="center"/>
          </w:tcPr>
          <w:p w14:paraId="4C16590C">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砷</w:t>
            </w:r>
          </w:p>
        </w:tc>
        <w:tc>
          <w:tcPr>
            <w:tcW w:w="223" w:type="pct"/>
            <w:tcBorders>
              <w:bottom w:val="single" w:color="auto" w:sz="12" w:space="0"/>
            </w:tcBorders>
            <w:vAlign w:val="center"/>
          </w:tcPr>
          <w:p w14:paraId="31F5D49C">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钼</w:t>
            </w:r>
          </w:p>
        </w:tc>
        <w:tc>
          <w:tcPr>
            <w:tcW w:w="223" w:type="pct"/>
            <w:tcBorders>
              <w:bottom w:val="single" w:color="auto" w:sz="12" w:space="0"/>
            </w:tcBorders>
            <w:vAlign w:val="center"/>
          </w:tcPr>
          <w:p w14:paraId="3B91F08B">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锑</w:t>
            </w:r>
          </w:p>
        </w:tc>
        <w:tc>
          <w:tcPr>
            <w:tcW w:w="223" w:type="pct"/>
            <w:tcBorders>
              <w:bottom w:val="single" w:color="auto" w:sz="12" w:space="0"/>
            </w:tcBorders>
            <w:vAlign w:val="center"/>
          </w:tcPr>
          <w:p w14:paraId="71ABA3E7">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甲苯</w:t>
            </w:r>
          </w:p>
        </w:tc>
        <w:tc>
          <w:tcPr>
            <w:tcW w:w="431" w:type="pct"/>
            <w:tcBorders>
              <w:bottom w:val="single" w:color="auto" w:sz="12" w:space="0"/>
            </w:tcBorders>
            <w:vAlign w:val="center"/>
          </w:tcPr>
          <w:p w14:paraId="214E65A5">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间-二甲苯和</w:t>
            </w:r>
          </w:p>
          <w:p w14:paraId="6535BC18">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对-二甲苯</w:t>
            </w:r>
          </w:p>
        </w:tc>
        <w:tc>
          <w:tcPr>
            <w:tcW w:w="244" w:type="pct"/>
            <w:tcBorders>
              <w:bottom w:val="single" w:color="auto" w:sz="12" w:space="0"/>
            </w:tcBorders>
            <w:vAlign w:val="center"/>
          </w:tcPr>
          <w:p w14:paraId="4ADDBE81">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苯乙烯</w:t>
            </w:r>
          </w:p>
        </w:tc>
        <w:tc>
          <w:tcPr>
            <w:tcW w:w="252" w:type="pct"/>
            <w:tcBorders>
              <w:bottom w:val="single" w:color="auto" w:sz="12" w:space="0"/>
            </w:tcBorders>
            <w:shd w:val="clear" w:color="auto" w:fill="auto"/>
            <w:noWrap/>
            <w:tcMar>
              <w:top w:w="15" w:type="dxa"/>
              <w:left w:w="15" w:type="dxa"/>
              <w:right w:w="15" w:type="dxa"/>
            </w:tcMar>
            <w:vAlign w:val="center"/>
          </w:tcPr>
          <w:p w14:paraId="332ACE6E">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二噁英</w:t>
            </w:r>
          </w:p>
        </w:tc>
        <w:tc>
          <w:tcPr>
            <w:tcW w:w="468" w:type="pct"/>
            <w:tcBorders>
              <w:bottom w:val="single" w:color="auto" w:sz="12" w:space="0"/>
            </w:tcBorders>
            <w:shd w:val="clear" w:color="auto" w:fill="auto"/>
            <w:noWrap/>
            <w:tcMar>
              <w:top w:w="15" w:type="dxa"/>
              <w:left w:w="15" w:type="dxa"/>
              <w:right w:w="15" w:type="dxa"/>
            </w:tcMar>
            <w:vAlign w:val="center"/>
          </w:tcPr>
          <w:p w14:paraId="4C2D6711">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石油烃</w:t>
            </w:r>
          </w:p>
          <w:p w14:paraId="2A428585">
            <w:pPr>
              <w:widowControl/>
              <w:spacing w:line="240" w:lineRule="auto"/>
              <w:jc w:val="center"/>
              <w:textAlignment w:val="center"/>
              <w:rPr>
                <w:rFonts w:hint="default" w:ascii="Times New Roman" w:hAnsi="Times New Roman" w:cs="Times New Roman"/>
                <w:b/>
                <w:color w:val="auto"/>
                <w:kern w:val="0"/>
                <w:sz w:val="21"/>
                <w:szCs w:val="21"/>
                <w:highlight w:val="none"/>
                <w:lang w:bidi="ar"/>
              </w:rPr>
            </w:pPr>
            <w:r>
              <w:rPr>
                <w:rFonts w:hint="default" w:ascii="Times New Roman" w:hAnsi="Times New Roman" w:cs="Times New Roman"/>
                <w:b/>
                <w:color w:val="auto"/>
                <w:kern w:val="0"/>
                <w:sz w:val="21"/>
                <w:szCs w:val="21"/>
                <w:highlight w:val="none"/>
                <w:lang w:bidi="ar"/>
              </w:rPr>
              <w:t>（C</w:t>
            </w:r>
            <w:r>
              <w:rPr>
                <w:rFonts w:hint="default" w:ascii="Times New Roman" w:hAnsi="Times New Roman" w:cs="Times New Roman"/>
                <w:b/>
                <w:color w:val="auto"/>
                <w:kern w:val="0"/>
                <w:sz w:val="21"/>
                <w:szCs w:val="21"/>
                <w:highlight w:val="none"/>
                <w:vertAlign w:val="subscript"/>
                <w:lang w:bidi="ar"/>
              </w:rPr>
              <w:t>10</w:t>
            </w:r>
            <w:r>
              <w:rPr>
                <w:rFonts w:hint="default" w:ascii="Times New Roman" w:hAnsi="Times New Roman" w:cs="Times New Roman"/>
                <w:b/>
                <w:color w:val="auto"/>
                <w:kern w:val="0"/>
                <w:sz w:val="21"/>
                <w:szCs w:val="21"/>
                <w:highlight w:val="none"/>
                <w:lang w:bidi="ar"/>
              </w:rPr>
              <w:t>-C</w:t>
            </w:r>
            <w:r>
              <w:rPr>
                <w:rFonts w:hint="default" w:ascii="Times New Roman" w:hAnsi="Times New Roman" w:cs="Times New Roman"/>
                <w:b/>
                <w:color w:val="auto"/>
                <w:kern w:val="0"/>
                <w:sz w:val="21"/>
                <w:szCs w:val="21"/>
                <w:highlight w:val="none"/>
                <w:vertAlign w:val="subscript"/>
                <w:lang w:bidi="ar"/>
              </w:rPr>
              <w:t>40</w:t>
            </w:r>
            <w:r>
              <w:rPr>
                <w:rFonts w:hint="default" w:ascii="Times New Roman" w:hAnsi="Times New Roman" w:cs="Times New Roman"/>
                <w:b/>
                <w:color w:val="auto"/>
                <w:kern w:val="0"/>
                <w:sz w:val="21"/>
                <w:szCs w:val="21"/>
                <w:highlight w:val="none"/>
                <w:lang w:bidi="ar"/>
              </w:rPr>
              <w:t>）</w:t>
            </w:r>
          </w:p>
        </w:tc>
      </w:tr>
      <w:tr w14:paraId="6F1B9F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3" w:type="pct"/>
            <w:tcBorders>
              <w:tl2br w:val="nil"/>
              <w:tr2bl w:val="nil"/>
            </w:tcBorders>
            <w:shd w:val="clear" w:color="auto" w:fill="auto"/>
            <w:noWrap/>
            <w:tcMar>
              <w:top w:w="15" w:type="dxa"/>
              <w:left w:w="15" w:type="dxa"/>
              <w:right w:w="15" w:type="dxa"/>
            </w:tcMar>
            <w:vAlign w:val="center"/>
          </w:tcPr>
          <w:p w14:paraId="2AB6CA7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PI </w:t>
            </w:r>
            <w:r>
              <w:rPr>
                <w:rFonts w:hint="default" w:ascii="Times New Roman" w:hAnsi="Times New Roman" w:cs="Times New Roman"/>
                <w:color w:val="auto"/>
                <w:kern w:val="0"/>
                <w:sz w:val="21"/>
                <w:szCs w:val="21"/>
                <w:highlight w:val="none"/>
                <w:vertAlign w:val="subscript"/>
                <w:lang w:bidi="ar"/>
              </w:rPr>
              <w:t>均</w:t>
            </w:r>
          </w:p>
        </w:tc>
        <w:tc>
          <w:tcPr>
            <w:tcW w:w="332" w:type="pct"/>
            <w:tcBorders>
              <w:tl2br w:val="nil"/>
              <w:tr2bl w:val="nil"/>
            </w:tcBorders>
            <w:shd w:val="clear" w:color="auto" w:fill="auto"/>
            <w:noWrap/>
            <w:tcMar>
              <w:top w:w="15" w:type="dxa"/>
              <w:left w:w="15" w:type="dxa"/>
              <w:right w:w="15" w:type="dxa"/>
            </w:tcMar>
          </w:tcPr>
          <w:p w14:paraId="078D45C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0.1825 </w:t>
            </w:r>
          </w:p>
        </w:tc>
        <w:tc>
          <w:tcPr>
            <w:tcW w:w="231" w:type="pct"/>
            <w:tcBorders>
              <w:tl2br w:val="nil"/>
              <w:tr2bl w:val="nil"/>
            </w:tcBorders>
            <w:shd w:val="clear" w:color="auto" w:fill="auto"/>
            <w:noWrap/>
            <w:tcMar>
              <w:top w:w="15" w:type="dxa"/>
              <w:left w:w="15" w:type="dxa"/>
              <w:right w:w="15" w:type="dxa"/>
            </w:tcMar>
          </w:tcPr>
          <w:p w14:paraId="0D8B4A0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0.1238 </w:t>
            </w:r>
          </w:p>
        </w:tc>
        <w:tc>
          <w:tcPr>
            <w:tcW w:w="231" w:type="pct"/>
            <w:tcBorders>
              <w:tl2br w:val="nil"/>
              <w:tr2bl w:val="nil"/>
            </w:tcBorders>
            <w:shd w:val="clear" w:color="auto" w:fill="auto"/>
            <w:noWrap/>
            <w:tcMar>
              <w:top w:w="15" w:type="dxa"/>
              <w:left w:w="15" w:type="dxa"/>
              <w:right w:w="15" w:type="dxa"/>
            </w:tcMar>
          </w:tcPr>
          <w:p w14:paraId="08C3E13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0.0578 </w:t>
            </w:r>
          </w:p>
        </w:tc>
        <w:tc>
          <w:tcPr>
            <w:tcW w:w="231" w:type="pct"/>
            <w:tcBorders>
              <w:tl2br w:val="nil"/>
              <w:tr2bl w:val="nil"/>
            </w:tcBorders>
            <w:shd w:val="clear" w:color="auto" w:fill="auto"/>
            <w:noWrap/>
            <w:tcMar>
              <w:top w:w="15" w:type="dxa"/>
              <w:left w:w="15" w:type="dxa"/>
              <w:right w:w="15" w:type="dxa"/>
            </w:tcMar>
          </w:tcPr>
          <w:p w14:paraId="57942474">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 xml:space="preserve">0.3948 </w:t>
            </w:r>
          </w:p>
        </w:tc>
        <w:tc>
          <w:tcPr>
            <w:tcW w:w="231" w:type="pct"/>
            <w:tcBorders>
              <w:tl2br w:val="nil"/>
              <w:tr2bl w:val="nil"/>
            </w:tcBorders>
            <w:shd w:val="clear" w:color="auto" w:fill="auto"/>
            <w:noWrap/>
            <w:tcMar>
              <w:top w:w="15" w:type="dxa"/>
              <w:left w:w="15" w:type="dxa"/>
              <w:right w:w="15" w:type="dxa"/>
            </w:tcMar>
          </w:tcPr>
          <w:p w14:paraId="53CC65C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0.0648 </w:t>
            </w:r>
          </w:p>
        </w:tc>
        <w:tc>
          <w:tcPr>
            <w:tcW w:w="231" w:type="pct"/>
            <w:tcBorders>
              <w:tl2br w:val="nil"/>
              <w:tr2bl w:val="nil"/>
            </w:tcBorders>
            <w:shd w:val="clear" w:color="auto" w:fill="auto"/>
            <w:noWrap/>
            <w:tcMar>
              <w:top w:w="15" w:type="dxa"/>
              <w:left w:w="15" w:type="dxa"/>
              <w:right w:w="15" w:type="dxa"/>
            </w:tcMar>
          </w:tcPr>
          <w:p w14:paraId="78DE906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0.1728 </w:t>
            </w:r>
          </w:p>
        </w:tc>
        <w:tc>
          <w:tcPr>
            <w:tcW w:w="231" w:type="pct"/>
            <w:tcBorders>
              <w:tl2br w:val="nil"/>
              <w:tr2bl w:val="nil"/>
            </w:tcBorders>
            <w:shd w:val="clear" w:color="auto" w:fill="auto"/>
            <w:noWrap/>
            <w:tcMar>
              <w:top w:w="15" w:type="dxa"/>
              <w:left w:w="15" w:type="dxa"/>
              <w:right w:w="15" w:type="dxa"/>
            </w:tcMar>
          </w:tcPr>
          <w:p w14:paraId="2F0F734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0.1407 </w:t>
            </w:r>
          </w:p>
        </w:tc>
        <w:tc>
          <w:tcPr>
            <w:tcW w:w="231" w:type="pct"/>
            <w:tcBorders>
              <w:tl2br w:val="nil"/>
              <w:tr2bl w:val="nil"/>
            </w:tcBorders>
            <w:shd w:val="clear" w:color="auto" w:fill="auto"/>
            <w:noWrap/>
            <w:tcMar>
              <w:top w:w="15" w:type="dxa"/>
              <w:left w:w="15" w:type="dxa"/>
              <w:right w:w="15" w:type="dxa"/>
            </w:tcMar>
          </w:tcPr>
          <w:p w14:paraId="6DBC9F9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0.2829 </w:t>
            </w:r>
          </w:p>
        </w:tc>
        <w:tc>
          <w:tcPr>
            <w:tcW w:w="231" w:type="pct"/>
            <w:tcBorders>
              <w:tl2br w:val="nil"/>
              <w:tr2bl w:val="nil"/>
            </w:tcBorders>
            <w:shd w:val="clear" w:color="auto" w:fill="auto"/>
            <w:noWrap/>
            <w:tcMar>
              <w:top w:w="15" w:type="dxa"/>
              <w:left w:w="15" w:type="dxa"/>
              <w:right w:w="15" w:type="dxa"/>
            </w:tcMar>
          </w:tcPr>
          <w:p w14:paraId="317FED9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0.2672 </w:t>
            </w:r>
          </w:p>
        </w:tc>
        <w:tc>
          <w:tcPr>
            <w:tcW w:w="231" w:type="pct"/>
            <w:tcBorders>
              <w:tl2br w:val="nil"/>
              <w:tr2bl w:val="nil"/>
            </w:tcBorders>
            <w:shd w:val="clear" w:color="auto" w:fill="auto"/>
            <w:noWrap/>
            <w:tcMar>
              <w:top w:w="15" w:type="dxa"/>
              <w:left w:w="15" w:type="dxa"/>
              <w:right w:w="15" w:type="dxa"/>
            </w:tcMar>
          </w:tcPr>
          <w:p w14:paraId="6FDF9F3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0.2640 </w:t>
            </w:r>
          </w:p>
        </w:tc>
        <w:tc>
          <w:tcPr>
            <w:tcW w:w="223" w:type="pct"/>
            <w:tcBorders>
              <w:tl2br w:val="nil"/>
              <w:tr2bl w:val="nil"/>
            </w:tcBorders>
          </w:tcPr>
          <w:p w14:paraId="5438C0C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0.0019 </w:t>
            </w:r>
          </w:p>
        </w:tc>
        <w:tc>
          <w:tcPr>
            <w:tcW w:w="223" w:type="pct"/>
            <w:tcBorders>
              <w:tl2br w:val="nil"/>
              <w:tr2bl w:val="nil"/>
            </w:tcBorders>
          </w:tcPr>
          <w:p w14:paraId="5E90135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0.0224 </w:t>
            </w:r>
          </w:p>
        </w:tc>
        <w:tc>
          <w:tcPr>
            <w:tcW w:w="223" w:type="pct"/>
            <w:tcBorders>
              <w:tl2br w:val="nil"/>
              <w:tr2bl w:val="nil"/>
            </w:tcBorders>
          </w:tcPr>
          <w:p w14:paraId="22B892A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0.0001 </w:t>
            </w:r>
          </w:p>
        </w:tc>
        <w:tc>
          <w:tcPr>
            <w:tcW w:w="431" w:type="pct"/>
            <w:tcBorders>
              <w:tl2br w:val="nil"/>
              <w:tr2bl w:val="nil"/>
            </w:tcBorders>
          </w:tcPr>
          <w:p w14:paraId="0122C50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244" w:type="pct"/>
            <w:tcBorders>
              <w:tl2br w:val="nil"/>
              <w:tr2bl w:val="nil"/>
            </w:tcBorders>
          </w:tcPr>
          <w:p w14:paraId="6E7E815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0.0007 </w:t>
            </w:r>
          </w:p>
        </w:tc>
        <w:tc>
          <w:tcPr>
            <w:tcW w:w="252" w:type="pct"/>
            <w:tcBorders>
              <w:tl2br w:val="nil"/>
              <w:tr2bl w:val="nil"/>
            </w:tcBorders>
            <w:shd w:val="clear" w:color="auto" w:fill="auto"/>
            <w:noWrap/>
            <w:tcMar>
              <w:top w:w="15" w:type="dxa"/>
              <w:left w:w="15" w:type="dxa"/>
              <w:right w:w="15" w:type="dxa"/>
            </w:tcMar>
          </w:tcPr>
          <w:p w14:paraId="0F8FB27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468" w:type="pct"/>
            <w:tcBorders>
              <w:tl2br w:val="nil"/>
              <w:tr2bl w:val="nil"/>
            </w:tcBorders>
            <w:shd w:val="clear" w:color="auto" w:fill="auto"/>
            <w:noWrap/>
            <w:tcMar>
              <w:top w:w="15" w:type="dxa"/>
              <w:left w:w="15" w:type="dxa"/>
              <w:right w:w="15" w:type="dxa"/>
            </w:tcMar>
          </w:tcPr>
          <w:p w14:paraId="47DE06C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0.0087</w:t>
            </w:r>
            <w:r>
              <w:rPr>
                <w:rFonts w:hint="default" w:ascii="Times New Roman" w:hAnsi="Times New Roman" w:cs="Times New Roman"/>
                <w:color w:val="auto"/>
                <w:sz w:val="21"/>
                <w:szCs w:val="21"/>
                <w:highlight w:val="none"/>
              </w:rPr>
              <w:t xml:space="preserve"> </w:t>
            </w:r>
          </w:p>
        </w:tc>
      </w:tr>
      <w:tr w14:paraId="51ED40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3" w:type="pct"/>
            <w:tcBorders>
              <w:tl2br w:val="nil"/>
              <w:tr2bl w:val="nil"/>
            </w:tcBorders>
            <w:shd w:val="clear" w:color="auto" w:fill="auto"/>
            <w:noWrap/>
            <w:tcMar>
              <w:top w:w="15" w:type="dxa"/>
              <w:left w:w="15" w:type="dxa"/>
              <w:right w:w="15" w:type="dxa"/>
            </w:tcMar>
            <w:vAlign w:val="center"/>
          </w:tcPr>
          <w:p w14:paraId="25F727D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PI </w:t>
            </w:r>
            <w:r>
              <w:rPr>
                <w:rFonts w:hint="default" w:ascii="Times New Roman" w:hAnsi="Times New Roman" w:cs="Times New Roman"/>
                <w:color w:val="auto"/>
                <w:kern w:val="0"/>
                <w:sz w:val="21"/>
                <w:szCs w:val="21"/>
                <w:highlight w:val="none"/>
                <w:vertAlign w:val="subscript"/>
                <w:lang w:bidi="ar"/>
              </w:rPr>
              <w:t>最大</w:t>
            </w:r>
          </w:p>
        </w:tc>
        <w:tc>
          <w:tcPr>
            <w:tcW w:w="332" w:type="pct"/>
            <w:tcBorders>
              <w:tl2br w:val="nil"/>
              <w:tr2bl w:val="nil"/>
            </w:tcBorders>
            <w:shd w:val="clear" w:color="auto" w:fill="auto"/>
            <w:noWrap/>
            <w:tcMar>
              <w:top w:w="15" w:type="dxa"/>
              <w:left w:w="15" w:type="dxa"/>
              <w:right w:w="15" w:type="dxa"/>
            </w:tcMar>
          </w:tcPr>
          <w:p w14:paraId="22C72DC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0.3505 </w:t>
            </w:r>
          </w:p>
        </w:tc>
        <w:tc>
          <w:tcPr>
            <w:tcW w:w="231" w:type="pct"/>
            <w:tcBorders>
              <w:tl2br w:val="nil"/>
              <w:tr2bl w:val="nil"/>
            </w:tcBorders>
            <w:shd w:val="clear" w:color="auto" w:fill="auto"/>
            <w:noWrap/>
            <w:tcMar>
              <w:top w:w="15" w:type="dxa"/>
              <w:left w:w="15" w:type="dxa"/>
              <w:right w:w="15" w:type="dxa"/>
            </w:tcMar>
          </w:tcPr>
          <w:p w14:paraId="2CA7254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0.3457 </w:t>
            </w:r>
          </w:p>
        </w:tc>
        <w:tc>
          <w:tcPr>
            <w:tcW w:w="231" w:type="pct"/>
            <w:tcBorders>
              <w:tl2br w:val="nil"/>
              <w:tr2bl w:val="nil"/>
            </w:tcBorders>
            <w:shd w:val="clear" w:color="auto" w:fill="auto"/>
            <w:noWrap/>
            <w:tcMar>
              <w:top w:w="15" w:type="dxa"/>
              <w:left w:w="15" w:type="dxa"/>
              <w:right w:w="15" w:type="dxa"/>
            </w:tcMar>
          </w:tcPr>
          <w:p w14:paraId="5E84C47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0.3400 </w:t>
            </w:r>
          </w:p>
        </w:tc>
        <w:tc>
          <w:tcPr>
            <w:tcW w:w="231" w:type="pct"/>
            <w:tcBorders>
              <w:tl2br w:val="nil"/>
              <w:tr2bl w:val="nil"/>
            </w:tcBorders>
            <w:shd w:val="clear" w:color="auto" w:fill="auto"/>
            <w:noWrap/>
            <w:tcMar>
              <w:top w:w="15" w:type="dxa"/>
              <w:left w:w="15" w:type="dxa"/>
              <w:right w:w="15" w:type="dxa"/>
            </w:tcMar>
          </w:tcPr>
          <w:p w14:paraId="1F9F161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0.8000 </w:t>
            </w:r>
          </w:p>
        </w:tc>
        <w:tc>
          <w:tcPr>
            <w:tcW w:w="231" w:type="pct"/>
            <w:tcBorders>
              <w:tl2br w:val="nil"/>
              <w:tr2bl w:val="nil"/>
            </w:tcBorders>
            <w:shd w:val="clear" w:color="auto" w:fill="auto"/>
            <w:noWrap/>
            <w:tcMar>
              <w:top w:w="15" w:type="dxa"/>
              <w:left w:w="15" w:type="dxa"/>
              <w:right w:w="15" w:type="dxa"/>
            </w:tcMar>
          </w:tcPr>
          <w:p w14:paraId="2FA8E5B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0.3000 </w:t>
            </w:r>
          </w:p>
        </w:tc>
        <w:tc>
          <w:tcPr>
            <w:tcW w:w="231" w:type="pct"/>
            <w:tcBorders>
              <w:tl2br w:val="nil"/>
              <w:tr2bl w:val="nil"/>
            </w:tcBorders>
            <w:shd w:val="clear" w:color="auto" w:fill="auto"/>
            <w:noWrap/>
            <w:tcMar>
              <w:top w:w="15" w:type="dxa"/>
              <w:left w:w="15" w:type="dxa"/>
              <w:right w:w="15" w:type="dxa"/>
            </w:tcMar>
          </w:tcPr>
          <w:p w14:paraId="2CFAA13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0.4800 </w:t>
            </w:r>
          </w:p>
        </w:tc>
        <w:tc>
          <w:tcPr>
            <w:tcW w:w="231" w:type="pct"/>
            <w:tcBorders>
              <w:tl2br w:val="nil"/>
              <w:tr2bl w:val="nil"/>
            </w:tcBorders>
            <w:shd w:val="clear" w:color="auto" w:fill="auto"/>
            <w:noWrap/>
            <w:tcMar>
              <w:top w:w="15" w:type="dxa"/>
              <w:left w:w="15" w:type="dxa"/>
              <w:right w:w="15" w:type="dxa"/>
            </w:tcMar>
          </w:tcPr>
          <w:p w14:paraId="2236174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0.3000 </w:t>
            </w:r>
          </w:p>
        </w:tc>
        <w:tc>
          <w:tcPr>
            <w:tcW w:w="231" w:type="pct"/>
            <w:tcBorders>
              <w:tl2br w:val="nil"/>
              <w:tr2bl w:val="nil"/>
            </w:tcBorders>
            <w:shd w:val="clear" w:color="auto" w:fill="auto"/>
            <w:noWrap/>
            <w:tcMar>
              <w:top w:w="15" w:type="dxa"/>
              <w:left w:w="15" w:type="dxa"/>
              <w:right w:w="15" w:type="dxa"/>
            </w:tcMar>
          </w:tcPr>
          <w:p w14:paraId="126B2CD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0.3280 </w:t>
            </w:r>
          </w:p>
        </w:tc>
        <w:tc>
          <w:tcPr>
            <w:tcW w:w="231" w:type="pct"/>
            <w:tcBorders>
              <w:tl2br w:val="nil"/>
              <w:tr2bl w:val="nil"/>
            </w:tcBorders>
            <w:shd w:val="clear" w:color="auto" w:fill="auto"/>
            <w:noWrap/>
            <w:tcMar>
              <w:top w:w="15" w:type="dxa"/>
              <w:left w:w="15" w:type="dxa"/>
              <w:right w:w="15" w:type="dxa"/>
            </w:tcMar>
          </w:tcPr>
          <w:p w14:paraId="1CEAB1C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0.2900 </w:t>
            </w:r>
          </w:p>
        </w:tc>
        <w:tc>
          <w:tcPr>
            <w:tcW w:w="231" w:type="pct"/>
            <w:tcBorders>
              <w:tl2br w:val="nil"/>
              <w:tr2bl w:val="nil"/>
            </w:tcBorders>
            <w:shd w:val="clear" w:color="auto" w:fill="auto"/>
            <w:noWrap/>
            <w:tcMar>
              <w:top w:w="15" w:type="dxa"/>
              <w:left w:w="15" w:type="dxa"/>
              <w:right w:w="15" w:type="dxa"/>
            </w:tcMar>
          </w:tcPr>
          <w:p w14:paraId="518C30C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0.4750 </w:t>
            </w:r>
          </w:p>
        </w:tc>
        <w:tc>
          <w:tcPr>
            <w:tcW w:w="223" w:type="pct"/>
            <w:tcBorders>
              <w:tl2br w:val="nil"/>
              <w:tr2bl w:val="nil"/>
            </w:tcBorders>
          </w:tcPr>
          <w:p w14:paraId="5290D83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0.0047 </w:t>
            </w:r>
          </w:p>
        </w:tc>
        <w:tc>
          <w:tcPr>
            <w:tcW w:w="223" w:type="pct"/>
            <w:tcBorders>
              <w:tl2br w:val="nil"/>
              <w:tr2bl w:val="nil"/>
            </w:tcBorders>
          </w:tcPr>
          <w:p w14:paraId="78170FB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0.0550 </w:t>
            </w:r>
          </w:p>
        </w:tc>
        <w:tc>
          <w:tcPr>
            <w:tcW w:w="223" w:type="pct"/>
            <w:tcBorders>
              <w:tl2br w:val="nil"/>
              <w:tr2bl w:val="nil"/>
            </w:tcBorders>
          </w:tcPr>
          <w:p w14:paraId="62F79FF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0.0001 </w:t>
            </w:r>
          </w:p>
        </w:tc>
        <w:tc>
          <w:tcPr>
            <w:tcW w:w="431" w:type="pct"/>
            <w:tcBorders>
              <w:tl2br w:val="nil"/>
              <w:tr2bl w:val="nil"/>
            </w:tcBorders>
          </w:tcPr>
          <w:p w14:paraId="31C54E6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244" w:type="pct"/>
            <w:tcBorders>
              <w:tl2br w:val="nil"/>
              <w:tr2bl w:val="nil"/>
            </w:tcBorders>
          </w:tcPr>
          <w:p w14:paraId="194E607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0.0007 </w:t>
            </w:r>
          </w:p>
        </w:tc>
        <w:tc>
          <w:tcPr>
            <w:tcW w:w="252" w:type="pct"/>
            <w:tcBorders>
              <w:tl2br w:val="nil"/>
              <w:tr2bl w:val="nil"/>
            </w:tcBorders>
            <w:shd w:val="clear" w:color="auto" w:fill="auto"/>
            <w:noWrap/>
            <w:tcMar>
              <w:top w:w="15" w:type="dxa"/>
              <w:left w:w="15" w:type="dxa"/>
              <w:right w:w="15" w:type="dxa"/>
            </w:tcMar>
          </w:tcPr>
          <w:p w14:paraId="2A904D8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468" w:type="pct"/>
            <w:tcBorders>
              <w:tl2br w:val="nil"/>
              <w:tr2bl w:val="nil"/>
            </w:tcBorders>
            <w:shd w:val="clear" w:color="auto" w:fill="auto"/>
            <w:noWrap/>
            <w:tcMar>
              <w:top w:w="15" w:type="dxa"/>
              <w:left w:w="15" w:type="dxa"/>
              <w:right w:w="15" w:type="dxa"/>
            </w:tcMar>
          </w:tcPr>
          <w:p w14:paraId="2D35EBE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0.0339</w:t>
            </w:r>
            <w:r>
              <w:rPr>
                <w:rFonts w:hint="default" w:ascii="Times New Roman" w:hAnsi="Times New Roman" w:cs="Times New Roman"/>
                <w:color w:val="auto"/>
                <w:sz w:val="21"/>
                <w:szCs w:val="21"/>
                <w:highlight w:val="none"/>
              </w:rPr>
              <w:t xml:space="preserve"> </w:t>
            </w:r>
          </w:p>
        </w:tc>
      </w:tr>
      <w:tr w14:paraId="2D0F9D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3" w:type="pct"/>
            <w:tcBorders>
              <w:tl2br w:val="nil"/>
              <w:tr2bl w:val="nil"/>
            </w:tcBorders>
            <w:shd w:val="clear" w:color="auto" w:fill="auto"/>
            <w:noWrap/>
            <w:tcMar>
              <w:top w:w="15" w:type="dxa"/>
              <w:left w:w="15" w:type="dxa"/>
              <w:right w:w="15" w:type="dxa"/>
            </w:tcMar>
            <w:vAlign w:val="center"/>
          </w:tcPr>
          <w:p w14:paraId="7F5A2D0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P</w:t>
            </w:r>
            <w:r>
              <w:rPr>
                <w:rFonts w:hint="default" w:ascii="Times New Roman" w:hAnsi="Times New Roman" w:cs="Times New Roman"/>
                <w:color w:val="auto"/>
                <w:kern w:val="0"/>
                <w:sz w:val="21"/>
                <w:szCs w:val="21"/>
                <w:highlight w:val="none"/>
                <w:vertAlign w:val="subscript"/>
                <w:lang w:bidi="ar"/>
              </w:rPr>
              <w:t>N</w:t>
            </w:r>
          </w:p>
        </w:tc>
        <w:tc>
          <w:tcPr>
            <w:tcW w:w="332" w:type="pct"/>
            <w:tcBorders>
              <w:tl2br w:val="nil"/>
              <w:tr2bl w:val="nil"/>
            </w:tcBorders>
            <w:shd w:val="clear" w:color="auto" w:fill="auto"/>
            <w:noWrap/>
            <w:tcMar>
              <w:top w:w="15" w:type="dxa"/>
              <w:left w:w="15" w:type="dxa"/>
              <w:right w:w="15" w:type="dxa"/>
            </w:tcMar>
          </w:tcPr>
          <w:p w14:paraId="17FFC15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0.2794 </w:t>
            </w:r>
          </w:p>
        </w:tc>
        <w:tc>
          <w:tcPr>
            <w:tcW w:w="231" w:type="pct"/>
            <w:tcBorders>
              <w:tl2br w:val="nil"/>
              <w:tr2bl w:val="nil"/>
            </w:tcBorders>
            <w:shd w:val="clear" w:color="auto" w:fill="auto"/>
            <w:noWrap/>
            <w:tcMar>
              <w:top w:w="15" w:type="dxa"/>
              <w:left w:w="15" w:type="dxa"/>
              <w:right w:w="15" w:type="dxa"/>
            </w:tcMar>
          </w:tcPr>
          <w:p w14:paraId="7F2FFB1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0.2596 </w:t>
            </w:r>
          </w:p>
        </w:tc>
        <w:tc>
          <w:tcPr>
            <w:tcW w:w="231" w:type="pct"/>
            <w:tcBorders>
              <w:tl2br w:val="nil"/>
              <w:tr2bl w:val="nil"/>
            </w:tcBorders>
            <w:shd w:val="clear" w:color="auto" w:fill="auto"/>
            <w:noWrap/>
            <w:tcMar>
              <w:top w:w="15" w:type="dxa"/>
              <w:left w:w="15" w:type="dxa"/>
              <w:right w:w="15" w:type="dxa"/>
            </w:tcMar>
          </w:tcPr>
          <w:p w14:paraId="0E416F7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0.2439 </w:t>
            </w:r>
          </w:p>
        </w:tc>
        <w:tc>
          <w:tcPr>
            <w:tcW w:w="231" w:type="pct"/>
            <w:tcBorders>
              <w:tl2br w:val="nil"/>
              <w:tr2bl w:val="nil"/>
            </w:tcBorders>
            <w:shd w:val="clear" w:color="auto" w:fill="auto"/>
            <w:noWrap/>
            <w:tcMar>
              <w:top w:w="15" w:type="dxa"/>
              <w:left w:w="15" w:type="dxa"/>
              <w:right w:w="15" w:type="dxa"/>
            </w:tcMar>
          </w:tcPr>
          <w:p w14:paraId="40DBC098">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 xml:space="preserve">0.6308 </w:t>
            </w:r>
          </w:p>
        </w:tc>
        <w:tc>
          <w:tcPr>
            <w:tcW w:w="231" w:type="pct"/>
            <w:tcBorders>
              <w:tl2br w:val="nil"/>
              <w:tr2bl w:val="nil"/>
            </w:tcBorders>
            <w:shd w:val="clear" w:color="auto" w:fill="auto"/>
            <w:noWrap/>
            <w:tcMar>
              <w:top w:w="15" w:type="dxa"/>
              <w:left w:w="15" w:type="dxa"/>
              <w:right w:w="15" w:type="dxa"/>
            </w:tcMar>
          </w:tcPr>
          <w:p w14:paraId="2C3AD41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0.2170 </w:t>
            </w:r>
          </w:p>
        </w:tc>
        <w:tc>
          <w:tcPr>
            <w:tcW w:w="231" w:type="pct"/>
            <w:tcBorders>
              <w:tl2br w:val="nil"/>
              <w:tr2bl w:val="nil"/>
            </w:tcBorders>
            <w:shd w:val="clear" w:color="auto" w:fill="auto"/>
            <w:noWrap/>
            <w:tcMar>
              <w:top w:w="15" w:type="dxa"/>
              <w:left w:w="15" w:type="dxa"/>
              <w:right w:w="15" w:type="dxa"/>
            </w:tcMar>
          </w:tcPr>
          <w:p w14:paraId="5944AB8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0.3607 </w:t>
            </w:r>
          </w:p>
        </w:tc>
        <w:tc>
          <w:tcPr>
            <w:tcW w:w="231" w:type="pct"/>
            <w:tcBorders>
              <w:tl2br w:val="nil"/>
              <w:tr2bl w:val="nil"/>
            </w:tcBorders>
            <w:shd w:val="clear" w:color="auto" w:fill="auto"/>
            <w:noWrap/>
            <w:tcMar>
              <w:top w:w="15" w:type="dxa"/>
              <w:left w:w="15" w:type="dxa"/>
              <w:right w:w="15" w:type="dxa"/>
            </w:tcMar>
          </w:tcPr>
          <w:p w14:paraId="62E68CC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0.2343 </w:t>
            </w:r>
          </w:p>
        </w:tc>
        <w:tc>
          <w:tcPr>
            <w:tcW w:w="231" w:type="pct"/>
            <w:tcBorders>
              <w:tl2br w:val="nil"/>
              <w:tr2bl w:val="nil"/>
            </w:tcBorders>
            <w:shd w:val="clear" w:color="auto" w:fill="auto"/>
            <w:noWrap/>
            <w:tcMar>
              <w:top w:w="15" w:type="dxa"/>
              <w:left w:w="15" w:type="dxa"/>
              <w:right w:w="15" w:type="dxa"/>
            </w:tcMar>
          </w:tcPr>
          <w:p w14:paraId="7816398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0.3063 </w:t>
            </w:r>
          </w:p>
        </w:tc>
        <w:tc>
          <w:tcPr>
            <w:tcW w:w="231" w:type="pct"/>
            <w:tcBorders>
              <w:tl2br w:val="nil"/>
              <w:tr2bl w:val="nil"/>
            </w:tcBorders>
            <w:shd w:val="clear" w:color="auto" w:fill="auto"/>
            <w:noWrap/>
            <w:tcMar>
              <w:top w:w="15" w:type="dxa"/>
              <w:left w:w="15" w:type="dxa"/>
              <w:right w:w="15" w:type="dxa"/>
            </w:tcMar>
          </w:tcPr>
          <w:p w14:paraId="6B4FD09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0.2788 </w:t>
            </w:r>
          </w:p>
        </w:tc>
        <w:tc>
          <w:tcPr>
            <w:tcW w:w="231" w:type="pct"/>
            <w:tcBorders>
              <w:tl2br w:val="nil"/>
              <w:tr2bl w:val="nil"/>
            </w:tcBorders>
            <w:shd w:val="clear" w:color="auto" w:fill="auto"/>
            <w:noWrap/>
            <w:tcMar>
              <w:top w:w="15" w:type="dxa"/>
              <w:left w:w="15" w:type="dxa"/>
              <w:right w:w="15" w:type="dxa"/>
            </w:tcMar>
          </w:tcPr>
          <w:p w14:paraId="657DD54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0.3843 </w:t>
            </w:r>
          </w:p>
        </w:tc>
        <w:tc>
          <w:tcPr>
            <w:tcW w:w="223" w:type="pct"/>
            <w:tcBorders>
              <w:tl2br w:val="nil"/>
              <w:tr2bl w:val="nil"/>
            </w:tcBorders>
          </w:tcPr>
          <w:p w14:paraId="3574BA5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0.0036 </w:t>
            </w:r>
          </w:p>
        </w:tc>
        <w:tc>
          <w:tcPr>
            <w:tcW w:w="223" w:type="pct"/>
            <w:tcBorders>
              <w:tl2br w:val="nil"/>
              <w:tr2bl w:val="nil"/>
            </w:tcBorders>
          </w:tcPr>
          <w:p w14:paraId="05BFA34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0.0420 </w:t>
            </w:r>
          </w:p>
        </w:tc>
        <w:tc>
          <w:tcPr>
            <w:tcW w:w="223" w:type="pct"/>
            <w:tcBorders>
              <w:tl2br w:val="nil"/>
              <w:tr2bl w:val="nil"/>
            </w:tcBorders>
          </w:tcPr>
          <w:p w14:paraId="3ED30D14">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0.0001 </w:t>
            </w:r>
          </w:p>
        </w:tc>
        <w:tc>
          <w:tcPr>
            <w:tcW w:w="431" w:type="pct"/>
            <w:tcBorders>
              <w:tl2br w:val="nil"/>
              <w:tr2bl w:val="nil"/>
            </w:tcBorders>
          </w:tcPr>
          <w:p w14:paraId="67E5E6E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244" w:type="pct"/>
            <w:tcBorders>
              <w:tl2br w:val="nil"/>
              <w:tr2bl w:val="nil"/>
            </w:tcBorders>
          </w:tcPr>
          <w:p w14:paraId="4BF557B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0.0007 </w:t>
            </w:r>
          </w:p>
        </w:tc>
        <w:tc>
          <w:tcPr>
            <w:tcW w:w="252" w:type="pct"/>
            <w:tcBorders>
              <w:tl2br w:val="nil"/>
              <w:tr2bl w:val="nil"/>
            </w:tcBorders>
            <w:shd w:val="clear" w:color="auto" w:fill="auto"/>
            <w:noWrap/>
            <w:tcMar>
              <w:top w:w="15" w:type="dxa"/>
              <w:left w:w="15" w:type="dxa"/>
              <w:right w:w="15" w:type="dxa"/>
            </w:tcMar>
          </w:tcPr>
          <w:p w14:paraId="0FD569B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0.0003 </w:t>
            </w:r>
          </w:p>
        </w:tc>
        <w:tc>
          <w:tcPr>
            <w:tcW w:w="468" w:type="pct"/>
            <w:tcBorders>
              <w:tl2br w:val="nil"/>
              <w:tr2bl w:val="nil"/>
            </w:tcBorders>
            <w:shd w:val="clear" w:color="auto" w:fill="auto"/>
            <w:noWrap/>
            <w:tcMar>
              <w:top w:w="15" w:type="dxa"/>
              <w:left w:w="15" w:type="dxa"/>
              <w:right w:w="15" w:type="dxa"/>
            </w:tcMar>
            <w:vAlign w:val="center"/>
          </w:tcPr>
          <w:p w14:paraId="7A6EF6B3">
            <w:pPr>
              <w:widowControl/>
              <w:spacing w:line="240" w:lineRule="auto"/>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 xml:space="preserve">0.0240 </w:t>
            </w:r>
          </w:p>
        </w:tc>
      </w:tr>
    </w:tbl>
    <w:p w14:paraId="6F5760F9">
      <w:pPr>
        <w:pStyle w:val="2"/>
        <w:spacing w:after="0"/>
        <w:ind w:firstLine="420"/>
        <w:rPr>
          <w:rFonts w:hint="default" w:ascii="Times New Roman" w:hAnsi="Times New Roman" w:cs="Times New Roman"/>
          <w:color w:val="auto"/>
          <w:highlight w:val="none"/>
        </w:rPr>
        <w:sectPr>
          <w:headerReference r:id="rId22" w:type="default"/>
          <w:pgSz w:w="16781" w:h="11849" w:orient="landscape"/>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r>
        <w:rPr>
          <w:rFonts w:hint="default" w:ascii="Times New Roman" w:hAnsi="Times New Roman" w:cs="Times New Roman"/>
          <w:color w:val="auto"/>
          <w:highlight w:val="none"/>
        </w:rPr>
        <w:t>根据表5-4-2中内容，该工业园区</w:t>
      </w:r>
      <w:r>
        <w:rPr>
          <w:rFonts w:hint="default" w:ascii="Times New Roman" w:hAnsi="Times New Roman" w:cs="Times New Roman"/>
          <w:color w:val="auto"/>
          <w:highlight w:val="none"/>
          <w:lang w:val="en-US" w:eastAsia="zh-CN"/>
        </w:rPr>
        <w:t>及周边</w:t>
      </w:r>
      <w:r>
        <w:rPr>
          <w:rFonts w:hint="default" w:ascii="Times New Roman" w:hAnsi="Times New Roman" w:cs="Times New Roman"/>
          <w:color w:val="auto"/>
          <w:highlight w:val="none"/>
        </w:rPr>
        <w:t>P</w:t>
      </w:r>
      <w:r>
        <w:rPr>
          <w:rFonts w:hint="default" w:ascii="Times New Roman" w:hAnsi="Times New Roman" w:cs="Times New Roman"/>
          <w:color w:val="auto"/>
          <w:highlight w:val="none"/>
          <w:vertAlign w:val="subscript"/>
        </w:rPr>
        <w:t>Nmax</w:t>
      </w:r>
      <w:r>
        <w:rPr>
          <w:rFonts w:hint="default" w:ascii="Times New Roman" w:hAnsi="Times New Roman" w:cs="Times New Roman"/>
          <w:color w:val="auto"/>
          <w:highlight w:val="none"/>
        </w:rPr>
        <w:t>=0.6308＜0.7，依据表5-2-2内梅罗污染指数评价标准，该工业园区</w:t>
      </w:r>
      <w:r>
        <w:rPr>
          <w:rFonts w:hint="default" w:ascii="Times New Roman" w:hAnsi="Times New Roman" w:cs="Times New Roman"/>
          <w:color w:val="auto"/>
          <w:highlight w:val="none"/>
          <w:lang w:val="en-US" w:eastAsia="zh-CN"/>
        </w:rPr>
        <w:t>及周边</w:t>
      </w:r>
      <w:r>
        <w:rPr>
          <w:rFonts w:hint="default" w:ascii="Times New Roman" w:hAnsi="Times New Roman" w:cs="Times New Roman"/>
          <w:color w:val="auto"/>
          <w:highlight w:val="none"/>
        </w:rPr>
        <w:t>可判定为I级清洁（安全）。</w:t>
      </w:r>
    </w:p>
    <w:p w14:paraId="27C08973">
      <w:pPr>
        <w:pStyle w:val="4"/>
        <w:tabs>
          <w:tab w:val="left" w:leader="dot" w:pos="0"/>
          <w:tab w:val="clear" w:pos="425"/>
        </w:tabs>
        <w:rPr>
          <w:rFonts w:hint="default" w:ascii="Times New Roman" w:hAnsi="Times New Roman" w:cs="Times New Roman"/>
          <w:color w:val="auto"/>
          <w:highlight w:val="none"/>
        </w:rPr>
      </w:pPr>
      <w:bookmarkStart w:id="48" w:name="_Toc31180"/>
      <w:r>
        <w:rPr>
          <w:rFonts w:hint="default" w:ascii="Times New Roman" w:hAnsi="Times New Roman" w:cs="Times New Roman"/>
          <w:color w:val="auto"/>
          <w:highlight w:val="none"/>
        </w:rPr>
        <w:t>检测结果小结</w:t>
      </w:r>
      <w:bookmarkEnd w:id="46"/>
      <w:bookmarkEnd w:id="48"/>
    </w:p>
    <w:p w14:paraId="7DE0F1D3">
      <w:pPr>
        <w:pStyle w:val="5"/>
        <w:tabs>
          <w:tab w:val="clear" w:pos="851"/>
        </w:tabs>
        <w:rPr>
          <w:rFonts w:hint="default" w:ascii="Times New Roman" w:hAnsi="Times New Roman" w:cs="Times New Roman"/>
          <w:color w:val="auto"/>
          <w:highlight w:val="none"/>
        </w:rPr>
      </w:pPr>
      <w:r>
        <w:rPr>
          <w:rFonts w:hint="default" w:ascii="Times New Roman" w:hAnsi="Times New Roman" w:cs="Times New Roman"/>
          <w:color w:val="auto"/>
          <w:highlight w:val="none"/>
        </w:rPr>
        <w:t>土壤检测结果小结</w:t>
      </w:r>
    </w:p>
    <w:p w14:paraId="2C4A0C4A">
      <w:pPr>
        <w:numPr>
          <w:ilvl w:val="0"/>
          <w:numId w:val="14"/>
        </w:num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本次调查共布设14个土壤点位，采集14个土壤样品</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不含质控样品</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，共检测60项测试项目，其中12项重金属测试项目除铬（六价）外均有检出；除XM-JJ-</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点位的挥发性有机物</w:t>
      </w:r>
      <w:r>
        <w:rPr>
          <w:rFonts w:hint="default" w:ascii="Times New Roman" w:hAnsi="Times New Roman" w:cs="Times New Roman"/>
          <w:color w:val="auto"/>
          <w:highlight w:val="none"/>
          <w:lang w:val="en-US" w:eastAsia="zh-CN"/>
        </w:rPr>
        <w:t>邻-二甲苯、</w:t>
      </w:r>
      <w:r>
        <w:rPr>
          <w:rFonts w:hint="default" w:ascii="Times New Roman" w:hAnsi="Times New Roman" w:cs="Times New Roman"/>
          <w:color w:val="auto"/>
          <w:highlight w:val="none"/>
        </w:rPr>
        <w:t>XM-JJ-1点位的挥发性有机物甲苯、间-二甲苯和对-二甲苯、苯乙烯有检出以外，其它样品的挥发性有机物和半挥发性有机物均未检出；</w:t>
      </w:r>
      <w:r>
        <w:rPr>
          <w:rFonts w:hint="default" w:ascii="Times New Roman" w:hAnsi="Times New Roman" w:cs="Times New Roman"/>
          <w:color w:val="auto"/>
          <w:highlight w:val="none"/>
          <w:lang w:val="en-US" w:eastAsia="zh-CN"/>
        </w:rPr>
        <w:t>送检</w:t>
      </w:r>
      <w:r>
        <w:rPr>
          <w:rFonts w:hint="default" w:ascii="Times New Roman" w:hAnsi="Times New Roman" w:cs="Times New Roman"/>
          <w:color w:val="auto"/>
          <w:highlight w:val="none"/>
        </w:rPr>
        <w:t>总氟化物、二噁英</w:t>
      </w:r>
      <w:r>
        <w:rPr>
          <w:rFonts w:hint="default" w:ascii="Times New Roman" w:hAnsi="Times New Roman" w:cs="Times New Roman"/>
          <w:color w:val="auto"/>
          <w:highlight w:val="none"/>
          <w:lang w:val="en-US" w:eastAsia="zh-CN"/>
        </w:rPr>
        <w:t>样品</w:t>
      </w:r>
      <w:r>
        <w:rPr>
          <w:rFonts w:hint="default" w:ascii="Times New Roman" w:hAnsi="Times New Roman" w:cs="Times New Roman"/>
          <w:color w:val="auto"/>
          <w:highlight w:val="none"/>
        </w:rPr>
        <w:t xml:space="preserve">均有检出。 </w:t>
      </w:r>
    </w:p>
    <w:p w14:paraId="72C88BC9">
      <w:pPr>
        <w:numPr>
          <w:ilvl w:val="0"/>
          <w:numId w:val="14"/>
        </w:num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各点位污染物均满足各点位对应的《土壤环境质量 建设用地土壤污染风险管控标准（试行）》（GB36600-2018）、《土壤环境质量 农用地土壤污染风险管控标准（试行）》（GB1561-2018）、《建设用地土壤污染风险筛选值和管制值》（DB4403_T 67-2020）（深圳）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《建设</w:t>
      </w:r>
      <w:r>
        <w:rPr>
          <w:rFonts w:hint="default" w:ascii="Times New Roman" w:hAnsi="Times New Roman" w:eastAsia="宋体" w:cs="Times New Roman"/>
          <w:color w:val="auto"/>
          <w:highlight w:val="none"/>
        </w:rPr>
        <w:t>用地</w:t>
      </w:r>
      <w:r>
        <w:rPr>
          <w:rFonts w:hint="default" w:ascii="Times New Roman" w:hAnsi="Times New Roman" w:cs="Times New Roman"/>
          <w:color w:val="auto"/>
          <w:highlight w:val="none"/>
        </w:rPr>
        <w:t>土壤污染风险筛选值》（DB13_T 5216-2020）</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河北</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要求。</w:t>
      </w:r>
    </w:p>
    <w:p w14:paraId="48208E93">
      <w:pPr>
        <w:numPr>
          <w:ilvl w:val="0"/>
          <w:numId w:val="14"/>
        </w:num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园区内上风向点位和下风向点位各测试项目检测值差别较小，各检测值与均值</w:t>
      </w:r>
      <w:r>
        <w:rPr>
          <w:rFonts w:hint="default" w:ascii="Times New Roman" w:hAnsi="Times New Roman" w:cs="Times New Roman"/>
          <w:color w:val="auto"/>
          <w:highlight w:val="none"/>
          <w:lang w:val="en-US" w:eastAsia="zh-CN"/>
        </w:rPr>
        <w:t>比较，部分点位指标略高于平均值，但差别较小</w:t>
      </w:r>
      <w:r>
        <w:rPr>
          <w:rFonts w:hint="default" w:ascii="Times New Roman" w:hAnsi="Times New Roman" w:cs="Times New Roman"/>
          <w:color w:val="auto"/>
          <w:highlight w:val="none"/>
        </w:rPr>
        <w:t>，说明工业园区周边及其已建成企业聚集区周边各指标浓度处在同一水平。</w:t>
      </w:r>
    </w:p>
    <w:p w14:paraId="08EB8472">
      <w:pPr>
        <w:numPr>
          <w:ilvl w:val="0"/>
          <w:numId w:val="14"/>
        </w:num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各土壤样品的单项污染指数Pimax=0.8000＜1，可以判断工业园区</w:t>
      </w:r>
      <w:r>
        <w:rPr>
          <w:rFonts w:hint="default" w:ascii="Times New Roman" w:hAnsi="Times New Roman" w:cs="Times New Roman"/>
          <w:color w:val="auto"/>
          <w:highlight w:val="none"/>
          <w:lang w:val="en-US" w:eastAsia="zh-CN"/>
        </w:rPr>
        <w:t>及周边</w:t>
      </w:r>
      <w:r>
        <w:rPr>
          <w:rFonts w:hint="default" w:ascii="Times New Roman" w:hAnsi="Times New Roman" w:cs="Times New Roman"/>
          <w:color w:val="auto"/>
          <w:highlight w:val="none"/>
        </w:rPr>
        <w:t>的所有点位各因子的单项污染指数对应的污染程度均为无污染。</w:t>
      </w:r>
    </w:p>
    <w:p w14:paraId="700AA3E1">
      <w:pPr>
        <w:numPr>
          <w:ilvl w:val="0"/>
          <w:numId w:val="14"/>
        </w:num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工业园区</w:t>
      </w:r>
      <w:r>
        <w:rPr>
          <w:rFonts w:hint="default" w:ascii="Times New Roman" w:hAnsi="Times New Roman" w:cs="Times New Roman"/>
          <w:color w:val="auto"/>
          <w:highlight w:val="none"/>
          <w:lang w:val="en-US" w:eastAsia="zh-CN"/>
        </w:rPr>
        <w:t>及周边</w:t>
      </w:r>
      <w:r>
        <w:rPr>
          <w:rFonts w:hint="default" w:ascii="Times New Roman" w:hAnsi="Times New Roman" w:cs="Times New Roman"/>
          <w:color w:val="auto"/>
          <w:highlight w:val="none"/>
        </w:rPr>
        <w:t>各因子内梅罗污染指数P</w:t>
      </w:r>
      <w:r>
        <w:rPr>
          <w:rFonts w:hint="default" w:ascii="Times New Roman" w:hAnsi="Times New Roman" w:cs="Times New Roman"/>
          <w:color w:val="auto"/>
          <w:highlight w:val="none"/>
          <w:vertAlign w:val="subscript"/>
        </w:rPr>
        <w:t>Nmax</w:t>
      </w:r>
      <w:r>
        <w:rPr>
          <w:rFonts w:hint="default" w:ascii="Times New Roman" w:hAnsi="Times New Roman" w:cs="Times New Roman"/>
          <w:color w:val="auto"/>
          <w:highlight w:val="none"/>
        </w:rPr>
        <w:t>=0.6308＜0.7，可以判断本园区</w:t>
      </w:r>
      <w:r>
        <w:rPr>
          <w:rFonts w:hint="default" w:ascii="Times New Roman" w:hAnsi="Times New Roman" w:cs="Times New Roman"/>
          <w:color w:val="auto"/>
          <w:highlight w:val="none"/>
          <w:lang w:val="en-US" w:eastAsia="zh-CN"/>
        </w:rPr>
        <w:t>周边</w:t>
      </w:r>
      <w:r>
        <w:rPr>
          <w:rFonts w:hint="default" w:ascii="Times New Roman" w:hAnsi="Times New Roman" w:cs="Times New Roman"/>
          <w:color w:val="auto"/>
          <w:highlight w:val="none"/>
        </w:rPr>
        <w:t>的所有因子的内梅罗污染指数对应的污染等级均为I级清洁（安全）。</w:t>
      </w:r>
    </w:p>
    <w:p w14:paraId="71EC1A79">
      <w:pPr>
        <w:pStyle w:val="5"/>
        <w:tabs>
          <w:tab w:val="left" w:pos="425"/>
        </w:tabs>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地下水检测结果小结</w:t>
      </w:r>
    </w:p>
    <w:p w14:paraId="45886688">
      <w:pPr>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1.本园区调查2个地下水样品（</w:t>
      </w:r>
      <w:r>
        <w:rPr>
          <w:rFonts w:hint="default" w:ascii="Times New Roman" w:hAnsi="Times New Roman" w:cs="Times New Roman"/>
          <w:color w:val="auto"/>
          <w:highlight w:val="none"/>
          <w:lang w:eastAsia="zh-CN"/>
        </w:rPr>
        <w:t>不含质控样品</w:t>
      </w:r>
      <w:r>
        <w:rPr>
          <w:rFonts w:hint="default" w:ascii="Times New Roman" w:hAnsi="Times New Roman" w:cs="Times New Roman"/>
          <w:color w:val="auto"/>
          <w:highlight w:val="none"/>
        </w:rPr>
        <w:t>），共检测32项测试项目包括无机项目（14项）、金属类（13项）、有机物类（5项），共检出15项污染物指标。</w:t>
      </w:r>
    </w:p>
    <w:p w14:paraId="77CED239">
      <w:pPr>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地下水监测点位中XM-W1样品</w:t>
      </w:r>
      <w:r>
        <w:rPr>
          <w:rFonts w:hint="default" w:ascii="Times New Roman" w:hAnsi="Times New Roman" w:cs="Times New Roman"/>
          <w:color w:val="auto"/>
          <w:highlight w:val="none"/>
        </w:rPr>
        <w:t>已检出污染物（总硬度、溶解性总固体、耗氧量、硫酸盐、硝酸盐、氯化物、总氟化物、氨氮、亚硝酸盐氮、锰、钠、锌、砷、石油类）均</w:t>
      </w:r>
      <w:r>
        <w:rPr>
          <w:rFonts w:hint="default" w:ascii="Times New Roman" w:hAnsi="Times New Roman" w:cs="Times New Roman"/>
          <w:color w:val="auto"/>
          <w:highlight w:val="none"/>
          <w:lang w:val="en-US" w:eastAsia="zh-CN"/>
        </w:rPr>
        <w:t>可</w:t>
      </w:r>
      <w:r>
        <w:rPr>
          <w:rFonts w:hint="default" w:ascii="Times New Roman" w:hAnsi="Times New Roman" w:cs="Times New Roman"/>
          <w:color w:val="auto"/>
          <w:highlight w:val="none"/>
        </w:rPr>
        <w:t>满足《地下水质量标准》（GB/T 14848-2017）中Ⅳ类标准限值或《地表水环境质量标准》（GB3838-2002）Ⅳ类标准限值要求</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XM-W2样品</w:t>
      </w:r>
      <w:r>
        <w:rPr>
          <w:rFonts w:hint="default" w:ascii="Times New Roman" w:hAnsi="Times New Roman" w:cs="Times New Roman"/>
          <w:color w:val="auto"/>
          <w:highlight w:val="none"/>
        </w:rPr>
        <w:t>已检出污染物（总硬度、溶解性总固体、耗氧量、硫酸盐、硝酸盐、氯化物、总氟化物、氨氮、亚硝酸盐氮、锰、钠、锌、砷、石油类）均</w:t>
      </w:r>
      <w:r>
        <w:rPr>
          <w:rFonts w:hint="default" w:ascii="Times New Roman" w:hAnsi="Times New Roman" w:cs="Times New Roman"/>
          <w:color w:val="auto"/>
          <w:highlight w:val="none"/>
          <w:lang w:val="en-US" w:eastAsia="zh-CN"/>
        </w:rPr>
        <w:t>可</w:t>
      </w:r>
      <w:r>
        <w:rPr>
          <w:rFonts w:hint="default" w:ascii="Times New Roman" w:hAnsi="Times New Roman" w:cs="Times New Roman"/>
          <w:color w:val="auto"/>
          <w:highlight w:val="none"/>
        </w:rPr>
        <w:t>满足《地下水质量标准》（GB/T 14848-2017）中</w:t>
      </w:r>
      <w:r>
        <w:rPr>
          <w:rFonts w:hint="default" w:ascii="Times New Roman" w:hAnsi="Times New Roman" w:cs="Times New Roman"/>
          <w:color w:val="auto"/>
          <w:highlight w:val="none"/>
          <w:lang w:val="en-US" w:eastAsia="zh-CN"/>
        </w:rPr>
        <w:t>III</w:t>
      </w:r>
      <w:r>
        <w:rPr>
          <w:rFonts w:hint="default" w:ascii="Times New Roman" w:hAnsi="Times New Roman" w:cs="Times New Roman"/>
          <w:color w:val="auto"/>
          <w:highlight w:val="none"/>
        </w:rPr>
        <w:t>类标准限值或《地表水环境质量标准》（GB3838-2002）</w:t>
      </w:r>
      <w:r>
        <w:rPr>
          <w:rFonts w:hint="default" w:ascii="Times New Roman" w:hAnsi="Times New Roman" w:cs="Times New Roman"/>
          <w:color w:val="auto"/>
          <w:highlight w:val="none"/>
          <w:lang w:val="en-US" w:eastAsia="zh-CN"/>
        </w:rPr>
        <w:t>III</w:t>
      </w:r>
      <w:r>
        <w:rPr>
          <w:rFonts w:hint="default" w:ascii="Times New Roman" w:hAnsi="Times New Roman" w:cs="Times New Roman"/>
          <w:color w:val="auto"/>
          <w:highlight w:val="none"/>
        </w:rPr>
        <w:t>类标准限值要求。</w:t>
      </w:r>
    </w:p>
    <w:p w14:paraId="4F772948">
      <w:pPr>
        <w:pStyle w:val="5"/>
        <w:tabs>
          <w:tab w:val="clear" w:pos="851"/>
        </w:tabs>
        <w:rPr>
          <w:rFonts w:hint="default" w:ascii="Times New Roman" w:hAnsi="Times New Roman" w:cs="Times New Roman"/>
          <w:color w:val="auto"/>
          <w:highlight w:val="none"/>
        </w:rPr>
      </w:pPr>
      <w:r>
        <w:rPr>
          <w:rFonts w:hint="default" w:ascii="Times New Roman" w:hAnsi="Times New Roman" w:cs="Times New Roman"/>
          <w:color w:val="auto"/>
          <w:highlight w:val="none"/>
        </w:rPr>
        <w:t>不确定性分析</w:t>
      </w:r>
    </w:p>
    <w:p w14:paraId="138BE7B8">
      <w:p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本调查报告是基于实际调查情况，以土壤污染状况调查导则、标准等相关文件为理论依据，以目前所掌握的调查资料、调查范围、调查点位实际监测数据为基础，结合专业的判断进行的逻辑推论与结果分析成果，但不排除存在如下不确定情况：</w:t>
      </w:r>
    </w:p>
    <w:p w14:paraId="75CCFA41">
      <w:p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本次调查范围园区内企业众多，尚不能完全一一搜集到各个企业相关资料、档案文件，且园区历史沿革悠久，历史上存续过或现状存续的企业的识别可能会存在遗漏，因此，园区特征污染物的识别可能与实际情况有所差别</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但本次特征污染物的识别原则主要依据园区规划产业定位确定，并根据重点行业企业用地调查信息管理系统、全国排污许可证管理信息平台公开端补充典型企业污染因子</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因此，</w:t>
      </w:r>
      <w:r>
        <w:rPr>
          <w:rFonts w:hint="default" w:ascii="Times New Roman" w:hAnsi="Times New Roman" w:cs="Times New Roman"/>
          <w:color w:val="auto"/>
          <w:highlight w:val="none"/>
        </w:rPr>
        <w:t>识别出的因子能够涵盖</w:t>
      </w:r>
      <w:r>
        <w:rPr>
          <w:rFonts w:hint="default" w:ascii="Times New Roman" w:hAnsi="Times New Roman" w:cs="Times New Roman"/>
          <w:color w:val="auto"/>
          <w:highlight w:val="none"/>
          <w:lang w:val="en-US" w:eastAsia="zh-CN"/>
        </w:rPr>
        <w:t>园区内可能涉及的主要土壤污染因子</w:t>
      </w:r>
      <w:r>
        <w:rPr>
          <w:rFonts w:hint="default" w:ascii="Times New Roman" w:hAnsi="Times New Roman" w:cs="Times New Roman"/>
          <w:color w:val="auto"/>
          <w:highlight w:val="none"/>
        </w:rPr>
        <w:t>及存在土壤环境潜在污染风险企业的特征因子，特征污染物的设定可以满足本次调查目的的要求。</w:t>
      </w:r>
    </w:p>
    <w:p w14:paraId="439F3106">
      <w:pPr>
        <w:spacing w:line="360" w:lineRule="auto"/>
        <w:ind w:firstLine="482"/>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此外，</w:t>
      </w:r>
      <w:r>
        <w:rPr>
          <w:rFonts w:hint="default" w:ascii="Times New Roman" w:hAnsi="Times New Roman" w:cs="Times New Roman"/>
          <w:color w:val="auto"/>
          <w:sz w:val="24"/>
          <w:highlight w:val="none"/>
          <w:lang w:eastAsia="zh-CN"/>
        </w:rPr>
        <w:t>根据现场踏勘，</w:t>
      </w:r>
      <w:r>
        <w:rPr>
          <w:rFonts w:hint="default" w:ascii="Times New Roman" w:hAnsi="Times New Roman" w:cs="Times New Roman"/>
          <w:color w:val="auto"/>
          <w:sz w:val="24"/>
          <w:highlight w:val="none"/>
          <w:lang w:val="en-US" w:eastAsia="zh-CN"/>
        </w:rPr>
        <w:t>园区北侧临长江（鄂州段），上风向</w:t>
      </w:r>
      <w:r>
        <w:rPr>
          <w:rFonts w:hint="default" w:ascii="Times New Roman" w:hAnsi="Times New Roman" w:cs="Times New Roman"/>
          <w:color w:val="auto"/>
          <w:sz w:val="24"/>
          <w:highlight w:val="none"/>
          <w:lang w:eastAsia="zh-CN"/>
        </w:rPr>
        <w:t>点位</w:t>
      </w:r>
      <w:r>
        <w:rPr>
          <w:rFonts w:hint="default" w:ascii="Times New Roman" w:hAnsi="Times New Roman" w:cs="Times New Roman"/>
          <w:color w:val="auto"/>
          <w:sz w:val="24"/>
          <w:highlight w:val="none"/>
          <w:lang w:val="en-US" w:eastAsia="zh-CN"/>
        </w:rPr>
        <w:t>XM-4无法布设于园区外，但</w:t>
      </w:r>
      <w:r>
        <w:rPr>
          <w:rFonts w:hint="default" w:ascii="Times New Roman" w:hAnsi="Times New Roman" w:cs="Times New Roman"/>
          <w:color w:val="auto"/>
          <w:sz w:val="24"/>
          <w:highlight w:val="none"/>
          <w:lang w:eastAsia="zh-CN"/>
        </w:rPr>
        <w:t>点位计划设于</w:t>
      </w:r>
      <w:r>
        <w:rPr>
          <w:rFonts w:hint="default" w:ascii="Times New Roman" w:hAnsi="Times New Roman" w:cs="Times New Roman"/>
          <w:color w:val="auto"/>
          <w:sz w:val="24"/>
          <w:highlight w:val="none"/>
          <w:lang w:val="en-US" w:eastAsia="zh-CN"/>
        </w:rPr>
        <w:t>园区最北部区域，临近</w:t>
      </w:r>
      <w:r>
        <w:rPr>
          <w:rFonts w:hint="default" w:ascii="Times New Roman" w:hAnsi="Times New Roman" w:cs="Times New Roman"/>
          <w:color w:val="auto"/>
          <w:highlight w:val="none"/>
          <w:lang w:val="en-US" w:eastAsia="zh-CN"/>
        </w:rPr>
        <w:t>江边，受园区、企业影响较小</w:t>
      </w:r>
      <w:r>
        <w:rPr>
          <w:rFonts w:hint="default" w:ascii="Times New Roman" w:hAnsi="Times New Roman" w:cs="Times New Roman"/>
          <w:color w:val="auto"/>
          <w:sz w:val="24"/>
          <w:highlight w:val="none"/>
          <w:lang w:val="en-US" w:eastAsia="zh-CN"/>
        </w:rPr>
        <w:t>具备布点条件的区域，点位的设置可</w:t>
      </w:r>
      <w:r>
        <w:rPr>
          <w:rFonts w:hint="default" w:ascii="Times New Roman" w:hAnsi="Times New Roman" w:cs="Times New Roman"/>
          <w:color w:val="auto"/>
          <w:sz w:val="24"/>
          <w:highlight w:val="none"/>
          <w:lang w:eastAsia="zh-CN"/>
        </w:rPr>
        <w:t>满足调查目的</w:t>
      </w:r>
      <w:r>
        <w:rPr>
          <w:rFonts w:hint="default" w:ascii="Times New Roman" w:hAnsi="Times New Roman" w:cs="Times New Roman"/>
          <w:color w:val="auto"/>
          <w:sz w:val="24"/>
          <w:highlight w:val="none"/>
          <w:lang w:val="en-US" w:eastAsia="zh-CN"/>
        </w:rPr>
        <w:t>相关</w:t>
      </w:r>
      <w:r>
        <w:rPr>
          <w:rFonts w:hint="default" w:ascii="Times New Roman" w:hAnsi="Times New Roman" w:cs="Times New Roman"/>
          <w:color w:val="auto"/>
          <w:sz w:val="24"/>
          <w:highlight w:val="none"/>
          <w:lang w:eastAsia="zh-CN"/>
        </w:rPr>
        <w:t>要求。</w:t>
      </w:r>
    </w:p>
    <w:p w14:paraId="57878B3F">
      <w:p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综上所述，本报告是基于现阶段的实际情况进行的分析，如果调查后由于人为及自然等因素的影响导致采样点位附近状况有改变，可能会改变污染物的种类、浓度和分布情况等，进而对本报告的准确性和有效性造成影响。 </w:t>
      </w:r>
    </w:p>
    <w:p w14:paraId="63D69922">
      <w:pPr>
        <w:pStyle w:val="2"/>
        <w:rPr>
          <w:rFonts w:hint="default" w:ascii="Times New Roman" w:hAnsi="Times New Roman" w:cs="Times New Roman"/>
          <w:color w:val="auto"/>
          <w:highlight w:val="none"/>
        </w:rPr>
        <w:sectPr>
          <w:headerReference r:id="rId23" w:type="default"/>
          <w:pgSz w:w="11849" w:h="16781"/>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pPr>
    </w:p>
    <w:p w14:paraId="4070ADFB">
      <w:pPr>
        <w:pStyle w:val="3"/>
        <w:numPr>
          <w:ilvl w:val="0"/>
          <w:numId w:val="1"/>
        </w:numPr>
        <w:tabs>
          <w:tab w:val="clear" w:pos="425"/>
        </w:tabs>
        <w:rPr>
          <w:rFonts w:hint="default" w:ascii="Times New Roman" w:hAnsi="Times New Roman" w:cs="Times New Roman"/>
          <w:color w:val="auto"/>
          <w:highlight w:val="none"/>
        </w:rPr>
      </w:pPr>
      <w:bookmarkStart w:id="49" w:name="_Toc16958"/>
      <w:bookmarkStart w:id="50" w:name="_Toc56693201"/>
      <w:bookmarkStart w:id="51" w:name="_Toc46849320"/>
      <w:r>
        <w:rPr>
          <w:rFonts w:hint="default" w:ascii="Times New Roman" w:hAnsi="Times New Roman" w:cs="Times New Roman"/>
          <w:color w:val="auto"/>
          <w:highlight w:val="none"/>
        </w:rPr>
        <w:t>结论与建议</w:t>
      </w:r>
      <w:bookmarkEnd w:id="49"/>
      <w:bookmarkEnd w:id="50"/>
      <w:bookmarkEnd w:id="51"/>
    </w:p>
    <w:p w14:paraId="5F5F9DFB">
      <w:pPr>
        <w:pStyle w:val="4"/>
        <w:tabs>
          <w:tab w:val="left" w:leader="dot" w:pos="0"/>
          <w:tab w:val="clear" w:pos="425"/>
        </w:tabs>
        <w:rPr>
          <w:rFonts w:hint="default" w:ascii="Times New Roman" w:hAnsi="Times New Roman" w:cs="Times New Roman"/>
          <w:color w:val="auto"/>
          <w:highlight w:val="none"/>
        </w:rPr>
      </w:pPr>
      <w:bookmarkStart w:id="52" w:name="_Toc56693202"/>
      <w:bookmarkStart w:id="53" w:name="_Toc46849321"/>
      <w:bookmarkStart w:id="54" w:name="_Toc32118"/>
      <w:r>
        <w:rPr>
          <w:rFonts w:hint="default" w:ascii="Times New Roman" w:hAnsi="Times New Roman" w:cs="Times New Roman"/>
          <w:color w:val="auto"/>
          <w:highlight w:val="none"/>
        </w:rPr>
        <w:t>调查结论</w:t>
      </w:r>
      <w:bookmarkEnd w:id="52"/>
      <w:bookmarkEnd w:id="53"/>
      <w:bookmarkEnd w:id="54"/>
    </w:p>
    <w:p w14:paraId="2675972D">
      <w:pPr>
        <w:ind w:firstLine="482"/>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本次调查共布设14个土壤点位，采集14个土壤样品、1个现场平行盲样和1个运输空白样</w:t>
      </w:r>
      <w:r>
        <w:rPr>
          <w:rFonts w:hint="default" w:ascii="Times New Roman" w:hAnsi="Times New Roman" w:cs="Times New Roman"/>
          <w:color w:val="auto"/>
          <w:kern w:val="0"/>
          <w:highlight w:val="none"/>
        </w:rPr>
        <w:t>，测试项目包括pH、重金属、挥发性有机物、半挥发性有机物、石油烃</w:t>
      </w:r>
      <w:r>
        <w:rPr>
          <w:rFonts w:hint="default" w:ascii="Times New Roman" w:hAnsi="Times New Roman" w:eastAsia="黑体" w:cs="Times New Roman"/>
          <w:color w:val="auto"/>
          <w:highlight w:val="none"/>
        </w:rPr>
        <w:t>（C</w:t>
      </w:r>
      <w:r>
        <w:rPr>
          <w:rFonts w:hint="default" w:ascii="Times New Roman" w:hAnsi="Times New Roman" w:eastAsia="黑体" w:cs="Times New Roman"/>
          <w:color w:val="auto"/>
          <w:highlight w:val="none"/>
          <w:vertAlign w:val="subscript"/>
        </w:rPr>
        <w:t>10</w:t>
      </w:r>
      <w:r>
        <w:rPr>
          <w:rFonts w:hint="default" w:ascii="Times New Roman" w:hAnsi="Times New Roman" w:eastAsia="黑体" w:cs="Times New Roman"/>
          <w:color w:val="auto"/>
          <w:highlight w:val="none"/>
        </w:rPr>
        <w:t>-C</w:t>
      </w:r>
      <w:r>
        <w:rPr>
          <w:rFonts w:hint="default" w:ascii="Times New Roman" w:hAnsi="Times New Roman" w:eastAsia="黑体" w:cs="Times New Roman"/>
          <w:color w:val="auto"/>
          <w:highlight w:val="none"/>
          <w:vertAlign w:val="subscript"/>
        </w:rPr>
        <w:t>40</w:t>
      </w:r>
      <w:r>
        <w:rPr>
          <w:rFonts w:hint="default" w:ascii="Times New Roman" w:hAnsi="Times New Roman" w:eastAsia="黑体" w:cs="Times New Roman"/>
          <w:color w:val="auto"/>
          <w:highlight w:val="none"/>
        </w:rPr>
        <w:t>）</w:t>
      </w:r>
      <w:r>
        <w:rPr>
          <w:rFonts w:hint="default" w:ascii="Times New Roman" w:hAnsi="Times New Roman" w:cs="Times New Roman"/>
          <w:color w:val="auto"/>
          <w:kern w:val="0"/>
          <w:highlight w:val="none"/>
        </w:rPr>
        <w:t>、二噁英等60项；共布设2个地下水监测点位，共送检2个地下水样品，测试项目包括无机项目、金属类、有机类等32项。调查结论如下：</w:t>
      </w:r>
    </w:p>
    <w:p w14:paraId="1EA201D0">
      <w:pPr>
        <w:numPr>
          <w:ilvl w:val="0"/>
          <w:numId w:val="15"/>
        </w:num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调查</w:t>
      </w:r>
      <w:r>
        <w:rPr>
          <w:rFonts w:hint="default" w:ascii="Times New Roman" w:hAnsi="Times New Roman" w:cs="Times New Roman"/>
          <w:color w:val="auto"/>
          <w:highlight w:val="none"/>
          <w:lang w:val="en-US" w:eastAsia="zh-CN"/>
        </w:rPr>
        <w:t>园区</w:t>
      </w:r>
      <w:r>
        <w:rPr>
          <w:rFonts w:hint="default" w:ascii="Times New Roman" w:hAnsi="Times New Roman" w:cs="Times New Roman"/>
          <w:color w:val="auto"/>
          <w:highlight w:val="none"/>
        </w:rPr>
        <w:t>土壤pH区间为4.88~8.51。所有送检土壤样品中重金属、挥发性有机物、半挥发性有机物、</w:t>
      </w:r>
      <w:r>
        <w:rPr>
          <w:rFonts w:hint="default" w:ascii="Times New Roman" w:hAnsi="Times New Roman" w:cs="Times New Roman"/>
          <w:color w:val="auto"/>
          <w:kern w:val="0"/>
          <w:highlight w:val="none"/>
        </w:rPr>
        <w:t>石油烃</w:t>
      </w:r>
      <w:r>
        <w:rPr>
          <w:rFonts w:hint="default" w:ascii="Times New Roman" w:hAnsi="Times New Roman" w:eastAsia="黑体" w:cs="Times New Roman"/>
          <w:color w:val="auto"/>
          <w:highlight w:val="none"/>
        </w:rPr>
        <w:t>（C</w:t>
      </w:r>
      <w:r>
        <w:rPr>
          <w:rFonts w:hint="default" w:ascii="Times New Roman" w:hAnsi="Times New Roman" w:eastAsia="黑体" w:cs="Times New Roman"/>
          <w:color w:val="auto"/>
          <w:highlight w:val="none"/>
          <w:vertAlign w:val="subscript"/>
        </w:rPr>
        <w:t>10</w:t>
      </w:r>
      <w:r>
        <w:rPr>
          <w:rFonts w:hint="default" w:ascii="Times New Roman" w:hAnsi="Times New Roman" w:eastAsia="黑体" w:cs="Times New Roman"/>
          <w:color w:val="auto"/>
          <w:highlight w:val="none"/>
        </w:rPr>
        <w:t>-C</w:t>
      </w:r>
      <w:r>
        <w:rPr>
          <w:rFonts w:hint="default" w:ascii="Times New Roman" w:hAnsi="Times New Roman" w:eastAsia="黑体" w:cs="Times New Roman"/>
          <w:color w:val="auto"/>
          <w:highlight w:val="none"/>
          <w:vertAlign w:val="subscript"/>
        </w:rPr>
        <w:t>40</w:t>
      </w:r>
      <w:r>
        <w:rPr>
          <w:rFonts w:hint="default" w:ascii="Times New Roman" w:hAnsi="Times New Roman" w:eastAsia="黑体" w:cs="Times New Roman"/>
          <w:color w:val="auto"/>
          <w:highlight w:val="none"/>
        </w:rPr>
        <w:t>）</w:t>
      </w:r>
      <w:r>
        <w:rPr>
          <w:rFonts w:hint="default" w:ascii="Times New Roman" w:hAnsi="Times New Roman" w:cs="Times New Roman"/>
          <w:color w:val="auto"/>
          <w:kern w:val="0"/>
          <w:highlight w:val="none"/>
        </w:rPr>
        <w:t>、二噁英等</w:t>
      </w:r>
      <w:r>
        <w:rPr>
          <w:rFonts w:hint="default" w:ascii="Times New Roman" w:hAnsi="Times New Roman" w:cs="Times New Roman"/>
          <w:color w:val="auto"/>
          <w:highlight w:val="none"/>
        </w:rPr>
        <w:t>检测值可满足相应用地现状及规划对应的标准限值</w:t>
      </w:r>
      <w:r>
        <w:rPr>
          <w:rFonts w:hint="default" w:ascii="Times New Roman" w:hAnsi="Times New Roman" w:cs="Times New Roman"/>
          <w:color w:val="auto"/>
          <w:highlight w:val="none"/>
          <w:lang w:val="en-US" w:eastAsia="zh-CN"/>
        </w:rPr>
        <w:t>要求</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园区周边</w:t>
      </w:r>
      <w:r>
        <w:rPr>
          <w:rFonts w:hint="default" w:ascii="Times New Roman" w:hAnsi="Times New Roman" w:cs="Times New Roman"/>
          <w:color w:val="auto"/>
          <w:highlight w:val="none"/>
        </w:rPr>
        <w:t>土壤中各类检出的污染物浓度可接受。</w:t>
      </w:r>
    </w:p>
    <w:p w14:paraId="7614E039">
      <w:pPr>
        <w:numPr>
          <w:ilvl w:val="0"/>
          <w:numId w:val="15"/>
        </w:num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园区上风向点位和下风向点位各测试项目检测值差别较小，各检测值与均值</w:t>
      </w:r>
      <w:r>
        <w:rPr>
          <w:rFonts w:hint="default" w:ascii="Times New Roman" w:hAnsi="Times New Roman" w:cs="Times New Roman"/>
          <w:color w:val="auto"/>
          <w:highlight w:val="none"/>
          <w:lang w:val="en-US" w:eastAsia="zh-CN"/>
        </w:rPr>
        <w:t>比较，部分点位指标略高于平均值，但差别较小</w:t>
      </w:r>
      <w:r>
        <w:rPr>
          <w:rFonts w:hint="default" w:ascii="Times New Roman" w:hAnsi="Times New Roman" w:cs="Times New Roman"/>
          <w:color w:val="auto"/>
          <w:highlight w:val="none"/>
        </w:rPr>
        <w:t>，说明工业园区周边及其已建成企业聚集区周边各指标浓度处在同一水平。</w:t>
      </w:r>
    </w:p>
    <w:p w14:paraId="5BAF1AE2">
      <w:pPr>
        <w:numPr>
          <w:ilvl w:val="0"/>
          <w:numId w:val="15"/>
        </w:num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各土壤样品的单项污染指数Pimax=0.8000＜1，可以判断本工业园区</w:t>
      </w:r>
      <w:r>
        <w:rPr>
          <w:rFonts w:hint="default" w:ascii="Times New Roman" w:hAnsi="Times New Roman" w:cs="Times New Roman"/>
          <w:color w:val="auto"/>
          <w:highlight w:val="none"/>
          <w:lang w:val="en-US" w:eastAsia="zh-CN"/>
        </w:rPr>
        <w:t>及周边</w:t>
      </w:r>
      <w:r>
        <w:rPr>
          <w:rFonts w:hint="default" w:ascii="Times New Roman" w:hAnsi="Times New Roman" w:cs="Times New Roman"/>
          <w:color w:val="auto"/>
          <w:highlight w:val="none"/>
        </w:rPr>
        <w:t>的所有点位各因子的单项污染指数对应的污染程度均为无污染。</w:t>
      </w:r>
    </w:p>
    <w:p w14:paraId="53E90266">
      <w:pPr>
        <w:numPr>
          <w:ilvl w:val="0"/>
          <w:numId w:val="15"/>
        </w:num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本园区各因子内梅罗污染指数PNmax=0. 6308＜0.7，可以判断本园区</w:t>
      </w:r>
      <w:r>
        <w:rPr>
          <w:rFonts w:hint="default" w:ascii="Times New Roman" w:hAnsi="Times New Roman" w:cs="Times New Roman"/>
          <w:color w:val="auto"/>
          <w:highlight w:val="none"/>
          <w:lang w:val="en-US" w:eastAsia="zh-CN"/>
        </w:rPr>
        <w:t>及周边</w:t>
      </w:r>
      <w:r>
        <w:rPr>
          <w:rFonts w:hint="default" w:ascii="Times New Roman" w:hAnsi="Times New Roman" w:cs="Times New Roman"/>
          <w:color w:val="auto"/>
          <w:highlight w:val="none"/>
        </w:rPr>
        <w:t>的所有因子的内梅罗污染指数对应的污染等级均为I级清洁（安全）。</w:t>
      </w:r>
    </w:p>
    <w:p w14:paraId="0973528C">
      <w:pPr>
        <w:numPr>
          <w:ilvl w:val="0"/>
          <w:numId w:val="15"/>
        </w:numPr>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调查</w:t>
      </w:r>
      <w:r>
        <w:rPr>
          <w:rFonts w:hint="default" w:ascii="Times New Roman" w:hAnsi="Times New Roman" w:cs="Times New Roman"/>
          <w:color w:val="auto"/>
          <w:highlight w:val="none"/>
          <w:lang w:val="en-US" w:eastAsia="zh-CN"/>
        </w:rPr>
        <w:t>范围</w:t>
      </w:r>
      <w:r>
        <w:rPr>
          <w:rFonts w:hint="default" w:ascii="Times New Roman" w:hAnsi="Times New Roman" w:cs="Times New Roman"/>
          <w:color w:val="auto"/>
          <w:highlight w:val="none"/>
        </w:rPr>
        <w:t>内</w:t>
      </w:r>
      <w:r>
        <w:rPr>
          <w:rFonts w:hint="default" w:ascii="Times New Roman" w:hAnsi="Times New Roman" w:cs="Times New Roman"/>
          <w:color w:val="auto"/>
          <w:highlight w:val="none"/>
          <w:lang w:val="en-US" w:eastAsia="zh-CN"/>
        </w:rPr>
        <w:t>地下水监测点位中地下水监测点位中XM-W1样品</w:t>
      </w:r>
      <w:r>
        <w:rPr>
          <w:rFonts w:hint="default" w:ascii="Times New Roman" w:hAnsi="Times New Roman" w:cs="Times New Roman"/>
          <w:color w:val="auto"/>
          <w:highlight w:val="none"/>
        </w:rPr>
        <w:t>已检出污染物（总硬度、溶解性总固体、耗氧量、硫酸盐、硝酸盐、氯化物、总氟化物、氨氮、亚硝酸盐氮、锰、钠、锌、砷、石油类）均</w:t>
      </w:r>
      <w:r>
        <w:rPr>
          <w:rFonts w:hint="default" w:ascii="Times New Roman" w:hAnsi="Times New Roman" w:cs="Times New Roman"/>
          <w:color w:val="auto"/>
          <w:highlight w:val="none"/>
          <w:lang w:val="en-US" w:eastAsia="zh-CN"/>
        </w:rPr>
        <w:t>可</w:t>
      </w:r>
      <w:r>
        <w:rPr>
          <w:rFonts w:hint="default" w:ascii="Times New Roman" w:hAnsi="Times New Roman" w:cs="Times New Roman"/>
          <w:color w:val="auto"/>
          <w:highlight w:val="none"/>
        </w:rPr>
        <w:t>满足《地下水质量标准》（GB/T 14848-2017）中Ⅳ类标准限值或《地表水环境质量标准》（GB3838-2002）Ⅳ类标准限值要求</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XM-W2样品</w:t>
      </w:r>
      <w:r>
        <w:rPr>
          <w:rFonts w:hint="default" w:ascii="Times New Roman" w:hAnsi="Times New Roman" w:cs="Times New Roman"/>
          <w:color w:val="auto"/>
          <w:highlight w:val="none"/>
        </w:rPr>
        <w:t>已检出污染物（总硬度、溶解性总固体、耗氧量、硫酸盐、硝酸盐、氯化物、总氟化物、氨氮、亚硝酸盐氮、锰、钠、锌、砷、石油类）均</w:t>
      </w:r>
      <w:r>
        <w:rPr>
          <w:rFonts w:hint="default" w:ascii="Times New Roman" w:hAnsi="Times New Roman" w:cs="Times New Roman"/>
          <w:color w:val="auto"/>
          <w:highlight w:val="none"/>
          <w:lang w:val="en-US" w:eastAsia="zh-CN"/>
        </w:rPr>
        <w:t>可</w:t>
      </w:r>
      <w:r>
        <w:rPr>
          <w:rFonts w:hint="default" w:ascii="Times New Roman" w:hAnsi="Times New Roman" w:cs="Times New Roman"/>
          <w:color w:val="auto"/>
          <w:highlight w:val="none"/>
        </w:rPr>
        <w:t>满足《地下水质量标准》（GB/T 14848-2017）中</w:t>
      </w:r>
      <w:r>
        <w:rPr>
          <w:rFonts w:hint="default" w:ascii="Times New Roman" w:hAnsi="Times New Roman" w:cs="Times New Roman"/>
          <w:color w:val="auto"/>
          <w:highlight w:val="none"/>
          <w:lang w:val="en-US" w:eastAsia="zh-CN"/>
        </w:rPr>
        <w:t>III</w:t>
      </w:r>
      <w:r>
        <w:rPr>
          <w:rFonts w:hint="default" w:ascii="Times New Roman" w:hAnsi="Times New Roman" w:cs="Times New Roman"/>
          <w:color w:val="auto"/>
          <w:highlight w:val="none"/>
        </w:rPr>
        <w:t>类标准限值或《地表水环境质量标准》（GB3838-2002）</w:t>
      </w:r>
      <w:r>
        <w:rPr>
          <w:rFonts w:hint="default" w:ascii="Times New Roman" w:hAnsi="Times New Roman" w:cs="Times New Roman"/>
          <w:color w:val="auto"/>
          <w:highlight w:val="none"/>
          <w:lang w:val="en-US" w:eastAsia="zh-CN"/>
        </w:rPr>
        <w:t>III</w:t>
      </w:r>
      <w:r>
        <w:rPr>
          <w:rFonts w:hint="default" w:ascii="Times New Roman" w:hAnsi="Times New Roman" w:cs="Times New Roman"/>
          <w:color w:val="auto"/>
          <w:highlight w:val="none"/>
        </w:rPr>
        <w:t>类标准限值要求。</w:t>
      </w:r>
    </w:p>
    <w:p w14:paraId="13447148">
      <w:pPr>
        <w:spacing w:line="360" w:lineRule="auto"/>
        <w:ind w:firstLine="482"/>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rPr>
        <w:t>综上所述，城东产业园（鄂城新区）</w:t>
      </w:r>
      <w:r>
        <w:rPr>
          <w:rFonts w:hint="default" w:ascii="Times New Roman" w:hAnsi="Times New Roman" w:cs="Times New Roman"/>
          <w:color w:val="auto"/>
          <w:kern w:val="0"/>
          <w:sz w:val="24"/>
          <w:highlight w:val="none"/>
          <w:lang w:eastAsia="zh-CN"/>
        </w:rPr>
        <w:t>对周边土壤和地下水影响较小，</w:t>
      </w:r>
      <w:r>
        <w:rPr>
          <w:rFonts w:hint="default" w:ascii="Times New Roman" w:hAnsi="Times New Roman" w:cs="Times New Roman"/>
          <w:color w:val="auto"/>
          <w:kern w:val="0"/>
          <w:sz w:val="24"/>
          <w:highlight w:val="none"/>
        </w:rPr>
        <w:t>城东产业园（鄂城新区）</w:t>
      </w:r>
      <w:r>
        <w:rPr>
          <w:rFonts w:hint="default" w:ascii="Times New Roman" w:hAnsi="Times New Roman" w:cs="Times New Roman"/>
          <w:color w:val="auto"/>
          <w:kern w:val="0"/>
          <w:sz w:val="24"/>
          <w:highlight w:val="none"/>
          <w:lang w:eastAsia="zh-CN"/>
        </w:rPr>
        <w:t>内</w:t>
      </w:r>
      <w:r>
        <w:rPr>
          <w:rFonts w:hint="eastAsia" w:cs="Times New Roman"/>
          <w:color w:val="auto"/>
          <w:kern w:val="0"/>
          <w:sz w:val="24"/>
          <w:highlight w:val="none"/>
          <w:lang w:eastAsia="zh-CN"/>
        </w:rPr>
        <w:t>主要已建成企业聚集区</w:t>
      </w:r>
      <w:r>
        <w:rPr>
          <w:rFonts w:hint="default" w:ascii="Times New Roman" w:hAnsi="Times New Roman" w:cs="Times New Roman"/>
          <w:color w:val="auto"/>
          <w:kern w:val="0"/>
          <w:sz w:val="24"/>
          <w:highlight w:val="none"/>
          <w:lang w:eastAsia="zh-CN"/>
        </w:rPr>
        <w:t>对其周边土壤影响较小</w:t>
      </w:r>
      <w:r>
        <w:rPr>
          <w:rFonts w:hint="default" w:ascii="Times New Roman" w:hAnsi="Times New Roman" w:cs="Times New Roman"/>
          <w:color w:val="auto"/>
          <w:kern w:val="0"/>
          <w:sz w:val="24"/>
          <w:highlight w:val="none"/>
        </w:rPr>
        <w:t>。</w:t>
      </w:r>
    </w:p>
    <w:p w14:paraId="0F9D5CA0">
      <w:pPr>
        <w:pStyle w:val="4"/>
        <w:tabs>
          <w:tab w:val="left" w:leader="dot" w:pos="0"/>
          <w:tab w:val="clear" w:pos="425"/>
        </w:tabs>
        <w:rPr>
          <w:rFonts w:hint="default" w:ascii="Times New Roman" w:hAnsi="Times New Roman" w:cs="Times New Roman"/>
          <w:color w:val="auto"/>
          <w:highlight w:val="none"/>
        </w:rPr>
      </w:pPr>
      <w:bookmarkStart w:id="55" w:name="_Toc46849322"/>
      <w:bookmarkStart w:id="56" w:name="_Toc56693203"/>
      <w:bookmarkStart w:id="57" w:name="_Toc26645"/>
      <w:r>
        <w:rPr>
          <w:rFonts w:hint="default" w:ascii="Times New Roman" w:hAnsi="Times New Roman" w:cs="Times New Roman"/>
          <w:color w:val="auto"/>
          <w:highlight w:val="none"/>
        </w:rPr>
        <w:t>建议</w:t>
      </w:r>
      <w:bookmarkEnd w:id="55"/>
      <w:bookmarkEnd w:id="56"/>
      <w:bookmarkEnd w:id="57"/>
    </w:p>
    <w:p w14:paraId="58781E31">
      <w:pPr>
        <w:pStyle w:val="30"/>
        <w:numPr>
          <w:ilvl w:val="0"/>
          <w:numId w:val="16"/>
        </w:numPr>
        <w:spacing w:after="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制定</w:t>
      </w:r>
      <w:r>
        <w:rPr>
          <w:rFonts w:hint="default" w:ascii="Times New Roman" w:hAnsi="Times New Roman" w:cs="Times New Roman"/>
          <w:color w:val="auto"/>
          <w:highlight w:val="none"/>
          <w:lang w:eastAsia="zh-CN"/>
        </w:rPr>
        <w:t>城东产业园（鄂城新区）</w:t>
      </w:r>
      <w:r>
        <w:rPr>
          <w:rFonts w:hint="default" w:ascii="Times New Roman" w:hAnsi="Times New Roman" w:cs="Times New Roman"/>
          <w:color w:val="auto"/>
          <w:highlight w:val="none"/>
        </w:rPr>
        <w:t>周边土壤环境例行监测制度，建立工业园区周边土壤环境质量管理数据库。</w:t>
      </w:r>
    </w:p>
    <w:p w14:paraId="22B351DC">
      <w:pPr>
        <w:pStyle w:val="30"/>
        <w:numPr>
          <w:ilvl w:val="0"/>
          <w:numId w:val="16"/>
        </w:numPr>
        <w:spacing w:after="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所有入园新建项目应开展环境影响评价工作，现有已入园企业，应严格落实环评文件及环境主管部门提出的各项污染防治措施，并保证污染治理设施正常、稳定运行。</w:t>
      </w:r>
    </w:p>
    <w:p w14:paraId="452D7083">
      <w:pPr>
        <w:pStyle w:val="30"/>
        <w:numPr>
          <w:ilvl w:val="0"/>
          <w:numId w:val="16"/>
        </w:numPr>
        <w:spacing w:after="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加强园区内涉重企业环境管理及监控，定期对涉重企业</w:t>
      </w:r>
      <w:r>
        <w:rPr>
          <w:rFonts w:hint="default" w:ascii="Times New Roman" w:hAnsi="Times New Roman" w:cs="Times New Roman"/>
          <w:color w:val="auto"/>
          <w:szCs w:val="24"/>
          <w:highlight w:val="none"/>
          <w:lang w:bidi="ar"/>
        </w:rPr>
        <w:t>内部及</w:t>
      </w:r>
      <w:r>
        <w:rPr>
          <w:rFonts w:hint="default" w:ascii="Times New Roman" w:hAnsi="Times New Roman" w:cs="Times New Roman"/>
          <w:color w:val="auto"/>
          <w:highlight w:val="none"/>
        </w:rPr>
        <w:t>周边土壤环境质量开展检测工作。</w:t>
      </w:r>
    </w:p>
    <w:p w14:paraId="09D01F92">
      <w:pPr>
        <w:pStyle w:val="30"/>
        <w:numPr>
          <w:ilvl w:val="0"/>
          <w:numId w:val="16"/>
        </w:numPr>
        <w:spacing w:after="0"/>
        <w:ind w:firstLine="480"/>
        <w:rPr>
          <w:rFonts w:hint="default" w:ascii="Times New Roman" w:hAnsi="Times New Roman" w:cs="Times New Roman"/>
          <w:color w:val="auto"/>
          <w:szCs w:val="24"/>
          <w:highlight w:val="none"/>
        </w:rPr>
      </w:pPr>
      <w:r>
        <w:rPr>
          <w:rFonts w:hint="default" w:ascii="Times New Roman" w:hAnsi="Times New Roman" w:cs="Times New Roman"/>
          <w:color w:val="auto"/>
          <w:highlight w:val="none"/>
        </w:rPr>
        <w:t>本报告仅针对调查期间监测点土壤及地下水环境质量进行调查与评价，园区周边土壤点位若其用地类型发生变化需按照实际情况视需要另行调查评估</w:t>
      </w:r>
      <w:r>
        <w:rPr>
          <w:rFonts w:hint="default" w:ascii="Times New Roman" w:hAnsi="Times New Roman" w:cs="Times New Roman"/>
          <w:color w:val="auto"/>
          <w:szCs w:val="24"/>
          <w:highlight w:val="none"/>
        </w:rPr>
        <w:t>。</w:t>
      </w:r>
    </w:p>
    <w:p w14:paraId="426105AB">
      <w:pPr>
        <w:pStyle w:val="2"/>
        <w:rPr>
          <w:rFonts w:hint="default" w:ascii="Times New Roman" w:hAnsi="Times New Roman" w:cs="Times New Roman"/>
          <w:color w:val="auto"/>
          <w:highlight w:val="none"/>
        </w:rPr>
      </w:pPr>
    </w:p>
    <w:sectPr>
      <w:headerReference r:id="rId24" w:type="default"/>
      <w:pgSz w:w="11849" w:h="16781"/>
      <w:pgMar w:top="1134" w:right="1134" w:bottom="1134" w:left="1134" w:header="850" w:footer="992" w:gutter="0"/>
      <w:pgBorders>
        <w:top w:val="none" w:sz="0" w:space="0"/>
        <w:left w:val="none" w:sz="0" w:space="0"/>
        <w:bottom w:val="none" w:sz="0" w:space="0"/>
        <w:right w:val="none" w:sz="0" w:space="0"/>
      </w:pgBorders>
      <w:pgNumType w:fmt="numberInDash"/>
      <w:cols w:space="0" w:num="1"/>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BBB29">
    <w:pPr>
      <w:pStyle w:val="14"/>
      <w:rPr>
        <w:u w:val="singl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48D4E">
    <w:pPr>
      <w:pStyle w:val="14"/>
      <w:rPr>
        <w:u w:val="single"/>
      </w:rPr>
    </w:pPr>
    <w:r>
      <w:rPr>
        <w:u w:val="single"/>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36565E">
                          <w:pPr>
                            <w:pStyle w:val="14"/>
                          </w:pPr>
                          <w:r>
                            <w:rPr>
                              <w:rFonts w:hint="eastAsia"/>
                            </w:rPr>
                            <w:fldChar w:fldCharType="begin"/>
                          </w:r>
                          <w:r>
                            <w:rPr>
                              <w:rFonts w:hint="eastAsia"/>
                            </w:rPr>
                            <w:instrText xml:space="preserve"> PAGE  \* MERGEFORMAT </w:instrText>
                          </w:r>
                          <w:r>
                            <w:rPr>
                              <w:rFonts w:hint="eastAsia"/>
                            </w:rPr>
                            <w:fldChar w:fldCharType="separate"/>
                          </w:r>
                          <w:r>
                            <w:t>- 59 -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E36565E">
                    <w:pPr>
                      <w:pStyle w:val="14"/>
                    </w:pPr>
                    <w:r>
                      <w:rPr>
                        <w:rFonts w:hint="eastAsia"/>
                      </w:rPr>
                      <w:fldChar w:fldCharType="begin"/>
                    </w:r>
                    <w:r>
                      <w:rPr>
                        <w:rFonts w:hint="eastAsia"/>
                      </w:rPr>
                      <w:instrText xml:space="preserve"> PAGE  \* MERGEFORMAT </w:instrText>
                    </w:r>
                    <w:r>
                      <w:rPr>
                        <w:rFonts w:hint="eastAsia"/>
                      </w:rPr>
                      <w:fldChar w:fldCharType="separate"/>
                    </w:r>
                    <w:r>
                      <w:t>- 59 -</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4E6DC">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9CCE6">
                          <w:pPr>
                            <w:pStyle w:val="14"/>
                          </w:pPr>
                          <w:r>
                            <w:rPr>
                              <w:rFonts w:hint="eastAsia"/>
                            </w:rPr>
                            <w:fldChar w:fldCharType="begin"/>
                          </w:r>
                          <w:r>
                            <w:rPr>
                              <w:rFonts w:hint="eastAsia"/>
                            </w:rPr>
                            <w:instrText xml:space="preserve"> PAGE  \* MERGEFORMAT </w:instrText>
                          </w:r>
                          <w:r>
                            <w:rPr>
                              <w:rFonts w:hint="eastAsia"/>
                            </w:rPr>
                            <w:fldChar w:fldCharType="separate"/>
                          </w:r>
                          <w:r>
                            <w:rPr>
                              <w:rFonts w:hint="eastAsia"/>
                            </w:rPr>
                            <w:t>- 13 -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B89CCE6">
                    <w:pPr>
                      <w:pStyle w:val="14"/>
                    </w:pPr>
                    <w:r>
                      <w:rPr>
                        <w:rFonts w:hint="eastAsia"/>
                      </w:rPr>
                      <w:fldChar w:fldCharType="begin"/>
                    </w:r>
                    <w:r>
                      <w:rPr>
                        <w:rFonts w:hint="eastAsia"/>
                      </w:rPr>
                      <w:instrText xml:space="preserve"> PAGE  \* MERGEFORMAT </w:instrText>
                    </w:r>
                    <w:r>
                      <w:rPr>
                        <w:rFonts w:hint="eastAsia"/>
                      </w:rPr>
                      <w:fldChar w:fldCharType="separate"/>
                    </w:r>
                    <w:r>
                      <w:rPr>
                        <w:rFonts w:hint="eastAsia"/>
                      </w:rPr>
                      <w:t>- 13 -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6699B">
    <w:pPr>
      <w:pStyle w:val="1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6B8960">
                          <w:pPr>
                            <w:pStyle w:val="14"/>
                          </w:pPr>
                          <w:r>
                            <w:rPr>
                              <w:rFonts w:hint="eastAsia"/>
                            </w:rPr>
                            <w:fldChar w:fldCharType="begin"/>
                          </w:r>
                          <w:r>
                            <w:rPr>
                              <w:rFonts w:hint="eastAsia"/>
                            </w:rPr>
                            <w:instrText xml:space="preserve"> PAGE  \* MERGEFORMAT </w:instrText>
                          </w:r>
                          <w:r>
                            <w:rPr>
                              <w:rFonts w:hint="eastAsia"/>
                            </w:rPr>
                            <w:fldChar w:fldCharType="separate"/>
                          </w:r>
                          <w:r>
                            <w:rPr>
                              <w:rFonts w:hint="eastAsia"/>
                            </w:rPr>
                            <w:t>- 16 -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0B6B8960">
                    <w:pPr>
                      <w:pStyle w:val="14"/>
                    </w:pPr>
                    <w:r>
                      <w:rPr>
                        <w:rFonts w:hint="eastAsia"/>
                      </w:rPr>
                      <w:fldChar w:fldCharType="begin"/>
                    </w:r>
                    <w:r>
                      <w:rPr>
                        <w:rFonts w:hint="eastAsia"/>
                      </w:rPr>
                      <w:instrText xml:space="preserve"> PAGE  \* MERGEFORMAT </w:instrText>
                    </w:r>
                    <w:r>
                      <w:rPr>
                        <w:rFonts w:hint="eastAsia"/>
                      </w:rPr>
                      <w:fldChar w:fldCharType="separate"/>
                    </w:r>
                    <w:r>
                      <w:rPr>
                        <w:rFonts w:hint="eastAsia"/>
                      </w:rPr>
                      <w:t>- 16 -</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91900">
    <w:pPr>
      <w:pStyle w:val="15"/>
      <w:pBdr>
        <w:bottom w:val="single" w:color="auto" w:sz="4" w:space="1"/>
      </w:pBdr>
      <w:spacing w:line="240" w:lineRule="auto"/>
      <w:rPr>
        <w:b/>
        <w:bCs/>
        <w:color w:val="000000" w:themeColor="text1"/>
        <w:szCs w:val="18"/>
        <w14:textFill>
          <w14:solidFill>
            <w14:schemeClr w14:val="tx1"/>
          </w14:solidFill>
        </w14:textFill>
      </w:rPr>
    </w:pPr>
    <w:r>
      <w:rPr>
        <w:rFonts w:hint="eastAsia"/>
        <w:b/>
        <w:bCs/>
        <w:color w:val="000000" w:themeColor="text1"/>
        <w:kern w:val="0"/>
        <w:szCs w:val="18"/>
        <w14:textFill>
          <w14:solidFill>
            <w14:schemeClr w14:val="tx1"/>
          </w14:solidFill>
        </w14:textFill>
      </w:rPr>
      <w:t>鄂州市工业园区周边土壤质量调查评估报告（2020年）——</w:t>
    </w:r>
    <w:r>
      <w:rPr>
        <w:rFonts w:hint="eastAsia"/>
        <w:b/>
        <w:bCs/>
        <w:color w:val="000000" w:themeColor="text1"/>
        <w:kern w:val="0"/>
        <w:szCs w:val="18"/>
        <w:lang w:eastAsia="zh-CN"/>
        <w14:textFill>
          <w14:solidFill>
            <w14:schemeClr w14:val="tx1"/>
          </w14:solidFill>
        </w14:textFill>
      </w:rPr>
      <w:t>城东产业园（鄂城新区）</w:t>
    </w:r>
    <w:r>
      <w:rPr>
        <w:rFonts w:hint="eastAsia"/>
        <w:b/>
        <w:bCs/>
        <w:color w:val="000000" w:themeColor="text1"/>
        <w:kern w:val="0"/>
        <w:szCs w:val="18"/>
        <w14:textFill>
          <w14:solidFill>
            <w14:schemeClr w14:val="tx1"/>
          </w14:solidFill>
        </w14:textFill>
      </w:rPr>
      <w:t xml:space="preserve">                             目录</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52E7C">
    <w:pPr>
      <w:pStyle w:val="15"/>
      <w:pBdr>
        <w:bottom w:val="single" w:color="auto" w:sz="4" w:space="1"/>
      </w:pBdr>
      <w:spacing w:line="240" w:lineRule="auto"/>
      <w:rPr>
        <w:b/>
      </w:rPr>
    </w:pPr>
    <w:r>
      <w:rPr>
        <w:rFonts w:hint="eastAsia"/>
        <w:b/>
        <w:bCs/>
        <w:color w:val="000000" w:themeColor="text1"/>
        <w:kern w:val="0"/>
        <w:szCs w:val="18"/>
        <w14:textFill>
          <w14:solidFill>
            <w14:schemeClr w14:val="tx1"/>
          </w14:solidFill>
        </w14:textFill>
      </w:rPr>
      <w:t>鄂州市工业园区周边土壤质量调查评估报告（2020年）——</w:t>
    </w:r>
    <w:r>
      <w:rPr>
        <w:rFonts w:hint="eastAsia"/>
        <w:b/>
        <w:bCs/>
        <w:color w:val="000000" w:themeColor="text1"/>
        <w:kern w:val="0"/>
        <w:szCs w:val="18"/>
        <w:lang w:eastAsia="zh-CN"/>
        <w14:textFill>
          <w14:solidFill>
            <w14:schemeClr w14:val="tx1"/>
          </w14:solidFill>
        </w14:textFill>
      </w:rPr>
      <w:t>城东产业园（鄂城新区）</w:t>
    </w:r>
    <w:r>
      <w:rPr>
        <w:rFonts w:hint="eastAsia"/>
        <w:b/>
        <w:bCs/>
        <w:color w:val="000000" w:themeColor="text1"/>
        <w:kern w:val="0"/>
        <w:szCs w:val="18"/>
        <w14:textFill>
          <w14:solidFill>
            <w14:schemeClr w14:val="tx1"/>
          </w14:solidFill>
        </w14:textFill>
      </w:rPr>
      <w:t xml:space="preserve">                             目录</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D2E9E">
    <w:pPr>
      <w:pStyle w:val="1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773A9">
    <w:pPr>
      <w:pStyle w:val="15"/>
      <w:pBdr>
        <w:bottom w:val="single" w:color="auto" w:sz="4" w:space="1"/>
      </w:pBdr>
      <w:spacing w:line="240" w:lineRule="auto"/>
      <w:rPr>
        <w:b/>
        <w:highlight w:val="none"/>
      </w:rPr>
    </w:pPr>
    <w:r>
      <w:rPr>
        <w:rFonts w:hint="eastAsia"/>
        <w:b/>
        <w:bCs/>
        <w:color w:val="000000" w:themeColor="text1"/>
        <w:kern w:val="0"/>
        <w:szCs w:val="18"/>
        <w:highlight w:val="none"/>
        <w14:textFill>
          <w14:solidFill>
            <w14:schemeClr w14:val="tx1"/>
          </w14:solidFill>
        </w14:textFill>
      </w:rPr>
      <w:t>鄂州市工业园区周边土壤质量调查评估报告（2020年）——</w:t>
    </w:r>
    <w:r>
      <w:rPr>
        <w:rFonts w:hint="eastAsia"/>
        <w:b/>
        <w:bCs/>
        <w:color w:val="000000" w:themeColor="text1"/>
        <w:kern w:val="0"/>
        <w:szCs w:val="18"/>
        <w:highlight w:val="none"/>
        <w:lang w:eastAsia="zh-CN"/>
        <w14:textFill>
          <w14:solidFill>
            <w14:schemeClr w14:val="tx1"/>
          </w14:solidFill>
        </w14:textFill>
      </w:rPr>
      <w:t>城东产业园（鄂城新区）</w:t>
    </w:r>
    <w:r>
      <w:rPr>
        <w:rFonts w:hint="eastAsia"/>
        <w:b/>
        <w:bCs/>
        <w:color w:val="000000" w:themeColor="text1"/>
        <w:kern w:val="0"/>
        <w:szCs w:val="18"/>
        <w:highlight w:val="none"/>
        <w14:textFill>
          <w14:solidFill>
            <w14:schemeClr w14:val="tx1"/>
          </w14:solidFill>
        </w14:textFill>
      </w:rPr>
      <w:t xml:space="preserve">                           1.概述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30E8">
    <w:pPr>
      <w:pStyle w:val="15"/>
      <w:pBdr>
        <w:bottom w:val="single" w:color="auto" w:sz="4" w:space="1"/>
      </w:pBdr>
      <w:spacing w:line="240" w:lineRule="auto"/>
      <w:rPr>
        <w:b/>
      </w:rPr>
    </w:pPr>
    <w:r>
      <w:rPr>
        <w:rFonts w:hint="eastAsia"/>
        <w:b/>
        <w:bCs/>
        <w:color w:val="000000" w:themeColor="text1"/>
        <w:kern w:val="0"/>
        <w:szCs w:val="18"/>
        <w14:textFill>
          <w14:solidFill>
            <w14:schemeClr w14:val="tx1"/>
          </w14:solidFill>
        </w14:textFill>
      </w:rPr>
      <w:t>鄂州市工业园区周边土壤质量调查评估报告（2020年）——</w:t>
    </w:r>
    <w:r>
      <w:rPr>
        <w:rFonts w:hint="eastAsia"/>
        <w:b/>
        <w:bCs/>
        <w:color w:val="000000" w:themeColor="text1"/>
        <w:kern w:val="0"/>
        <w:szCs w:val="18"/>
        <w:lang w:eastAsia="zh-CN"/>
        <w14:textFill>
          <w14:solidFill>
            <w14:schemeClr w14:val="tx1"/>
          </w14:solidFill>
        </w14:textFill>
      </w:rPr>
      <w:t>城东产业园（鄂城新区）</w:t>
    </w:r>
    <w:r>
      <w:rPr>
        <w:rFonts w:hint="eastAsia"/>
        <w:b/>
        <w:bCs/>
        <w:color w:val="000000" w:themeColor="text1"/>
        <w:kern w:val="0"/>
        <w:szCs w:val="18"/>
        <w14:textFill>
          <w14:solidFill>
            <w14:schemeClr w14:val="tx1"/>
          </w14:solidFill>
        </w14:textFill>
      </w:rPr>
      <w:t xml:space="preserve">                   2.调查区域概况</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E3304">
    <w:pPr>
      <w:pStyle w:val="15"/>
      <w:pBdr>
        <w:bottom w:val="single" w:color="auto" w:sz="4" w:space="1"/>
      </w:pBdr>
      <w:spacing w:line="240" w:lineRule="auto"/>
      <w:rPr>
        <w:highlight w:val="none"/>
      </w:rPr>
    </w:pPr>
    <w:r>
      <w:rPr>
        <w:rFonts w:hint="eastAsia"/>
        <w:b/>
        <w:bCs/>
        <w:color w:val="000000" w:themeColor="text1"/>
        <w:kern w:val="0"/>
        <w:szCs w:val="18"/>
        <w:highlight w:val="none"/>
        <w14:textFill>
          <w14:solidFill>
            <w14:schemeClr w14:val="tx1"/>
          </w14:solidFill>
        </w14:textFill>
      </w:rPr>
      <w:t>鄂州市工业园区周边土壤质量调查评估报告（2020年）——</w:t>
    </w:r>
    <w:r>
      <w:rPr>
        <w:rFonts w:hint="eastAsia"/>
        <w:b/>
        <w:bCs/>
        <w:color w:val="000000" w:themeColor="text1"/>
        <w:kern w:val="0"/>
        <w:szCs w:val="18"/>
        <w:highlight w:val="none"/>
        <w:lang w:eastAsia="zh-CN"/>
        <w14:textFill>
          <w14:solidFill>
            <w14:schemeClr w14:val="tx1"/>
          </w14:solidFill>
        </w14:textFill>
      </w:rPr>
      <w:t>城东产业园（鄂城新区）</w:t>
    </w:r>
    <w:r>
      <w:rPr>
        <w:rFonts w:hint="eastAsia"/>
        <w:b/>
        <w:bCs/>
        <w:color w:val="000000" w:themeColor="text1"/>
        <w:kern w:val="0"/>
        <w:szCs w:val="18"/>
        <w:highlight w:val="none"/>
        <w14:textFill>
          <w14:solidFill>
            <w14:schemeClr w14:val="tx1"/>
          </w14:solidFill>
        </w14:textFill>
      </w:rPr>
      <w:t xml:space="preserve">                   3.调查工作方案</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6F07B">
    <w:pPr>
      <w:pStyle w:val="15"/>
      <w:pBdr>
        <w:bottom w:val="single" w:color="auto" w:sz="4" w:space="1"/>
      </w:pBdr>
      <w:spacing w:line="240" w:lineRule="auto"/>
    </w:pPr>
    <w:r>
      <w:rPr>
        <w:rFonts w:hint="eastAsia"/>
        <w:b/>
        <w:bCs/>
        <w:color w:val="000000" w:themeColor="text1"/>
        <w:kern w:val="0"/>
        <w:szCs w:val="18"/>
        <w:highlight w:val="none"/>
        <w14:textFill>
          <w14:solidFill>
            <w14:schemeClr w14:val="tx1"/>
          </w14:solidFill>
        </w14:textFill>
      </w:rPr>
      <w:t>鄂州市工业园区周边土壤质量调查评估报告（2020年）——</w:t>
    </w:r>
    <w:r>
      <w:rPr>
        <w:rFonts w:hint="eastAsia"/>
        <w:b/>
        <w:bCs/>
        <w:color w:val="000000" w:themeColor="text1"/>
        <w:kern w:val="0"/>
        <w:szCs w:val="18"/>
        <w:highlight w:val="none"/>
        <w:lang w:eastAsia="zh-CN"/>
        <w14:textFill>
          <w14:solidFill>
            <w14:schemeClr w14:val="tx1"/>
          </w14:solidFill>
        </w14:textFill>
      </w:rPr>
      <w:t>城东产业园（鄂城新区）</w:t>
    </w:r>
    <w:r>
      <w:rPr>
        <w:rFonts w:hint="eastAsia"/>
        <w:b/>
        <w:bCs/>
        <w:color w:val="000000" w:themeColor="text1"/>
        <w:kern w:val="0"/>
        <w:szCs w:val="18"/>
        <w:highlight w:val="none"/>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w:t>
    </w:r>
    <w:r>
      <w:rPr>
        <w:rFonts w:hint="eastAsia"/>
        <w:b/>
        <w:bCs/>
        <w:color w:val="000000" w:themeColor="text1"/>
        <w:kern w:val="0"/>
        <w:szCs w:val="18"/>
        <w:lang w:val="en-US" w:eastAsia="zh-CN"/>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3.调查工作方案</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77F9A">
    <w:pPr>
      <w:pStyle w:val="15"/>
      <w:pBdr>
        <w:bottom w:val="single" w:color="auto" w:sz="4" w:space="1"/>
      </w:pBdr>
      <w:spacing w:line="240" w:lineRule="auto"/>
    </w:pPr>
    <w:r>
      <w:rPr>
        <w:rFonts w:hint="eastAsia"/>
        <w:b/>
        <w:bCs/>
        <w:color w:val="000000" w:themeColor="text1"/>
        <w:kern w:val="0"/>
        <w:szCs w:val="18"/>
        <w:highlight w:val="none"/>
        <w14:textFill>
          <w14:solidFill>
            <w14:schemeClr w14:val="tx1"/>
          </w14:solidFill>
        </w14:textFill>
      </w:rPr>
      <w:t>鄂州市工业园区周边土壤质量调查评估报告（2020年）——</w:t>
    </w:r>
    <w:r>
      <w:rPr>
        <w:rFonts w:hint="eastAsia"/>
        <w:b/>
        <w:bCs/>
        <w:color w:val="000000" w:themeColor="text1"/>
        <w:kern w:val="0"/>
        <w:szCs w:val="18"/>
        <w:highlight w:val="none"/>
        <w:lang w:eastAsia="zh-CN"/>
        <w14:textFill>
          <w14:solidFill>
            <w14:schemeClr w14:val="tx1"/>
          </w14:solidFill>
        </w14:textFill>
      </w:rPr>
      <w:t>城东产业园（鄂城新区）</w:t>
    </w:r>
    <w:r>
      <w:rPr>
        <w:rFonts w:hint="eastAsia"/>
        <w:b/>
        <w:bCs/>
        <w:color w:val="000000" w:themeColor="text1"/>
        <w:kern w:val="0"/>
        <w:szCs w:val="18"/>
        <w:highlight w:val="none"/>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3.调查工作方案</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E008A">
    <w:pPr>
      <w:pStyle w:val="15"/>
      <w:pBdr>
        <w:bottom w:val="single" w:color="auto" w:sz="4" w:space="1"/>
      </w:pBdr>
      <w:spacing w:line="240" w:lineRule="auto"/>
    </w:pPr>
    <w:r>
      <w:rPr>
        <w:rFonts w:hint="eastAsia"/>
        <w:b/>
        <w:bCs/>
        <w:color w:val="000000" w:themeColor="text1"/>
        <w:kern w:val="0"/>
        <w:szCs w:val="18"/>
        <w:highlight w:val="none"/>
        <w14:textFill>
          <w14:solidFill>
            <w14:schemeClr w14:val="tx1"/>
          </w14:solidFill>
        </w14:textFill>
      </w:rPr>
      <w:t>鄂州市工业园区周边土壤质量调查评估报告（2020年）——</w:t>
    </w:r>
    <w:r>
      <w:rPr>
        <w:rFonts w:hint="eastAsia"/>
        <w:b/>
        <w:bCs/>
        <w:color w:val="000000" w:themeColor="text1"/>
        <w:kern w:val="0"/>
        <w:szCs w:val="18"/>
        <w:highlight w:val="none"/>
        <w:lang w:eastAsia="zh-CN"/>
        <w14:textFill>
          <w14:solidFill>
            <w14:schemeClr w14:val="tx1"/>
          </w14:solidFill>
        </w14:textFill>
      </w:rPr>
      <w:t>城东产业园（鄂城新区）</w:t>
    </w:r>
    <w:r>
      <w:rPr>
        <w:rFonts w:hint="eastAsia"/>
        <w:b/>
        <w:bCs/>
        <w:color w:val="000000" w:themeColor="text1"/>
        <w:kern w:val="0"/>
        <w:szCs w:val="18"/>
        <w:highlight w:val="none"/>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4.现场工作及实验室分析</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AE36F">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鄂州市工业园区周边土壤质量调查评估报告（2020年）——</w:t>
    </w:r>
    <w:r>
      <w:rPr>
        <w:rFonts w:hint="eastAsia"/>
        <w:b/>
        <w:bCs/>
        <w:color w:val="000000" w:themeColor="text1"/>
        <w:kern w:val="0"/>
        <w:szCs w:val="18"/>
        <w:lang w:eastAsia="zh-CN"/>
        <w14:textFill>
          <w14:solidFill>
            <w14:schemeClr w14:val="tx1"/>
          </w14:solidFill>
        </w14:textFill>
      </w:rPr>
      <w:t>城东产业园（鄂城新区）</w:t>
    </w:r>
    <w:r>
      <w:rPr>
        <w:b/>
        <w:bCs/>
        <w:color w:val="000000" w:themeColor="text1"/>
        <w:kern w:val="0"/>
        <w:szCs w:val="18"/>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4.现场工作及实验室分析</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86B66">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鄂州市工业园区周边土壤质量调查评估报告（2020年）——</w:t>
    </w:r>
    <w:r>
      <w:rPr>
        <w:rFonts w:hint="eastAsia"/>
        <w:b/>
        <w:bCs/>
        <w:color w:val="000000" w:themeColor="text1"/>
        <w:kern w:val="0"/>
        <w:szCs w:val="18"/>
        <w:lang w:eastAsia="zh-CN"/>
        <w14:textFill>
          <w14:solidFill>
            <w14:schemeClr w14:val="tx1"/>
          </w14:solidFill>
        </w14:textFill>
      </w:rPr>
      <w:t>城东产业园（鄂城新区）</w:t>
    </w:r>
    <w:r>
      <w:rPr>
        <w:rFonts w:hint="eastAsia"/>
        <w:b/>
        <w:bCs/>
        <w:color w:val="000000" w:themeColor="text1"/>
        <w:kern w:val="0"/>
        <w:szCs w:val="18"/>
        <w14:textFill>
          <w14:solidFill>
            <w14:schemeClr w14:val="tx1"/>
          </w14:solidFill>
        </w14:textFill>
      </w:rPr>
      <w:t xml:space="preserve">           4.现场工作及实验室分析</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CFBBC">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鄂州市工业园区周边土壤质量调查评估报告（2020年）——</w:t>
    </w:r>
    <w:r>
      <w:rPr>
        <w:rFonts w:hint="eastAsia"/>
        <w:b/>
        <w:bCs/>
        <w:color w:val="000000" w:themeColor="text1"/>
        <w:kern w:val="0"/>
        <w:szCs w:val="18"/>
        <w:lang w:eastAsia="zh-CN"/>
        <w14:textFill>
          <w14:solidFill>
            <w14:schemeClr w14:val="tx1"/>
          </w14:solidFill>
        </w14:textFill>
      </w:rPr>
      <w:t>城东产业园（鄂城新区）</w:t>
    </w:r>
    <w:r>
      <w:rPr>
        <w:rFonts w:hint="eastAsia"/>
        <w:b/>
        <w:bCs/>
        <w:color w:val="000000" w:themeColor="text1"/>
        <w:kern w:val="0"/>
        <w:szCs w:val="18"/>
        <w14:textFill>
          <w14:solidFill>
            <w14:schemeClr w14:val="tx1"/>
          </w14:solidFill>
        </w14:textFill>
      </w:rPr>
      <w:t xml:space="preserve">           </w:t>
    </w:r>
    <w:r>
      <w:rPr>
        <w:rFonts w:hint="eastAsia"/>
        <w:b/>
        <w:bCs/>
        <w:color w:val="000000" w:themeColor="text1"/>
        <w:kern w:val="0"/>
        <w:szCs w:val="18"/>
        <w:lang w:val="en-US" w:eastAsia="zh-CN"/>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5.结果与评价</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3C18C">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鄂州市工业园区周边土壤质量调查评估报告（2020年）——</w:t>
    </w:r>
    <w:r>
      <w:rPr>
        <w:rFonts w:hint="eastAsia"/>
        <w:b/>
        <w:bCs/>
        <w:color w:val="000000" w:themeColor="text1"/>
        <w:kern w:val="0"/>
        <w:szCs w:val="18"/>
        <w:lang w:eastAsia="zh-CN"/>
        <w14:textFill>
          <w14:solidFill>
            <w14:schemeClr w14:val="tx1"/>
          </w14:solidFill>
        </w14:textFill>
      </w:rPr>
      <w:t>城东产业园（鄂城新区）</w:t>
    </w:r>
    <w:r>
      <w:rPr>
        <w:b/>
        <w:bCs/>
        <w:color w:val="000000" w:themeColor="text1"/>
        <w:kern w:val="0"/>
        <w:szCs w:val="18"/>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5.结果与评价</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ECE0D">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鄂州市工业园区周边土壤质量调查评估报告（2020年）——</w:t>
    </w:r>
    <w:r>
      <w:rPr>
        <w:rFonts w:hint="eastAsia"/>
        <w:b/>
        <w:bCs/>
        <w:color w:val="000000" w:themeColor="text1"/>
        <w:kern w:val="0"/>
        <w:szCs w:val="18"/>
        <w:lang w:eastAsia="zh-CN"/>
        <w14:textFill>
          <w14:solidFill>
            <w14:schemeClr w14:val="tx1"/>
          </w14:solidFill>
        </w14:textFill>
      </w:rPr>
      <w:t>城东产业园（鄂城新区）</w:t>
    </w:r>
    <w:r>
      <w:rPr>
        <w:b/>
        <w:bCs/>
        <w:color w:val="000000" w:themeColor="text1"/>
        <w:kern w:val="0"/>
        <w:szCs w:val="18"/>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w:t>
    </w:r>
    <w:r>
      <w:rPr>
        <w:rFonts w:hint="eastAsia"/>
        <w:b/>
        <w:bCs/>
        <w:color w:val="000000" w:themeColor="text1"/>
        <w:kern w:val="0"/>
        <w:szCs w:val="18"/>
        <w:lang w:val="en-US" w:eastAsia="zh-CN"/>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w:t>
    </w:r>
    <w:r>
      <w:rPr>
        <w:rFonts w:hint="eastAsia"/>
        <w:b/>
        <w:bCs/>
        <w:color w:val="000000" w:themeColor="text1"/>
        <w:kern w:val="0"/>
        <w:szCs w:val="18"/>
        <w:lang w:val="en-US" w:eastAsia="zh-CN"/>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5.结果与评价</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2CFB0">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鄂州市工业园区周边土壤质量调查评估报告（2020年）——</w:t>
    </w:r>
    <w:r>
      <w:rPr>
        <w:rFonts w:hint="eastAsia"/>
        <w:b/>
        <w:bCs/>
        <w:color w:val="000000" w:themeColor="text1"/>
        <w:kern w:val="0"/>
        <w:szCs w:val="18"/>
        <w:lang w:eastAsia="zh-CN"/>
        <w14:textFill>
          <w14:solidFill>
            <w14:schemeClr w14:val="tx1"/>
          </w14:solidFill>
        </w14:textFill>
      </w:rPr>
      <w:t>城东产业园（鄂城新区）</w:t>
    </w:r>
    <w:r>
      <w:rPr>
        <w:rFonts w:hint="eastAsia"/>
        <w:b/>
        <w:bCs/>
        <w:color w:val="000000" w:themeColor="text1"/>
        <w:kern w:val="0"/>
        <w:szCs w:val="18"/>
        <w:lang w:val="en-US" w:eastAsia="zh-CN"/>
        <w14:textFill>
          <w14:solidFill>
            <w14:schemeClr w14:val="tx1"/>
          </w14:solidFill>
        </w14:textFill>
      </w:rPr>
      <w:t xml:space="preserve">        </w:t>
    </w:r>
    <w:r>
      <w:rPr>
        <w:rFonts w:hint="eastAsia"/>
        <w:b/>
        <w:bCs/>
        <w:color w:val="000000" w:themeColor="text1"/>
        <w:kern w:val="0"/>
        <w:szCs w:val="18"/>
        <w14:textFill>
          <w14:solidFill>
            <w14:schemeClr w14:val="tx1"/>
          </w14:solidFill>
        </w14:textFill>
      </w:rPr>
      <w:t xml:space="preserve">             5.结果与评价</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A37DA">
    <w:pPr>
      <w:pStyle w:val="15"/>
      <w:pBdr>
        <w:bottom w:val="single" w:color="auto" w:sz="4" w:space="1"/>
      </w:pBdr>
      <w:spacing w:line="240" w:lineRule="auto"/>
    </w:pPr>
    <w:r>
      <w:rPr>
        <w:rFonts w:hint="eastAsia"/>
        <w:b/>
        <w:bCs/>
        <w:color w:val="000000" w:themeColor="text1"/>
        <w:kern w:val="0"/>
        <w:szCs w:val="18"/>
        <w14:textFill>
          <w14:solidFill>
            <w14:schemeClr w14:val="tx1"/>
          </w14:solidFill>
        </w14:textFill>
      </w:rPr>
      <w:t>鄂州市工业园区周边土壤质量调查评估报告（2020年）——</w:t>
    </w:r>
    <w:r>
      <w:rPr>
        <w:rFonts w:hint="eastAsia"/>
        <w:b/>
        <w:bCs/>
        <w:color w:val="000000" w:themeColor="text1"/>
        <w:kern w:val="0"/>
        <w:szCs w:val="18"/>
        <w:lang w:eastAsia="zh-CN"/>
        <w14:textFill>
          <w14:solidFill>
            <w14:schemeClr w14:val="tx1"/>
          </w14:solidFill>
        </w14:textFill>
      </w:rPr>
      <w:t>城东产业园（鄂城新区）</w:t>
    </w:r>
    <w:r>
      <w:rPr>
        <w:rFonts w:hint="eastAsia"/>
        <w:b/>
        <w:bCs/>
        <w:color w:val="000000" w:themeColor="text1"/>
        <w:kern w:val="0"/>
        <w:szCs w:val="18"/>
        <w14:textFill>
          <w14:solidFill>
            <w14:schemeClr w14:val="tx1"/>
          </w14:solidFill>
        </w14:textFill>
      </w:rPr>
      <w:t xml:space="preserve">                     6.结论与建议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C82E71"/>
    <w:multiLevelType w:val="singleLevel"/>
    <w:tmpl w:val="88C82E71"/>
    <w:lvl w:ilvl="0" w:tentative="0">
      <w:start w:val="1"/>
      <w:numFmt w:val="decimal"/>
      <w:suff w:val="nothing"/>
      <w:lvlText w:val="（%1）"/>
      <w:lvlJc w:val="left"/>
    </w:lvl>
  </w:abstractNum>
  <w:abstractNum w:abstractNumId="1">
    <w:nsid w:val="93E6CCA3"/>
    <w:multiLevelType w:val="singleLevel"/>
    <w:tmpl w:val="93E6CCA3"/>
    <w:lvl w:ilvl="0" w:tentative="0">
      <w:start w:val="1"/>
      <w:numFmt w:val="decimal"/>
      <w:suff w:val="nothing"/>
      <w:lvlText w:val="（%1）"/>
      <w:lvlJc w:val="left"/>
    </w:lvl>
  </w:abstractNum>
  <w:abstractNum w:abstractNumId="2">
    <w:nsid w:val="9F8DEC4D"/>
    <w:multiLevelType w:val="multilevel"/>
    <w:tmpl w:val="9F8DEC4D"/>
    <w:lvl w:ilvl="0" w:tentative="0">
      <w:start w:val="1"/>
      <w:numFmt w:val="decimal"/>
      <w:pStyle w:val="6"/>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
    <w:nsid w:val="C0A7D593"/>
    <w:multiLevelType w:val="multilevel"/>
    <w:tmpl w:val="C0A7D593"/>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pStyle w:val="7"/>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4">
    <w:nsid w:val="C80079AB"/>
    <w:multiLevelType w:val="singleLevel"/>
    <w:tmpl w:val="C80079AB"/>
    <w:lvl w:ilvl="0" w:tentative="0">
      <w:start w:val="1"/>
      <w:numFmt w:val="decimal"/>
      <w:suff w:val="nothing"/>
      <w:lvlText w:val="（%1）"/>
      <w:lvlJc w:val="left"/>
    </w:lvl>
  </w:abstractNum>
  <w:abstractNum w:abstractNumId="5">
    <w:nsid w:val="E8EB3CD0"/>
    <w:multiLevelType w:val="multilevel"/>
    <w:tmpl w:val="E8EB3CD0"/>
    <w:lvl w:ilvl="0" w:tentative="0">
      <w:start w:val="1"/>
      <w:numFmt w:val="decimal"/>
      <w:suff w:val="nothing"/>
      <w:lvlText w:val="（%1）"/>
      <w:lvlJc w:val="left"/>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6">
    <w:nsid w:val="F6B9518F"/>
    <w:multiLevelType w:val="singleLevel"/>
    <w:tmpl w:val="F6B9518F"/>
    <w:lvl w:ilvl="0" w:tentative="0">
      <w:start w:val="1"/>
      <w:numFmt w:val="decimal"/>
      <w:suff w:val="nothing"/>
      <w:lvlText w:val="（%1）"/>
      <w:lvlJc w:val="left"/>
    </w:lvl>
  </w:abstractNum>
  <w:abstractNum w:abstractNumId="7">
    <w:nsid w:val="0000000E"/>
    <w:multiLevelType w:val="multilevel"/>
    <w:tmpl w:val="0000000E"/>
    <w:lvl w:ilvl="0" w:tentative="0">
      <w:start w:val="1"/>
      <w:numFmt w:val="decimal"/>
      <w:lvlText w:val="%1."/>
      <w:lvlJc w:val="left"/>
      <w:pPr>
        <w:tabs>
          <w:tab w:val="left" w:pos="425"/>
        </w:tabs>
        <w:ind w:left="425" w:hanging="425"/>
      </w:pPr>
    </w:lvl>
    <w:lvl w:ilvl="1" w:tentative="0">
      <w:start w:val="1"/>
      <w:numFmt w:val="decimal"/>
      <w:pStyle w:val="4"/>
      <w:lvlText w:val="%1.%2."/>
      <w:lvlJc w:val="left"/>
      <w:pPr>
        <w:tabs>
          <w:tab w:val="left" w:pos="567"/>
        </w:tabs>
        <w:ind w:left="567" w:hanging="567"/>
      </w:pPr>
      <w:rPr>
        <w:sz w:val="24"/>
        <w:szCs w:val="24"/>
      </w:rPr>
    </w:lvl>
    <w:lvl w:ilvl="2" w:tentative="0">
      <w:start w:val="1"/>
      <w:numFmt w:val="decimal"/>
      <w:pStyle w:val="5"/>
      <w:lvlText w:val="%1.%2.%3."/>
      <w:lvlJc w:val="left"/>
      <w:pPr>
        <w:tabs>
          <w:tab w:val="left" w:pos="851"/>
        </w:tabs>
        <w:ind w:left="851" w:hanging="709"/>
      </w:pPr>
      <w:rPr>
        <w:sz w:val="24"/>
        <w:szCs w:val="24"/>
      </w:r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8">
    <w:nsid w:val="16BDCB54"/>
    <w:multiLevelType w:val="singleLevel"/>
    <w:tmpl w:val="16BDCB54"/>
    <w:lvl w:ilvl="0" w:tentative="0">
      <w:start w:val="1"/>
      <w:numFmt w:val="decimal"/>
      <w:suff w:val="nothing"/>
      <w:lvlText w:val="（%1）"/>
      <w:lvlJc w:val="left"/>
    </w:lvl>
  </w:abstractNum>
  <w:abstractNum w:abstractNumId="9">
    <w:nsid w:val="1D9819A3"/>
    <w:multiLevelType w:val="singleLevel"/>
    <w:tmpl w:val="1D9819A3"/>
    <w:lvl w:ilvl="0" w:tentative="0">
      <w:start w:val="1"/>
      <w:numFmt w:val="decimal"/>
      <w:suff w:val="space"/>
      <w:lvlText w:val="%1."/>
      <w:lvlJc w:val="left"/>
    </w:lvl>
  </w:abstractNum>
  <w:abstractNum w:abstractNumId="10">
    <w:nsid w:val="2D09ECF0"/>
    <w:multiLevelType w:val="singleLevel"/>
    <w:tmpl w:val="2D09ECF0"/>
    <w:lvl w:ilvl="0" w:tentative="0">
      <w:start w:val="1"/>
      <w:numFmt w:val="decimal"/>
      <w:suff w:val="nothing"/>
      <w:lvlText w:val="（%1）"/>
      <w:lvlJc w:val="left"/>
    </w:lvl>
  </w:abstractNum>
  <w:abstractNum w:abstractNumId="11">
    <w:nsid w:val="47769368"/>
    <w:multiLevelType w:val="singleLevel"/>
    <w:tmpl w:val="47769368"/>
    <w:lvl w:ilvl="0" w:tentative="0">
      <w:start w:val="1"/>
      <w:numFmt w:val="decimal"/>
      <w:suff w:val="nothing"/>
      <w:lvlText w:val="（%1）"/>
      <w:lvlJc w:val="left"/>
    </w:lvl>
  </w:abstractNum>
  <w:abstractNum w:abstractNumId="12">
    <w:nsid w:val="4AB71BF3"/>
    <w:multiLevelType w:val="singleLevel"/>
    <w:tmpl w:val="4AB71BF3"/>
    <w:lvl w:ilvl="0" w:tentative="0">
      <w:start w:val="1"/>
      <w:numFmt w:val="decimal"/>
      <w:suff w:val="nothing"/>
      <w:lvlText w:val="（%1）"/>
      <w:lvlJc w:val="left"/>
    </w:lvl>
  </w:abstractNum>
  <w:abstractNum w:abstractNumId="13">
    <w:nsid w:val="594FBAFE"/>
    <w:multiLevelType w:val="singleLevel"/>
    <w:tmpl w:val="594FBAFE"/>
    <w:lvl w:ilvl="0" w:tentative="0">
      <w:start w:val="1"/>
      <w:numFmt w:val="decimal"/>
      <w:suff w:val="nothing"/>
      <w:lvlText w:val="（%1）"/>
      <w:lvlJc w:val="left"/>
    </w:lvl>
  </w:abstractNum>
  <w:abstractNum w:abstractNumId="14">
    <w:nsid w:val="792B8015"/>
    <w:multiLevelType w:val="singleLevel"/>
    <w:tmpl w:val="792B8015"/>
    <w:lvl w:ilvl="0" w:tentative="0">
      <w:start w:val="1"/>
      <w:numFmt w:val="decimal"/>
      <w:suff w:val="nothing"/>
      <w:lvlText w:val="（%1）"/>
      <w:lvlJc w:val="left"/>
    </w:lvl>
  </w:abstractNum>
  <w:abstractNum w:abstractNumId="15">
    <w:nsid w:val="7C42BBF1"/>
    <w:multiLevelType w:val="singleLevel"/>
    <w:tmpl w:val="7C42BBF1"/>
    <w:lvl w:ilvl="0" w:tentative="0">
      <w:start w:val="1"/>
      <w:numFmt w:val="decimal"/>
      <w:suff w:val="nothing"/>
      <w:lvlText w:val="（%1）"/>
      <w:lvlJc w:val="left"/>
    </w:lvl>
  </w:abstractNum>
  <w:num w:numId="1">
    <w:abstractNumId w:val="7"/>
  </w:num>
  <w:num w:numId="2">
    <w:abstractNumId w:val="2"/>
  </w:num>
  <w:num w:numId="3">
    <w:abstractNumId w:val="3"/>
  </w:num>
  <w:num w:numId="4">
    <w:abstractNumId w:val="1"/>
  </w:num>
  <w:num w:numId="5">
    <w:abstractNumId w:val="10"/>
  </w:num>
  <w:num w:numId="6">
    <w:abstractNumId w:val="14"/>
  </w:num>
  <w:num w:numId="7">
    <w:abstractNumId w:val="12"/>
  </w:num>
  <w:num w:numId="8">
    <w:abstractNumId w:val="15"/>
  </w:num>
  <w:num w:numId="9">
    <w:abstractNumId w:val="11"/>
  </w:num>
  <w:num w:numId="10">
    <w:abstractNumId w:val="8"/>
  </w:num>
  <w:num w:numId="11">
    <w:abstractNumId w:val="4"/>
  </w:num>
  <w:num w:numId="12">
    <w:abstractNumId w:val="0"/>
  </w:num>
  <w:num w:numId="13">
    <w:abstractNumId w:val="5"/>
  </w:num>
  <w:num w:numId="14">
    <w:abstractNumId w:val="9"/>
  </w:num>
  <w:num w:numId="15">
    <w:abstractNumId w:val="6"/>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20"/>
  <w:drawingGridVerticalSpacing w:val="16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004A"/>
    <w:rsid w:val="00012353"/>
    <w:rsid w:val="0003327C"/>
    <w:rsid w:val="00033561"/>
    <w:rsid w:val="00034F61"/>
    <w:rsid w:val="0004333D"/>
    <w:rsid w:val="0005599D"/>
    <w:rsid w:val="00061015"/>
    <w:rsid w:val="0006464F"/>
    <w:rsid w:val="00065758"/>
    <w:rsid w:val="000A55F1"/>
    <w:rsid w:val="000B740D"/>
    <w:rsid w:val="000C4C75"/>
    <w:rsid w:val="000E0BC0"/>
    <w:rsid w:val="000E2277"/>
    <w:rsid w:val="000E6504"/>
    <w:rsid w:val="00102FD0"/>
    <w:rsid w:val="001041FC"/>
    <w:rsid w:val="00137AA9"/>
    <w:rsid w:val="00157ACF"/>
    <w:rsid w:val="001708CA"/>
    <w:rsid w:val="00172A27"/>
    <w:rsid w:val="00173FB9"/>
    <w:rsid w:val="00193652"/>
    <w:rsid w:val="001A3070"/>
    <w:rsid w:val="001D449F"/>
    <w:rsid w:val="001E4ADC"/>
    <w:rsid w:val="001E4E41"/>
    <w:rsid w:val="001F52B1"/>
    <w:rsid w:val="001F6E6A"/>
    <w:rsid w:val="00200058"/>
    <w:rsid w:val="0022266B"/>
    <w:rsid w:val="00253CC0"/>
    <w:rsid w:val="00260150"/>
    <w:rsid w:val="00260A9C"/>
    <w:rsid w:val="002909B8"/>
    <w:rsid w:val="00295A84"/>
    <w:rsid w:val="002B32D7"/>
    <w:rsid w:val="002C568B"/>
    <w:rsid w:val="002D439F"/>
    <w:rsid w:val="002D45C9"/>
    <w:rsid w:val="003306F2"/>
    <w:rsid w:val="0034147F"/>
    <w:rsid w:val="00341824"/>
    <w:rsid w:val="003534AF"/>
    <w:rsid w:val="00355C4F"/>
    <w:rsid w:val="00355C5A"/>
    <w:rsid w:val="00366160"/>
    <w:rsid w:val="003663AF"/>
    <w:rsid w:val="003A171F"/>
    <w:rsid w:val="003C3022"/>
    <w:rsid w:val="003D1A8A"/>
    <w:rsid w:val="003F5E7E"/>
    <w:rsid w:val="00401D4E"/>
    <w:rsid w:val="004054DB"/>
    <w:rsid w:val="00436FD0"/>
    <w:rsid w:val="00444994"/>
    <w:rsid w:val="0044655D"/>
    <w:rsid w:val="00451189"/>
    <w:rsid w:val="00483BDF"/>
    <w:rsid w:val="00486892"/>
    <w:rsid w:val="004939AC"/>
    <w:rsid w:val="00493A10"/>
    <w:rsid w:val="004E23FA"/>
    <w:rsid w:val="004F4501"/>
    <w:rsid w:val="005023B6"/>
    <w:rsid w:val="00551330"/>
    <w:rsid w:val="00573381"/>
    <w:rsid w:val="00596EC0"/>
    <w:rsid w:val="005A09E0"/>
    <w:rsid w:val="005A43EB"/>
    <w:rsid w:val="005E0945"/>
    <w:rsid w:val="005E282C"/>
    <w:rsid w:val="005E63D4"/>
    <w:rsid w:val="00607F77"/>
    <w:rsid w:val="006173F7"/>
    <w:rsid w:val="00625F8A"/>
    <w:rsid w:val="00644008"/>
    <w:rsid w:val="00656083"/>
    <w:rsid w:val="00667820"/>
    <w:rsid w:val="0068239B"/>
    <w:rsid w:val="006939FA"/>
    <w:rsid w:val="00695766"/>
    <w:rsid w:val="00696A64"/>
    <w:rsid w:val="006B35D1"/>
    <w:rsid w:val="006B4652"/>
    <w:rsid w:val="006D75CD"/>
    <w:rsid w:val="00715DF3"/>
    <w:rsid w:val="0072388F"/>
    <w:rsid w:val="00732A86"/>
    <w:rsid w:val="007417DC"/>
    <w:rsid w:val="00741E8B"/>
    <w:rsid w:val="0074360E"/>
    <w:rsid w:val="00770F99"/>
    <w:rsid w:val="00772983"/>
    <w:rsid w:val="007764BA"/>
    <w:rsid w:val="007A4F01"/>
    <w:rsid w:val="007C1438"/>
    <w:rsid w:val="007C3615"/>
    <w:rsid w:val="007E4696"/>
    <w:rsid w:val="007F00C4"/>
    <w:rsid w:val="00804FCA"/>
    <w:rsid w:val="00817E95"/>
    <w:rsid w:val="0084433B"/>
    <w:rsid w:val="00846AB9"/>
    <w:rsid w:val="00875DD2"/>
    <w:rsid w:val="00876D29"/>
    <w:rsid w:val="008A01D3"/>
    <w:rsid w:val="008B38F7"/>
    <w:rsid w:val="008C6179"/>
    <w:rsid w:val="008D0C4F"/>
    <w:rsid w:val="008D270E"/>
    <w:rsid w:val="008D4C5C"/>
    <w:rsid w:val="008D73B2"/>
    <w:rsid w:val="00904F56"/>
    <w:rsid w:val="009061DC"/>
    <w:rsid w:val="00917DDF"/>
    <w:rsid w:val="009232BD"/>
    <w:rsid w:val="00931E80"/>
    <w:rsid w:val="0093441A"/>
    <w:rsid w:val="00952076"/>
    <w:rsid w:val="00964C36"/>
    <w:rsid w:val="0097059D"/>
    <w:rsid w:val="00976025"/>
    <w:rsid w:val="00980551"/>
    <w:rsid w:val="00986C7D"/>
    <w:rsid w:val="0099396D"/>
    <w:rsid w:val="009A56B2"/>
    <w:rsid w:val="009B4891"/>
    <w:rsid w:val="009C035C"/>
    <w:rsid w:val="009D73C1"/>
    <w:rsid w:val="009F0A33"/>
    <w:rsid w:val="009F2056"/>
    <w:rsid w:val="00A3611C"/>
    <w:rsid w:val="00A51766"/>
    <w:rsid w:val="00A670CB"/>
    <w:rsid w:val="00A7537A"/>
    <w:rsid w:val="00A75849"/>
    <w:rsid w:val="00A80313"/>
    <w:rsid w:val="00A863C4"/>
    <w:rsid w:val="00A94747"/>
    <w:rsid w:val="00AB7D7E"/>
    <w:rsid w:val="00AC4C7B"/>
    <w:rsid w:val="00AD125B"/>
    <w:rsid w:val="00AD384D"/>
    <w:rsid w:val="00AD68E9"/>
    <w:rsid w:val="00AE178E"/>
    <w:rsid w:val="00AE327F"/>
    <w:rsid w:val="00AF2254"/>
    <w:rsid w:val="00AF296F"/>
    <w:rsid w:val="00AF7A7C"/>
    <w:rsid w:val="00B00F04"/>
    <w:rsid w:val="00B216E5"/>
    <w:rsid w:val="00B226EE"/>
    <w:rsid w:val="00B22E15"/>
    <w:rsid w:val="00B367B5"/>
    <w:rsid w:val="00B66EC5"/>
    <w:rsid w:val="00B702D6"/>
    <w:rsid w:val="00B93E7E"/>
    <w:rsid w:val="00BE2214"/>
    <w:rsid w:val="00C03311"/>
    <w:rsid w:val="00C25BE2"/>
    <w:rsid w:val="00C37D62"/>
    <w:rsid w:val="00C45B24"/>
    <w:rsid w:val="00C50198"/>
    <w:rsid w:val="00C67ACA"/>
    <w:rsid w:val="00C832D2"/>
    <w:rsid w:val="00C84CC7"/>
    <w:rsid w:val="00C94916"/>
    <w:rsid w:val="00C9772E"/>
    <w:rsid w:val="00CA0514"/>
    <w:rsid w:val="00CA324C"/>
    <w:rsid w:val="00CB150D"/>
    <w:rsid w:val="00CC0D69"/>
    <w:rsid w:val="00CC7759"/>
    <w:rsid w:val="00CE21A8"/>
    <w:rsid w:val="00CE5ED7"/>
    <w:rsid w:val="00CE748B"/>
    <w:rsid w:val="00D110F6"/>
    <w:rsid w:val="00D142A6"/>
    <w:rsid w:val="00D4216A"/>
    <w:rsid w:val="00D5277B"/>
    <w:rsid w:val="00D53018"/>
    <w:rsid w:val="00D549D5"/>
    <w:rsid w:val="00D5703A"/>
    <w:rsid w:val="00D7647D"/>
    <w:rsid w:val="00D816AD"/>
    <w:rsid w:val="00DC41FB"/>
    <w:rsid w:val="00DD0CA5"/>
    <w:rsid w:val="00DD2718"/>
    <w:rsid w:val="00E26391"/>
    <w:rsid w:val="00E343F7"/>
    <w:rsid w:val="00E36208"/>
    <w:rsid w:val="00E551A5"/>
    <w:rsid w:val="00E60B2C"/>
    <w:rsid w:val="00E806DD"/>
    <w:rsid w:val="00E83A9B"/>
    <w:rsid w:val="00EC76DE"/>
    <w:rsid w:val="00ED0E52"/>
    <w:rsid w:val="00ED64BD"/>
    <w:rsid w:val="00EE6BBE"/>
    <w:rsid w:val="00EF0365"/>
    <w:rsid w:val="00F3107D"/>
    <w:rsid w:val="00F518A7"/>
    <w:rsid w:val="00F53F45"/>
    <w:rsid w:val="00F56829"/>
    <w:rsid w:val="00F72F05"/>
    <w:rsid w:val="00F919FA"/>
    <w:rsid w:val="00F94251"/>
    <w:rsid w:val="00FA7292"/>
    <w:rsid w:val="00FB7DCA"/>
    <w:rsid w:val="00FF286E"/>
    <w:rsid w:val="00FF3D8F"/>
    <w:rsid w:val="01166CD0"/>
    <w:rsid w:val="01211107"/>
    <w:rsid w:val="013C1C78"/>
    <w:rsid w:val="014F74E7"/>
    <w:rsid w:val="01553293"/>
    <w:rsid w:val="015C4062"/>
    <w:rsid w:val="01674E8C"/>
    <w:rsid w:val="017169B8"/>
    <w:rsid w:val="01B24A03"/>
    <w:rsid w:val="01CA204F"/>
    <w:rsid w:val="01CF3D66"/>
    <w:rsid w:val="01DF2F78"/>
    <w:rsid w:val="01E024A8"/>
    <w:rsid w:val="01E11FE2"/>
    <w:rsid w:val="01E22265"/>
    <w:rsid w:val="01E360F6"/>
    <w:rsid w:val="01E66B26"/>
    <w:rsid w:val="01E90805"/>
    <w:rsid w:val="020F5611"/>
    <w:rsid w:val="022630CB"/>
    <w:rsid w:val="02292F83"/>
    <w:rsid w:val="022C2FAE"/>
    <w:rsid w:val="02337DA5"/>
    <w:rsid w:val="02902F52"/>
    <w:rsid w:val="02A93B2F"/>
    <w:rsid w:val="02DC7E02"/>
    <w:rsid w:val="02F119BC"/>
    <w:rsid w:val="02F36711"/>
    <w:rsid w:val="031569E0"/>
    <w:rsid w:val="033431B6"/>
    <w:rsid w:val="03522912"/>
    <w:rsid w:val="03697F28"/>
    <w:rsid w:val="036B66A8"/>
    <w:rsid w:val="036F2816"/>
    <w:rsid w:val="03816CBD"/>
    <w:rsid w:val="03964BB3"/>
    <w:rsid w:val="03B1623F"/>
    <w:rsid w:val="03CD3FB6"/>
    <w:rsid w:val="03EC5F21"/>
    <w:rsid w:val="03F06E2E"/>
    <w:rsid w:val="040104FA"/>
    <w:rsid w:val="041732BA"/>
    <w:rsid w:val="042F160D"/>
    <w:rsid w:val="043E76E9"/>
    <w:rsid w:val="046C2FA5"/>
    <w:rsid w:val="047C46AD"/>
    <w:rsid w:val="04973B0A"/>
    <w:rsid w:val="04CB7316"/>
    <w:rsid w:val="04CC2001"/>
    <w:rsid w:val="04CE2069"/>
    <w:rsid w:val="04CE6783"/>
    <w:rsid w:val="04F37485"/>
    <w:rsid w:val="05191832"/>
    <w:rsid w:val="05625232"/>
    <w:rsid w:val="056E1E64"/>
    <w:rsid w:val="05743BF1"/>
    <w:rsid w:val="058E1BD8"/>
    <w:rsid w:val="05B02429"/>
    <w:rsid w:val="05CA7326"/>
    <w:rsid w:val="05F807FF"/>
    <w:rsid w:val="060B3111"/>
    <w:rsid w:val="06230859"/>
    <w:rsid w:val="06284157"/>
    <w:rsid w:val="063C709C"/>
    <w:rsid w:val="06466EB4"/>
    <w:rsid w:val="06493576"/>
    <w:rsid w:val="069269AE"/>
    <w:rsid w:val="06CC76B5"/>
    <w:rsid w:val="06E33C9A"/>
    <w:rsid w:val="06E56CEF"/>
    <w:rsid w:val="06E87CE9"/>
    <w:rsid w:val="06EB782E"/>
    <w:rsid w:val="070E3004"/>
    <w:rsid w:val="0715171A"/>
    <w:rsid w:val="071F22FB"/>
    <w:rsid w:val="07355729"/>
    <w:rsid w:val="07706557"/>
    <w:rsid w:val="07A75B7D"/>
    <w:rsid w:val="07B95E5C"/>
    <w:rsid w:val="07CA52D8"/>
    <w:rsid w:val="080A21AA"/>
    <w:rsid w:val="081D5A6B"/>
    <w:rsid w:val="082A7FDE"/>
    <w:rsid w:val="08352C32"/>
    <w:rsid w:val="08371541"/>
    <w:rsid w:val="08821649"/>
    <w:rsid w:val="088575F2"/>
    <w:rsid w:val="088F5534"/>
    <w:rsid w:val="089B23FD"/>
    <w:rsid w:val="08A255AA"/>
    <w:rsid w:val="08D941E7"/>
    <w:rsid w:val="091559D6"/>
    <w:rsid w:val="091C69E3"/>
    <w:rsid w:val="094C7E5D"/>
    <w:rsid w:val="09525195"/>
    <w:rsid w:val="09566552"/>
    <w:rsid w:val="096B6640"/>
    <w:rsid w:val="097C6A67"/>
    <w:rsid w:val="097E33B6"/>
    <w:rsid w:val="09A574F3"/>
    <w:rsid w:val="09AC4C36"/>
    <w:rsid w:val="09B20583"/>
    <w:rsid w:val="09BA211D"/>
    <w:rsid w:val="09C01FC4"/>
    <w:rsid w:val="09E05710"/>
    <w:rsid w:val="09ED5785"/>
    <w:rsid w:val="0A095A6B"/>
    <w:rsid w:val="0A162818"/>
    <w:rsid w:val="0A181992"/>
    <w:rsid w:val="0A372B61"/>
    <w:rsid w:val="0A401308"/>
    <w:rsid w:val="0AA43D7B"/>
    <w:rsid w:val="0AC17DF1"/>
    <w:rsid w:val="0AC6200A"/>
    <w:rsid w:val="0AE709AE"/>
    <w:rsid w:val="0B014A09"/>
    <w:rsid w:val="0B11578D"/>
    <w:rsid w:val="0B120256"/>
    <w:rsid w:val="0B132030"/>
    <w:rsid w:val="0B1D4A44"/>
    <w:rsid w:val="0B3028C9"/>
    <w:rsid w:val="0B4B68BC"/>
    <w:rsid w:val="0B624B7C"/>
    <w:rsid w:val="0B7C2435"/>
    <w:rsid w:val="0B9B1514"/>
    <w:rsid w:val="0BAF6F53"/>
    <w:rsid w:val="0BCB45FF"/>
    <w:rsid w:val="0BCC5682"/>
    <w:rsid w:val="0BE20E78"/>
    <w:rsid w:val="0C4D14C4"/>
    <w:rsid w:val="0C65789B"/>
    <w:rsid w:val="0C93654D"/>
    <w:rsid w:val="0C963396"/>
    <w:rsid w:val="0C9B547E"/>
    <w:rsid w:val="0CDD36BA"/>
    <w:rsid w:val="0CE45FD2"/>
    <w:rsid w:val="0D0E4C17"/>
    <w:rsid w:val="0D137BF1"/>
    <w:rsid w:val="0D143B68"/>
    <w:rsid w:val="0D190882"/>
    <w:rsid w:val="0D1C245F"/>
    <w:rsid w:val="0D2E3937"/>
    <w:rsid w:val="0D3E2914"/>
    <w:rsid w:val="0D6234D7"/>
    <w:rsid w:val="0D6A209F"/>
    <w:rsid w:val="0D7A24D2"/>
    <w:rsid w:val="0D82534E"/>
    <w:rsid w:val="0DB053D9"/>
    <w:rsid w:val="0DBC29D1"/>
    <w:rsid w:val="0DFE3990"/>
    <w:rsid w:val="0E007FB7"/>
    <w:rsid w:val="0E5F3A6A"/>
    <w:rsid w:val="0E83778C"/>
    <w:rsid w:val="0E9A3BC7"/>
    <w:rsid w:val="0EB80A0C"/>
    <w:rsid w:val="0EC74B07"/>
    <w:rsid w:val="0ECB3004"/>
    <w:rsid w:val="0ED23F24"/>
    <w:rsid w:val="0ED27432"/>
    <w:rsid w:val="0EE0662F"/>
    <w:rsid w:val="0F115EDF"/>
    <w:rsid w:val="0FAF3F9B"/>
    <w:rsid w:val="0FE45B1D"/>
    <w:rsid w:val="0FF44602"/>
    <w:rsid w:val="10131A4A"/>
    <w:rsid w:val="101857E2"/>
    <w:rsid w:val="103551DB"/>
    <w:rsid w:val="104D2E55"/>
    <w:rsid w:val="1089612D"/>
    <w:rsid w:val="10B6307C"/>
    <w:rsid w:val="10C8419F"/>
    <w:rsid w:val="10CC3247"/>
    <w:rsid w:val="10D44C70"/>
    <w:rsid w:val="10DD7056"/>
    <w:rsid w:val="10E36F21"/>
    <w:rsid w:val="10F13D86"/>
    <w:rsid w:val="110260E0"/>
    <w:rsid w:val="1104604F"/>
    <w:rsid w:val="113D6568"/>
    <w:rsid w:val="113E7253"/>
    <w:rsid w:val="11503949"/>
    <w:rsid w:val="116F6954"/>
    <w:rsid w:val="119162BB"/>
    <w:rsid w:val="11BE2D4B"/>
    <w:rsid w:val="11D734DB"/>
    <w:rsid w:val="11E46865"/>
    <w:rsid w:val="11F9763C"/>
    <w:rsid w:val="122339AF"/>
    <w:rsid w:val="12674B44"/>
    <w:rsid w:val="127A371C"/>
    <w:rsid w:val="1283544F"/>
    <w:rsid w:val="12951A7A"/>
    <w:rsid w:val="129752CA"/>
    <w:rsid w:val="12D61E27"/>
    <w:rsid w:val="12D63A9F"/>
    <w:rsid w:val="13034080"/>
    <w:rsid w:val="13177AFA"/>
    <w:rsid w:val="131F7994"/>
    <w:rsid w:val="134A34EB"/>
    <w:rsid w:val="134D2AE8"/>
    <w:rsid w:val="13925AB2"/>
    <w:rsid w:val="13B24D8B"/>
    <w:rsid w:val="13B34961"/>
    <w:rsid w:val="13EE3C70"/>
    <w:rsid w:val="13FA3F3B"/>
    <w:rsid w:val="140028DE"/>
    <w:rsid w:val="140214F4"/>
    <w:rsid w:val="143C1EF3"/>
    <w:rsid w:val="144067E3"/>
    <w:rsid w:val="144B0693"/>
    <w:rsid w:val="14B5412A"/>
    <w:rsid w:val="14B86880"/>
    <w:rsid w:val="14DC4E22"/>
    <w:rsid w:val="14F83203"/>
    <w:rsid w:val="152F3E76"/>
    <w:rsid w:val="15363CFC"/>
    <w:rsid w:val="154900B4"/>
    <w:rsid w:val="15496877"/>
    <w:rsid w:val="154B0F1B"/>
    <w:rsid w:val="155936A9"/>
    <w:rsid w:val="157179FB"/>
    <w:rsid w:val="158C4C85"/>
    <w:rsid w:val="15912FA5"/>
    <w:rsid w:val="15AB7B11"/>
    <w:rsid w:val="15EF2163"/>
    <w:rsid w:val="16043CF5"/>
    <w:rsid w:val="162C7693"/>
    <w:rsid w:val="164149E9"/>
    <w:rsid w:val="164F5F8C"/>
    <w:rsid w:val="16540C54"/>
    <w:rsid w:val="16644DCA"/>
    <w:rsid w:val="16AC12FA"/>
    <w:rsid w:val="16BB5F4D"/>
    <w:rsid w:val="16C83EA4"/>
    <w:rsid w:val="16E17E4D"/>
    <w:rsid w:val="16E80137"/>
    <w:rsid w:val="16E84601"/>
    <w:rsid w:val="16EF0D99"/>
    <w:rsid w:val="171D771A"/>
    <w:rsid w:val="17501F70"/>
    <w:rsid w:val="17503990"/>
    <w:rsid w:val="175301AF"/>
    <w:rsid w:val="17721482"/>
    <w:rsid w:val="17841DD8"/>
    <w:rsid w:val="17C317EE"/>
    <w:rsid w:val="17F76A6E"/>
    <w:rsid w:val="17F840C2"/>
    <w:rsid w:val="18145984"/>
    <w:rsid w:val="18533E9C"/>
    <w:rsid w:val="185914E2"/>
    <w:rsid w:val="18603D60"/>
    <w:rsid w:val="18654DD2"/>
    <w:rsid w:val="186F4218"/>
    <w:rsid w:val="18722E64"/>
    <w:rsid w:val="188069D2"/>
    <w:rsid w:val="189815ED"/>
    <w:rsid w:val="18A41B45"/>
    <w:rsid w:val="18CF274F"/>
    <w:rsid w:val="18D359DC"/>
    <w:rsid w:val="18DC2F5E"/>
    <w:rsid w:val="18DE724E"/>
    <w:rsid w:val="190F74CF"/>
    <w:rsid w:val="19135F25"/>
    <w:rsid w:val="191A7680"/>
    <w:rsid w:val="191F09D6"/>
    <w:rsid w:val="19261634"/>
    <w:rsid w:val="192710A1"/>
    <w:rsid w:val="19502AC9"/>
    <w:rsid w:val="195640E7"/>
    <w:rsid w:val="196A42B3"/>
    <w:rsid w:val="197173A9"/>
    <w:rsid w:val="197C3EBA"/>
    <w:rsid w:val="198E5879"/>
    <w:rsid w:val="19A1334F"/>
    <w:rsid w:val="19A5063C"/>
    <w:rsid w:val="19E36402"/>
    <w:rsid w:val="19EB1414"/>
    <w:rsid w:val="19FE0875"/>
    <w:rsid w:val="1A041C8E"/>
    <w:rsid w:val="1A156F2F"/>
    <w:rsid w:val="1A24321C"/>
    <w:rsid w:val="1A2E1B18"/>
    <w:rsid w:val="1A42275A"/>
    <w:rsid w:val="1A803784"/>
    <w:rsid w:val="1A877416"/>
    <w:rsid w:val="1A8840FF"/>
    <w:rsid w:val="1AB0491F"/>
    <w:rsid w:val="1AFF2C18"/>
    <w:rsid w:val="1B13720F"/>
    <w:rsid w:val="1B3B1752"/>
    <w:rsid w:val="1B450367"/>
    <w:rsid w:val="1B53192E"/>
    <w:rsid w:val="1B542B91"/>
    <w:rsid w:val="1B5612DF"/>
    <w:rsid w:val="1B6532EE"/>
    <w:rsid w:val="1B695676"/>
    <w:rsid w:val="1BB21705"/>
    <w:rsid w:val="1BEB3359"/>
    <w:rsid w:val="1C2E3B92"/>
    <w:rsid w:val="1C3D33BA"/>
    <w:rsid w:val="1C462289"/>
    <w:rsid w:val="1C5F7DAA"/>
    <w:rsid w:val="1C77709C"/>
    <w:rsid w:val="1C812F1B"/>
    <w:rsid w:val="1C815F8F"/>
    <w:rsid w:val="1C834A21"/>
    <w:rsid w:val="1CA72C39"/>
    <w:rsid w:val="1CD728E3"/>
    <w:rsid w:val="1CF82CE4"/>
    <w:rsid w:val="1CF91200"/>
    <w:rsid w:val="1D1D24D0"/>
    <w:rsid w:val="1D2B6F4E"/>
    <w:rsid w:val="1D340FCC"/>
    <w:rsid w:val="1D5045CA"/>
    <w:rsid w:val="1D621AEE"/>
    <w:rsid w:val="1D7B4061"/>
    <w:rsid w:val="1D8A1B7D"/>
    <w:rsid w:val="1D94134C"/>
    <w:rsid w:val="1DB2394E"/>
    <w:rsid w:val="1DE95075"/>
    <w:rsid w:val="1E392E4B"/>
    <w:rsid w:val="1E4036C4"/>
    <w:rsid w:val="1E534008"/>
    <w:rsid w:val="1E6E0069"/>
    <w:rsid w:val="1E6F34D0"/>
    <w:rsid w:val="1E7B2AE9"/>
    <w:rsid w:val="1E84106F"/>
    <w:rsid w:val="1E873335"/>
    <w:rsid w:val="1EAB3E04"/>
    <w:rsid w:val="1EC62CFC"/>
    <w:rsid w:val="1EC77D1C"/>
    <w:rsid w:val="1ECF5CCF"/>
    <w:rsid w:val="1EE16ED2"/>
    <w:rsid w:val="1EF8768B"/>
    <w:rsid w:val="1EF903DE"/>
    <w:rsid w:val="1F163863"/>
    <w:rsid w:val="1F2606C9"/>
    <w:rsid w:val="1FC8213C"/>
    <w:rsid w:val="1FD71EE4"/>
    <w:rsid w:val="1FE020B2"/>
    <w:rsid w:val="1FE44FB8"/>
    <w:rsid w:val="1FF11FC8"/>
    <w:rsid w:val="200A3EBB"/>
    <w:rsid w:val="201A2EDA"/>
    <w:rsid w:val="20261CC6"/>
    <w:rsid w:val="205650DD"/>
    <w:rsid w:val="205857D3"/>
    <w:rsid w:val="206273A1"/>
    <w:rsid w:val="2070574E"/>
    <w:rsid w:val="20772C18"/>
    <w:rsid w:val="20812DAB"/>
    <w:rsid w:val="20872DD7"/>
    <w:rsid w:val="208D4D36"/>
    <w:rsid w:val="20C35F02"/>
    <w:rsid w:val="20CE76CF"/>
    <w:rsid w:val="20DC3A01"/>
    <w:rsid w:val="20E1766D"/>
    <w:rsid w:val="213071CC"/>
    <w:rsid w:val="21394AA9"/>
    <w:rsid w:val="2161584D"/>
    <w:rsid w:val="21680C2C"/>
    <w:rsid w:val="217C2DB6"/>
    <w:rsid w:val="21B31A1D"/>
    <w:rsid w:val="21BB6B87"/>
    <w:rsid w:val="21CA650D"/>
    <w:rsid w:val="21E86714"/>
    <w:rsid w:val="22085D69"/>
    <w:rsid w:val="22311230"/>
    <w:rsid w:val="224824A4"/>
    <w:rsid w:val="22485207"/>
    <w:rsid w:val="225E1D5B"/>
    <w:rsid w:val="2288732C"/>
    <w:rsid w:val="22B13F1F"/>
    <w:rsid w:val="22E842F8"/>
    <w:rsid w:val="22F22307"/>
    <w:rsid w:val="22F51784"/>
    <w:rsid w:val="22F96FFC"/>
    <w:rsid w:val="23186BA8"/>
    <w:rsid w:val="23191E36"/>
    <w:rsid w:val="233D76C2"/>
    <w:rsid w:val="23600954"/>
    <w:rsid w:val="23885AC6"/>
    <w:rsid w:val="23926420"/>
    <w:rsid w:val="2393758A"/>
    <w:rsid w:val="23F8678A"/>
    <w:rsid w:val="24045E17"/>
    <w:rsid w:val="24084DA3"/>
    <w:rsid w:val="2414719F"/>
    <w:rsid w:val="242D39CB"/>
    <w:rsid w:val="24310B3F"/>
    <w:rsid w:val="243D6924"/>
    <w:rsid w:val="244D1873"/>
    <w:rsid w:val="248F747E"/>
    <w:rsid w:val="24D83439"/>
    <w:rsid w:val="24EE3741"/>
    <w:rsid w:val="250635BD"/>
    <w:rsid w:val="250B7A5C"/>
    <w:rsid w:val="25146982"/>
    <w:rsid w:val="25716782"/>
    <w:rsid w:val="25E05704"/>
    <w:rsid w:val="25F42853"/>
    <w:rsid w:val="25F770F5"/>
    <w:rsid w:val="25FD588D"/>
    <w:rsid w:val="264C4F81"/>
    <w:rsid w:val="26555C7B"/>
    <w:rsid w:val="26957794"/>
    <w:rsid w:val="26D24E21"/>
    <w:rsid w:val="26D32F0B"/>
    <w:rsid w:val="26F836DA"/>
    <w:rsid w:val="26FD55ED"/>
    <w:rsid w:val="27004270"/>
    <w:rsid w:val="27085725"/>
    <w:rsid w:val="27283C0C"/>
    <w:rsid w:val="27505F57"/>
    <w:rsid w:val="27966036"/>
    <w:rsid w:val="279A74FB"/>
    <w:rsid w:val="27C25CE5"/>
    <w:rsid w:val="27DB4187"/>
    <w:rsid w:val="27FE397E"/>
    <w:rsid w:val="28393B99"/>
    <w:rsid w:val="283F3498"/>
    <w:rsid w:val="283F768C"/>
    <w:rsid w:val="28483E40"/>
    <w:rsid w:val="2877729A"/>
    <w:rsid w:val="288E0B23"/>
    <w:rsid w:val="288F78F6"/>
    <w:rsid w:val="28A977E0"/>
    <w:rsid w:val="28BA72D5"/>
    <w:rsid w:val="28E27AD3"/>
    <w:rsid w:val="28F15548"/>
    <w:rsid w:val="28F82906"/>
    <w:rsid w:val="29234223"/>
    <w:rsid w:val="2946107F"/>
    <w:rsid w:val="29477AE8"/>
    <w:rsid w:val="29652CEF"/>
    <w:rsid w:val="29797537"/>
    <w:rsid w:val="29B32CEC"/>
    <w:rsid w:val="29C0377A"/>
    <w:rsid w:val="29D227B5"/>
    <w:rsid w:val="2A463E94"/>
    <w:rsid w:val="2A5557CE"/>
    <w:rsid w:val="2A700619"/>
    <w:rsid w:val="2A7A3222"/>
    <w:rsid w:val="2A842FED"/>
    <w:rsid w:val="2A8922FE"/>
    <w:rsid w:val="2AAD62A4"/>
    <w:rsid w:val="2AC20744"/>
    <w:rsid w:val="2B00544F"/>
    <w:rsid w:val="2B076E6C"/>
    <w:rsid w:val="2B0B0DA3"/>
    <w:rsid w:val="2B1E73F9"/>
    <w:rsid w:val="2B396D8B"/>
    <w:rsid w:val="2B7C17D8"/>
    <w:rsid w:val="2B8D1F63"/>
    <w:rsid w:val="2BF82A8D"/>
    <w:rsid w:val="2C091A5B"/>
    <w:rsid w:val="2C10418F"/>
    <w:rsid w:val="2C241D82"/>
    <w:rsid w:val="2C397BCF"/>
    <w:rsid w:val="2C4B48BD"/>
    <w:rsid w:val="2C5E7136"/>
    <w:rsid w:val="2C7543CA"/>
    <w:rsid w:val="2C816C7D"/>
    <w:rsid w:val="2C8420B1"/>
    <w:rsid w:val="2C89347D"/>
    <w:rsid w:val="2CAA47DD"/>
    <w:rsid w:val="2CB41D59"/>
    <w:rsid w:val="2CFA008E"/>
    <w:rsid w:val="2CFA1C62"/>
    <w:rsid w:val="2CFB0817"/>
    <w:rsid w:val="2D026A49"/>
    <w:rsid w:val="2D1E563E"/>
    <w:rsid w:val="2D2959EA"/>
    <w:rsid w:val="2D3E6584"/>
    <w:rsid w:val="2D4D4D27"/>
    <w:rsid w:val="2D782279"/>
    <w:rsid w:val="2D942592"/>
    <w:rsid w:val="2DAD365B"/>
    <w:rsid w:val="2DD25ACE"/>
    <w:rsid w:val="2DDB598C"/>
    <w:rsid w:val="2DF541FC"/>
    <w:rsid w:val="2E1E5264"/>
    <w:rsid w:val="2E293CBF"/>
    <w:rsid w:val="2E2F3CBA"/>
    <w:rsid w:val="2E392178"/>
    <w:rsid w:val="2E5A2ECE"/>
    <w:rsid w:val="2E5E66B3"/>
    <w:rsid w:val="2E672177"/>
    <w:rsid w:val="2E6B5CBB"/>
    <w:rsid w:val="2E714161"/>
    <w:rsid w:val="2E8A7C0F"/>
    <w:rsid w:val="2E996201"/>
    <w:rsid w:val="2EB42282"/>
    <w:rsid w:val="2EB4247A"/>
    <w:rsid w:val="2F336B1C"/>
    <w:rsid w:val="2F352089"/>
    <w:rsid w:val="2F3E3B9C"/>
    <w:rsid w:val="2F473449"/>
    <w:rsid w:val="2F663BF9"/>
    <w:rsid w:val="2F671092"/>
    <w:rsid w:val="2F926211"/>
    <w:rsid w:val="2F937722"/>
    <w:rsid w:val="2FF2409B"/>
    <w:rsid w:val="300600AB"/>
    <w:rsid w:val="303B2BC6"/>
    <w:rsid w:val="30415977"/>
    <w:rsid w:val="308553CA"/>
    <w:rsid w:val="30A132C2"/>
    <w:rsid w:val="30AF3AD6"/>
    <w:rsid w:val="30B938EC"/>
    <w:rsid w:val="30E6531B"/>
    <w:rsid w:val="310811F4"/>
    <w:rsid w:val="31153C20"/>
    <w:rsid w:val="3146701C"/>
    <w:rsid w:val="315313C0"/>
    <w:rsid w:val="315A5B65"/>
    <w:rsid w:val="31644DC7"/>
    <w:rsid w:val="318B3936"/>
    <w:rsid w:val="31A07827"/>
    <w:rsid w:val="31C51A94"/>
    <w:rsid w:val="31F24484"/>
    <w:rsid w:val="32006057"/>
    <w:rsid w:val="32245DE8"/>
    <w:rsid w:val="323912EB"/>
    <w:rsid w:val="326A4940"/>
    <w:rsid w:val="326D7BB2"/>
    <w:rsid w:val="32944A99"/>
    <w:rsid w:val="329F3EC1"/>
    <w:rsid w:val="32AF0088"/>
    <w:rsid w:val="32DF5E1D"/>
    <w:rsid w:val="32E14277"/>
    <w:rsid w:val="33013E7A"/>
    <w:rsid w:val="3321502F"/>
    <w:rsid w:val="332677B8"/>
    <w:rsid w:val="33356AEE"/>
    <w:rsid w:val="3340309A"/>
    <w:rsid w:val="3350747A"/>
    <w:rsid w:val="33517964"/>
    <w:rsid w:val="33947B0E"/>
    <w:rsid w:val="33A7190E"/>
    <w:rsid w:val="33A85B96"/>
    <w:rsid w:val="33AE4BCE"/>
    <w:rsid w:val="33C659BD"/>
    <w:rsid w:val="33D91096"/>
    <w:rsid w:val="33F149C8"/>
    <w:rsid w:val="33F778DE"/>
    <w:rsid w:val="33FF46B6"/>
    <w:rsid w:val="342C7E71"/>
    <w:rsid w:val="34362B89"/>
    <w:rsid w:val="344B39AD"/>
    <w:rsid w:val="345F09AA"/>
    <w:rsid w:val="346872B6"/>
    <w:rsid w:val="34706916"/>
    <w:rsid w:val="34A43C75"/>
    <w:rsid w:val="34A60593"/>
    <w:rsid w:val="34D11C6E"/>
    <w:rsid w:val="34DC6EDD"/>
    <w:rsid w:val="34E17A39"/>
    <w:rsid w:val="34F4717A"/>
    <w:rsid w:val="350602D2"/>
    <w:rsid w:val="350E6F62"/>
    <w:rsid w:val="35114308"/>
    <w:rsid w:val="35140E8D"/>
    <w:rsid w:val="352859EF"/>
    <w:rsid w:val="35575A24"/>
    <w:rsid w:val="357370E0"/>
    <w:rsid w:val="35C626FB"/>
    <w:rsid w:val="35D137C5"/>
    <w:rsid w:val="35D948BD"/>
    <w:rsid w:val="35EA3607"/>
    <w:rsid w:val="36142768"/>
    <w:rsid w:val="365E2687"/>
    <w:rsid w:val="36613863"/>
    <w:rsid w:val="36831DD7"/>
    <w:rsid w:val="368519B3"/>
    <w:rsid w:val="36AB6C2B"/>
    <w:rsid w:val="36AF14C3"/>
    <w:rsid w:val="36EC3E34"/>
    <w:rsid w:val="3715799B"/>
    <w:rsid w:val="372001BD"/>
    <w:rsid w:val="3738178F"/>
    <w:rsid w:val="375047B9"/>
    <w:rsid w:val="37547E25"/>
    <w:rsid w:val="379C0FD9"/>
    <w:rsid w:val="38041A03"/>
    <w:rsid w:val="381D7E33"/>
    <w:rsid w:val="381F1D17"/>
    <w:rsid w:val="382F40D1"/>
    <w:rsid w:val="38397315"/>
    <w:rsid w:val="38502AA8"/>
    <w:rsid w:val="38533B8A"/>
    <w:rsid w:val="38C5369B"/>
    <w:rsid w:val="38FC556E"/>
    <w:rsid w:val="39130287"/>
    <w:rsid w:val="39235BCF"/>
    <w:rsid w:val="3928690E"/>
    <w:rsid w:val="392A431D"/>
    <w:rsid w:val="39474877"/>
    <w:rsid w:val="394E38BC"/>
    <w:rsid w:val="39826242"/>
    <w:rsid w:val="399775F6"/>
    <w:rsid w:val="39C559D0"/>
    <w:rsid w:val="39DE2512"/>
    <w:rsid w:val="39FE08B8"/>
    <w:rsid w:val="3A0B2595"/>
    <w:rsid w:val="3A123CE6"/>
    <w:rsid w:val="3A23039D"/>
    <w:rsid w:val="3A2C3B98"/>
    <w:rsid w:val="3A2F32DF"/>
    <w:rsid w:val="3A3732B0"/>
    <w:rsid w:val="3A416211"/>
    <w:rsid w:val="3A55514C"/>
    <w:rsid w:val="3A6818FD"/>
    <w:rsid w:val="3A715575"/>
    <w:rsid w:val="3A770E01"/>
    <w:rsid w:val="3AA20FD9"/>
    <w:rsid w:val="3AAD1485"/>
    <w:rsid w:val="3AF10E24"/>
    <w:rsid w:val="3B074F90"/>
    <w:rsid w:val="3B1B5B1A"/>
    <w:rsid w:val="3B2C50DC"/>
    <w:rsid w:val="3B5F0527"/>
    <w:rsid w:val="3B607E2A"/>
    <w:rsid w:val="3B7967A3"/>
    <w:rsid w:val="3B7D1ED4"/>
    <w:rsid w:val="3B816EDE"/>
    <w:rsid w:val="3BA7005C"/>
    <w:rsid w:val="3BB261A0"/>
    <w:rsid w:val="3BC540E7"/>
    <w:rsid w:val="3BD83038"/>
    <w:rsid w:val="3BDA79B6"/>
    <w:rsid w:val="3BF20FF4"/>
    <w:rsid w:val="3C08077F"/>
    <w:rsid w:val="3C1A0EDA"/>
    <w:rsid w:val="3C20326E"/>
    <w:rsid w:val="3C3A609C"/>
    <w:rsid w:val="3C6E2D41"/>
    <w:rsid w:val="3C6F0680"/>
    <w:rsid w:val="3C721D88"/>
    <w:rsid w:val="3C825B04"/>
    <w:rsid w:val="3C932C60"/>
    <w:rsid w:val="3CB54628"/>
    <w:rsid w:val="3CBC409F"/>
    <w:rsid w:val="3CD1480D"/>
    <w:rsid w:val="3CFA171A"/>
    <w:rsid w:val="3CFD5C66"/>
    <w:rsid w:val="3D246CC8"/>
    <w:rsid w:val="3D4A444A"/>
    <w:rsid w:val="3D5417DC"/>
    <w:rsid w:val="3D644D48"/>
    <w:rsid w:val="3D7A1A13"/>
    <w:rsid w:val="3D930F36"/>
    <w:rsid w:val="3DB54857"/>
    <w:rsid w:val="3DD328B2"/>
    <w:rsid w:val="3DD526B0"/>
    <w:rsid w:val="3E0417E6"/>
    <w:rsid w:val="3E0B30E3"/>
    <w:rsid w:val="3E131D07"/>
    <w:rsid w:val="3E1E684A"/>
    <w:rsid w:val="3E5D273F"/>
    <w:rsid w:val="3E92447C"/>
    <w:rsid w:val="3E973124"/>
    <w:rsid w:val="3EA72D51"/>
    <w:rsid w:val="3EAB6930"/>
    <w:rsid w:val="3EAF4E3F"/>
    <w:rsid w:val="3EC83E70"/>
    <w:rsid w:val="3EE07F70"/>
    <w:rsid w:val="3EF369B9"/>
    <w:rsid w:val="3EFD5657"/>
    <w:rsid w:val="3F1B7E76"/>
    <w:rsid w:val="3F222031"/>
    <w:rsid w:val="3F4F147D"/>
    <w:rsid w:val="3F585171"/>
    <w:rsid w:val="3F747BEF"/>
    <w:rsid w:val="3F7B4767"/>
    <w:rsid w:val="3FA52D38"/>
    <w:rsid w:val="3FB37414"/>
    <w:rsid w:val="3FD8787B"/>
    <w:rsid w:val="3FD960A3"/>
    <w:rsid w:val="40084668"/>
    <w:rsid w:val="400D2C11"/>
    <w:rsid w:val="400F25E7"/>
    <w:rsid w:val="401C3696"/>
    <w:rsid w:val="402E13E6"/>
    <w:rsid w:val="403A0010"/>
    <w:rsid w:val="404E1BD0"/>
    <w:rsid w:val="405A1195"/>
    <w:rsid w:val="406B51FE"/>
    <w:rsid w:val="408E7336"/>
    <w:rsid w:val="40A63BAA"/>
    <w:rsid w:val="40AE4FEA"/>
    <w:rsid w:val="410D413D"/>
    <w:rsid w:val="411A5CA4"/>
    <w:rsid w:val="412543F8"/>
    <w:rsid w:val="41572D21"/>
    <w:rsid w:val="41587EBC"/>
    <w:rsid w:val="415D489E"/>
    <w:rsid w:val="41760580"/>
    <w:rsid w:val="41786135"/>
    <w:rsid w:val="418F5A1B"/>
    <w:rsid w:val="41A012A0"/>
    <w:rsid w:val="41A612C2"/>
    <w:rsid w:val="41C544D0"/>
    <w:rsid w:val="41CB5D0A"/>
    <w:rsid w:val="41D43BD5"/>
    <w:rsid w:val="41D62821"/>
    <w:rsid w:val="41FA7AA1"/>
    <w:rsid w:val="42002A3A"/>
    <w:rsid w:val="420B418A"/>
    <w:rsid w:val="421C5804"/>
    <w:rsid w:val="422966BF"/>
    <w:rsid w:val="422D6C24"/>
    <w:rsid w:val="423079F1"/>
    <w:rsid w:val="424D601B"/>
    <w:rsid w:val="424F77D8"/>
    <w:rsid w:val="425D0B81"/>
    <w:rsid w:val="425D1079"/>
    <w:rsid w:val="42681538"/>
    <w:rsid w:val="42686235"/>
    <w:rsid w:val="426F3BAF"/>
    <w:rsid w:val="427E0663"/>
    <w:rsid w:val="428E665C"/>
    <w:rsid w:val="42A228BF"/>
    <w:rsid w:val="42AC3F30"/>
    <w:rsid w:val="42E22E0D"/>
    <w:rsid w:val="42FE4A63"/>
    <w:rsid w:val="431C4F9D"/>
    <w:rsid w:val="432B7D80"/>
    <w:rsid w:val="432E4B46"/>
    <w:rsid w:val="43341B49"/>
    <w:rsid w:val="43584209"/>
    <w:rsid w:val="43676F5C"/>
    <w:rsid w:val="43873AC4"/>
    <w:rsid w:val="438F2875"/>
    <w:rsid w:val="43A1162E"/>
    <w:rsid w:val="43B83A52"/>
    <w:rsid w:val="43BA1B89"/>
    <w:rsid w:val="43CC39E1"/>
    <w:rsid w:val="43CE5E8B"/>
    <w:rsid w:val="43CF3214"/>
    <w:rsid w:val="43D14B89"/>
    <w:rsid w:val="43F6605E"/>
    <w:rsid w:val="4407494E"/>
    <w:rsid w:val="4408325E"/>
    <w:rsid w:val="443A5DF4"/>
    <w:rsid w:val="443C017D"/>
    <w:rsid w:val="445219B8"/>
    <w:rsid w:val="44734DF7"/>
    <w:rsid w:val="44735F42"/>
    <w:rsid w:val="447E146C"/>
    <w:rsid w:val="44946DD8"/>
    <w:rsid w:val="449D411E"/>
    <w:rsid w:val="44AC3CA0"/>
    <w:rsid w:val="44FC2B6F"/>
    <w:rsid w:val="4500483E"/>
    <w:rsid w:val="45026C93"/>
    <w:rsid w:val="450D0750"/>
    <w:rsid w:val="451A2C2E"/>
    <w:rsid w:val="451A4FB9"/>
    <w:rsid w:val="452841C7"/>
    <w:rsid w:val="45370A42"/>
    <w:rsid w:val="457D424A"/>
    <w:rsid w:val="458865A1"/>
    <w:rsid w:val="45C97574"/>
    <w:rsid w:val="45F60ADB"/>
    <w:rsid w:val="45F806FB"/>
    <w:rsid w:val="4609779A"/>
    <w:rsid w:val="46271D15"/>
    <w:rsid w:val="463524E3"/>
    <w:rsid w:val="46373CFA"/>
    <w:rsid w:val="46423E80"/>
    <w:rsid w:val="46471689"/>
    <w:rsid w:val="46487329"/>
    <w:rsid w:val="465B26EB"/>
    <w:rsid w:val="46A86710"/>
    <w:rsid w:val="46B02191"/>
    <w:rsid w:val="46B74F01"/>
    <w:rsid w:val="46B94BF0"/>
    <w:rsid w:val="46CE2EF9"/>
    <w:rsid w:val="46F10C28"/>
    <w:rsid w:val="4714580B"/>
    <w:rsid w:val="471C2083"/>
    <w:rsid w:val="471D6019"/>
    <w:rsid w:val="47267848"/>
    <w:rsid w:val="475501F0"/>
    <w:rsid w:val="47741DEE"/>
    <w:rsid w:val="47BE68CD"/>
    <w:rsid w:val="47DF74C5"/>
    <w:rsid w:val="47F545CC"/>
    <w:rsid w:val="483E5BCF"/>
    <w:rsid w:val="48621CD0"/>
    <w:rsid w:val="48623DCA"/>
    <w:rsid w:val="4877758B"/>
    <w:rsid w:val="487F05E2"/>
    <w:rsid w:val="48937100"/>
    <w:rsid w:val="489F478E"/>
    <w:rsid w:val="48B1481D"/>
    <w:rsid w:val="48B30F2A"/>
    <w:rsid w:val="48B5703D"/>
    <w:rsid w:val="48BE7760"/>
    <w:rsid w:val="48C3480D"/>
    <w:rsid w:val="490A577C"/>
    <w:rsid w:val="49242BF2"/>
    <w:rsid w:val="495809D8"/>
    <w:rsid w:val="495D5FC7"/>
    <w:rsid w:val="49686B0C"/>
    <w:rsid w:val="49963205"/>
    <w:rsid w:val="49AF2DC4"/>
    <w:rsid w:val="49BF4150"/>
    <w:rsid w:val="49CB3885"/>
    <w:rsid w:val="49D95000"/>
    <w:rsid w:val="49EC2D3C"/>
    <w:rsid w:val="49EC4606"/>
    <w:rsid w:val="49F64584"/>
    <w:rsid w:val="4A127A35"/>
    <w:rsid w:val="4A151B87"/>
    <w:rsid w:val="4A197940"/>
    <w:rsid w:val="4A81313B"/>
    <w:rsid w:val="4A912091"/>
    <w:rsid w:val="4AB63E85"/>
    <w:rsid w:val="4AB9272A"/>
    <w:rsid w:val="4ACA2947"/>
    <w:rsid w:val="4AEE1074"/>
    <w:rsid w:val="4B0B2058"/>
    <w:rsid w:val="4B4D1A97"/>
    <w:rsid w:val="4B4E0CEB"/>
    <w:rsid w:val="4B4F5E76"/>
    <w:rsid w:val="4B6C5D61"/>
    <w:rsid w:val="4B796FBD"/>
    <w:rsid w:val="4BA21FE1"/>
    <w:rsid w:val="4BAA0D57"/>
    <w:rsid w:val="4BBC5993"/>
    <w:rsid w:val="4BCB3948"/>
    <w:rsid w:val="4BF02BC3"/>
    <w:rsid w:val="4C13651C"/>
    <w:rsid w:val="4C356D52"/>
    <w:rsid w:val="4C461C08"/>
    <w:rsid w:val="4C485B9B"/>
    <w:rsid w:val="4C527DBA"/>
    <w:rsid w:val="4C86213D"/>
    <w:rsid w:val="4CAE2B8E"/>
    <w:rsid w:val="4CEE044A"/>
    <w:rsid w:val="4D0456B9"/>
    <w:rsid w:val="4D1314C4"/>
    <w:rsid w:val="4D2416BC"/>
    <w:rsid w:val="4D270CED"/>
    <w:rsid w:val="4D2C6A18"/>
    <w:rsid w:val="4D50552E"/>
    <w:rsid w:val="4D541BE6"/>
    <w:rsid w:val="4D735FE4"/>
    <w:rsid w:val="4D7A785D"/>
    <w:rsid w:val="4DCB0A8A"/>
    <w:rsid w:val="4DE914D7"/>
    <w:rsid w:val="4E2F175E"/>
    <w:rsid w:val="4E7612EF"/>
    <w:rsid w:val="4EA93F77"/>
    <w:rsid w:val="4EAE1A1C"/>
    <w:rsid w:val="4EB114CA"/>
    <w:rsid w:val="4EBF1976"/>
    <w:rsid w:val="4ED707E1"/>
    <w:rsid w:val="4EF03C8D"/>
    <w:rsid w:val="4EF522FD"/>
    <w:rsid w:val="4EFC4F33"/>
    <w:rsid w:val="4EFF2D08"/>
    <w:rsid w:val="4F131143"/>
    <w:rsid w:val="4F20225C"/>
    <w:rsid w:val="4F6A1535"/>
    <w:rsid w:val="4FBC1645"/>
    <w:rsid w:val="4FF202E0"/>
    <w:rsid w:val="4FF44EA3"/>
    <w:rsid w:val="4FF556CC"/>
    <w:rsid w:val="4FFA2329"/>
    <w:rsid w:val="5017559B"/>
    <w:rsid w:val="503C06B6"/>
    <w:rsid w:val="50454EDC"/>
    <w:rsid w:val="50586FD2"/>
    <w:rsid w:val="50623DDB"/>
    <w:rsid w:val="50645802"/>
    <w:rsid w:val="508070CA"/>
    <w:rsid w:val="50CB534B"/>
    <w:rsid w:val="512E7CBD"/>
    <w:rsid w:val="517F391F"/>
    <w:rsid w:val="5182147C"/>
    <w:rsid w:val="51942377"/>
    <w:rsid w:val="51D24855"/>
    <w:rsid w:val="51DE49E6"/>
    <w:rsid w:val="524E0FB7"/>
    <w:rsid w:val="525B6B87"/>
    <w:rsid w:val="526F4367"/>
    <w:rsid w:val="52784DCB"/>
    <w:rsid w:val="527C5C22"/>
    <w:rsid w:val="529F3CC5"/>
    <w:rsid w:val="52A17B4E"/>
    <w:rsid w:val="52BF58E2"/>
    <w:rsid w:val="52E32D08"/>
    <w:rsid w:val="52E55361"/>
    <w:rsid w:val="52F930F5"/>
    <w:rsid w:val="53070384"/>
    <w:rsid w:val="536727E1"/>
    <w:rsid w:val="53945B23"/>
    <w:rsid w:val="53BC2299"/>
    <w:rsid w:val="53C907B6"/>
    <w:rsid w:val="53CD0742"/>
    <w:rsid w:val="53E5033D"/>
    <w:rsid w:val="542831E1"/>
    <w:rsid w:val="5436154F"/>
    <w:rsid w:val="543B21BE"/>
    <w:rsid w:val="54684ABA"/>
    <w:rsid w:val="548117F1"/>
    <w:rsid w:val="549F5A18"/>
    <w:rsid w:val="54AA3C91"/>
    <w:rsid w:val="54B211B4"/>
    <w:rsid w:val="54D9619F"/>
    <w:rsid w:val="54DF2E25"/>
    <w:rsid w:val="54F33E2F"/>
    <w:rsid w:val="54FA45CE"/>
    <w:rsid w:val="55010A82"/>
    <w:rsid w:val="5512077F"/>
    <w:rsid w:val="55443442"/>
    <w:rsid w:val="55493FEF"/>
    <w:rsid w:val="554A4473"/>
    <w:rsid w:val="556C1687"/>
    <w:rsid w:val="55AC5B2C"/>
    <w:rsid w:val="55CE151B"/>
    <w:rsid w:val="55F330A4"/>
    <w:rsid w:val="560932FE"/>
    <w:rsid w:val="56214ABF"/>
    <w:rsid w:val="562D57EC"/>
    <w:rsid w:val="56592240"/>
    <w:rsid w:val="56801B57"/>
    <w:rsid w:val="56B93095"/>
    <w:rsid w:val="56B95C86"/>
    <w:rsid w:val="56BC58A0"/>
    <w:rsid w:val="56D517EC"/>
    <w:rsid w:val="56DD104C"/>
    <w:rsid w:val="56ED7DE4"/>
    <w:rsid w:val="56F62961"/>
    <w:rsid w:val="571D0BA3"/>
    <w:rsid w:val="573456B4"/>
    <w:rsid w:val="5751295E"/>
    <w:rsid w:val="577853FF"/>
    <w:rsid w:val="57A605D4"/>
    <w:rsid w:val="57B706B8"/>
    <w:rsid w:val="57C73053"/>
    <w:rsid w:val="57C76D9A"/>
    <w:rsid w:val="57EF43B0"/>
    <w:rsid w:val="58054742"/>
    <w:rsid w:val="58216DC3"/>
    <w:rsid w:val="58281B6E"/>
    <w:rsid w:val="58301EF2"/>
    <w:rsid w:val="58675B46"/>
    <w:rsid w:val="586D1014"/>
    <w:rsid w:val="587A1314"/>
    <w:rsid w:val="58A10959"/>
    <w:rsid w:val="58B7799B"/>
    <w:rsid w:val="58E13949"/>
    <w:rsid w:val="58ED12E5"/>
    <w:rsid w:val="59124C0F"/>
    <w:rsid w:val="5927329C"/>
    <w:rsid w:val="593457BC"/>
    <w:rsid w:val="595C11AF"/>
    <w:rsid w:val="59876438"/>
    <w:rsid w:val="59A41823"/>
    <w:rsid w:val="59AB3DF5"/>
    <w:rsid w:val="59CB7ECB"/>
    <w:rsid w:val="59D829CD"/>
    <w:rsid w:val="59EB1EF3"/>
    <w:rsid w:val="59F60F6F"/>
    <w:rsid w:val="5A1A570D"/>
    <w:rsid w:val="5A3016D8"/>
    <w:rsid w:val="5A33685B"/>
    <w:rsid w:val="5A476C93"/>
    <w:rsid w:val="5A533149"/>
    <w:rsid w:val="5A5A4AEC"/>
    <w:rsid w:val="5A601BB3"/>
    <w:rsid w:val="5A885353"/>
    <w:rsid w:val="5AE177F3"/>
    <w:rsid w:val="5AF20E08"/>
    <w:rsid w:val="5B085C65"/>
    <w:rsid w:val="5B1D145C"/>
    <w:rsid w:val="5B314ED9"/>
    <w:rsid w:val="5B403716"/>
    <w:rsid w:val="5B5251D7"/>
    <w:rsid w:val="5B577157"/>
    <w:rsid w:val="5B843AF6"/>
    <w:rsid w:val="5BF22E01"/>
    <w:rsid w:val="5C130BBC"/>
    <w:rsid w:val="5C24640F"/>
    <w:rsid w:val="5C4C5E1C"/>
    <w:rsid w:val="5C5F2714"/>
    <w:rsid w:val="5C620FCA"/>
    <w:rsid w:val="5C7D05A0"/>
    <w:rsid w:val="5CA60F9F"/>
    <w:rsid w:val="5CA66E7D"/>
    <w:rsid w:val="5CBE4AEB"/>
    <w:rsid w:val="5D2D7DD2"/>
    <w:rsid w:val="5D457CF1"/>
    <w:rsid w:val="5D8A3E78"/>
    <w:rsid w:val="5D8B5AB6"/>
    <w:rsid w:val="5D8C3819"/>
    <w:rsid w:val="5D9C532C"/>
    <w:rsid w:val="5DB511F1"/>
    <w:rsid w:val="5DBD1B05"/>
    <w:rsid w:val="5DBF1828"/>
    <w:rsid w:val="5DC07211"/>
    <w:rsid w:val="5DC160D7"/>
    <w:rsid w:val="5DCF57BD"/>
    <w:rsid w:val="5DD80C6D"/>
    <w:rsid w:val="5E0B3D52"/>
    <w:rsid w:val="5E203555"/>
    <w:rsid w:val="5E211C4E"/>
    <w:rsid w:val="5E2B76B4"/>
    <w:rsid w:val="5E6426AF"/>
    <w:rsid w:val="5E6F4FB8"/>
    <w:rsid w:val="5E712E5E"/>
    <w:rsid w:val="5E7F7AA8"/>
    <w:rsid w:val="5EB048A1"/>
    <w:rsid w:val="5EB43767"/>
    <w:rsid w:val="5EDB7024"/>
    <w:rsid w:val="5EEA2669"/>
    <w:rsid w:val="5EF61193"/>
    <w:rsid w:val="5F1D795F"/>
    <w:rsid w:val="5F370ADF"/>
    <w:rsid w:val="5F580256"/>
    <w:rsid w:val="5F5D3EC4"/>
    <w:rsid w:val="5F5F42A0"/>
    <w:rsid w:val="5FA833EA"/>
    <w:rsid w:val="5FCA0A1B"/>
    <w:rsid w:val="5FDE72A5"/>
    <w:rsid w:val="5FE55EA4"/>
    <w:rsid w:val="5FF02227"/>
    <w:rsid w:val="5FFF6518"/>
    <w:rsid w:val="6005754A"/>
    <w:rsid w:val="6025260A"/>
    <w:rsid w:val="603C52B9"/>
    <w:rsid w:val="60632DF8"/>
    <w:rsid w:val="606557DC"/>
    <w:rsid w:val="60702568"/>
    <w:rsid w:val="60860DBB"/>
    <w:rsid w:val="60992005"/>
    <w:rsid w:val="60B124B7"/>
    <w:rsid w:val="60B50277"/>
    <w:rsid w:val="60B81803"/>
    <w:rsid w:val="60CB3293"/>
    <w:rsid w:val="60D33FAF"/>
    <w:rsid w:val="60D56F97"/>
    <w:rsid w:val="60EE2A48"/>
    <w:rsid w:val="60F20CB6"/>
    <w:rsid w:val="61075A6E"/>
    <w:rsid w:val="610C10C6"/>
    <w:rsid w:val="610C5CC6"/>
    <w:rsid w:val="611A19D6"/>
    <w:rsid w:val="612B494B"/>
    <w:rsid w:val="61636192"/>
    <w:rsid w:val="617C32F9"/>
    <w:rsid w:val="61806D14"/>
    <w:rsid w:val="61A858D7"/>
    <w:rsid w:val="61C4664C"/>
    <w:rsid w:val="61D1719B"/>
    <w:rsid w:val="61D83299"/>
    <w:rsid w:val="61F9523B"/>
    <w:rsid w:val="61FC645D"/>
    <w:rsid w:val="62182D13"/>
    <w:rsid w:val="6235161A"/>
    <w:rsid w:val="628F06C7"/>
    <w:rsid w:val="62953DA0"/>
    <w:rsid w:val="629C24C2"/>
    <w:rsid w:val="62D35A76"/>
    <w:rsid w:val="62E84F83"/>
    <w:rsid w:val="62E94D6B"/>
    <w:rsid w:val="62ED6812"/>
    <w:rsid w:val="63101359"/>
    <w:rsid w:val="631C1C24"/>
    <w:rsid w:val="6331100B"/>
    <w:rsid w:val="63473F38"/>
    <w:rsid w:val="63805F92"/>
    <w:rsid w:val="63A87D95"/>
    <w:rsid w:val="63C24826"/>
    <w:rsid w:val="63D31D55"/>
    <w:rsid w:val="63DD433F"/>
    <w:rsid w:val="63E146C6"/>
    <w:rsid w:val="63E81D4F"/>
    <w:rsid w:val="640F59F7"/>
    <w:rsid w:val="64173D22"/>
    <w:rsid w:val="6429323E"/>
    <w:rsid w:val="643152AF"/>
    <w:rsid w:val="64331086"/>
    <w:rsid w:val="643403E1"/>
    <w:rsid w:val="643502EF"/>
    <w:rsid w:val="64445760"/>
    <w:rsid w:val="644917B3"/>
    <w:rsid w:val="6464777F"/>
    <w:rsid w:val="646503BC"/>
    <w:rsid w:val="64741137"/>
    <w:rsid w:val="64841AB2"/>
    <w:rsid w:val="649B1AD9"/>
    <w:rsid w:val="6545581E"/>
    <w:rsid w:val="654D6D6A"/>
    <w:rsid w:val="655E469A"/>
    <w:rsid w:val="65601165"/>
    <w:rsid w:val="656C0516"/>
    <w:rsid w:val="65A01D8E"/>
    <w:rsid w:val="65CA7432"/>
    <w:rsid w:val="65CF0AA0"/>
    <w:rsid w:val="65DA1E78"/>
    <w:rsid w:val="65DA7A80"/>
    <w:rsid w:val="65E116D1"/>
    <w:rsid w:val="65E756D8"/>
    <w:rsid w:val="66045F98"/>
    <w:rsid w:val="66373426"/>
    <w:rsid w:val="66800F86"/>
    <w:rsid w:val="66867924"/>
    <w:rsid w:val="66CE2B70"/>
    <w:rsid w:val="66D10091"/>
    <w:rsid w:val="670A3885"/>
    <w:rsid w:val="67187DB8"/>
    <w:rsid w:val="674550E7"/>
    <w:rsid w:val="6754343A"/>
    <w:rsid w:val="67662BDD"/>
    <w:rsid w:val="67757E01"/>
    <w:rsid w:val="67AD2966"/>
    <w:rsid w:val="67B656B4"/>
    <w:rsid w:val="67C10583"/>
    <w:rsid w:val="67E277C1"/>
    <w:rsid w:val="67E47A06"/>
    <w:rsid w:val="68087F84"/>
    <w:rsid w:val="68252CD0"/>
    <w:rsid w:val="684C7D48"/>
    <w:rsid w:val="68535B2D"/>
    <w:rsid w:val="68774043"/>
    <w:rsid w:val="688B480B"/>
    <w:rsid w:val="689403A5"/>
    <w:rsid w:val="68A86E59"/>
    <w:rsid w:val="68B8637D"/>
    <w:rsid w:val="68DD680F"/>
    <w:rsid w:val="6926370D"/>
    <w:rsid w:val="692F542A"/>
    <w:rsid w:val="693E4246"/>
    <w:rsid w:val="699D0E1B"/>
    <w:rsid w:val="69A30F22"/>
    <w:rsid w:val="69B32909"/>
    <w:rsid w:val="69BE7298"/>
    <w:rsid w:val="6A33358A"/>
    <w:rsid w:val="6A4F4A85"/>
    <w:rsid w:val="6AB05A94"/>
    <w:rsid w:val="6AC02E7D"/>
    <w:rsid w:val="6AE76396"/>
    <w:rsid w:val="6AE821AA"/>
    <w:rsid w:val="6B1A197D"/>
    <w:rsid w:val="6B452A58"/>
    <w:rsid w:val="6B4871CB"/>
    <w:rsid w:val="6B4C3CD4"/>
    <w:rsid w:val="6B642736"/>
    <w:rsid w:val="6B7E7CC4"/>
    <w:rsid w:val="6BAB1601"/>
    <w:rsid w:val="6BB67233"/>
    <w:rsid w:val="6BBC17D4"/>
    <w:rsid w:val="6BD54513"/>
    <w:rsid w:val="6BDA16D8"/>
    <w:rsid w:val="6BEB19A4"/>
    <w:rsid w:val="6C173455"/>
    <w:rsid w:val="6C321E85"/>
    <w:rsid w:val="6C5F7F76"/>
    <w:rsid w:val="6C662390"/>
    <w:rsid w:val="6C83114F"/>
    <w:rsid w:val="6C834A4A"/>
    <w:rsid w:val="6CA15E50"/>
    <w:rsid w:val="6CA35AC1"/>
    <w:rsid w:val="6CAD3E5F"/>
    <w:rsid w:val="6CB26EA4"/>
    <w:rsid w:val="6CB73C4B"/>
    <w:rsid w:val="6CC217DB"/>
    <w:rsid w:val="6CC4156B"/>
    <w:rsid w:val="6CCA4FA0"/>
    <w:rsid w:val="6CD95D5E"/>
    <w:rsid w:val="6CE55F22"/>
    <w:rsid w:val="6D1B6CD6"/>
    <w:rsid w:val="6D5D1CC3"/>
    <w:rsid w:val="6D7F78BF"/>
    <w:rsid w:val="6D916A45"/>
    <w:rsid w:val="6D974A2C"/>
    <w:rsid w:val="6DA00126"/>
    <w:rsid w:val="6DA379E2"/>
    <w:rsid w:val="6DA40D74"/>
    <w:rsid w:val="6DA925A1"/>
    <w:rsid w:val="6DC145CF"/>
    <w:rsid w:val="6DC430BD"/>
    <w:rsid w:val="6DCC2BE1"/>
    <w:rsid w:val="6DD053D5"/>
    <w:rsid w:val="6DDD4ED4"/>
    <w:rsid w:val="6DE3610B"/>
    <w:rsid w:val="6E0D153B"/>
    <w:rsid w:val="6E313E19"/>
    <w:rsid w:val="6E461A97"/>
    <w:rsid w:val="6E7332D5"/>
    <w:rsid w:val="6E921074"/>
    <w:rsid w:val="6EC44855"/>
    <w:rsid w:val="6EC65983"/>
    <w:rsid w:val="6ECF2385"/>
    <w:rsid w:val="6ED961EF"/>
    <w:rsid w:val="6EE670CE"/>
    <w:rsid w:val="6EEE6323"/>
    <w:rsid w:val="6F031300"/>
    <w:rsid w:val="6F1216F1"/>
    <w:rsid w:val="6F386FE2"/>
    <w:rsid w:val="6F3B4B80"/>
    <w:rsid w:val="6F4339E5"/>
    <w:rsid w:val="6F4F0347"/>
    <w:rsid w:val="6F59504C"/>
    <w:rsid w:val="6F7420FD"/>
    <w:rsid w:val="6F8E6B86"/>
    <w:rsid w:val="6FAF7EC3"/>
    <w:rsid w:val="6FB03A8F"/>
    <w:rsid w:val="6FCD159A"/>
    <w:rsid w:val="6FCF6916"/>
    <w:rsid w:val="6FE3093B"/>
    <w:rsid w:val="6FEC7A24"/>
    <w:rsid w:val="6FF51C4D"/>
    <w:rsid w:val="700C1D29"/>
    <w:rsid w:val="701E69FB"/>
    <w:rsid w:val="702C316E"/>
    <w:rsid w:val="7064077F"/>
    <w:rsid w:val="707508B4"/>
    <w:rsid w:val="707644A0"/>
    <w:rsid w:val="70946C24"/>
    <w:rsid w:val="70D43C72"/>
    <w:rsid w:val="71116C45"/>
    <w:rsid w:val="71150078"/>
    <w:rsid w:val="711A7C79"/>
    <w:rsid w:val="711C3E56"/>
    <w:rsid w:val="718B0F2B"/>
    <w:rsid w:val="71A02DBF"/>
    <w:rsid w:val="71F5150B"/>
    <w:rsid w:val="72126950"/>
    <w:rsid w:val="722D448E"/>
    <w:rsid w:val="723541CC"/>
    <w:rsid w:val="723E2766"/>
    <w:rsid w:val="724278D3"/>
    <w:rsid w:val="724439B7"/>
    <w:rsid w:val="72584B9C"/>
    <w:rsid w:val="726678E4"/>
    <w:rsid w:val="726C3D95"/>
    <w:rsid w:val="72754A9C"/>
    <w:rsid w:val="7288741B"/>
    <w:rsid w:val="72977C7E"/>
    <w:rsid w:val="72A64BEF"/>
    <w:rsid w:val="72BF32DA"/>
    <w:rsid w:val="72C25D29"/>
    <w:rsid w:val="72CB3810"/>
    <w:rsid w:val="730D028F"/>
    <w:rsid w:val="73156D49"/>
    <w:rsid w:val="732A6CBC"/>
    <w:rsid w:val="732C218A"/>
    <w:rsid w:val="7335541A"/>
    <w:rsid w:val="733E7113"/>
    <w:rsid w:val="73470870"/>
    <w:rsid w:val="73493652"/>
    <w:rsid w:val="73641703"/>
    <w:rsid w:val="738A15C9"/>
    <w:rsid w:val="73942C9A"/>
    <w:rsid w:val="73B120B4"/>
    <w:rsid w:val="74016D4F"/>
    <w:rsid w:val="740F6D52"/>
    <w:rsid w:val="741A2BB9"/>
    <w:rsid w:val="7420715D"/>
    <w:rsid w:val="74273276"/>
    <w:rsid w:val="742A7D22"/>
    <w:rsid w:val="745D64ED"/>
    <w:rsid w:val="74911D0A"/>
    <w:rsid w:val="749B4D02"/>
    <w:rsid w:val="74CD48B2"/>
    <w:rsid w:val="74DE57C0"/>
    <w:rsid w:val="750A58F9"/>
    <w:rsid w:val="750E7862"/>
    <w:rsid w:val="75141DA2"/>
    <w:rsid w:val="751D195A"/>
    <w:rsid w:val="753327CA"/>
    <w:rsid w:val="75333447"/>
    <w:rsid w:val="755E78AB"/>
    <w:rsid w:val="7562391A"/>
    <w:rsid w:val="75654BE6"/>
    <w:rsid w:val="757A3718"/>
    <w:rsid w:val="75867772"/>
    <w:rsid w:val="75916537"/>
    <w:rsid w:val="75A63078"/>
    <w:rsid w:val="75D25440"/>
    <w:rsid w:val="75DC5B8D"/>
    <w:rsid w:val="76045BAC"/>
    <w:rsid w:val="7639389B"/>
    <w:rsid w:val="764202ED"/>
    <w:rsid w:val="764E7E3C"/>
    <w:rsid w:val="765B14AF"/>
    <w:rsid w:val="76A9389F"/>
    <w:rsid w:val="76B86999"/>
    <w:rsid w:val="76E96B1F"/>
    <w:rsid w:val="76EA55CB"/>
    <w:rsid w:val="76F61DD8"/>
    <w:rsid w:val="771B6FF4"/>
    <w:rsid w:val="773428E3"/>
    <w:rsid w:val="773A08FA"/>
    <w:rsid w:val="774337EB"/>
    <w:rsid w:val="775B3334"/>
    <w:rsid w:val="77631E45"/>
    <w:rsid w:val="77637680"/>
    <w:rsid w:val="77B65398"/>
    <w:rsid w:val="77BC2713"/>
    <w:rsid w:val="77C37B25"/>
    <w:rsid w:val="77C91E7E"/>
    <w:rsid w:val="781B7FD6"/>
    <w:rsid w:val="78615747"/>
    <w:rsid w:val="78773F93"/>
    <w:rsid w:val="78781EC7"/>
    <w:rsid w:val="78892C3D"/>
    <w:rsid w:val="78983AFF"/>
    <w:rsid w:val="789860CC"/>
    <w:rsid w:val="789A66C9"/>
    <w:rsid w:val="78A452AC"/>
    <w:rsid w:val="78B70525"/>
    <w:rsid w:val="78D221F9"/>
    <w:rsid w:val="78D32F7D"/>
    <w:rsid w:val="78EA12BE"/>
    <w:rsid w:val="78EB0720"/>
    <w:rsid w:val="79216803"/>
    <w:rsid w:val="792A2864"/>
    <w:rsid w:val="793F6E0B"/>
    <w:rsid w:val="797568ED"/>
    <w:rsid w:val="797607D6"/>
    <w:rsid w:val="797C5CDC"/>
    <w:rsid w:val="7996610D"/>
    <w:rsid w:val="79B11EF9"/>
    <w:rsid w:val="7A0F6FCA"/>
    <w:rsid w:val="7A1B7AB9"/>
    <w:rsid w:val="7A594533"/>
    <w:rsid w:val="7A655198"/>
    <w:rsid w:val="7A7B034B"/>
    <w:rsid w:val="7A7D10D0"/>
    <w:rsid w:val="7A802D93"/>
    <w:rsid w:val="7AE11E44"/>
    <w:rsid w:val="7B290F02"/>
    <w:rsid w:val="7B2A09E5"/>
    <w:rsid w:val="7B6D6247"/>
    <w:rsid w:val="7B760C86"/>
    <w:rsid w:val="7B76170C"/>
    <w:rsid w:val="7BBD1694"/>
    <w:rsid w:val="7BBD6D6A"/>
    <w:rsid w:val="7C1472DB"/>
    <w:rsid w:val="7C162076"/>
    <w:rsid w:val="7C20393A"/>
    <w:rsid w:val="7C424D12"/>
    <w:rsid w:val="7C4667DB"/>
    <w:rsid w:val="7C5A43CD"/>
    <w:rsid w:val="7C6A4210"/>
    <w:rsid w:val="7C7261BA"/>
    <w:rsid w:val="7C89225A"/>
    <w:rsid w:val="7C8C08B0"/>
    <w:rsid w:val="7C991F0B"/>
    <w:rsid w:val="7D053632"/>
    <w:rsid w:val="7D444D02"/>
    <w:rsid w:val="7D4D2877"/>
    <w:rsid w:val="7D755950"/>
    <w:rsid w:val="7DE11F5F"/>
    <w:rsid w:val="7DE26243"/>
    <w:rsid w:val="7DF85734"/>
    <w:rsid w:val="7DFD7132"/>
    <w:rsid w:val="7E115370"/>
    <w:rsid w:val="7E2C21A5"/>
    <w:rsid w:val="7E2C4AB0"/>
    <w:rsid w:val="7E5B6D2B"/>
    <w:rsid w:val="7E5C516E"/>
    <w:rsid w:val="7E9B39EA"/>
    <w:rsid w:val="7EBD7822"/>
    <w:rsid w:val="7F0332CA"/>
    <w:rsid w:val="7F08435C"/>
    <w:rsid w:val="7F24511A"/>
    <w:rsid w:val="7F2A79D2"/>
    <w:rsid w:val="7F3F2C1B"/>
    <w:rsid w:val="7F420BE4"/>
    <w:rsid w:val="7F5268BB"/>
    <w:rsid w:val="7F8F4A2B"/>
    <w:rsid w:val="7FD336C4"/>
    <w:rsid w:val="7FD704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1"/>
    <w:next w:val="1"/>
    <w:qFormat/>
    <w:uiPriority w:val="0"/>
    <w:pPr>
      <w:keepNext/>
      <w:keepLines/>
      <w:pageBreakBefore/>
      <w:pBdr>
        <w:bottom w:val="single" w:color="auto" w:sz="12" w:space="1"/>
      </w:pBdr>
      <w:tabs>
        <w:tab w:val="left" w:pos="425"/>
      </w:tabs>
      <w:spacing w:before="960" w:after="960"/>
      <w:ind w:left="425" w:hanging="425"/>
      <w:outlineLvl w:val="0"/>
    </w:pPr>
    <w:rPr>
      <w:rFonts w:eastAsia="黑体"/>
      <w:b/>
      <w:bCs/>
      <w:kern w:val="44"/>
      <w:sz w:val="32"/>
      <w:szCs w:val="44"/>
    </w:rPr>
  </w:style>
  <w:style w:type="paragraph" w:styleId="4">
    <w:name w:val="heading 2"/>
    <w:basedOn w:val="1"/>
    <w:next w:val="1"/>
    <w:link w:val="51"/>
    <w:qFormat/>
    <w:uiPriority w:val="99"/>
    <w:pPr>
      <w:keepNext/>
      <w:keepLines/>
      <w:numPr>
        <w:ilvl w:val="1"/>
        <w:numId w:val="1"/>
      </w:numPr>
      <w:tabs>
        <w:tab w:val="left" w:pos="425"/>
      </w:tabs>
      <w:spacing w:after="60"/>
      <w:outlineLvl w:val="1"/>
    </w:pPr>
    <w:rPr>
      <w:rFonts w:eastAsia="黑体"/>
      <w:b/>
      <w:bCs/>
    </w:rPr>
  </w:style>
  <w:style w:type="paragraph" w:styleId="5">
    <w:name w:val="heading 3"/>
    <w:basedOn w:val="1"/>
    <w:next w:val="1"/>
    <w:link w:val="65"/>
    <w:qFormat/>
    <w:uiPriority w:val="99"/>
    <w:pPr>
      <w:keepNext/>
      <w:keepLines/>
      <w:numPr>
        <w:ilvl w:val="2"/>
        <w:numId w:val="1"/>
      </w:numPr>
      <w:spacing w:after="60"/>
      <w:outlineLvl w:val="2"/>
    </w:pPr>
    <w:rPr>
      <w:b/>
      <w:bCs/>
      <w:szCs w:val="32"/>
    </w:rPr>
  </w:style>
  <w:style w:type="paragraph" w:styleId="6">
    <w:name w:val="heading 4"/>
    <w:basedOn w:val="1"/>
    <w:next w:val="1"/>
    <w:link w:val="64"/>
    <w:qFormat/>
    <w:uiPriority w:val="0"/>
    <w:pPr>
      <w:keepNext/>
      <w:keepLines/>
      <w:numPr>
        <w:ilvl w:val="0"/>
        <w:numId w:val="2"/>
      </w:numPr>
      <w:spacing w:after="60"/>
      <w:outlineLvl w:val="3"/>
    </w:pPr>
    <w:rPr>
      <w:b/>
      <w:bCs/>
    </w:rPr>
  </w:style>
  <w:style w:type="paragraph" w:styleId="7">
    <w:name w:val="heading 5"/>
    <w:basedOn w:val="1"/>
    <w:next w:val="1"/>
    <w:semiHidden/>
    <w:unhideWhenUsed/>
    <w:qFormat/>
    <w:uiPriority w:val="0"/>
    <w:pPr>
      <w:keepNext/>
      <w:keepLines/>
      <w:numPr>
        <w:ilvl w:val="4"/>
        <w:numId w:val="3"/>
      </w:numPr>
      <w:spacing w:before="280" w:after="290" w:line="372" w:lineRule="auto"/>
      <w:outlineLvl w:val="4"/>
    </w:pPr>
    <w:rPr>
      <w:b/>
      <w:sz w:val="2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69"/>
    <w:unhideWhenUsed/>
    <w:qFormat/>
    <w:uiPriority w:val="99"/>
    <w:pPr>
      <w:spacing w:after="120"/>
    </w:pPr>
  </w:style>
  <w:style w:type="paragraph" w:styleId="8">
    <w:name w:val="Normal Indent"/>
    <w:basedOn w:val="1"/>
    <w:link w:val="52"/>
    <w:qFormat/>
    <w:uiPriority w:val="0"/>
    <w:pPr>
      <w:ind w:firstLine="482"/>
    </w:pPr>
    <w:rPr>
      <w:szCs w:val="20"/>
    </w:rPr>
  </w:style>
  <w:style w:type="paragraph" w:styleId="9">
    <w:name w:val="caption"/>
    <w:basedOn w:val="1"/>
    <w:next w:val="1"/>
    <w:qFormat/>
    <w:uiPriority w:val="0"/>
    <w:pPr>
      <w:jc w:val="center"/>
    </w:pPr>
    <w:rPr>
      <w:rFonts w:ascii="Calibri" w:hAnsi="Calibri" w:cs="黑体"/>
      <w:b/>
      <w:szCs w:val="20"/>
    </w:rPr>
  </w:style>
  <w:style w:type="paragraph" w:styleId="10">
    <w:name w:val="annotation text"/>
    <w:basedOn w:val="1"/>
    <w:link w:val="68"/>
    <w:qFormat/>
    <w:uiPriority w:val="99"/>
    <w:pPr>
      <w:jc w:val="left"/>
    </w:pPr>
  </w:style>
  <w:style w:type="paragraph" w:styleId="11">
    <w:name w:val="toc 3"/>
    <w:basedOn w:val="1"/>
    <w:next w:val="1"/>
    <w:qFormat/>
    <w:uiPriority w:val="39"/>
    <w:pPr>
      <w:ind w:left="840" w:leftChars="400"/>
    </w:pPr>
  </w:style>
  <w:style w:type="paragraph" w:styleId="12">
    <w:name w:val="Body Text Indent 2"/>
    <w:basedOn w:val="1"/>
    <w:link w:val="50"/>
    <w:qFormat/>
    <w:uiPriority w:val="0"/>
    <w:pPr>
      <w:spacing w:after="120" w:line="480" w:lineRule="auto"/>
      <w:ind w:left="420" w:leftChars="200"/>
    </w:pPr>
  </w:style>
  <w:style w:type="paragraph" w:styleId="13">
    <w:name w:val="Balloon Text"/>
    <w:basedOn w:val="1"/>
    <w:link w:val="46"/>
    <w:qFormat/>
    <w:uiPriority w:val="0"/>
    <w:rPr>
      <w:sz w:val="18"/>
      <w:szCs w:val="18"/>
    </w:rPr>
  </w:style>
  <w:style w:type="paragraph" w:styleId="14">
    <w:name w:val="footer"/>
    <w:basedOn w:val="1"/>
    <w:link w:val="54"/>
    <w:qFormat/>
    <w:uiPriority w:val="99"/>
    <w:pPr>
      <w:tabs>
        <w:tab w:val="center" w:pos="4153"/>
        <w:tab w:val="right" w:pos="8306"/>
      </w:tabs>
      <w:snapToGrid w:val="0"/>
      <w:jc w:val="left"/>
    </w:pPr>
    <w:rPr>
      <w:sz w:val="18"/>
      <w:szCs w:val="18"/>
    </w:rPr>
  </w:style>
  <w:style w:type="paragraph" w:styleId="15">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qFormat/>
    <w:uiPriority w:val="39"/>
  </w:style>
  <w:style w:type="paragraph" w:styleId="17">
    <w:name w:val="footnote text"/>
    <w:basedOn w:val="1"/>
    <w:qFormat/>
    <w:uiPriority w:val="0"/>
    <w:pPr>
      <w:snapToGrid w:val="0"/>
      <w:jc w:val="left"/>
    </w:pPr>
    <w:rPr>
      <w:sz w:val="18"/>
    </w:rPr>
  </w:style>
  <w:style w:type="paragraph" w:styleId="18">
    <w:name w:val="toc 2"/>
    <w:basedOn w:val="1"/>
    <w:next w:val="1"/>
    <w:qFormat/>
    <w:uiPriority w:val="39"/>
    <w:pPr>
      <w:ind w:left="420" w:leftChars="200"/>
    </w:pPr>
  </w:style>
  <w:style w:type="paragraph" w:styleId="19">
    <w:name w:val="Normal (Web)"/>
    <w:basedOn w:val="1"/>
    <w:qFormat/>
    <w:uiPriority w:val="0"/>
    <w:pPr>
      <w:spacing w:before="100" w:beforeAutospacing="1" w:after="100" w:afterAutospacing="1"/>
      <w:jc w:val="left"/>
    </w:pPr>
    <w:rPr>
      <w:kern w:val="0"/>
    </w:rPr>
  </w:style>
  <w:style w:type="paragraph" w:styleId="20">
    <w:name w:val="annotation subject"/>
    <w:basedOn w:val="10"/>
    <w:next w:val="10"/>
    <w:link w:val="48"/>
    <w:qFormat/>
    <w:uiPriority w:val="0"/>
    <w:rPr>
      <w:b/>
      <w:bCs/>
    </w:rPr>
  </w:style>
  <w:style w:type="table" w:styleId="22">
    <w:name w:val="Table Grid"/>
    <w:basedOn w:val="21"/>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4">
    <w:name w:val="Strong"/>
    <w:basedOn w:val="23"/>
    <w:qFormat/>
    <w:uiPriority w:val="0"/>
    <w:rPr>
      <w:b/>
    </w:rPr>
  </w:style>
  <w:style w:type="character" w:styleId="25">
    <w:name w:val="FollowedHyperlink"/>
    <w:basedOn w:val="23"/>
    <w:qFormat/>
    <w:uiPriority w:val="0"/>
    <w:rPr>
      <w:color w:val="333333"/>
      <w:u w:val="none"/>
    </w:rPr>
  </w:style>
  <w:style w:type="character" w:styleId="26">
    <w:name w:val="Hyperlink"/>
    <w:qFormat/>
    <w:uiPriority w:val="99"/>
    <w:rPr>
      <w:color w:val="000000"/>
      <w:u w:val="none"/>
    </w:rPr>
  </w:style>
  <w:style w:type="character" w:styleId="27">
    <w:name w:val="annotation reference"/>
    <w:basedOn w:val="23"/>
    <w:qFormat/>
    <w:uiPriority w:val="0"/>
    <w:rPr>
      <w:sz w:val="21"/>
      <w:szCs w:val="21"/>
    </w:rPr>
  </w:style>
  <w:style w:type="character" w:styleId="28">
    <w:name w:val="footnote reference"/>
    <w:basedOn w:val="23"/>
    <w:qFormat/>
    <w:uiPriority w:val="0"/>
    <w:rPr>
      <w:vertAlign w:val="superscript"/>
    </w:rPr>
  </w:style>
  <w:style w:type="paragraph" w:customStyle="1" w:styleId="29">
    <w:name w:val="Default"/>
    <w:qFormat/>
    <w:uiPriority w:val="99"/>
    <w:pPr>
      <w:widowControl w:val="0"/>
      <w:autoSpaceDE w:val="0"/>
      <w:autoSpaceDN w:val="0"/>
      <w:adjustRightInd w:val="0"/>
    </w:pPr>
    <w:rPr>
      <w:rFonts w:ascii="宋体" w:hAnsi="宋体" w:eastAsia="宋体" w:cs="Times New Roman"/>
      <w:color w:val="000000"/>
      <w:sz w:val="24"/>
      <w:szCs w:val="22"/>
      <w:lang w:val="en-US" w:eastAsia="zh-CN" w:bidi="ar-SA"/>
    </w:rPr>
  </w:style>
  <w:style w:type="paragraph" w:customStyle="1" w:styleId="30">
    <w:name w:val="君邦正文"/>
    <w:basedOn w:val="1"/>
    <w:link w:val="49"/>
    <w:qFormat/>
    <w:uiPriority w:val="0"/>
    <w:pPr>
      <w:spacing w:after="60"/>
      <w:ind w:firstLine="200" w:firstLineChars="200"/>
    </w:pPr>
    <w:rPr>
      <w:szCs w:val="20"/>
    </w:rPr>
  </w:style>
  <w:style w:type="paragraph" w:styleId="31">
    <w:name w:val="List Paragraph"/>
    <w:basedOn w:val="1"/>
    <w:qFormat/>
    <w:uiPriority w:val="34"/>
    <w:pPr>
      <w:ind w:firstLine="420" w:firstLineChars="200"/>
    </w:pPr>
  </w:style>
  <w:style w:type="paragraph" w:customStyle="1" w:styleId="32">
    <w:name w:val="表"/>
    <w:basedOn w:val="1"/>
    <w:qFormat/>
    <w:uiPriority w:val="0"/>
    <w:pPr>
      <w:snapToGrid w:val="0"/>
      <w:jc w:val="center"/>
    </w:pPr>
    <w:rPr>
      <w:spacing w:val="2"/>
      <w:szCs w:val="20"/>
    </w:rPr>
  </w:style>
  <w:style w:type="paragraph" w:customStyle="1" w:styleId="33">
    <w:name w:val="表头样式1"/>
    <w:basedOn w:val="1"/>
    <w:qFormat/>
    <w:uiPriority w:val="0"/>
    <w:pPr>
      <w:spacing w:before="156" w:beforeLines="50"/>
      <w:jc w:val="center"/>
    </w:pPr>
    <w:rPr>
      <w:rFonts w:eastAsia="黑体"/>
      <w:b/>
      <w:szCs w:val="20"/>
    </w:rPr>
  </w:style>
  <w:style w:type="paragraph" w:customStyle="1" w:styleId="34">
    <w:name w:val="报告书正文"/>
    <w:basedOn w:val="1"/>
    <w:qFormat/>
    <w:uiPriority w:val="0"/>
    <w:pPr>
      <w:jc w:val="left"/>
    </w:pPr>
  </w:style>
  <w:style w:type="paragraph" w:customStyle="1" w:styleId="35">
    <w:name w:val="无间隔2"/>
    <w:basedOn w:val="1"/>
    <w:qFormat/>
    <w:uiPriority w:val="0"/>
    <w:pPr>
      <w:adjustRightInd w:val="0"/>
      <w:snapToGrid w:val="0"/>
      <w:ind w:firstLine="480" w:firstLineChars="200"/>
    </w:pPr>
  </w:style>
  <w:style w:type="paragraph" w:customStyle="1" w:styleId="36">
    <w:name w:val="表内格式"/>
    <w:basedOn w:val="1"/>
    <w:qFormat/>
    <w:uiPriority w:val="0"/>
    <w:pPr>
      <w:jc w:val="center"/>
    </w:pPr>
    <w:rPr>
      <w:sz w:val="18"/>
      <w:szCs w:val="20"/>
    </w:rPr>
  </w:style>
  <w:style w:type="paragraph" w:customStyle="1" w:styleId="37">
    <w:name w:val="表格内容"/>
    <w:basedOn w:val="1"/>
    <w:qFormat/>
    <w:uiPriority w:val="0"/>
    <w:pPr>
      <w:spacing w:line="240" w:lineRule="exact"/>
    </w:pPr>
    <w:rPr>
      <w:kern w:val="0"/>
      <w:szCs w:val="21"/>
    </w:rPr>
  </w:style>
  <w:style w:type="character" w:customStyle="1" w:styleId="38">
    <w:name w:val="bzrq"/>
    <w:basedOn w:val="23"/>
    <w:qFormat/>
    <w:uiPriority w:val="0"/>
  </w:style>
  <w:style w:type="character" w:customStyle="1" w:styleId="39">
    <w:name w:val="sysj"/>
    <w:basedOn w:val="23"/>
    <w:qFormat/>
    <w:uiPriority w:val="0"/>
  </w:style>
  <w:style w:type="character" w:customStyle="1" w:styleId="40">
    <w:name w:val="thisit"/>
    <w:basedOn w:val="23"/>
    <w:qFormat/>
    <w:uiPriority w:val="0"/>
  </w:style>
  <w:style w:type="character" w:customStyle="1" w:styleId="41">
    <w:name w:val="f_r6"/>
    <w:basedOn w:val="23"/>
    <w:qFormat/>
    <w:uiPriority w:val="0"/>
  </w:style>
  <w:style w:type="character" w:customStyle="1" w:styleId="42">
    <w:name w:val="bzmc"/>
    <w:basedOn w:val="23"/>
    <w:qFormat/>
    <w:uiPriority w:val="0"/>
  </w:style>
  <w:style w:type="character" w:customStyle="1" w:styleId="43">
    <w:name w:val="bzmc1"/>
    <w:basedOn w:val="23"/>
    <w:qFormat/>
    <w:uiPriority w:val="0"/>
  </w:style>
  <w:style w:type="character" w:customStyle="1" w:styleId="44">
    <w:name w:val="bzmc2"/>
    <w:basedOn w:val="23"/>
    <w:qFormat/>
    <w:uiPriority w:val="0"/>
  </w:style>
  <w:style w:type="character" w:customStyle="1" w:styleId="45">
    <w:name w:val="bzrq2"/>
    <w:basedOn w:val="23"/>
    <w:qFormat/>
    <w:uiPriority w:val="0"/>
  </w:style>
  <w:style w:type="character" w:customStyle="1" w:styleId="46">
    <w:name w:val="批注框文本 字符"/>
    <w:basedOn w:val="23"/>
    <w:link w:val="13"/>
    <w:qFormat/>
    <w:uiPriority w:val="0"/>
    <w:rPr>
      <w:kern w:val="2"/>
      <w:sz w:val="18"/>
      <w:szCs w:val="18"/>
    </w:rPr>
  </w:style>
  <w:style w:type="character" w:customStyle="1" w:styleId="47">
    <w:name w:val="批注文字 Char"/>
    <w:basedOn w:val="23"/>
    <w:qFormat/>
    <w:uiPriority w:val="99"/>
    <w:rPr>
      <w:kern w:val="2"/>
      <w:sz w:val="21"/>
      <w:szCs w:val="24"/>
    </w:rPr>
  </w:style>
  <w:style w:type="character" w:customStyle="1" w:styleId="48">
    <w:name w:val="批注主题 字符"/>
    <w:basedOn w:val="47"/>
    <w:link w:val="20"/>
    <w:qFormat/>
    <w:uiPriority w:val="0"/>
    <w:rPr>
      <w:b/>
      <w:bCs/>
      <w:kern w:val="2"/>
      <w:sz w:val="21"/>
      <w:szCs w:val="24"/>
    </w:rPr>
  </w:style>
  <w:style w:type="character" w:customStyle="1" w:styleId="49">
    <w:name w:val="君邦正文 Char2"/>
    <w:link w:val="30"/>
    <w:qFormat/>
    <w:uiPriority w:val="0"/>
    <w:rPr>
      <w:kern w:val="2"/>
      <w:sz w:val="24"/>
    </w:rPr>
  </w:style>
  <w:style w:type="character" w:customStyle="1" w:styleId="50">
    <w:name w:val="正文文本缩进 2 字符"/>
    <w:link w:val="12"/>
    <w:qFormat/>
    <w:uiPriority w:val="0"/>
    <w:rPr>
      <w:kern w:val="2"/>
      <w:sz w:val="21"/>
      <w:szCs w:val="24"/>
    </w:rPr>
  </w:style>
  <w:style w:type="character" w:customStyle="1" w:styleId="51">
    <w:name w:val="标题 2 字符"/>
    <w:link w:val="4"/>
    <w:qFormat/>
    <w:uiPriority w:val="99"/>
    <w:rPr>
      <w:rFonts w:eastAsia="黑体"/>
      <w:b/>
      <w:bCs/>
      <w:kern w:val="2"/>
      <w:sz w:val="24"/>
      <w:szCs w:val="24"/>
    </w:rPr>
  </w:style>
  <w:style w:type="character" w:customStyle="1" w:styleId="52">
    <w:name w:val="正文缩进 字符"/>
    <w:link w:val="8"/>
    <w:qFormat/>
    <w:uiPriority w:val="0"/>
    <w:rPr>
      <w:kern w:val="2"/>
      <w:sz w:val="24"/>
    </w:rPr>
  </w:style>
  <w:style w:type="paragraph" w:customStyle="1" w:styleId="53">
    <w:name w:val="目录"/>
    <w:basedOn w:val="30"/>
    <w:next w:val="30"/>
    <w:qFormat/>
    <w:uiPriority w:val="0"/>
    <w:pPr>
      <w:pBdr>
        <w:bottom w:val="single" w:color="auto" w:sz="12" w:space="1"/>
      </w:pBdr>
      <w:spacing w:before="960" w:after="960"/>
      <w:ind w:firstLine="0" w:firstLineChars="0"/>
      <w:jc w:val="right"/>
    </w:pPr>
    <w:rPr>
      <w:rFonts w:eastAsia="黑体"/>
      <w:b/>
      <w:i/>
      <w:sz w:val="32"/>
    </w:rPr>
  </w:style>
  <w:style w:type="character" w:customStyle="1" w:styleId="54">
    <w:name w:val="页脚 字符"/>
    <w:basedOn w:val="23"/>
    <w:link w:val="14"/>
    <w:qFormat/>
    <w:uiPriority w:val="99"/>
    <w:rPr>
      <w:kern w:val="2"/>
      <w:sz w:val="18"/>
      <w:szCs w:val="18"/>
    </w:rPr>
  </w:style>
  <w:style w:type="paragraph" w:customStyle="1" w:styleId="55">
    <w:name w:val="WPSOffice手动目录 1"/>
    <w:qFormat/>
    <w:uiPriority w:val="0"/>
    <w:rPr>
      <w:rFonts w:ascii="Times New Roman" w:hAnsi="Times New Roman" w:eastAsia="宋体" w:cs="Times New Roman"/>
      <w:lang w:val="en-US" w:eastAsia="zh-CN" w:bidi="ar-SA"/>
    </w:rPr>
  </w:style>
  <w:style w:type="paragraph" w:customStyle="1" w:styleId="5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57">
    <w:name w:val="正文缩进1"/>
    <w:basedOn w:val="1"/>
    <w:qFormat/>
    <w:uiPriority w:val="0"/>
    <w:pPr>
      <w:spacing w:after="160" w:line="259" w:lineRule="auto"/>
      <w:ind w:firstLine="200" w:firstLineChars="200"/>
    </w:pPr>
    <w:rPr>
      <w:sz w:val="21"/>
    </w:rPr>
  </w:style>
  <w:style w:type="character" w:customStyle="1" w:styleId="58">
    <w:name w:val="fontstyle01"/>
    <w:basedOn w:val="23"/>
    <w:qFormat/>
    <w:uiPriority w:val="0"/>
    <w:rPr>
      <w:rFonts w:hint="eastAsia" w:ascii="宋体" w:hAnsi="宋体" w:eastAsia="宋体" w:cs="宋体"/>
      <w:color w:val="000000"/>
      <w:sz w:val="44"/>
      <w:szCs w:val="44"/>
    </w:rPr>
  </w:style>
  <w:style w:type="character" w:customStyle="1" w:styleId="59">
    <w:name w:val="fontstyle21"/>
    <w:basedOn w:val="23"/>
    <w:qFormat/>
    <w:uiPriority w:val="0"/>
    <w:rPr>
      <w:rFonts w:ascii="黑体" w:hAnsi="宋体" w:eastAsia="黑体" w:cs="黑体"/>
      <w:color w:val="000000"/>
      <w:sz w:val="48"/>
      <w:szCs w:val="48"/>
    </w:rPr>
  </w:style>
  <w:style w:type="character" w:customStyle="1" w:styleId="60">
    <w:name w:val="fontstyle11"/>
    <w:basedOn w:val="23"/>
    <w:qFormat/>
    <w:uiPriority w:val="0"/>
    <w:rPr>
      <w:rFonts w:hint="default" w:ascii="Times New Roman" w:hAnsi="Times New Roman" w:cs="Times New Roman"/>
      <w:color w:val="000000"/>
      <w:sz w:val="24"/>
      <w:szCs w:val="24"/>
    </w:rPr>
  </w:style>
  <w:style w:type="character" w:customStyle="1" w:styleId="61">
    <w:name w:val="font61"/>
    <w:basedOn w:val="23"/>
    <w:qFormat/>
    <w:uiPriority w:val="0"/>
    <w:rPr>
      <w:rFonts w:hint="eastAsia" w:ascii="宋体" w:hAnsi="宋体" w:eastAsia="宋体" w:cs="宋体"/>
      <w:color w:val="000000"/>
      <w:sz w:val="20"/>
      <w:szCs w:val="20"/>
      <w:u w:val="none"/>
    </w:rPr>
  </w:style>
  <w:style w:type="character" w:customStyle="1" w:styleId="62">
    <w:name w:val="font11"/>
    <w:basedOn w:val="23"/>
    <w:qFormat/>
    <w:uiPriority w:val="0"/>
    <w:rPr>
      <w:rFonts w:hint="eastAsia" w:ascii="宋体" w:hAnsi="宋体" w:eastAsia="宋体" w:cs="宋体"/>
      <w:color w:val="000000"/>
      <w:sz w:val="22"/>
      <w:szCs w:val="22"/>
      <w:u w:val="none"/>
    </w:rPr>
  </w:style>
  <w:style w:type="character" w:customStyle="1" w:styleId="63">
    <w:name w:val="font01"/>
    <w:basedOn w:val="23"/>
    <w:qFormat/>
    <w:uiPriority w:val="0"/>
    <w:rPr>
      <w:rFonts w:hint="default" w:ascii="Times New Roman" w:hAnsi="Times New Roman" w:cs="Times New Roman"/>
      <w:color w:val="000000"/>
      <w:sz w:val="22"/>
      <w:szCs w:val="22"/>
      <w:u w:val="none"/>
    </w:rPr>
  </w:style>
  <w:style w:type="character" w:customStyle="1" w:styleId="64">
    <w:name w:val="标题 4 字符"/>
    <w:link w:val="6"/>
    <w:qFormat/>
    <w:uiPriority w:val="0"/>
    <w:rPr>
      <w:rFonts w:ascii="Times New Roman" w:hAnsi="Times New Roman" w:eastAsia="宋体"/>
      <w:b/>
      <w:bCs/>
      <w:sz w:val="24"/>
      <w:szCs w:val="24"/>
    </w:rPr>
  </w:style>
  <w:style w:type="character" w:customStyle="1" w:styleId="65">
    <w:name w:val="标题 3 字符"/>
    <w:link w:val="5"/>
    <w:qFormat/>
    <w:uiPriority w:val="99"/>
    <w:rPr>
      <w:b/>
      <w:bCs/>
      <w:sz w:val="24"/>
      <w:szCs w:val="32"/>
    </w:rPr>
  </w:style>
  <w:style w:type="character" w:customStyle="1" w:styleId="66">
    <w:name w:val="font31"/>
    <w:basedOn w:val="23"/>
    <w:qFormat/>
    <w:uiPriority w:val="0"/>
    <w:rPr>
      <w:rFonts w:hint="default" w:ascii="Times New Roman" w:hAnsi="Times New Roman" w:cs="Times New Roman"/>
      <w:color w:val="000000"/>
      <w:sz w:val="21"/>
      <w:szCs w:val="21"/>
      <w:u w:val="none"/>
      <w:vertAlign w:val="subscript"/>
    </w:rPr>
  </w:style>
  <w:style w:type="character" w:customStyle="1" w:styleId="67">
    <w:name w:val="正文文本 字符"/>
    <w:basedOn w:val="23"/>
    <w:qFormat/>
    <w:uiPriority w:val="99"/>
    <w:rPr>
      <w:kern w:val="2"/>
      <w:sz w:val="24"/>
      <w:szCs w:val="24"/>
    </w:rPr>
  </w:style>
  <w:style w:type="character" w:customStyle="1" w:styleId="68">
    <w:name w:val="批注文字 字符"/>
    <w:basedOn w:val="23"/>
    <w:link w:val="10"/>
    <w:qFormat/>
    <w:uiPriority w:val="0"/>
    <w:rPr>
      <w:kern w:val="2"/>
      <w:sz w:val="24"/>
      <w:szCs w:val="24"/>
    </w:rPr>
  </w:style>
  <w:style w:type="character" w:customStyle="1" w:styleId="69">
    <w:name w:val="正文文本 字符1"/>
    <w:basedOn w:val="23"/>
    <w:link w:val="2"/>
    <w:qFormat/>
    <w:uiPriority w:val="0"/>
    <w:rPr>
      <w:rFonts w:hint="default" w:ascii="Calibri" w:hAnsi="Calibri" w:eastAsia="宋体" w:cs="Times New Roman"/>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4" Type="http://schemas.openxmlformats.org/officeDocument/2006/relationships/fontTable" Target="fontTable.xml"/><Relationship Id="rId53" Type="http://schemas.openxmlformats.org/officeDocument/2006/relationships/customXml" Target="../customXml/item2.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chart" Target="charts/chart13.xml"/><Relationship Id="rId5" Type="http://schemas.openxmlformats.org/officeDocument/2006/relationships/header" Target="header1.xml"/><Relationship Id="rId49" Type="http://schemas.openxmlformats.org/officeDocument/2006/relationships/chart" Target="charts/chart12.xml"/><Relationship Id="rId48" Type="http://schemas.openxmlformats.org/officeDocument/2006/relationships/chart" Target="charts/chart11.xml"/><Relationship Id="rId47" Type="http://schemas.openxmlformats.org/officeDocument/2006/relationships/chart" Target="charts/chart10.xml"/><Relationship Id="rId46" Type="http://schemas.openxmlformats.org/officeDocument/2006/relationships/chart" Target="charts/chart9.xml"/><Relationship Id="rId45" Type="http://schemas.openxmlformats.org/officeDocument/2006/relationships/chart" Target="charts/chart8.xml"/><Relationship Id="rId44" Type="http://schemas.openxmlformats.org/officeDocument/2006/relationships/chart" Target="charts/chart7.xml"/><Relationship Id="rId43" Type="http://schemas.openxmlformats.org/officeDocument/2006/relationships/chart" Target="charts/chart6.xml"/><Relationship Id="rId42" Type="http://schemas.openxmlformats.org/officeDocument/2006/relationships/chart" Target="charts/chart5.xml"/><Relationship Id="rId41" Type="http://schemas.openxmlformats.org/officeDocument/2006/relationships/chart" Target="charts/chart4.xml"/><Relationship Id="rId40" Type="http://schemas.openxmlformats.org/officeDocument/2006/relationships/chart" Target="charts/chart3.xml"/><Relationship Id="rId4" Type="http://schemas.openxmlformats.org/officeDocument/2006/relationships/endnotes" Target="endnotes.xml"/><Relationship Id="rId39" Type="http://schemas.openxmlformats.org/officeDocument/2006/relationships/chart" Target="charts/chart2.xml"/><Relationship Id="rId38" Type="http://schemas.openxmlformats.org/officeDocument/2006/relationships/chart" Target="charts/chart1.xml"/><Relationship Id="rId37" Type="http://schemas.openxmlformats.org/officeDocument/2006/relationships/image" Target="media/image12.wmf"/><Relationship Id="rId36" Type="http://schemas.openxmlformats.org/officeDocument/2006/relationships/image" Target="media/image11.png"/><Relationship Id="rId35" Type="http://schemas.openxmlformats.org/officeDocument/2006/relationships/image" Target="media/image10.jpeg"/><Relationship Id="rId34" Type="http://schemas.openxmlformats.org/officeDocument/2006/relationships/image" Target="media/image9.jpeg"/><Relationship Id="rId33" Type="http://schemas.openxmlformats.org/officeDocument/2006/relationships/image" Target="media/image8.jpeg"/><Relationship Id="rId32" Type="http://schemas.openxmlformats.org/officeDocument/2006/relationships/image" Target="media/image7.png"/><Relationship Id="rId31" Type="http://schemas.openxmlformats.org/officeDocument/2006/relationships/image" Target="media/image6.png"/><Relationship Id="rId30" Type="http://schemas.openxmlformats.org/officeDocument/2006/relationships/image" Target="media/image5.png"/><Relationship Id="rId3" Type="http://schemas.openxmlformats.org/officeDocument/2006/relationships/footnotes" Target="footnotes.xml"/><Relationship Id="rId29" Type="http://schemas.openxmlformats.org/officeDocument/2006/relationships/image" Target="media/image4.png"/><Relationship Id="rId28" Type="http://schemas.openxmlformats.org/officeDocument/2006/relationships/image" Target="media/image3.png"/><Relationship Id="rId27" Type="http://schemas.openxmlformats.org/officeDocument/2006/relationships/image" Target="media/image2.jpe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header" Target="header16.xml"/><Relationship Id="rId23" Type="http://schemas.openxmlformats.org/officeDocument/2006/relationships/header" Target="header15.xml"/><Relationship Id="rId22" Type="http://schemas.openxmlformats.org/officeDocument/2006/relationships/header" Target="header14.xml"/><Relationship Id="rId21" Type="http://schemas.openxmlformats.org/officeDocument/2006/relationships/header" Target="header13.xml"/><Relationship Id="rId20" Type="http://schemas.openxmlformats.org/officeDocument/2006/relationships/header" Target="header12.xml"/><Relationship Id="rId2" Type="http://schemas.openxmlformats.org/officeDocument/2006/relationships/settings" Target="settings.xml"/><Relationship Id="rId19" Type="http://schemas.openxmlformats.org/officeDocument/2006/relationships/header" Target="header11.xml"/><Relationship Id="rId18" Type="http://schemas.openxmlformats.org/officeDocument/2006/relationships/footer" Target="footer4.xml"/><Relationship Id="rId17" Type="http://schemas.openxmlformats.org/officeDocument/2006/relationships/header" Target="header10.xml"/><Relationship Id="rId16" Type="http://schemas.openxmlformats.org/officeDocument/2006/relationships/header" Target="header9.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footer" Target="footer3.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chartUserShapes" Target="../drawings/drawing1.xml"/><Relationship Id="rId1" Type="http://schemas.openxmlformats.org/officeDocument/2006/relationships/oleObject" Target="file:///E:\&#37122;&#24030;&#24037;&#19994;&#22253;&#21608;&#36793;&#22303;&#22756;&#35843;&#26597;\yyt\&#25955;&#28857;&#22270;.xlsx"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chartUserShapes" Target="../drawings/drawing2.xml"/><Relationship Id="rId1" Type="http://schemas.openxmlformats.org/officeDocument/2006/relationships/oleObject" Target="file:///E:\&#37122;&#24030;&#24037;&#19994;&#22253;&#21608;&#36793;&#22303;&#22756;&#35843;&#26597;\yyt\SJG-&#25955;&#28857;&#22270;-&#27679;&#21270;&#29289;.xlsx" TargetMode="External"/></Relationships>
</file>

<file path=word/charts/_rels/chart3.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chartUserShapes" Target="../drawings/drawing3.xml"/><Relationship Id="rId1" Type="http://schemas.openxmlformats.org/officeDocument/2006/relationships/oleObject" Target="file:///E:\&#37122;&#24030;&#24037;&#19994;&#22253;&#21608;&#36793;&#22303;&#22756;&#35843;&#26597;\yyt\SJG-&#25955;&#28857;&#22270;-&#38124;.xlsx" TargetMode="External"/></Relationships>
</file>

<file path=word/charts/_rels/chart4.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chartUserShapes" Target="../drawings/drawing4.xml"/><Relationship Id="rId1" Type="http://schemas.openxmlformats.org/officeDocument/2006/relationships/oleObject" Target="file:///E:\&#37122;&#24030;&#24037;&#19994;&#22253;&#21608;&#36793;&#22303;&#22756;&#35843;&#26597;\yyt\SJG-&#25955;&#28857;&#22270;-&#38124;.xlsx" TargetMode="External"/></Relationships>
</file>

<file path=word/charts/_rels/chart5.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chartUserShapes" Target="../drawings/drawing5.xml"/><Relationship Id="rId1" Type="http://schemas.openxmlformats.org/officeDocument/2006/relationships/oleObject" Target="file:///E:\&#37122;&#24030;&#24037;&#19994;&#22253;&#21608;&#36793;&#22303;&#22756;&#35843;&#26597;\yyt\SJG-&#25955;&#28857;&#22270;-&#38124;.xlsx" TargetMode="External"/></Relationships>
</file>

<file path=word/charts/_rels/chart6.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chartUserShapes" Target="../drawings/drawing6.xml"/><Relationship Id="rId1" Type="http://schemas.openxmlformats.org/officeDocument/2006/relationships/oleObject" Target="file:///E:\&#37122;&#24030;&#24037;&#19994;&#22253;&#21608;&#36793;&#22303;&#22756;&#35843;&#26597;\yyt\SJG-&#25955;&#28857;&#22270;-&#38124;.xlsx" TargetMode="External"/></Relationships>
</file>

<file path=word/charts/_rels/chart7.xml.rels><?xml version="1.0" encoding="UTF-8" standalone="yes"?>
<Relationships xmlns="http://schemas.openxmlformats.org/package/2006/relationships"><Relationship Id="rId4" Type="http://schemas.microsoft.com/office/2011/relationships/chartColorStyle" Target="colors7.xml"/><Relationship Id="rId3" Type="http://schemas.microsoft.com/office/2011/relationships/chartStyle" Target="style7.xml"/><Relationship Id="rId2" Type="http://schemas.openxmlformats.org/officeDocument/2006/relationships/chartUserShapes" Target="../drawings/drawing7.xml"/><Relationship Id="rId1" Type="http://schemas.openxmlformats.org/officeDocument/2006/relationships/oleObject" Target="file:///E:\&#37122;&#24030;&#24037;&#19994;&#22253;&#21608;&#36793;&#22303;&#22756;&#35843;&#26597;\yyt\SJG-&#25955;&#28857;&#22270;-&#38108;.xlsx" TargetMode="External"/></Relationships>
</file>

<file path=word/charts/_rels/chart8.xml.rels><?xml version="1.0" encoding="UTF-8" standalone="yes"?>
<Relationships xmlns="http://schemas.openxmlformats.org/package/2006/relationships"><Relationship Id="rId4" Type="http://schemas.microsoft.com/office/2011/relationships/chartColorStyle" Target="colors8.xml"/><Relationship Id="rId3" Type="http://schemas.microsoft.com/office/2011/relationships/chartStyle" Target="style8.xml"/><Relationship Id="rId2" Type="http://schemas.openxmlformats.org/officeDocument/2006/relationships/chartUserShapes" Target="../drawings/drawing8.xml"/><Relationship Id="rId1" Type="http://schemas.openxmlformats.org/officeDocument/2006/relationships/oleObject" Target="file:///E:\&#37122;&#24030;&#24037;&#19994;&#22253;&#21608;&#36793;&#22303;&#22756;&#35843;&#26597;\yyt\SJG-&#25955;&#28857;&#22270;-&#38124;.xlsx" TargetMode="External"/></Relationships>
</file>

<file path=word/charts/_rels/chart9.xml.rels><?xml version="1.0" encoding="UTF-8" standalone="yes"?>
<Relationships xmlns="http://schemas.openxmlformats.org/package/2006/relationships"><Relationship Id="rId4" Type="http://schemas.microsoft.com/office/2011/relationships/chartColorStyle" Target="colors9.xml"/><Relationship Id="rId3" Type="http://schemas.microsoft.com/office/2011/relationships/chartStyle" Target="style9.xml"/><Relationship Id="rId2" Type="http://schemas.openxmlformats.org/officeDocument/2006/relationships/chartUserShapes" Target="../drawings/drawing9.xml"/><Relationship Id="rId1" Type="http://schemas.openxmlformats.org/officeDocument/2006/relationships/oleObject" Target="file:///E:\&#37122;&#24030;&#24037;&#19994;&#22253;&#21608;&#36793;&#22303;&#22756;&#35843;&#26597;\yyt\SJG-&#25955;&#28857;&#22270;-&#38124;.xlsx" TargetMode="External"/></Relationships>
</file>

<file path=word/charts/_rels/chart10.xml.rels><?xml version="1.0" encoding="UTF-8" standalone="yes"?>
<Relationships xmlns="http://schemas.openxmlformats.org/package/2006/relationships"><Relationship Id="rId4" Type="http://schemas.microsoft.com/office/2011/relationships/chartColorStyle" Target="colors10.xml"/><Relationship Id="rId3" Type="http://schemas.microsoft.com/office/2011/relationships/chartStyle" Target="style10.xml"/><Relationship Id="rId2" Type="http://schemas.openxmlformats.org/officeDocument/2006/relationships/chartUserShapes" Target="../drawings/drawing10.xml"/><Relationship Id="rId1" Type="http://schemas.openxmlformats.org/officeDocument/2006/relationships/oleObject" Target="file:///E:\&#37122;&#24030;&#24037;&#19994;&#22253;&#21608;&#36793;&#22303;&#22756;&#35843;&#26597;\yyt\SJG-&#25955;&#28857;&#22270;-&#38124;.xlsx" TargetMode="External"/></Relationships>
</file>

<file path=word/charts/_rels/chart11.xml.rels><?xml version="1.0" encoding="UTF-8" standalone="yes"?>
<Relationships xmlns="http://schemas.openxmlformats.org/package/2006/relationships"><Relationship Id="rId4" Type="http://schemas.microsoft.com/office/2011/relationships/chartColorStyle" Target="colors11.xml"/><Relationship Id="rId3" Type="http://schemas.microsoft.com/office/2011/relationships/chartStyle" Target="style11.xml"/><Relationship Id="rId2" Type="http://schemas.openxmlformats.org/officeDocument/2006/relationships/chartUserShapes" Target="../drawings/drawing11.xml"/><Relationship Id="rId1" Type="http://schemas.openxmlformats.org/officeDocument/2006/relationships/oleObject" Target="file:///E:\&#37122;&#24030;&#24037;&#19994;&#22253;&#21608;&#36793;&#22303;&#22756;&#35843;&#26597;\yyt\SJG-&#25955;&#28857;&#22270;-&#38124;.xlsx" TargetMode="External"/></Relationships>
</file>

<file path=word/charts/_rels/chart12.xml.rels><?xml version="1.0" encoding="UTF-8" standalone="yes"?>
<Relationships xmlns="http://schemas.openxmlformats.org/package/2006/relationships"><Relationship Id="rId4" Type="http://schemas.microsoft.com/office/2011/relationships/chartColorStyle" Target="colors12.xml"/><Relationship Id="rId3" Type="http://schemas.microsoft.com/office/2011/relationships/chartStyle" Target="style12.xml"/><Relationship Id="rId2" Type="http://schemas.openxmlformats.org/officeDocument/2006/relationships/chartUserShapes" Target="../drawings/drawing12.xml"/><Relationship Id="rId1" Type="http://schemas.openxmlformats.org/officeDocument/2006/relationships/oleObject" Target="file:///E:\&#37122;&#24030;&#24037;&#19994;&#22253;&#21608;&#36793;&#22303;&#22756;&#35843;&#26597;\yyt\SJG-&#25955;&#28857;&#22270;-&#38124;.xlsx" TargetMode="External"/></Relationships>
</file>

<file path=word/charts/_rels/chart13.xml.rels><?xml version="1.0" encoding="UTF-8" standalone="yes"?>
<Relationships xmlns="http://schemas.openxmlformats.org/package/2006/relationships"><Relationship Id="rId4" Type="http://schemas.microsoft.com/office/2011/relationships/chartColorStyle" Target="colors13.xml"/><Relationship Id="rId3" Type="http://schemas.microsoft.com/office/2011/relationships/chartStyle" Target="style13.xml"/><Relationship Id="rId2" Type="http://schemas.openxmlformats.org/officeDocument/2006/relationships/chartUserShapes" Target="../drawings/drawing13.xml"/><Relationship Id="rId1" Type="http://schemas.openxmlformats.org/officeDocument/2006/relationships/oleObject" Target="file:///E:\&#37122;&#24030;&#24037;&#19994;&#22253;&#21608;&#36793;&#22303;&#22756;&#35843;&#26597;\yyt\SJG-&#25955;&#28857;&#22270;-&#381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pH</a:t>
            </a:r>
            <a:r>
              <a:rPr altLang="en-US"/>
              <a:t>值</a:t>
            </a:r>
            <a:endParaRPr altLang="en-US"/>
          </a:p>
        </c:rich>
      </c:tx>
      <c:layout/>
      <c:overlay val="0"/>
      <c:spPr>
        <a:noFill/>
        <a:ln>
          <a:noFill/>
        </a:ln>
        <a:effectLst/>
      </c:spPr>
    </c:title>
    <c:autoTitleDeleted val="0"/>
    <c:plotArea>
      <c:layout/>
      <c:lineChart>
        <c:grouping val="standard"/>
        <c:varyColors val="0"/>
        <c:ser>
          <c:idx val="0"/>
          <c:order val="0"/>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[散点图.xlsx]Ph!$B$2:$O$2</c:f>
              <c:strCache>
                <c:ptCount val="14"/>
                <c:pt idx="0">
                  <c:v>XM-1-75</c:v>
                </c:pt>
                <c:pt idx="1">
                  <c:v>XM-1-200</c:v>
                </c:pt>
                <c:pt idx="2">
                  <c:v>XM-1-400</c:v>
                </c:pt>
                <c:pt idx="3">
                  <c:v>XM-2-75</c:v>
                </c:pt>
                <c:pt idx="4">
                  <c:v>XM-2-200</c:v>
                </c:pt>
                <c:pt idx="5">
                  <c:v>XM-2-400</c:v>
                </c:pt>
                <c:pt idx="6">
                  <c:v>XM-3-75</c:v>
                </c:pt>
                <c:pt idx="7">
                  <c:v>XM-3-200</c:v>
                </c:pt>
                <c:pt idx="8">
                  <c:v>XM-3-400</c:v>
                </c:pt>
                <c:pt idx="9">
                  <c:v>XM-4</c:v>
                </c:pt>
                <c:pt idx="10">
                  <c:v>XM-JJ-1</c:v>
                </c:pt>
                <c:pt idx="11">
                  <c:v>XM-JJ-2</c:v>
                </c:pt>
                <c:pt idx="12">
                  <c:v>XM-JJ-3</c:v>
                </c:pt>
                <c:pt idx="13">
                  <c:v>XM-JJ-4</c:v>
                </c:pt>
              </c:strCache>
            </c:strRef>
          </c:cat>
          <c:val>
            <c:numRef>
              <c:f>[散点图.xlsx]Ph!$B$3:$O$3</c:f>
              <c:numCache>
                <c:formatCode>General</c:formatCode>
                <c:ptCount val="14"/>
                <c:pt idx="0">
                  <c:v>8.41</c:v>
                </c:pt>
                <c:pt idx="1">
                  <c:v>8.51</c:v>
                </c:pt>
                <c:pt idx="2">
                  <c:v>8.4</c:v>
                </c:pt>
                <c:pt idx="3">
                  <c:v>8.47</c:v>
                </c:pt>
                <c:pt idx="4">
                  <c:v>8.34</c:v>
                </c:pt>
                <c:pt idx="5">
                  <c:v>7.84</c:v>
                </c:pt>
                <c:pt idx="6">
                  <c:v>6.44</c:v>
                </c:pt>
                <c:pt idx="7">
                  <c:v>6.5</c:v>
                </c:pt>
                <c:pt idx="8">
                  <c:v>4.88</c:v>
                </c:pt>
                <c:pt idx="9">
                  <c:v>8.38</c:v>
                </c:pt>
                <c:pt idx="10">
                  <c:v>7.38</c:v>
                </c:pt>
                <c:pt idx="11">
                  <c:v>7.25</c:v>
                </c:pt>
                <c:pt idx="12">
                  <c:v>7.15</c:v>
                </c:pt>
                <c:pt idx="13">
                  <c:v>8.08</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12b07766-99ee-4dc2-912a-e68622760dea}"/>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p>
      </c:txPr>
    </c:title>
    <c:autoTitleDeleted val="0"/>
    <c:plotArea>
      <c:layout/>
      <c:lineChart>
        <c:grouping val="standard"/>
        <c:varyColors val="0"/>
        <c:ser>
          <c:idx val="0"/>
          <c:order val="0"/>
          <c:tx>
            <c:strRef>
              <c:f>'[SJG-散点图-氟化物.xlsx]铜-only'!$A$3</c:f>
              <c:strCache>
                <c:ptCount val="1"/>
                <c:pt idx="0">
                  <c:v>总氟化物</c:v>
                </c:pt>
              </c:strCache>
            </c:strRef>
          </c:tx>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'[SJG-散点图-氟化物.xlsx]铜-only'!$B$2:$O$2</c:f>
              <c:strCache>
                <c:ptCount val="14"/>
                <c:pt idx="0">
                  <c:v>XM-1-75</c:v>
                </c:pt>
                <c:pt idx="1">
                  <c:v>XM-1-200</c:v>
                </c:pt>
                <c:pt idx="2">
                  <c:v>XM-1-400</c:v>
                </c:pt>
                <c:pt idx="3">
                  <c:v>XM-2-75</c:v>
                </c:pt>
                <c:pt idx="4">
                  <c:v>XM-2-200</c:v>
                </c:pt>
                <c:pt idx="5">
                  <c:v>XM-2-400</c:v>
                </c:pt>
                <c:pt idx="6">
                  <c:v>XM-3-75</c:v>
                </c:pt>
                <c:pt idx="7">
                  <c:v>XM-3-200</c:v>
                </c:pt>
                <c:pt idx="8">
                  <c:v>XM-3-400</c:v>
                </c:pt>
                <c:pt idx="9">
                  <c:v>XM-4</c:v>
                </c:pt>
                <c:pt idx="10">
                  <c:v>XM-JJ-1</c:v>
                </c:pt>
                <c:pt idx="11">
                  <c:v>XM-JJ-2</c:v>
                </c:pt>
                <c:pt idx="12">
                  <c:v>XM-JJ-3</c:v>
                </c:pt>
                <c:pt idx="13">
                  <c:v>XM-JJ-4</c:v>
                </c:pt>
              </c:strCache>
            </c:strRef>
          </c:cat>
          <c:val>
            <c:numRef>
              <c:f>'[SJG-散点图-氟化物.xlsx]铜-only'!$B$3:$O$3</c:f>
              <c:numCache>
                <c:formatCode>General</c:formatCode>
                <c:ptCount val="14"/>
                <c:pt idx="0">
                  <c:v>687</c:v>
                </c:pt>
                <c:pt idx="1">
                  <c:v>628</c:v>
                </c:pt>
                <c:pt idx="2">
                  <c:v>626</c:v>
                </c:pt>
                <c:pt idx="3">
                  <c:v>557</c:v>
                </c:pt>
                <c:pt idx="4">
                  <c:v>610</c:v>
                </c:pt>
                <c:pt idx="5">
                  <c:v>583</c:v>
                </c:pt>
                <c:pt idx="6">
                  <c:v>454</c:v>
                </c:pt>
                <c:pt idx="7">
                  <c:v>499</c:v>
                </c:pt>
                <c:pt idx="8">
                  <c:v>421</c:v>
                </c:pt>
                <c:pt idx="9">
                  <c:v>560</c:v>
                </c:pt>
                <c:pt idx="10">
                  <c:v>454</c:v>
                </c:pt>
                <c:pt idx="11">
                  <c:v>433</c:v>
                </c:pt>
                <c:pt idx="12">
                  <c:v>562</c:v>
                </c:pt>
                <c:pt idx="13">
                  <c:v>713</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800"/>
          <c:min val="40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34247d0a-4459-4dd6-aac1-95753f148b14}"/>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altLang="en-US"/>
              <a:t>铅</a:t>
            </a:r>
            <a:endParaRPr lang="en-US" altLang="zh-CN"/>
          </a:p>
        </c:rich>
      </c:tx>
      <c:layout/>
      <c:overlay val="0"/>
      <c:spPr>
        <a:noFill/>
        <a:ln>
          <a:noFill/>
        </a:ln>
        <a:effectLst/>
      </c:spPr>
    </c:title>
    <c:autoTitleDeleted val="0"/>
    <c:plotArea>
      <c:layout/>
      <c:lineChart>
        <c:grouping val="standard"/>
        <c:varyColors val="0"/>
        <c:ser>
          <c:idx val="0"/>
          <c:order val="0"/>
          <c:tx>
            <c:strRef>
              <c:f>'[SJG-散点图-铬.xlsx]铅'!$A$3</c:f>
              <c:strCache>
                <c:ptCount val="1"/>
                <c:pt idx="0">
                  <c:v>铅</c:v>
                </c:pt>
              </c:strCache>
            </c:strRef>
          </c:tx>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'[SJG-散点图-铬.xlsx]铅'!$B$2:$Q$2</c:f>
              <c:strCache>
                <c:ptCount val="16"/>
                <c:pt idx="0">
                  <c:v>XM-1-75</c:v>
                </c:pt>
                <c:pt idx="1">
                  <c:v>XM-1-200</c:v>
                </c:pt>
                <c:pt idx="2">
                  <c:v>XM-1-400</c:v>
                </c:pt>
                <c:pt idx="3">
                  <c:v>XM-2-75</c:v>
                </c:pt>
                <c:pt idx="4">
                  <c:v>XM-2-200</c:v>
                </c:pt>
                <c:pt idx="5">
                  <c:v>XM-2-400</c:v>
                </c:pt>
                <c:pt idx="6">
                  <c:v>XM-3-75</c:v>
                </c:pt>
                <c:pt idx="7">
                  <c:v>XM-3-200</c:v>
                </c:pt>
                <c:pt idx="8">
                  <c:v>XM-3-400</c:v>
                </c:pt>
                <c:pt idx="9">
                  <c:v>XM-4</c:v>
                </c:pt>
                <c:pt idx="10">
                  <c:v>XM-JJ-1</c:v>
                </c:pt>
                <c:pt idx="11">
                  <c:v>XM-JJ-2</c:v>
                </c:pt>
                <c:pt idx="12">
                  <c:v>XM-JJ-3</c:v>
                </c:pt>
                <c:pt idx="13">
                  <c:v>XM-JJ-4</c:v>
                </c:pt>
              </c:strCache>
            </c:strRef>
          </c:cat>
          <c:val>
            <c:numRef>
              <c:f>'[SJG-散点图-铬.xlsx]铅'!$B$3:$O$3</c:f>
              <c:numCache>
                <c:formatCode>General</c:formatCode>
                <c:ptCount val="14"/>
                <c:pt idx="0">
                  <c:v>29.7</c:v>
                </c:pt>
                <c:pt idx="1">
                  <c:v>36.4</c:v>
                </c:pt>
                <c:pt idx="2">
                  <c:v>25.8</c:v>
                </c:pt>
                <c:pt idx="3">
                  <c:v>52.3</c:v>
                </c:pt>
                <c:pt idx="4">
                  <c:v>29.5</c:v>
                </c:pt>
                <c:pt idx="5">
                  <c:v>18.1</c:v>
                </c:pt>
                <c:pt idx="6">
                  <c:v>17.7</c:v>
                </c:pt>
                <c:pt idx="7">
                  <c:v>30.7</c:v>
                </c:pt>
                <c:pt idx="8">
                  <c:v>24.2</c:v>
                </c:pt>
                <c:pt idx="9">
                  <c:v>38.7</c:v>
                </c:pt>
                <c:pt idx="10">
                  <c:v>21.2</c:v>
                </c:pt>
                <c:pt idx="11">
                  <c:v>19.1</c:v>
                </c:pt>
                <c:pt idx="12">
                  <c:v>20.3</c:v>
                </c:pt>
                <c:pt idx="13">
                  <c:v>33.8</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55"/>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a683b8d0-161e-404c-8bf7-f000134df77f}"/>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153174912349045"/>
          <c:y val="0.13910072313736"/>
          <c:w val="0.84137125048695"/>
          <c:h val="0.715486432825943"/>
        </c:manualLayout>
      </c:layout>
      <c:lineChart>
        <c:grouping val="standard"/>
        <c:varyColors val="0"/>
        <c:ser>
          <c:idx val="0"/>
          <c:order val="0"/>
          <c:tx>
            <c:strRef>
              <c:f>'[SJG-散点图-铬.xlsx]汞'!$A$3</c:f>
              <c:strCache>
                <c:ptCount val="1"/>
                <c:pt idx="0">
                  <c:v>汞</c:v>
                </c:pt>
              </c:strCache>
            </c:strRef>
          </c:tx>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'[SJG-散点图-铬.xlsx]汞'!$B$2:$O$2</c:f>
              <c:strCache>
                <c:ptCount val="14"/>
                <c:pt idx="0">
                  <c:v>XM-1-75</c:v>
                </c:pt>
                <c:pt idx="1">
                  <c:v>XM-1-200</c:v>
                </c:pt>
                <c:pt idx="2">
                  <c:v>XM-1-400</c:v>
                </c:pt>
                <c:pt idx="3">
                  <c:v>XM-2-75</c:v>
                </c:pt>
                <c:pt idx="4">
                  <c:v>XM-2-200</c:v>
                </c:pt>
                <c:pt idx="5">
                  <c:v>XM-2-400</c:v>
                </c:pt>
                <c:pt idx="6">
                  <c:v>XM-3-75</c:v>
                </c:pt>
                <c:pt idx="7">
                  <c:v>XM-3-200</c:v>
                </c:pt>
                <c:pt idx="8">
                  <c:v>XM-3-400</c:v>
                </c:pt>
                <c:pt idx="9">
                  <c:v>XM-4</c:v>
                </c:pt>
                <c:pt idx="10">
                  <c:v>XM-JJ-1</c:v>
                </c:pt>
                <c:pt idx="11">
                  <c:v>XM-JJ-2</c:v>
                </c:pt>
                <c:pt idx="12">
                  <c:v>XM-JJ-3</c:v>
                </c:pt>
                <c:pt idx="13">
                  <c:v>XM-JJ-4</c:v>
                </c:pt>
              </c:strCache>
            </c:strRef>
          </c:cat>
          <c:val>
            <c:numRef>
              <c:f>'[SJG-散点图-铬.xlsx]汞'!$B$3:$O$3</c:f>
              <c:numCache>
                <c:formatCode>General</c:formatCode>
                <c:ptCount val="14"/>
                <c:pt idx="0">
                  <c:v>0.19</c:v>
                </c:pt>
                <c:pt idx="1">
                  <c:v>0.19</c:v>
                </c:pt>
                <c:pt idx="2">
                  <c:v>0.18</c:v>
                </c:pt>
                <c:pt idx="3">
                  <c:v>0.17</c:v>
                </c:pt>
                <c:pt idx="4">
                  <c:v>0.13</c:v>
                </c:pt>
                <c:pt idx="5">
                  <c:v>0.1</c:v>
                </c:pt>
                <c:pt idx="6">
                  <c:v>0.11</c:v>
                </c:pt>
                <c:pt idx="7">
                  <c:v>0.17</c:v>
                </c:pt>
                <c:pt idx="8">
                  <c:v>0.19</c:v>
                </c:pt>
                <c:pt idx="9">
                  <c:v>0.2</c:v>
                </c:pt>
                <c:pt idx="10">
                  <c:v>0.42</c:v>
                </c:pt>
                <c:pt idx="11">
                  <c:v>0.14</c:v>
                </c:pt>
                <c:pt idx="12">
                  <c:v>0.17</c:v>
                </c:pt>
                <c:pt idx="13">
                  <c:v>0.17</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0.45"/>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c4e4c051-d739-4a74-893c-c219b03c330b}"/>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t>钴</a:t>
            </a:r>
          </a:p>
        </c:rich>
      </c:tx>
      <c:layout/>
      <c:overlay val="0"/>
      <c:spPr>
        <a:noFill/>
        <a:ln>
          <a:noFill/>
        </a:ln>
        <a:effectLst/>
      </c:spPr>
    </c:title>
    <c:autoTitleDeleted val="0"/>
    <c:plotArea>
      <c:layout/>
      <c:lineChart>
        <c:grouping val="standard"/>
        <c:varyColors val="0"/>
        <c:ser>
          <c:idx val="0"/>
          <c:order val="0"/>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'[SJG-散点图-铬.xlsx]钴'!$B$2:$O$2</c:f>
              <c:strCache>
                <c:ptCount val="14"/>
                <c:pt idx="0">
                  <c:v>XM-1-75</c:v>
                </c:pt>
                <c:pt idx="1">
                  <c:v>XM-1-200</c:v>
                </c:pt>
                <c:pt idx="2">
                  <c:v>XM-1-400</c:v>
                </c:pt>
                <c:pt idx="3">
                  <c:v>XM-2-75</c:v>
                </c:pt>
                <c:pt idx="4">
                  <c:v>XM-2-200</c:v>
                </c:pt>
                <c:pt idx="5">
                  <c:v>XM-2-400</c:v>
                </c:pt>
                <c:pt idx="6">
                  <c:v>XM-3-75</c:v>
                </c:pt>
                <c:pt idx="7">
                  <c:v>XM-3-200</c:v>
                </c:pt>
                <c:pt idx="8">
                  <c:v>XM-3-400</c:v>
                </c:pt>
                <c:pt idx="9">
                  <c:v>XM-4</c:v>
                </c:pt>
                <c:pt idx="10">
                  <c:v>XM-JJ-1</c:v>
                </c:pt>
                <c:pt idx="11">
                  <c:v>XM-JJ-2</c:v>
                </c:pt>
                <c:pt idx="12">
                  <c:v>XM-JJ-3</c:v>
                </c:pt>
                <c:pt idx="13">
                  <c:v>XM-JJ-4</c:v>
                </c:pt>
              </c:strCache>
            </c:strRef>
          </c:cat>
          <c:val>
            <c:numRef>
              <c:f>'[SJG-散点图-铬.xlsx]钴'!$B$3:$O$3</c:f>
              <c:numCache>
                <c:formatCode>General</c:formatCode>
                <c:ptCount val="14"/>
                <c:pt idx="0">
                  <c:v>11.6</c:v>
                </c:pt>
                <c:pt idx="1">
                  <c:v>12.5</c:v>
                </c:pt>
                <c:pt idx="2">
                  <c:v>13</c:v>
                </c:pt>
                <c:pt idx="3">
                  <c:v>9.13</c:v>
                </c:pt>
                <c:pt idx="4">
                  <c:v>15.1</c:v>
                </c:pt>
                <c:pt idx="5">
                  <c:v>8.33</c:v>
                </c:pt>
                <c:pt idx="6">
                  <c:v>16</c:v>
                </c:pt>
                <c:pt idx="7">
                  <c:v>6.62</c:v>
                </c:pt>
                <c:pt idx="8">
                  <c:v>8.71</c:v>
                </c:pt>
                <c:pt idx="9">
                  <c:v>14.4</c:v>
                </c:pt>
                <c:pt idx="10">
                  <c:v>9.4</c:v>
                </c:pt>
                <c:pt idx="11">
                  <c:v>4.5</c:v>
                </c:pt>
                <c:pt idx="12">
                  <c:v>14.3</c:v>
                </c:pt>
                <c:pt idx="13">
                  <c:v>13</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4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c7e12ea8-7d00-412e-b06d-bbde1404bd3f}"/>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p>
      </c:txPr>
    </c:title>
    <c:autoTitleDeleted val="0"/>
    <c:plotArea>
      <c:layout/>
      <c:lineChart>
        <c:grouping val="standard"/>
        <c:varyColors val="0"/>
        <c:ser>
          <c:idx val="0"/>
          <c:order val="0"/>
          <c:tx>
            <c:strRef>
              <c:f>'[SJG-散点图-铬.xlsx]镉'!$A$3</c:f>
              <c:strCache>
                <c:ptCount val="1"/>
                <c:pt idx="0">
                  <c:v>镉</c:v>
                </c:pt>
              </c:strCache>
            </c:strRef>
          </c:tx>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'[SJG-散点图-铬.xlsx]镉'!$B$2:$O$2</c:f>
              <c:strCache>
                <c:ptCount val="14"/>
                <c:pt idx="0">
                  <c:v>XM-1-75</c:v>
                </c:pt>
                <c:pt idx="1">
                  <c:v>XM-1-200</c:v>
                </c:pt>
                <c:pt idx="2">
                  <c:v>XM-1-400</c:v>
                </c:pt>
                <c:pt idx="3">
                  <c:v>XM-2-75</c:v>
                </c:pt>
                <c:pt idx="4">
                  <c:v>XM-2-200</c:v>
                </c:pt>
                <c:pt idx="5">
                  <c:v>XM-2-400</c:v>
                </c:pt>
                <c:pt idx="6">
                  <c:v>XM-3-75</c:v>
                </c:pt>
                <c:pt idx="7">
                  <c:v>XM-3-200</c:v>
                </c:pt>
                <c:pt idx="8">
                  <c:v>XM-3-400</c:v>
                </c:pt>
                <c:pt idx="9">
                  <c:v>XM-4</c:v>
                </c:pt>
                <c:pt idx="10">
                  <c:v>XM-JJ-1</c:v>
                </c:pt>
                <c:pt idx="11">
                  <c:v>XM-JJ-2</c:v>
                </c:pt>
                <c:pt idx="12">
                  <c:v>XM-JJ-3</c:v>
                </c:pt>
                <c:pt idx="13">
                  <c:v>XM-JJ-4</c:v>
                </c:pt>
              </c:strCache>
            </c:strRef>
          </c:cat>
          <c:val>
            <c:numRef>
              <c:f>'[SJG-散点图-铬.xlsx]镉'!$B$3:$O$3</c:f>
              <c:numCache>
                <c:formatCode>General</c:formatCode>
                <c:ptCount val="14"/>
                <c:pt idx="0">
                  <c:v>0.06</c:v>
                </c:pt>
                <c:pt idx="1">
                  <c:v>0.05</c:v>
                </c:pt>
                <c:pt idx="2">
                  <c:v>0.05</c:v>
                </c:pt>
                <c:pt idx="3">
                  <c:v>0.03</c:v>
                </c:pt>
                <c:pt idx="4">
                  <c:v>0.08</c:v>
                </c:pt>
                <c:pt idx="5">
                  <c:v>0.04</c:v>
                </c:pt>
                <c:pt idx="6">
                  <c:v>0.04</c:v>
                </c:pt>
                <c:pt idx="7">
                  <c:v>0.12</c:v>
                </c:pt>
                <c:pt idx="8">
                  <c:v>0.06</c:v>
                </c:pt>
                <c:pt idx="9">
                  <c:v>0.13</c:v>
                </c:pt>
                <c:pt idx="10">
                  <c:v>0.02</c:v>
                </c:pt>
                <c:pt idx="11">
                  <c:v>0.005</c:v>
                </c:pt>
                <c:pt idx="12">
                  <c:v>0.01</c:v>
                </c:pt>
                <c:pt idx="13">
                  <c:v>0.11</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0.6"/>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82acee27-04bc-4b26-996f-2ffbd10eaad3}"/>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p>
      </c:txPr>
    </c:title>
    <c:autoTitleDeleted val="0"/>
    <c:plotArea>
      <c:layout/>
      <c:lineChart>
        <c:grouping val="standard"/>
        <c:varyColors val="0"/>
        <c:ser>
          <c:idx val="0"/>
          <c:order val="0"/>
          <c:tx>
            <c:strRef>
              <c:f>'[SJG-散点图-铜.xlsx]铜-only'!$A$3</c:f>
              <c:strCache>
                <c:ptCount val="1"/>
                <c:pt idx="0">
                  <c:v>铜</c:v>
                </c:pt>
              </c:strCache>
            </c:strRef>
          </c:tx>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'[SJG-散点图-铜.xlsx]铜-only'!$B$2:$O$2</c:f>
              <c:strCache>
                <c:ptCount val="14"/>
                <c:pt idx="0">
                  <c:v>XM-1-75</c:v>
                </c:pt>
                <c:pt idx="1">
                  <c:v>XM-1-200</c:v>
                </c:pt>
                <c:pt idx="2">
                  <c:v>XM-1-400</c:v>
                </c:pt>
                <c:pt idx="3">
                  <c:v>XM-2-75</c:v>
                </c:pt>
                <c:pt idx="4">
                  <c:v>XM-2-200</c:v>
                </c:pt>
                <c:pt idx="5">
                  <c:v>XM-2-400</c:v>
                </c:pt>
                <c:pt idx="6">
                  <c:v>XM-3-75</c:v>
                </c:pt>
                <c:pt idx="7">
                  <c:v>XM-3-200</c:v>
                </c:pt>
                <c:pt idx="8">
                  <c:v>XM-3-400</c:v>
                </c:pt>
                <c:pt idx="9">
                  <c:v>XM-4</c:v>
                </c:pt>
                <c:pt idx="10">
                  <c:v>XM-JJ-1</c:v>
                </c:pt>
                <c:pt idx="11">
                  <c:v>XM-JJ-2</c:v>
                </c:pt>
                <c:pt idx="12">
                  <c:v>XM-JJ-3</c:v>
                </c:pt>
                <c:pt idx="13">
                  <c:v>XM-JJ-4</c:v>
                </c:pt>
              </c:strCache>
            </c:strRef>
          </c:cat>
          <c:val>
            <c:numRef>
              <c:f>'[SJG-散点图-铜.xlsx]铜-only'!$B$3:$O$3</c:f>
              <c:numCache>
                <c:formatCode>General</c:formatCode>
                <c:ptCount val="14"/>
                <c:pt idx="0">
                  <c:v>35</c:v>
                </c:pt>
                <c:pt idx="1">
                  <c:v>37</c:v>
                </c:pt>
                <c:pt idx="2">
                  <c:v>36</c:v>
                </c:pt>
                <c:pt idx="3">
                  <c:v>26</c:v>
                </c:pt>
                <c:pt idx="4">
                  <c:v>42</c:v>
                </c:pt>
                <c:pt idx="5">
                  <c:v>20</c:v>
                </c:pt>
                <c:pt idx="6">
                  <c:v>19</c:v>
                </c:pt>
                <c:pt idx="7">
                  <c:v>24</c:v>
                </c:pt>
                <c:pt idx="8">
                  <c:v>22</c:v>
                </c:pt>
                <c:pt idx="9">
                  <c:v>57</c:v>
                </c:pt>
                <c:pt idx="10">
                  <c:v>20</c:v>
                </c:pt>
                <c:pt idx="11">
                  <c:v>16</c:v>
                </c:pt>
                <c:pt idx="12">
                  <c:v>21</c:v>
                </c:pt>
                <c:pt idx="13">
                  <c:v>186</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20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91a8ff98-4987-441b-b1e1-1ba630547c9c}"/>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p>
      </c:txPr>
    </c:title>
    <c:autoTitleDeleted val="0"/>
    <c:plotArea>
      <c:layout/>
      <c:lineChart>
        <c:grouping val="standard"/>
        <c:varyColors val="0"/>
        <c:ser>
          <c:idx val="0"/>
          <c:order val="0"/>
          <c:tx>
            <c:strRef>
              <c:f>'[SJG-散点图-铬.xlsx]镍'!$A$3</c:f>
              <c:strCache>
                <c:ptCount val="1"/>
                <c:pt idx="0">
                  <c:v>镍</c:v>
                </c:pt>
              </c:strCache>
            </c:strRef>
          </c:tx>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'[SJG-散点图-铬.xlsx]镍'!$B$2:$O$2</c:f>
              <c:strCache>
                <c:ptCount val="14"/>
                <c:pt idx="0">
                  <c:v>XM-1-75</c:v>
                </c:pt>
                <c:pt idx="1">
                  <c:v>XM-1-200</c:v>
                </c:pt>
                <c:pt idx="2">
                  <c:v>XM-1-400</c:v>
                </c:pt>
                <c:pt idx="3">
                  <c:v>XM-2-75</c:v>
                </c:pt>
                <c:pt idx="4">
                  <c:v>XM-2-200</c:v>
                </c:pt>
                <c:pt idx="5">
                  <c:v>XM-2-400</c:v>
                </c:pt>
                <c:pt idx="6">
                  <c:v>XM-3-75</c:v>
                </c:pt>
                <c:pt idx="7">
                  <c:v>XM-3-200</c:v>
                </c:pt>
                <c:pt idx="8">
                  <c:v>XM-3-400</c:v>
                </c:pt>
                <c:pt idx="9">
                  <c:v>XM-4</c:v>
                </c:pt>
                <c:pt idx="10">
                  <c:v>XM-JJ-1</c:v>
                </c:pt>
                <c:pt idx="11">
                  <c:v>XM-JJ-2</c:v>
                </c:pt>
                <c:pt idx="12">
                  <c:v>XM-JJ-3</c:v>
                </c:pt>
                <c:pt idx="13">
                  <c:v>XM-JJ-4</c:v>
                </c:pt>
              </c:strCache>
            </c:strRef>
          </c:cat>
          <c:val>
            <c:numRef>
              <c:f>'[SJG-散点图-铬.xlsx]镍'!$B$3:$O$3</c:f>
              <c:numCache>
                <c:formatCode>General</c:formatCode>
                <c:ptCount val="14"/>
                <c:pt idx="0">
                  <c:v>36</c:v>
                </c:pt>
                <c:pt idx="1">
                  <c:v>38</c:v>
                </c:pt>
                <c:pt idx="2">
                  <c:v>38</c:v>
                </c:pt>
                <c:pt idx="3">
                  <c:v>27</c:v>
                </c:pt>
                <c:pt idx="4">
                  <c:v>55</c:v>
                </c:pt>
                <c:pt idx="5">
                  <c:v>29</c:v>
                </c:pt>
                <c:pt idx="6">
                  <c:v>21</c:v>
                </c:pt>
                <c:pt idx="7">
                  <c:v>19</c:v>
                </c:pt>
                <c:pt idx="8">
                  <c:v>18</c:v>
                </c:pt>
                <c:pt idx="9">
                  <c:v>47</c:v>
                </c:pt>
                <c:pt idx="10">
                  <c:v>20</c:v>
                </c:pt>
                <c:pt idx="11">
                  <c:v>14</c:v>
                </c:pt>
                <c:pt idx="12">
                  <c:v>22</c:v>
                </c:pt>
                <c:pt idx="13">
                  <c:v>34</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8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77baa7f6-e04b-48ce-9681-db4b69b86953}"/>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122659394883781"/>
          <c:y val="0.126012898958161"/>
          <c:w val="0.847214647448383"/>
          <c:h val="0.715627583925914"/>
        </c:manualLayout>
      </c:layout>
      <c:lineChart>
        <c:grouping val="standard"/>
        <c:varyColors val="0"/>
        <c:ser>
          <c:idx val="0"/>
          <c:order val="0"/>
          <c:tx>
            <c:strRef>
              <c:f>'[SJG-散点图-铬.xlsx]铬'!$A$3</c:f>
              <c:strCache>
                <c:ptCount val="1"/>
                <c:pt idx="0">
                  <c:v>铬</c:v>
                </c:pt>
              </c:strCache>
            </c:strRef>
          </c:tx>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'[SJG-散点图-铬.xlsx]铬'!$B$2:$O$2</c:f>
              <c:strCache>
                <c:ptCount val="14"/>
                <c:pt idx="0">
                  <c:v>XM-1-75</c:v>
                </c:pt>
                <c:pt idx="1">
                  <c:v>XM-1-200</c:v>
                </c:pt>
                <c:pt idx="2">
                  <c:v>XM-1-400</c:v>
                </c:pt>
                <c:pt idx="3">
                  <c:v>XM-2-75</c:v>
                </c:pt>
                <c:pt idx="4">
                  <c:v>XM-2-200</c:v>
                </c:pt>
                <c:pt idx="5">
                  <c:v>XM-2-400</c:v>
                </c:pt>
                <c:pt idx="6">
                  <c:v>XM-3-75</c:v>
                </c:pt>
                <c:pt idx="7">
                  <c:v>XM-3-200</c:v>
                </c:pt>
                <c:pt idx="8">
                  <c:v>XM-3-400</c:v>
                </c:pt>
                <c:pt idx="9">
                  <c:v>XM-4</c:v>
                </c:pt>
                <c:pt idx="10">
                  <c:v>XM-JJ-1</c:v>
                </c:pt>
                <c:pt idx="11">
                  <c:v>XM-JJ-2</c:v>
                </c:pt>
                <c:pt idx="12">
                  <c:v>XM-JJ-3</c:v>
                </c:pt>
                <c:pt idx="13">
                  <c:v>XM-JJ-4</c:v>
                </c:pt>
              </c:strCache>
            </c:strRef>
          </c:cat>
          <c:val>
            <c:numRef>
              <c:f>'[SJG-散点图-铬.xlsx]铬'!$B$3:$O$3</c:f>
              <c:numCache>
                <c:formatCode>General</c:formatCode>
                <c:ptCount val="14"/>
                <c:pt idx="0">
                  <c:v>73</c:v>
                </c:pt>
                <c:pt idx="1">
                  <c:v>80</c:v>
                </c:pt>
                <c:pt idx="2">
                  <c:v>82</c:v>
                </c:pt>
                <c:pt idx="3">
                  <c:v>64</c:v>
                </c:pt>
                <c:pt idx="4">
                  <c:v>92</c:v>
                </c:pt>
                <c:pt idx="5">
                  <c:v>63</c:v>
                </c:pt>
                <c:pt idx="6">
                  <c:v>49</c:v>
                </c:pt>
                <c:pt idx="7">
                  <c:v>41</c:v>
                </c:pt>
                <c:pt idx="8">
                  <c:v>40</c:v>
                </c:pt>
                <c:pt idx="9">
                  <c:v>92</c:v>
                </c:pt>
                <c:pt idx="10">
                  <c:v>52</c:v>
                </c:pt>
                <c:pt idx="11">
                  <c:v>38</c:v>
                </c:pt>
                <c:pt idx="12">
                  <c:v>50</c:v>
                </c:pt>
                <c:pt idx="13">
                  <c:v>85</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20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834ef9a9-75e0-41a9-83c2-007a8f58e500}"/>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t>砷</a:t>
            </a:r>
          </a:p>
        </c:rich>
      </c:tx>
      <c:layout/>
      <c:overlay val="0"/>
      <c:spPr>
        <a:noFill/>
        <a:ln>
          <a:noFill/>
        </a:ln>
        <a:effectLst/>
      </c:spPr>
    </c:title>
    <c:autoTitleDeleted val="0"/>
    <c:plotArea>
      <c:layout/>
      <c:lineChart>
        <c:grouping val="standard"/>
        <c:varyColors val="0"/>
        <c:ser>
          <c:idx val="0"/>
          <c:order val="0"/>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'[SJG-散点图-铬.xlsx]砷'!$B$2:$O$2</c:f>
              <c:strCache>
                <c:ptCount val="14"/>
                <c:pt idx="0">
                  <c:v>XM-1-75</c:v>
                </c:pt>
                <c:pt idx="1">
                  <c:v>XM-1-200</c:v>
                </c:pt>
                <c:pt idx="2">
                  <c:v>XM-1-400</c:v>
                </c:pt>
                <c:pt idx="3">
                  <c:v>XM-2-75</c:v>
                </c:pt>
                <c:pt idx="4">
                  <c:v>XM-2-200</c:v>
                </c:pt>
                <c:pt idx="5">
                  <c:v>XM-2-400</c:v>
                </c:pt>
                <c:pt idx="6">
                  <c:v>XM-3-75</c:v>
                </c:pt>
                <c:pt idx="7">
                  <c:v>XM-3-200</c:v>
                </c:pt>
                <c:pt idx="8">
                  <c:v>XM-3-400</c:v>
                </c:pt>
                <c:pt idx="9">
                  <c:v>XM-4</c:v>
                </c:pt>
                <c:pt idx="10">
                  <c:v>XM-JJ-1</c:v>
                </c:pt>
                <c:pt idx="11">
                  <c:v>XM-JJ-2</c:v>
                </c:pt>
                <c:pt idx="12">
                  <c:v>XM-JJ-3</c:v>
                </c:pt>
                <c:pt idx="13">
                  <c:v>XM-JJ-4</c:v>
                </c:pt>
              </c:strCache>
            </c:strRef>
          </c:cat>
          <c:val>
            <c:numRef>
              <c:f>'[SJG-散点图-铬.xlsx]砷'!$B$3:$O$3</c:f>
              <c:numCache>
                <c:formatCode>General</c:formatCode>
                <c:ptCount val="14"/>
                <c:pt idx="0">
                  <c:v>9.3</c:v>
                </c:pt>
                <c:pt idx="1">
                  <c:v>10.1</c:v>
                </c:pt>
                <c:pt idx="2">
                  <c:v>10.4</c:v>
                </c:pt>
                <c:pt idx="3">
                  <c:v>6.3</c:v>
                </c:pt>
                <c:pt idx="4">
                  <c:v>11.4</c:v>
                </c:pt>
                <c:pt idx="5">
                  <c:v>10.3</c:v>
                </c:pt>
                <c:pt idx="6">
                  <c:v>9.1</c:v>
                </c:pt>
                <c:pt idx="7">
                  <c:v>5.4</c:v>
                </c:pt>
                <c:pt idx="8">
                  <c:v>9.2</c:v>
                </c:pt>
                <c:pt idx="9">
                  <c:v>11.8</c:v>
                </c:pt>
                <c:pt idx="10">
                  <c:v>7.5</c:v>
                </c:pt>
                <c:pt idx="11">
                  <c:v>2.7</c:v>
                </c:pt>
                <c:pt idx="12">
                  <c:v>9.5</c:v>
                </c:pt>
                <c:pt idx="13">
                  <c:v>18.5</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4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7cf93737-7c5f-441c-a8d3-9537bf39017b}"/>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t>钼</a:t>
            </a:r>
          </a:p>
        </c:rich>
      </c:tx>
      <c:layout/>
      <c:overlay val="0"/>
      <c:spPr>
        <a:noFill/>
        <a:ln>
          <a:noFill/>
        </a:ln>
        <a:effectLst/>
      </c:spPr>
    </c:title>
    <c:autoTitleDeleted val="0"/>
    <c:plotArea>
      <c:layout/>
      <c:lineChart>
        <c:grouping val="standard"/>
        <c:varyColors val="0"/>
        <c:ser>
          <c:idx val="0"/>
          <c:order val="0"/>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'[SJG-散点图-铬.xlsx]钼'!$B$2:$O$2</c:f>
              <c:strCache>
                <c:ptCount val="14"/>
                <c:pt idx="0">
                  <c:v>XM-1-75</c:v>
                </c:pt>
                <c:pt idx="1">
                  <c:v>XM-1-200</c:v>
                </c:pt>
                <c:pt idx="2">
                  <c:v>XM-1-400</c:v>
                </c:pt>
                <c:pt idx="3">
                  <c:v>XM-2-75</c:v>
                </c:pt>
                <c:pt idx="4">
                  <c:v>XM-2-200</c:v>
                </c:pt>
                <c:pt idx="5">
                  <c:v>XM-2-400</c:v>
                </c:pt>
                <c:pt idx="6">
                  <c:v>XM-3-75</c:v>
                </c:pt>
                <c:pt idx="7">
                  <c:v>XM-3-200</c:v>
                </c:pt>
                <c:pt idx="8">
                  <c:v>XM-3-400</c:v>
                </c:pt>
                <c:pt idx="9">
                  <c:v>XM-4</c:v>
                </c:pt>
                <c:pt idx="10">
                  <c:v>XM-JJ-1</c:v>
                </c:pt>
                <c:pt idx="11">
                  <c:v>XM-JJ-2</c:v>
                </c:pt>
                <c:pt idx="12">
                  <c:v>XM-JJ-3</c:v>
                </c:pt>
                <c:pt idx="13">
                  <c:v>XM-JJ-4</c:v>
                </c:pt>
              </c:strCache>
            </c:strRef>
          </c:cat>
          <c:val>
            <c:numRef>
              <c:f>'[SJG-散点图-铬.xlsx]钼'!$B$3:$O$3</c:f>
              <c:numCache>
                <c:formatCode>General</c:formatCode>
                <c:ptCount val="14"/>
                <c:pt idx="0">
                  <c:v>0.6</c:v>
                </c:pt>
                <c:pt idx="1">
                  <c:v>0.7</c:v>
                </c:pt>
                <c:pt idx="2">
                  <c:v>0.6</c:v>
                </c:pt>
                <c:pt idx="3">
                  <c:v>0.5</c:v>
                </c:pt>
                <c:pt idx="4">
                  <c:v>0.5</c:v>
                </c:pt>
                <c:pt idx="5">
                  <c:v>0.5</c:v>
                </c:pt>
                <c:pt idx="6">
                  <c:v>1</c:v>
                </c:pt>
                <c:pt idx="7">
                  <c:v>0.8</c:v>
                </c:pt>
                <c:pt idx="8">
                  <c:v>1.1</c:v>
                </c:pt>
                <c:pt idx="9">
                  <c:v>0.8</c:v>
                </c:pt>
                <c:pt idx="10">
                  <c:v>0.4</c:v>
                </c:pt>
                <c:pt idx="11">
                  <c:v>0.1</c:v>
                </c:pt>
                <c:pt idx="12">
                  <c:v>0.4</c:v>
                </c:pt>
                <c:pt idx="13">
                  <c:v>1.5</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9"/>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e1b19165-5937-4a47-ae3b-84ef88d12fa2}"/>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t>锑</a:t>
            </a:r>
          </a:p>
        </c:rich>
      </c:tx>
      <c:layout/>
      <c:overlay val="0"/>
      <c:spPr>
        <a:noFill/>
        <a:ln>
          <a:noFill/>
        </a:ln>
        <a:effectLst/>
      </c:spPr>
    </c:title>
    <c:autoTitleDeleted val="0"/>
    <c:plotArea>
      <c:layout>
        <c:manualLayout>
          <c:layoutTarget val="inner"/>
          <c:xMode val="edge"/>
          <c:yMode val="edge"/>
          <c:x val="0.114256091238984"/>
          <c:y val="0.128520829819531"/>
          <c:w val="0.853473302229134"/>
          <c:h val="0.709967954123798"/>
        </c:manualLayout>
      </c:layout>
      <c:lineChart>
        <c:grouping val="standard"/>
        <c:varyColors val="0"/>
        <c:ser>
          <c:idx val="0"/>
          <c:order val="0"/>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'[SJG-散点图-铬.xlsx]锑'!$B$2:$O$2</c:f>
              <c:strCache>
                <c:ptCount val="14"/>
                <c:pt idx="0">
                  <c:v>XM-1-75</c:v>
                </c:pt>
                <c:pt idx="1">
                  <c:v>XM-1-200</c:v>
                </c:pt>
                <c:pt idx="2">
                  <c:v>XM-1-400</c:v>
                </c:pt>
                <c:pt idx="3">
                  <c:v>XM-2-75</c:v>
                </c:pt>
                <c:pt idx="4">
                  <c:v>XM-2-200</c:v>
                </c:pt>
                <c:pt idx="5">
                  <c:v>XM-2-400</c:v>
                </c:pt>
                <c:pt idx="6">
                  <c:v>XM-3-75</c:v>
                </c:pt>
                <c:pt idx="7">
                  <c:v>XM-3-200</c:v>
                </c:pt>
                <c:pt idx="8">
                  <c:v>XM-3-400</c:v>
                </c:pt>
                <c:pt idx="9">
                  <c:v>XM-4</c:v>
                </c:pt>
                <c:pt idx="10">
                  <c:v>XM-JJ-1</c:v>
                </c:pt>
                <c:pt idx="11">
                  <c:v>XM-JJ-2</c:v>
                </c:pt>
                <c:pt idx="12">
                  <c:v>XM-JJ-3</c:v>
                </c:pt>
                <c:pt idx="13">
                  <c:v>XM-JJ-4</c:v>
                </c:pt>
              </c:strCache>
            </c:strRef>
          </c:cat>
          <c:val>
            <c:numRef>
              <c:f>'[SJG-散点图-铬.xlsx]锑'!$B$3:$O$3</c:f>
              <c:numCache>
                <c:formatCode>General</c:formatCode>
                <c:ptCount val="14"/>
                <c:pt idx="0">
                  <c:v>0.8</c:v>
                </c:pt>
                <c:pt idx="1">
                  <c:v>1.1</c:v>
                </c:pt>
                <c:pt idx="2">
                  <c:v>0.8</c:v>
                </c:pt>
                <c:pt idx="3">
                  <c:v>0.5</c:v>
                </c:pt>
                <c:pt idx="4">
                  <c:v>0.8</c:v>
                </c:pt>
                <c:pt idx="5">
                  <c:v>0.6</c:v>
                </c:pt>
                <c:pt idx="6">
                  <c:v>0.5</c:v>
                </c:pt>
                <c:pt idx="7">
                  <c:v>0.7</c:v>
                </c:pt>
                <c:pt idx="8">
                  <c:v>0.7</c:v>
                </c:pt>
                <c:pt idx="9">
                  <c:v>1.5</c:v>
                </c:pt>
                <c:pt idx="10">
                  <c:v>0.5</c:v>
                </c:pt>
                <c:pt idx="11">
                  <c:v>0.15</c:v>
                </c:pt>
                <c:pt idx="12">
                  <c:v>0.6</c:v>
                </c:pt>
                <c:pt idx="13">
                  <c:v>1.5</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2.5"/>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3c84d2f4-0f73-4af0-915e-733c43ab84fe}"/>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p>
      </c:txPr>
    </c:title>
    <c:autoTitleDeleted val="0"/>
    <c:plotArea>
      <c:layout/>
      <c:lineChart>
        <c:grouping val="standard"/>
        <c:varyColors val="0"/>
        <c:ser>
          <c:idx val="0"/>
          <c:order val="0"/>
          <c:tx>
            <c:strRef>
              <c:f>'[SJG-散点图-铬.xlsx]锌'!$A$3</c:f>
              <c:strCache>
                <c:ptCount val="1"/>
                <c:pt idx="0">
                  <c:v>锌</c:v>
                </c:pt>
              </c:strCache>
            </c:strRef>
          </c:tx>
          <c:spPr>
            <a:ln w="28575" cap="rnd">
              <a:noFill/>
              <a:round/>
            </a:ln>
            <a:effectLst/>
          </c:spPr>
          <c:marker>
            <c:symbol val="circle"/>
            <c:size val="5"/>
            <c:spPr>
              <a:pattFill prst="pct50">
                <a:fgClr>
                  <a:schemeClr val="tx1"/>
                </a:fgClr>
                <a:bgClr>
                  <a:schemeClr val="bg1"/>
                </a:bgClr>
              </a:pattFill>
              <a:ln w="3175" cmpd="sng">
                <a:solidFill>
                  <a:schemeClr val="tx1"/>
                </a:solidFill>
                <a:prstDash val="solid"/>
              </a:ln>
              <a:effectLst/>
            </c:spPr>
          </c:marker>
          <c:dLbls>
            <c:delete val="1"/>
          </c:dLbls>
          <c:cat>
            <c:strRef>
              <c:f>'[SJG-散点图-铬.xlsx]锌'!$B$2:$G$2</c:f>
              <c:strCache>
                <c:ptCount val="6"/>
                <c:pt idx="0">
                  <c:v>XM-1-75</c:v>
                </c:pt>
                <c:pt idx="1">
                  <c:v>XM-1-200</c:v>
                </c:pt>
                <c:pt idx="2">
                  <c:v>XM-1-400</c:v>
                </c:pt>
                <c:pt idx="3">
                  <c:v>XM-3-75</c:v>
                </c:pt>
                <c:pt idx="4">
                  <c:v>XM-3-200</c:v>
                </c:pt>
                <c:pt idx="5">
                  <c:v>XM-3-400</c:v>
                </c:pt>
              </c:strCache>
            </c:strRef>
          </c:cat>
          <c:val>
            <c:numRef>
              <c:f>'[SJG-散点图-铬.xlsx]锌'!$B$3:$G$3</c:f>
              <c:numCache>
                <c:formatCode>General</c:formatCode>
                <c:ptCount val="6"/>
                <c:pt idx="0">
                  <c:v>82</c:v>
                </c:pt>
                <c:pt idx="1">
                  <c:v>84</c:v>
                </c:pt>
                <c:pt idx="2">
                  <c:v>87</c:v>
                </c:pt>
                <c:pt idx="3">
                  <c:v>46</c:v>
                </c:pt>
                <c:pt idx="4">
                  <c:v>58</c:v>
                </c:pt>
                <c:pt idx="5">
                  <c:v>48</c:v>
                </c:pt>
              </c:numCache>
            </c:numRef>
          </c:val>
          <c:smooth val="0"/>
        </c:ser>
        <c:dLbls>
          <c:showLegendKey val="0"/>
          <c:showVal val="0"/>
          <c:showCatName val="0"/>
          <c:showSerName val="0"/>
          <c:showPercent val="0"/>
          <c:showBubbleSize val="0"/>
        </c:dLbls>
        <c:marker val="1"/>
        <c:smooth val="0"/>
        <c:axId val="584464825"/>
        <c:axId val="632595772"/>
      </c:lineChart>
      <c:catAx>
        <c:axId val="5844648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595772"/>
        <c:crosses val="autoZero"/>
        <c:auto val="1"/>
        <c:lblAlgn val="ctr"/>
        <c:lblOffset val="100"/>
        <c:noMultiLvlLbl val="0"/>
      </c:catAx>
      <c:valAx>
        <c:axId val="632595772"/>
        <c:scaling>
          <c:orientation val="minMax"/>
          <c:max val="16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altLang="en-US"/>
                  <a:t>检测值 </a:t>
                </a:r>
                <a:r>
                  <a:rPr lang="en-US" altLang="zh-CN"/>
                  <a:t>mg/kg</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464825"/>
        <c:crosses val="autoZero"/>
        <c:crossBetween val="between"/>
      </c:valAx>
      <c:spPr>
        <a:noFill/>
        <a:ln>
          <a:noFill/>
        </a:ln>
        <a:effectLst/>
      </c:spPr>
    </c:plotArea>
    <c:plotVisOnly val="1"/>
    <c:dispBlanksAs val="gap"/>
    <c:showDLblsOverMax val="0"/>
    <c:extLst>
      <c:ext uri="{0b15fc19-7d7d-44ad-8c2d-2c3a37ce22c3}">
        <chartProps xmlns="https://web.wps.cn/et/2018/main" chartId="{377dc007-9cec-4be1-8fca-ecb76b065c55}"/>
      </c:ext>
    </c:extLst>
  </c:chart>
  <c:spPr>
    <a:solidFill>
      <a:schemeClr val="bg1"/>
    </a:solidFill>
    <a:ln w="19050" cap="flat" cmpd="sng" algn="ctr">
      <a:solidFill>
        <a:schemeClr val="tx2"/>
      </a:solidFill>
      <a:round/>
    </a:ln>
    <a:effectLst/>
  </c:spPr>
  <c:txPr>
    <a:bodyPr/>
    <a:lstStyle/>
    <a:p>
      <a:pPr>
        <a:defRPr lang="zh-CN"/>
      </a:pPr>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0.0587160233349969</cdr:x>
      <cdr:y>0.239200816162676</cdr:y>
    </cdr:from>
    <cdr:to>
      <cdr:x>0.969421051847179</cdr:x>
      <cdr:y>0.241735028022787</cdr:y>
    </cdr:to>
    <cdr:sp>
      <cdr:nvSpPr>
        <cdr:cNvPr id="2" name="直接连接符 1"/>
        <cdr:cNvSpPr/>
      </cdr:nvSpPr>
      <cdr:spPr xmlns:a="http://schemas.openxmlformats.org/drawingml/2006/main">
        <a:xfrm xmlns:a="http://schemas.openxmlformats.org/drawingml/2006/main" flipV="1">
          <a:off x="287912" y="909381"/>
          <a:ext cx="4465615" cy="9634"/>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0.495884289746002</cdr:x>
      <cdr:y>0.0768955009858398</cdr:y>
    </cdr:from>
    <cdr:to>
      <cdr:x>0.597365945437441</cdr:x>
      <cdr:y>0.150743860906973</cdr:y>
    </cdr:to>
    <cdr:sp>
      <cdr:nvSpPr>
        <cdr:cNvPr id="4" name="矩形 3"/>
        <cdr:cNvSpPr/>
      </cdr:nvSpPr>
      <cdr:spPr xmlns:a="http://schemas.openxmlformats.org/drawingml/2006/main">
        <a:xfrm xmlns:a="http://schemas.openxmlformats.org/drawingml/2006/main">
          <a:off x="2677795" y="272415"/>
          <a:ext cx="548005" cy="26162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a:t>
          </a:r>
          <a:endParaRPr lang="zh-CN" altLang="en-US" sz="1000"/>
        </a:p>
        <a:p>
          <a:endParaRPr lang="zh-CN" altLang="en-US" sz="1000"/>
        </a:p>
      </cdr:txBody>
    </cdr:sp>
  </cdr:relSizeAnchor>
  <cdr:relSizeAnchor xmlns:cdr="http://schemas.openxmlformats.org/drawingml/2006/chartDrawing">
    <cdr:from>
      <cdr:x>0.437441204139229</cdr:x>
      <cdr:y>0.108357004037423</cdr:y>
    </cdr:from>
    <cdr:to>
      <cdr:x>0.484948259642521</cdr:x>
      <cdr:y>0.108894734813548</cdr:y>
    </cdr:to>
    <cdr:sp>
      <cdr:nvSpPr>
        <cdr:cNvPr id="5" name="直接连接符 4"/>
        <cdr:cNvSpPr/>
      </cdr:nvSpPr>
      <cdr:spPr xmlns:a="http://schemas.openxmlformats.org/drawingml/2006/main">
        <a:xfrm xmlns:a="http://schemas.openxmlformats.org/drawingml/2006/main" flipV="1">
          <a:off x="2362200" y="390065"/>
          <a:ext cx="256540" cy="1936"/>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2.xml><?xml version="1.0" encoding="utf-8"?>
<c:userShapes xmlns:c="http://schemas.openxmlformats.org/drawingml/2006/chart">
  <cdr:relSizeAnchor xmlns:cdr="http://schemas.openxmlformats.org/drawingml/2006/chartDrawing">
    <cdr:from>
      <cdr:x>0.110583687643893</cdr:x>
      <cdr:y>0.560900480770506</cdr:y>
    </cdr:from>
    <cdr:to>
      <cdr:x>0.973961051021256</cdr:x>
      <cdr:y>0.561067593069972</cdr:y>
    </cdr:to>
    <cdr:sp>
      <cdr:nvSpPr>
        <cdr:cNvPr id="2" name="直接连接符 1"/>
        <cdr:cNvSpPr/>
      </cdr:nvSpPr>
      <cdr:spPr xmlns:a="http://schemas.openxmlformats.org/drawingml/2006/main">
        <a:xfrm xmlns:a="http://schemas.openxmlformats.org/drawingml/2006/main">
          <a:off x="540769" y="2153771"/>
          <a:ext cx="4222032" cy="642"/>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3.xml><?xml version="1.0" encoding="utf-8"?>
<c:userShapes xmlns:c="http://schemas.openxmlformats.org/drawingml/2006/chart">
  <cdr:relSizeAnchor xmlns:cdr="http://schemas.openxmlformats.org/drawingml/2006/chartDrawing">
    <cdr:from>
      <cdr:x>0.103649824652552</cdr:x>
      <cdr:y>0.473966181148502</cdr:y>
    </cdr:from>
    <cdr:to>
      <cdr:x>0.953370567606183</cdr:x>
      <cdr:y>0.47446844131927</cdr:y>
    </cdr:to>
    <cdr:sp>
      <cdr:nvSpPr>
        <cdr:cNvPr id="2" name="直接连接符 1"/>
        <cdr:cNvSpPr/>
      </cdr:nvSpPr>
      <cdr:spPr xmlns:a="http://schemas.openxmlformats.org/drawingml/2006/main">
        <a:xfrm xmlns:a="http://schemas.openxmlformats.org/drawingml/2006/main" flipV="1">
          <a:off x="506730" y="1797685"/>
          <a:ext cx="4154170" cy="1905"/>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0.0999610035096841</cdr:x>
      <cdr:y>0.291194129419613</cdr:y>
    </cdr:from>
    <cdr:to>
      <cdr:x>0.98076173144417</cdr:x>
      <cdr:y>0.293695797198132</cdr:y>
    </cdr:to>
    <cdr:sp>
      <cdr:nvSpPr>
        <cdr:cNvPr id="6" name="直接连接符 5"/>
        <cdr:cNvSpPr/>
      </cdr:nvSpPr>
      <cdr:spPr xmlns:a="http://schemas.openxmlformats.org/drawingml/2006/main">
        <a:xfrm xmlns:a="http://schemas.openxmlformats.org/drawingml/2006/main">
          <a:off x="488315" y="1108710"/>
          <a:ext cx="4302760" cy="9525"/>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4.xml><?xml version="1.0" encoding="utf-8"?>
<c:userShapes xmlns:c="http://schemas.openxmlformats.org/drawingml/2006/chart">
  <cdr:relSizeAnchor xmlns:cdr="http://schemas.openxmlformats.org/drawingml/2006/chartDrawing">
    <cdr:from>
      <cdr:x>0.137833812164095</cdr:x>
      <cdr:y>0.568179304388669</cdr:y>
    </cdr:from>
    <cdr:to>
      <cdr:x>0.970194761211158</cdr:x>
      <cdr:y>0.569005068220214</cdr:y>
    </cdr:to>
    <cdr:sp>
      <cdr:nvSpPr>
        <cdr:cNvPr id="2" name="直接连接符 1"/>
        <cdr:cNvSpPr/>
      </cdr:nvSpPr>
      <cdr:spPr xmlns:a="http://schemas.openxmlformats.org/drawingml/2006/main">
        <a:xfrm xmlns:a="http://schemas.openxmlformats.org/drawingml/2006/main">
          <a:off x="674026" y="2202286"/>
          <a:ext cx="4070357" cy="3201"/>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0.143747565251266</cdr:x>
      <cdr:y>0.544069462647444</cdr:y>
    </cdr:from>
    <cdr:to>
      <cdr:x>0.965588884560447</cdr:x>
      <cdr:y>0.544397116644823</cdr:y>
    </cdr:to>
    <cdr:sp>
      <cdr:nvSpPr>
        <cdr:cNvPr id="6" name="直接连接符 5"/>
        <cdr:cNvSpPr/>
      </cdr:nvSpPr>
      <cdr:spPr xmlns:a="http://schemas.openxmlformats.org/drawingml/2006/main">
        <a:xfrm xmlns:a="http://schemas.openxmlformats.org/drawingml/2006/main" flipV="1">
          <a:off x="702945" y="2108835"/>
          <a:ext cx="4018915" cy="127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5.xml><?xml version="1.0" encoding="utf-8"?>
<c:userShapes xmlns:c="http://schemas.openxmlformats.org/drawingml/2006/chart">
  <cdr:relSizeAnchor xmlns:cdr="http://schemas.openxmlformats.org/drawingml/2006/chartDrawing">
    <cdr:from>
      <cdr:x>0.10359133929729</cdr:x>
      <cdr:y>0.639036544850498</cdr:y>
    </cdr:from>
    <cdr:to>
      <cdr:x>0.973551147413458</cdr:x>
      <cdr:y>0.63936877076412</cdr:y>
    </cdr:to>
    <cdr:sp>
      <cdr:nvSpPr>
        <cdr:cNvPr id="2" name="直接连接符 1"/>
        <cdr:cNvSpPr/>
      </cdr:nvSpPr>
      <cdr:spPr xmlns:a="http://schemas.openxmlformats.org/drawingml/2006/main">
        <a:xfrm xmlns:a="http://schemas.openxmlformats.org/drawingml/2006/main" flipV="1">
          <a:off x="507365" y="2442845"/>
          <a:ext cx="4260850" cy="1270"/>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0.101386278195489</cdr:x>
      <cdr:y>0.13515932688865</cdr:y>
    </cdr:from>
    <cdr:to>
      <cdr:x>0.981672932330827</cdr:x>
      <cdr:y>0.135517364840673</cdr:y>
    </cdr:to>
    <cdr:sp>
      <cdr:nvSpPr>
        <cdr:cNvPr id="6" name="直接连接符 5"/>
        <cdr:cNvSpPr/>
      </cdr:nvSpPr>
      <cdr:spPr xmlns:a="http://schemas.openxmlformats.org/drawingml/2006/main">
        <a:xfrm xmlns:a="http://schemas.openxmlformats.org/drawingml/2006/main" flipV="1">
          <a:off x="548005" y="479425"/>
          <a:ext cx="4758055" cy="127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6.xml><?xml version="1.0" encoding="utf-8"?>
<c:userShapes xmlns:c="http://schemas.openxmlformats.org/drawingml/2006/chart">
  <cdr:relSizeAnchor xmlns:cdr="http://schemas.openxmlformats.org/drawingml/2006/chartDrawing">
    <cdr:from>
      <cdr:x>0.102813431868274</cdr:x>
      <cdr:y>0.768645609393087</cdr:y>
    </cdr:from>
    <cdr:to>
      <cdr:x>0.982367431608972</cdr:x>
      <cdr:y>0.770133950719365</cdr:y>
    </cdr:to>
    <cdr:sp>
      <cdr:nvSpPr>
        <cdr:cNvPr id="2" name="直接连接符 1"/>
        <cdr:cNvSpPr/>
      </cdr:nvSpPr>
      <cdr:spPr xmlns:a="http://schemas.openxmlformats.org/drawingml/2006/main">
        <a:xfrm xmlns:a="http://schemas.openxmlformats.org/drawingml/2006/main" flipV="1">
          <a:off x="502772" y="2951480"/>
          <a:ext cx="4301138" cy="5715"/>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6" name="直接连接符 5"/>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0.107217552888913</cdr:x>
      <cdr:y>0.168408976034334</cdr:y>
    </cdr:from>
    <cdr:to>
      <cdr:x>0.97332879438152</cdr:x>
      <cdr:y>0.168774139444961</cdr:y>
    </cdr:to>
    <cdr:sp>
      <cdr:nvSpPr>
        <cdr:cNvPr id="7" name="直接连接符 6"/>
        <cdr:cNvSpPr/>
      </cdr:nvSpPr>
      <cdr:spPr xmlns:a="http://schemas.openxmlformats.org/drawingml/2006/main">
        <a:xfrm xmlns:a="http://schemas.openxmlformats.org/drawingml/2006/main">
          <a:off x="525125" y="646664"/>
          <a:ext cx="4242001" cy="1402"/>
        </a:xfrm>
        <a:prstGeom xmlns:a="http://schemas.openxmlformats.org/drawingml/2006/main" prst="line">
          <a:avLst/>
        </a:prstGeom>
        <a:ln w="9525">
          <a:solidFill>
            <a:schemeClr val="tx1"/>
          </a:solidFill>
          <a:prstDash val="lg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7.xml><?xml version="1.0" encoding="utf-8"?>
<c:userShapes xmlns:c="http://schemas.openxmlformats.org/drawingml/2006/chart">
  <cdr:relSizeAnchor xmlns:cdr="http://schemas.openxmlformats.org/drawingml/2006/chartDrawing">
    <cdr:from>
      <cdr:x>0.111629111629112</cdr:x>
      <cdr:y>0.694685828877005</cdr:y>
    </cdr:from>
    <cdr:to>
      <cdr:x>0.975006475006475</cdr:x>
      <cdr:y>0.694852941176471</cdr:y>
    </cdr:to>
    <cdr:sp>
      <cdr:nvSpPr>
        <cdr:cNvPr id="2" name="直接连接符 1"/>
        <cdr:cNvSpPr/>
      </cdr:nvSpPr>
      <cdr:spPr xmlns:a="http://schemas.openxmlformats.org/drawingml/2006/main">
        <a:xfrm xmlns:a="http://schemas.openxmlformats.org/drawingml/2006/main">
          <a:off x="547370" y="2639695"/>
          <a:ext cx="4233545" cy="635"/>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0.101398601398601</cdr:x>
      <cdr:y>0.633188502673797</cdr:y>
    </cdr:from>
    <cdr:to>
      <cdr:x>0.979409479409479</cdr:x>
      <cdr:y>0.637867647058823</cdr:y>
    </cdr:to>
    <cdr:sp>
      <cdr:nvSpPr>
        <cdr:cNvPr id="6" name="直接连接符 5"/>
        <cdr:cNvSpPr/>
      </cdr:nvSpPr>
      <cdr:spPr xmlns:a="http://schemas.openxmlformats.org/drawingml/2006/main">
        <a:xfrm xmlns:a="http://schemas.openxmlformats.org/drawingml/2006/main">
          <a:off x="497205" y="2406015"/>
          <a:ext cx="4305300" cy="1778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8.xml><?xml version="1.0" encoding="utf-8"?>
<c:userShapes xmlns:c="http://schemas.openxmlformats.org/drawingml/2006/chart">
  <cdr:relSizeAnchor xmlns:cdr="http://schemas.openxmlformats.org/drawingml/2006/chartDrawing">
    <cdr:from>
      <cdr:x>0.096995596995597</cdr:x>
      <cdr:y>0.574197860962567</cdr:y>
    </cdr:from>
    <cdr:to>
      <cdr:x>0.971250971250971</cdr:x>
      <cdr:y>0.574364973262032</cdr:y>
    </cdr:to>
    <cdr:sp>
      <cdr:nvSpPr>
        <cdr:cNvPr id="2" name="直接连接符 1"/>
        <cdr:cNvSpPr/>
      </cdr:nvSpPr>
      <cdr:spPr xmlns:a="http://schemas.openxmlformats.org/drawingml/2006/main">
        <a:xfrm xmlns:a="http://schemas.openxmlformats.org/drawingml/2006/main">
          <a:off x="475615" y="2181860"/>
          <a:ext cx="4286885" cy="635"/>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0.104296645085344</cdr:x>
      <cdr:y>0.357612364540771</cdr:y>
    </cdr:from>
    <cdr:to>
      <cdr:x>0.983755150088287</cdr:x>
      <cdr:y>0.360632439154379</cdr:y>
    </cdr:to>
    <cdr:sp>
      <cdr:nvSpPr>
        <cdr:cNvPr id="6" name="直接连接符 5"/>
        <cdr:cNvSpPr/>
      </cdr:nvSpPr>
      <cdr:spPr xmlns:a="http://schemas.openxmlformats.org/drawingml/2006/main">
        <a:xfrm xmlns:a="http://schemas.openxmlformats.org/drawingml/2006/main" flipV="1">
          <a:off x="562610" y="1278255"/>
          <a:ext cx="4744085" cy="10795"/>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9.xml><?xml version="1.0" encoding="utf-8"?>
<c:userShapes xmlns:c="http://schemas.openxmlformats.org/drawingml/2006/chart">
  <cdr:relSizeAnchor xmlns:cdr="http://schemas.openxmlformats.org/drawingml/2006/chartDrawing">
    <cdr:from>
      <cdr:x>0.114745590008543</cdr:x>
      <cdr:y>0.613323169707169</cdr:y>
    </cdr:from>
    <cdr:to>
      <cdr:x>0.978122953385906</cdr:x>
      <cdr:y>0.613490282006635</cdr:y>
    </cdr:to>
    <cdr:sp>
      <cdr:nvSpPr>
        <cdr:cNvPr id="2" name="直接连接符 1"/>
        <cdr:cNvSpPr/>
      </cdr:nvSpPr>
      <cdr:spPr xmlns:a="http://schemas.openxmlformats.org/drawingml/2006/main">
        <a:xfrm xmlns:a="http://schemas.openxmlformats.org/drawingml/2006/main">
          <a:off x="561121" y="2355066"/>
          <a:ext cx="4222032" cy="642"/>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0.0998403622088855</cdr:x>
      <cdr:y>0.311706776197859</cdr:y>
    </cdr:from>
    <cdr:to>
      <cdr:x>0.977851240219763</cdr:x>
      <cdr:y>0.316385920582885</cdr:y>
    </cdr:to>
    <cdr:sp>
      <cdr:nvSpPr>
        <cdr:cNvPr id="6" name="直接连接符 5"/>
        <cdr:cNvSpPr/>
      </cdr:nvSpPr>
      <cdr:spPr xmlns:a="http://schemas.openxmlformats.org/drawingml/2006/main">
        <a:xfrm xmlns:a="http://schemas.openxmlformats.org/drawingml/2006/main">
          <a:off x="488233" y="1196906"/>
          <a:ext cx="4293592" cy="17967"/>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10.xml><?xml version="1.0" encoding="utf-8"?>
<c:userShapes xmlns:c="http://schemas.openxmlformats.org/drawingml/2006/chart">
  <cdr:relSizeAnchor xmlns:cdr="http://schemas.openxmlformats.org/drawingml/2006/chartDrawing">
    <cdr:from>
      <cdr:x>0.0984011438970493</cdr:x>
      <cdr:y>0.670920080591001</cdr:y>
    </cdr:from>
    <cdr:to>
      <cdr:x>0.978681918627324</cdr:x>
      <cdr:y>0.671087978509067</cdr:y>
    </cdr:to>
    <cdr:sp>
      <cdr:nvSpPr>
        <cdr:cNvPr id="2" name="直接连接符 1"/>
        <cdr:cNvSpPr/>
      </cdr:nvSpPr>
      <cdr:spPr xmlns:a="http://schemas.openxmlformats.org/drawingml/2006/main">
        <a:xfrm xmlns:a="http://schemas.openxmlformats.org/drawingml/2006/main">
          <a:off x="480695" y="2537460"/>
          <a:ext cx="4300220" cy="635"/>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0.097356983218251</cdr:x>
      <cdr:y>0.13450903192172</cdr:y>
    </cdr:from>
    <cdr:to>
      <cdr:x>0.977685814692121</cdr:x>
      <cdr:y>0.135218755129669</cdr:y>
    </cdr:to>
    <cdr:sp>
      <cdr:nvSpPr>
        <cdr:cNvPr id="6" name="直接连接符 5"/>
        <cdr:cNvSpPr/>
      </cdr:nvSpPr>
      <cdr:spPr xmlns:a="http://schemas.openxmlformats.org/drawingml/2006/main">
        <a:xfrm xmlns:a="http://schemas.openxmlformats.org/drawingml/2006/main">
          <a:off x="526103" y="482670"/>
          <a:ext cx="4757165" cy="2547"/>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11.xml><?xml version="1.0" encoding="utf-8"?>
<c:userShapes xmlns:c="http://schemas.openxmlformats.org/drawingml/2006/chart">
  <cdr:relSizeAnchor xmlns:cdr="http://schemas.openxmlformats.org/drawingml/2006/chartDrawing">
    <cdr:from>
      <cdr:x>0.0984200984200984</cdr:x>
      <cdr:y>0.782695840988809</cdr:y>
    </cdr:from>
    <cdr:to>
      <cdr:x>0.972027972027972</cdr:x>
      <cdr:y>0.782862869550693</cdr:y>
    </cdr:to>
    <cdr:sp>
      <cdr:nvSpPr>
        <cdr:cNvPr id="2" name="直接连接符 1"/>
        <cdr:cNvSpPr/>
      </cdr:nvSpPr>
      <cdr:spPr xmlns:a="http://schemas.openxmlformats.org/drawingml/2006/main">
        <a:xfrm xmlns:a="http://schemas.openxmlformats.org/drawingml/2006/main">
          <a:off x="482600" y="2975610"/>
          <a:ext cx="4283710" cy="635"/>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0.097356983218251</cdr:x>
      <cdr:y>0.13450903192172</cdr:y>
    </cdr:from>
    <cdr:to>
      <cdr:x>0.977685814692121</cdr:x>
      <cdr:y>0.135218755129669</cdr:y>
    </cdr:to>
    <cdr:sp>
      <cdr:nvSpPr>
        <cdr:cNvPr id="6" name="直接连接符 5"/>
        <cdr:cNvSpPr/>
      </cdr:nvSpPr>
      <cdr:spPr xmlns:a="http://schemas.openxmlformats.org/drawingml/2006/main">
        <a:xfrm xmlns:a="http://schemas.openxmlformats.org/drawingml/2006/main">
          <a:off x="526103" y="482670"/>
          <a:ext cx="4757165" cy="2547"/>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12.xml><?xml version="1.0" encoding="utf-8"?>
<c:userShapes xmlns:c="http://schemas.openxmlformats.org/drawingml/2006/chart">
  <cdr:relSizeAnchor xmlns:cdr="http://schemas.openxmlformats.org/drawingml/2006/chartDrawing">
    <cdr:from>
      <cdr:x>0.0989246004453307</cdr:x>
      <cdr:y>0.607974671225956</cdr:y>
    </cdr:from>
    <cdr:to>
      <cdr:x>0.949307071597931</cdr:x>
      <cdr:y>0.60995912632766</cdr:y>
    </cdr:to>
    <cdr:sp>
      <cdr:nvSpPr>
        <cdr:cNvPr id="2" name="直接连接符 1"/>
        <cdr:cNvSpPr/>
      </cdr:nvSpPr>
      <cdr:spPr xmlns:a="http://schemas.openxmlformats.org/drawingml/2006/main">
        <a:xfrm xmlns:a="http://schemas.openxmlformats.org/drawingml/2006/main" flipV="1">
          <a:off x="484697" y="2288973"/>
          <a:ext cx="4166585" cy="7471"/>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0.094750542794246</cdr:x>
      <cdr:y>0.203056651032433</cdr:y>
    </cdr:from>
    <cdr:to>
      <cdr:x>0.975079374268116</cdr:x>
      <cdr:y>0.203766374240382</cdr:y>
    </cdr:to>
    <cdr:sp>
      <cdr:nvSpPr>
        <cdr:cNvPr id="6" name="直接连接符 5"/>
        <cdr:cNvSpPr/>
      </cdr:nvSpPr>
      <cdr:spPr xmlns:a="http://schemas.openxmlformats.org/drawingml/2006/main">
        <a:xfrm xmlns:a="http://schemas.openxmlformats.org/drawingml/2006/main">
          <a:off x="464245" y="764491"/>
          <a:ext cx="4313312" cy="2672"/>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drawings/drawing13.xml><?xml version="1.0" encoding="utf-8"?>
<c:userShapes xmlns:c="http://schemas.openxmlformats.org/drawingml/2006/chart">
  <cdr:relSizeAnchor xmlns:cdr="http://schemas.openxmlformats.org/drawingml/2006/chartDrawing">
    <cdr:from>
      <cdr:x>0.106767112612028</cdr:x>
      <cdr:y>0.580488621151272</cdr:y>
    </cdr:from>
    <cdr:to>
      <cdr:x>0.953370567606183</cdr:x>
      <cdr:y>0.5809906291834</cdr:y>
    </cdr:to>
    <cdr:sp>
      <cdr:nvSpPr>
        <cdr:cNvPr id="2" name="直接连接符 1"/>
        <cdr:cNvSpPr/>
      </cdr:nvSpPr>
      <cdr:spPr xmlns:a="http://schemas.openxmlformats.org/drawingml/2006/main">
        <a:xfrm xmlns:a="http://schemas.openxmlformats.org/drawingml/2006/main" flipV="1">
          <a:off x="521970" y="2202815"/>
          <a:ext cx="4138930" cy="1905"/>
        </a:xfrm>
        <a:prstGeom xmlns:a="http://schemas.openxmlformats.org/drawingml/2006/main" prst="line">
          <a:avLst/>
        </a:prstGeom>
        <a:ln w="19050" cmpd="sng">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0.198730009407338</cdr:x>
      <cdr:y>1.20920797318751</cdr:y>
    </cdr:from>
    <cdr:to>
      <cdr:x>0.428033866415804</cdr:x>
      <cdr:y>1</cdr:y>
    </cdr:to>
    <cdr:sp>
      <cdr:nvSpPr>
        <cdr:cNvPr id="3" name="矩形 2"/>
        <cdr:cNvSpPr/>
      </cdr:nvSpPr>
      <cdr:spPr xmlns:a="http://schemas.openxmlformats.org/drawingml/2006/main">
        <a:xfrm xmlns:a="http://schemas.openxmlformats.org/drawingml/2006/main">
          <a:off x="1073150" y="3599815"/>
          <a:ext cx="1238250" cy="7531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dr:relSizeAnchor xmlns:cdr="http://schemas.openxmlformats.org/drawingml/2006/chartDrawing">
    <cdr:from>
      <cdr:x>0.34771872060207</cdr:x>
      <cdr:y>0.0739107426353854</cdr:y>
    </cdr:from>
    <cdr:to>
      <cdr:x>0.768579492003763</cdr:x>
      <cdr:y>0.147821485270771</cdr:y>
    </cdr:to>
    <cdr:sp>
      <cdr:nvSpPr>
        <cdr:cNvPr id="4" name="矩形 3"/>
        <cdr:cNvSpPr/>
      </cdr:nvSpPr>
      <cdr:spPr xmlns:a="http://schemas.openxmlformats.org/drawingml/2006/main">
        <a:xfrm xmlns:a="http://schemas.openxmlformats.org/drawingml/2006/main">
          <a:off x="1877695" y="266065"/>
          <a:ext cx="2272665" cy="266065"/>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r>
            <a:rPr lang="zh-CN" altLang="en-US" sz="1000"/>
            <a:t>平均值                                    区域背景值</a:t>
          </a:r>
          <a:endParaRPr lang="zh-CN" altLang="en-US" sz="1000"/>
        </a:p>
        <a:p>
          <a:endParaRPr lang="zh-CN" altLang="en-US" sz="1000"/>
        </a:p>
      </cdr:txBody>
    </cdr:sp>
  </cdr:relSizeAnchor>
  <cdr:relSizeAnchor xmlns:cdr="http://schemas.openxmlformats.org/drawingml/2006/chartDrawing">
    <cdr:from>
      <cdr:x>0.298447789275635</cdr:x>
      <cdr:y>0.103016405009702</cdr:y>
    </cdr:from>
    <cdr:to>
      <cdr:x>0.345954844778928</cdr:x>
      <cdr:y>0.103545598871053</cdr:y>
    </cdr:to>
    <cdr:sp>
      <cdr:nvSpPr>
        <cdr:cNvPr id="5" name="直接连接符 4"/>
        <cdr:cNvSpPr/>
      </cdr:nvSpPr>
      <cdr:spPr xmlns:a="http://schemas.openxmlformats.org/drawingml/2006/main">
        <a:xfrm xmlns:a="http://schemas.openxmlformats.org/drawingml/2006/main" flipV="1">
          <a:off x="1611630" y="370840"/>
          <a:ext cx="256540" cy="1905"/>
        </a:xfrm>
        <a:prstGeom xmlns:a="http://schemas.openxmlformats.org/drawingml/2006/main" prst="line">
          <a:avLst/>
        </a:prstGeom>
        <a:ln>
          <a:solidFill>
            <a:schemeClr val="tx1"/>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0.114450052823101</cdr:x>
      <cdr:y>0.215682788051209</cdr:y>
    </cdr:from>
    <cdr:to>
      <cdr:x>0.97769691278319</cdr:x>
      <cdr:y>0.217638691322902</cdr:y>
    </cdr:to>
    <cdr:sp>
      <cdr:nvSpPr>
        <cdr:cNvPr id="6" name="直接连接符 5"/>
        <cdr:cNvSpPr/>
      </cdr:nvSpPr>
      <cdr:spPr xmlns:a="http://schemas.openxmlformats.org/drawingml/2006/main">
        <a:xfrm xmlns:a="http://schemas.openxmlformats.org/drawingml/2006/main" flipV="1">
          <a:off x="619125" y="770255"/>
          <a:ext cx="4669790" cy="6985"/>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0.549498525073746</cdr:x>
      <cdr:y>0.10253231804498</cdr:y>
    </cdr:from>
    <cdr:to>
      <cdr:x>0.609321533923304</cdr:x>
      <cdr:y>0.10253231804498</cdr:y>
    </cdr:to>
    <cdr:sp>
      <cdr:nvSpPr>
        <cdr:cNvPr id="7" name="直接连接符 6"/>
        <cdr:cNvSpPr/>
      </cdr:nvSpPr>
      <cdr:spPr xmlns:a="http://schemas.openxmlformats.org/drawingml/2006/main">
        <a:xfrm xmlns:a="http://schemas.openxmlformats.org/drawingml/2006/main">
          <a:off x="2957195" y="367665"/>
          <a:ext cx="321945" cy="0"/>
        </a:xfrm>
        <a:prstGeom xmlns:a="http://schemas.openxmlformats.org/drawingml/2006/main" prst="line">
          <a:avLst/>
        </a:prstGeom>
        <a:ln w="12700" cmpd="sng">
          <a:solidFill>
            <a:schemeClr val="tx1"/>
          </a:solidFill>
          <a:prstDash val="dash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DE00D1-2F88-46D6-BCBC-5DD1D84023D0}">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66</Pages>
  <Words>6044</Words>
  <Characters>6771</Characters>
  <Lines>323</Lines>
  <Paragraphs>91</Paragraphs>
  <TotalTime>3</TotalTime>
  <ScaleCrop>false</ScaleCrop>
  <LinksUpToDate>false</LinksUpToDate>
  <CharactersWithSpaces>6947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2019-11-14T05:54:00Z</dcterms:created>
  <dc:creator>严子麟</dc:creator>
  <cp:lastModifiedBy>12</cp:lastModifiedBy>
  <cp:lastPrinted>2021-02-05T01:45:00Z</cp:lastPrinted>
  <dcterms:modified xsi:type="dcterms:W3CDTF">2026-09-15T07:03:58Z</dcterms:modified>
  <cp:revision>168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eyJoZGlkIjoiYTRhM2Q3ZWUzMjE0YTIzZjEwZjg5MTY0YmUwNzM2MmUiLCJ1c2VySWQiOiIxNTg3NDg0NTExIn0=</vt:lpwstr>
  </property>
  <property fmtid="{D5CDD505-2E9C-101B-9397-08002B2CF9AE}" pid="4" name="ICV">
    <vt:lpwstr>8A8A8D3E5D0D4A849950052572AD6ABD_13</vt:lpwstr>
  </property>
</Properties>
</file>