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drawings/drawing10.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drawings/drawing6.xml" ContentType="application/vnd.openxmlformats-officedocument.drawingml.chartshapes+xml"/>
  <Override PartName="/word/drawings/drawing7.xml" ContentType="application/vnd.openxmlformats-officedocument.drawingml.chartshapes+xml"/>
  <Override PartName="/word/drawings/drawing8.xml" ContentType="application/vnd.openxmlformats-officedocument.drawingml.chartshapes+xml"/>
  <Override PartName="/word/drawings/drawing9.xml" ContentType="application/vnd.openxmlformats-officedocument.drawingml.chartshap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98B28">
      <w:pPr>
        <w:pStyle w:val="53"/>
        <w:wordWrap w:val="0"/>
        <w:rPr>
          <w:rFonts w:eastAsia="宋体"/>
          <w:color w:val="000000" w:themeColor="text1"/>
          <w:sz w:val="24"/>
          <w:szCs w:val="24"/>
          <w:highlight w:val="none"/>
          <w14:textFill>
            <w14:solidFill>
              <w14:schemeClr w14:val="tx1"/>
            </w14:solidFill>
          </w14:textFill>
        </w:rPr>
      </w:pPr>
      <w:r>
        <w:rPr>
          <w:rFonts w:eastAsia="宋体"/>
          <w:color w:val="000000" w:themeColor="text1"/>
          <w:sz w:val="24"/>
          <w:szCs w:val="24"/>
          <w:highlight w:val="none"/>
          <w14:textFill>
            <w14:solidFill>
              <w14:schemeClr w14:val="tx1"/>
            </w14:solidFill>
          </w14:textFill>
        </w:rPr>
        <w:t>目  录</w:t>
      </w:r>
    </w:p>
    <w:p w14:paraId="3B43CB75">
      <w:pPr>
        <w:jc w:val="center"/>
        <w:rPr>
          <w:b/>
          <w:i/>
          <w:color w:val="000000" w:themeColor="text1"/>
          <w:highlight w:val="none"/>
          <w14:textFill>
            <w14:solidFill>
              <w14:schemeClr w14:val="tx1"/>
            </w14:solidFill>
          </w14:textFill>
        </w:rPr>
      </w:pPr>
      <w:bookmarkStart w:id="59" w:name="_GoBack"/>
      <w:bookmarkEnd w:id="59"/>
    </w:p>
    <w:p w14:paraId="0CD2C339">
      <w:pPr>
        <w:pStyle w:val="16"/>
        <w:tabs>
          <w:tab w:val="right" w:leader="dot" w:pos="9638"/>
        </w:tabs>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"1-2" \h \u </w:instrText>
      </w:r>
      <w:r>
        <w:rPr>
          <w:color w:val="000000" w:themeColor="text1"/>
          <w:highlight w:val="none"/>
          <w14:textFill>
            <w14:solidFill>
              <w14:schemeClr w14:val="tx1"/>
            </w14:solidFill>
          </w14:textFill>
        </w:rPr>
        <w:fldChar w:fldCharType="separate"/>
      </w:r>
      <w:r>
        <w:rPr>
          <w:b/>
          <w:bCs/>
          <w:color w:val="000000" w:themeColor="text1"/>
          <w:highlight w:val="none"/>
          <w14:textFill>
            <w14:solidFill>
              <w14:schemeClr w14:val="tx1"/>
            </w14:solidFill>
          </w14:textFill>
        </w:rPr>
        <w:fldChar w:fldCharType="begin"/>
      </w:r>
      <w:r>
        <w:rPr>
          <w:b/>
          <w:bCs/>
          <w:highlight w:val="none"/>
        </w:rPr>
        <w:instrText xml:space="preserve"> HYPERLINK \l _Toc16278 </w:instrText>
      </w:r>
      <w:r>
        <w:rPr>
          <w:b/>
          <w:bCs/>
          <w:highlight w:val="none"/>
        </w:rPr>
        <w:fldChar w:fldCharType="separate"/>
      </w:r>
      <w:r>
        <w:rPr>
          <w:b/>
          <w:bCs/>
        </w:rPr>
        <w:t xml:space="preserve">1. </w:t>
      </w:r>
      <w:r>
        <w:rPr>
          <w:b/>
          <w:bCs/>
          <w:highlight w:val="none"/>
        </w:rPr>
        <w:t>概述</w:t>
      </w:r>
      <w:r>
        <w:rPr>
          <w:b/>
          <w:bCs/>
        </w:rPr>
        <w:tab/>
      </w:r>
      <w:r>
        <w:rPr>
          <w:b/>
          <w:bCs/>
        </w:rPr>
        <w:fldChar w:fldCharType="begin"/>
      </w:r>
      <w:r>
        <w:rPr>
          <w:b/>
          <w:bCs/>
        </w:rPr>
        <w:instrText xml:space="preserve"> PAGEREF _Toc16278 </w:instrText>
      </w:r>
      <w:r>
        <w:rPr>
          <w:b/>
          <w:bCs/>
        </w:rPr>
        <w:fldChar w:fldCharType="separate"/>
      </w:r>
      <w:r>
        <w:rPr>
          <w:b/>
          <w:bCs/>
        </w:rPr>
        <w:t>- 1 -</w:t>
      </w:r>
      <w:r>
        <w:rPr>
          <w:b/>
          <w:bCs/>
        </w:rPr>
        <w:fldChar w:fldCharType="end"/>
      </w:r>
      <w:r>
        <w:rPr>
          <w:b/>
          <w:bCs/>
          <w:color w:val="000000" w:themeColor="text1"/>
          <w:highlight w:val="none"/>
          <w14:textFill>
            <w14:solidFill>
              <w14:schemeClr w14:val="tx1"/>
            </w14:solidFill>
          </w14:textFill>
        </w:rPr>
        <w:fldChar w:fldCharType="end"/>
      </w:r>
    </w:p>
    <w:p w14:paraId="38CB6B67">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_Toc20813 </w:instrText>
      </w:r>
      <w:r>
        <w:rPr>
          <w:highlight w:val="none"/>
        </w:rPr>
        <w:fldChar w:fldCharType="separate"/>
      </w:r>
      <w:r>
        <w:rPr>
          <w:szCs w:val="24"/>
        </w:rPr>
        <w:t xml:space="preserve">1.1. </w:t>
      </w:r>
      <w:r>
        <w:rPr>
          <w:highlight w:val="none"/>
        </w:rPr>
        <w:t>项目由来</w:t>
      </w:r>
      <w:r>
        <w:tab/>
      </w:r>
      <w:r>
        <w:fldChar w:fldCharType="begin"/>
      </w:r>
      <w:r>
        <w:instrText xml:space="preserve"> PAGEREF _Toc20813 </w:instrText>
      </w:r>
      <w:r>
        <w:fldChar w:fldCharType="separate"/>
      </w:r>
      <w:r>
        <w:t>- 1 -</w:t>
      </w:r>
      <w:r>
        <w:fldChar w:fldCharType="end"/>
      </w:r>
      <w:r>
        <w:rPr>
          <w:color w:val="000000" w:themeColor="text1"/>
          <w:highlight w:val="none"/>
          <w14:textFill>
            <w14:solidFill>
              <w14:schemeClr w14:val="tx1"/>
            </w14:solidFill>
          </w14:textFill>
        </w:rPr>
        <w:fldChar w:fldCharType="end"/>
      </w:r>
    </w:p>
    <w:p w14:paraId="63B23979">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_Toc16980 </w:instrText>
      </w:r>
      <w:r>
        <w:rPr>
          <w:highlight w:val="none"/>
        </w:rPr>
        <w:fldChar w:fldCharType="separate"/>
      </w:r>
      <w:r>
        <w:rPr>
          <w:szCs w:val="24"/>
        </w:rPr>
        <w:t xml:space="preserve">1.2. </w:t>
      </w:r>
      <w:r>
        <w:rPr>
          <w:highlight w:val="none"/>
        </w:rPr>
        <w:t>调查目的和原则</w:t>
      </w:r>
      <w:r>
        <w:tab/>
      </w:r>
      <w:r>
        <w:fldChar w:fldCharType="begin"/>
      </w:r>
      <w:r>
        <w:instrText xml:space="preserve"> PAGEREF _Toc16980 </w:instrText>
      </w:r>
      <w:r>
        <w:fldChar w:fldCharType="separate"/>
      </w:r>
      <w:r>
        <w:t>- 1 -</w:t>
      </w:r>
      <w:r>
        <w:fldChar w:fldCharType="end"/>
      </w:r>
      <w:r>
        <w:rPr>
          <w:color w:val="000000" w:themeColor="text1"/>
          <w:highlight w:val="none"/>
          <w14:textFill>
            <w14:solidFill>
              <w14:schemeClr w14:val="tx1"/>
            </w14:solidFill>
          </w14:textFill>
        </w:rPr>
        <w:fldChar w:fldCharType="end"/>
      </w:r>
    </w:p>
    <w:p w14:paraId="65294228">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_Toc18797 </w:instrText>
      </w:r>
      <w:r>
        <w:rPr>
          <w:highlight w:val="none"/>
        </w:rPr>
        <w:fldChar w:fldCharType="separate"/>
      </w:r>
      <w:r>
        <w:rPr>
          <w:szCs w:val="24"/>
        </w:rPr>
        <w:t xml:space="preserve">1.3. </w:t>
      </w:r>
      <w:r>
        <w:rPr>
          <w:highlight w:val="none"/>
        </w:rPr>
        <w:t>调查对象和范围</w:t>
      </w:r>
      <w:r>
        <w:tab/>
      </w:r>
      <w:r>
        <w:fldChar w:fldCharType="begin"/>
      </w:r>
      <w:r>
        <w:instrText xml:space="preserve"> PAGEREF _Toc18797 </w:instrText>
      </w:r>
      <w:r>
        <w:fldChar w:fldCharType="separate"/>
      </w:r>
      <w:r>
        <w:t>- 2 -</w:t>
      </w:r>
      <w:r>
        <w:fldChar w:fldCharType="end"/>
      </w:r>
      <w:r>
        <w:rPr>
          <w:color w:val="000000" w:themeColor="text1"/>
          <w:highlight w:val="none"/>
          <w14:textFill>
            <w14:solidFill>
              <w14:schemeClr w14:val="tx1"/>
            </w14:solidFill>
          </w14:textFill>
        </w:rPr>
        <w:fldChar w:fldCharType="end"/>
      </w:r>
    </w:p>
    <w:p w14:paraId="374DF795">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_Toc32648 </w:instrText>
      </w:r>
      <w:r>
        <w:rPr>
          <w:highlight w:val="none"/>
        </w:rPr>
        <w:fldChar w:fldCharType="separate"/>
      </w:r>
      <w:r>
        <w:rPr>
          <w:szCs w:val="24"/>
        </w:rPr>
        <w:t xml:space="preserve">1.4. </w:t>
      </w:r>
      <w:r>
        <w:rPr>
          <w:highlight w:val="none"/>
        </w:rPr>
        <w:t>调查依据</w:t>
      </w:r>
      <w:r>
        <w:tab/>
      </w:r>
      <w:r>
        <w:fldChar w:fldCharType="begin"/>
      </w:r>
      <w:r>
        <w:instrText xml:space="preserve"> PAGEREF _Toc32648 </w:instrText>
      </w:r>
      <w:r>
        <w:fldChar w:fldCharType="separate"/>
      </w:r>
      <w:r>
        <w:t>- 2 -</w:t>
      </w:r>
      <w:r>
        <w:fldChar w:fldCharType="end"/>
      </w:r>
      <w:r>
        <w:rPr>
          <w:color w:val="000000" w:themeColor="text1"/>
          <w:highlight w:val="none"/>
          <w14:textFill>
            <w14:solidFill>
              <w14:schemeClr w14:val="tx1"/>
            </w14:solidFill>
          </w14:textFill>
        </w:rPr>
        <w:fldChar w:fldCharType="end"/>
      </w:r>
    </w:p>
    <w:p w14:paraId="2A576FF5">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_Toc11570 </w:instrText>
      </w:r>
      <w:r>
        <w:rPr>
          <w:highlight w:val="none"/>
        </w:rPr>
        <w:fldChar w:fldCharType="separate"/>
      </w:r>
      <w:r>
        <w:rPr>
          <w:szCs w:val="24"/>
        </w:rPr>
        <w:t xml:space="preserve">1.5. </w:t>
      </w:r>
      <w:r>
        <w:rPr>
          <w:highlight w:val="none"/>
        </w:rPr>
        <w:t>调查方法</w:t>
      </w:r>
      <w:r>
        <w:tab/>
      </w:r>
      <w:r>
        <w:fldChar w:fldCharType="begin"/>
      </w:r>
      <w:r>
        <w:instrText xml:space="preserve"> PAGEREF _Toc11570 </w:instrText>
      </w:r>
      <w:r>
        <w:fldChar w:fldCharType="separate"/>
      </w:r>
      <w:r>
        <w:t>- 4 -</w:t>
      </w:r>
      <w:r>
        <w:fldChar w:fldCharType="end"/>
      </w:r>
      <w:r>
        <w:rPr>
          <w:color w:val="000000" w:themeColor="text1"/>
          <w:highlight w:val="none"/>
          <w14:textFill>
            <w14:solidFill>
              <w14:schemeClr w14:val="tx1"/>
            </w14:solidFill>
          </w14:textFill>
        </w:rPr>
        <w:fldChar w:fldCharType="end"/>
      </w:r>
    </w:p>
    <w:p w14:paraId="4DC27ADA">
      <w:pPr>
        <w:pStyle w:val="16"/>
        <w:tabs>
          <w:tab w:val="right" w:leader="dot" w:pos="9638"/>
        </w:tabs>
        <w:rPr>
          <w:b/>
          <w:bCs/>
        </w:rPr>
      </w:pPr>
      <w:r>
        <w:rPr>
          <w:b/>
          <w:bCs/>
          <w:color w:val="000000" w:themeColor="text1"/>
          <w:highlight w:val="none"/>
          <w14:textFill>
            <w14:solidFill>
              <w14:schemeClr w14:val="tx1"/>
            </w14:solidFill>
          </w14:textFill>
        </w:rPr>
        <w:fldChar w:fldCharType="begin"/>
      </w:r>
      <w:r>
        <w:rPr>
          <w:b/>
          <w:bCs/>
          <w:highlight w:val="none"/>
        </w:rPr>
        <w:instrText xml:space="preserve"> HYPERLINK \l _Toc23985 </w:instrText>
      </w:r>
      <w:r>
        <w:rPr>
          <w:b/>
          <w:bCs/>
          <w:highlight w:val="none"/>
        </w:rPr>
        <w:fldChar w:fldCharType="separate"/>
      </w:r>
      <w:r>
        <w:rPr>
          <w:b/>
          <w:bCs/>
        </w:rPr>
        <w:t xml:space="preserve">2. </w:t>
      </w:r>
      <w:r>
        <w:rPr>
          <w:b/>
          <w:bCs/>
          <w:highlight w:val="none"/>
        </w:rPr>
        <w:t>调查区域概况</w:t>
      </w:r>
      <w:r>
        <w:rPr>
          <w:b/>
          <w:bCs/>
        </w:rPr>
        <w:tab/>
      </w:r>
      <w:r>
        <w:rPr>
          <w:b/>
          <w:bCs/>
        </w:rPr>
        <w:fldChar w:fldCharType="begin"/>
      </w:r>
      <w:r>
        <w:rPr>
          <w:b/>
          <w:bCs/>
        </w:rPr>
        <w:instrText xml:space="preserve"> PAGEREF _Toc23985 </w:instrText>
      </w:r>
      <w:r>
        <w:rPr>
          <w:b/>
          <w:bCs/>
        </w:rPr>
        <w:fldChar w:fldCharType="separate"/>
      </w:r>
      <w:r>
        <w:rPr>
          <w:b/>
          <w:bCs/>
        </w:rPr>
        <w:t>- 6 -</w:t>
      </w:r>
      <w:r>
        <w:rPr>
          <w:b/>
          <w:bCs/>
        </w:rPr>
        <w:fldChar w:fldCharType="end"/>
      </w:r>
      <w:r>
        <w:rPr>
          <w:b/>
          <w:bCs/>
          <w:color w:val="000000" w:themeColor="text1"/>
          <w:highlight w:val="none"/>
          <w14:textFill>
            <w14:solidFill>
              <w14:schemeClr w14:val="tx1"/>
            </w14:solidFill>
          </w14:textFill>
        </w:rPr>
        <w:fldChar w:fldCharType="end"/>
      </w:r>
    </w:p>
    <w:p w14:paraId="3C59A53D">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_Toc25452 </w:instrText>
      </w:r>
      <w:r>
        <w:rPr>
          <w:highlight w:val="none"/>
        </w:rPr>
        <w:fldChar w:fldCharType="separate"/>
      </w:r>
      <w:r>
        <w:rPr>
          <w:szCs w:val="24"/>
        </w:rPr>
        <w:t xml:space="preserve">2.1. </w:t>
      </w:r>
      <w:r>
        <w:rPr>
          <w:highlight w:val="none"/>
        </w:rPr>
        <w:t>区域环境概况</w:t>
      </w:r>
      <w:r>
        <w:tab/>
      </w:r>
      <w:r>
        <w:fldChar w:fldCharType="begin"/>
      </w:r>
      <w:r>
        <w:instrText xml:space="preserve"> PAGEREF _Toc25452 </w:instrText>
      </w:r>
      <w:r>
        <w:fldChar w:fldCharType="separate"/>
      </w:r>
      <w:r>
        <w:t>- 6 -</w:t>
      </w:r>
      <w:r>
        <w:fldChar w:fldCharType="end"/>
      </w:r>
      <w:r>
        <w:rPr>
          <w:color w:val="000000" w:themeColor="text1"/>
          <w:highlight w:val="none"/>
          <w14:textFill>
            <w14:solidFill>
              <w14:schemeClr w14:val="tx1"/>
            </w14:solidFill>
          </w14:textFill>
        </w:rPr>
        <w:fldChar w:fldCharType="end"/>
      </w:r>
    </w:p>
    <w:p w14:paraId="1685B8DD">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_Toc385 </w:instrText>
      </w:r>
      <w:r>
        <w:rPr>
          <w:highlight w:val="none"/>
        </w:rPr>
        <w:fldChar w:fldCharType="separate"/>
      </w:r>
      <w:r>
        <w:rPr>
          <w:szCs w:val="24"/>
        </w:rPr>
        <w:t xml:space="preserve">2.2. </w:t>
      </w:r>
      <w:r>
        <w:rPr>
          <w:highlight w:val="none"/>
        </w:rPr>
        <w:t>园区概况</w:t>
      </w:r>
      <w:r>
        <w:tab/>
      </w:r>
      <w:r>
        <w:fldChar w:fldCharType="begin"/>
      </w:r>
      <w:r>
        <w:instrText xml:space="preserve"> PAGEREF _Toc385 </w:instrText>
      </w:r>
      <w:r>
        <w:fldChar w:fldCharType="separate"/>
      </w:r>
      <w:r>
        <w:t>- 8 -</w:t>
      </w:r>
      <w:r>
        <w:fldChar w:fldCharType="end"/>
      </w:r>
      <w:r>
        <w:rPr>
          <w:color w:val="000000" w:themeColor="text1"/>
          <w:highlight w:val="none"/>
          <w14:textFill>
            <w14:solidFill>
              <w14:schemeClr w14:val="tx1"/>
            </w14:solidFill>
          </w14:textFill>
        </w:rPr>
        <w:fldChar w:fldCharType="end"/>
      </w:r>
    </w:p>
    <w:p w14:paraId="79DE52C2">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_Toc31391 </w:instrText>
      </w:r>
      <w:r>
        <w:rPr>
          <w:highlight w:val="none"/>
        </w:rPr>
        <w:fldChar w:fldCharType="separate"/>
      </w:r>
      <w:r>
        <w:rPr>
          <w:szCs w:val="24"/>
        </w:rPr>
        <w:t xml:space="preserve">2.3. </w:t>
      </w:r>
      <w:r>
        <w:rPr>
          <w:highlight w:val="none"/>
        </w:rPr>
        <w:t>园区污染源分析</w:t>
      </w:r>
      <w:r>
        <w:tab/>
      </w:r>
      <w:r>
        <w:fldChar w:fldCharType="begin"/>
      </w:r>
      <w:r>
        <w:instrText xml:space="preserve"> PAGEREF _Toc31391 </w:instrText>
      </w:r>
      <w:r>
        <w:fldChar w:fldCharType="separate"/>
      </w:r>
      <w:r>
        <w:t>- 12 -</w:t>
      </w:r>
      <w:r>
        <w:fldChar w:fldCharType="end"/>
      </w:r>
      <w:r>
        <w:rPr>
          <w:color w:val="000000" w:themeColor="text1"/>
          <w:highlight w:val="none"/>
          <w14:textFill>
            <w14:solidFill>
              <w14:schemeClr w14:val="tx1"/>
            </w14:solidFill>
          </w14:textFill>
        </w:rPr>
        <w:fldChar w:fldCharType="end"/>
      </w:r>
    </w:p>
    <w:p w14:paraId="1DD2523A">
      <w:pPr>
        <w:pStyle w:val="16"/>
        <w:tabs>
          <w:tab w:val="right" w:leader="dot" w:pos="9638"/>
        </w:tabs>
        <w:rPr>
          <w:b/>
          <w:bCs/>
        </w:rPr>
      </w:pPr>
      <w:r>
        <w:rPr>
          <w:b/>
          <w:bCs/>
          <w:color w:val="000000" w:themeColor="text1"/>
          <w:highlight w:val="none"/>
          <w14:textFill>
            <w14:solidFill>
              <w14:schemeClr w14:val="tx1"/>
            </w14:solidFill>
          </w14:textFill>
        </w:rPr>
        <w:fldChar w:fldCharType="begin"/>
      </w:r>
      <w:r>
        <w:rPr>
          <w:b/>
          <w:bCs/>
          <w:highlight w:val="none"/>
        </w:rPr>
        <w:instrText xml:space="preserve"> HYPERLINK \l _Toc12706 </w:instrText>
      </w:r>
      <w:r>
        <w:rPr>
          <w:b/>
          <w:bCs/>
          <w:highlight w:val="none"/>
        </w:rPr>
        <w:fldChar w:fldCharType="separate"/>
      </w:r>
      <w:r>
        <w:rPr>
          <w:b/>
          <w:bCs/>
        </w:rPr>
        <w:t xml:space="preserve">3. </w:t>
      </w:r>
      <w:r>
        <w:rPr>
          <w:b/>
          <w:bCs/>
          <w:highlight w:val="none"/>
        </w:rPr>
        <w:t>调查工作方案</w:t>
      </w:r>
      <w:r>
        <w:rPr>
          <w:b/>
          <w:bCs/>
        </w:rPr>
        <w:tab/>
      </w:r>
      <w:r>
        <w:rPr>
          <w:b/>
          <w:bCs/>
        </w:rPr>
        <w:fldChar w:fldCharType="begin"/>
      </w:r>
      <w:r>
        <w:rPr>
          <w:b/>
          <w:bCs/>
        </w:rPr>
        <w:instrText xml:space="preserve"> PAGEREF _Toc12706 </w:instrText>
      </w:r>
      <w:r>
        <w:rPr>
          <w:b/>
          <w:bCs/>
        </w:rPr>
        <w:fldChar w:fldCharType="separate"/>
      </w:r>
      <w:r>
        <w:rPr>
          <w:b/>
          <w:bCs/>
        </w:rPr>
        <w:t>- 15 -</w:t>
      </w:r>
      <w:r>
        <w:rPr>
          <w:b/>
          <w:bCs/>
        </w:rPr>
        <w:fldChar w:fldCharType="end"/>
      </w:r>
      <w:r>
        <w:rPr>
          <w:b/>
          <w:bCs/>
          <w:color w:val="000000" w:themeColor="text1"/>
          <w:highlight w:val="none"/>
          <w14:textFill>
            <w14:solidFill>
              <w14:schemeClr w14:val="tx1"/>
            </w14:solidFill>
          </w14:textFill>
        </w:rPr>
        <w:fldChar w:fldCharType="end"/>
      </w:r>
    </w:p>
    <w:p w14:paraId="652C4E5E">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_Toc4151 </w:instrText>
      </w:r>
      <w:r>
        <w:rPr>
          <w:highlight w:val="none"/>
        </w:rPr>
        <w:fldChar w:fldCharType="separate"/>
      </w:r>
      <w:r>
        <w:rPr>
          <w:szCs w:val="24"/>
        </w:rPr>
        <w:t xml:space="preserve">3.1. </w:t>
      </w:r>
      <w:r>
        <w:rPr>
          <w:highlight w:val="none"/>
        </w:rPr>
        <w:t>土壤布点方案</w:t>
      </w:r>
      <w:r>
        <w:tab/>
      </w:r>
      <w:r>
        <w:fldChar w:fldCharType="begin"/>
      </w:r>
      <w:r>
        <w:instrText xml:space="preserve"> PAGEREF _Toc4151 </w:instrText>
      </w:r>
      <w:r>
        <w:fldChar w:fldCharType="separate"/>
      </w:r>
      <w:r>
        <w:t>- 15 -</w:t>
      </w:r>
      <w:r>
        <w:fldChar w:fldCharType="end"/>
      </w:r>
      <w:r>
        <w:rPr>
          <w:color w:val="000000" w:themeColor="text1"/>
          <w:highlight w:val="none"/>
          <w14:textFill>
            <w14:solidFill>
              <w14:schemeClr w14:val="tx1"/>
            </w14:solidFill>
          </w14:textFill>
        </w:rPr>
        <w:fldChar w:fldCharType="end"/>
      </w:r>
    </w:p>
    <w:p w14:paraId="4705C2A5">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_Toc27019 </w:instrText>
      </w:r>
      <w:r>
        <w:rPr>
          <w:highlight w:val="none"/>
        </w:rPr>
        <w:fldChar w:fldCharType="separate"/>
      </w:r>
      <w:r>
        <w:rPr>
          <w:szCs w:val="24"/>
        </w:rPr>
        <w:t xml:space="preserve">3.2. </w:t>
      </w:r>
      <w:r>
        <w:rPr>
          <w:highlight w:val="none"/>
        </w:rPr>
        <w:t>地下水布点方案</w:t>
      </w:r>
      <w:r>
        <w:tab/>
      </w:r>
      <w:r>
        <w:fldChar w:fldCharType="begin"/>
      </w:r>
      <w:r>
        <w:instrText xml:space="preserve"> PAGEREF _Toc27019 </w:instrText>
      </w:r>
      <w:r>
        <w:fldChar w:fldCharType="separate"/>
      </w:r>
      <w:r>
        <w:t>- 18 -</w:t>
      </w:r>
      <w:r>
        <w:fldChar w:fldCharType="end"/>
      </w:r>
      <w:r>
        <w:rPr>
          <w:color w:val="000000" w:themeColor="text1"/>
          <w:highlight w:val="none"/>
          <w14:textFill>
            <w14:solidFill>
              <w14:schemeClr w14:val="tx1"/>
            </w14:solidFill>
          </w14:textFill>
        </w:rPr>
        <w:fldChar w:fldCharType="end"/>
      </w:r>
    </w:p>
    <w:p w14:paraId="7BAE45CD">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_Toc16007 </w:instrText>
      </w:r>
      <w:r>
        <w:rPr>
          <w:highlight w:val="none"/>
        </w:rPr>
        <w:fldChar w:fldCharType="separate"/>
      </w:r>
      <w:r>
        <w:rPr>
          <w:szCs w:val="24"/>
        </w:rPr>
        <w:t xml:space="preserve">3.3. </w:t>
      </w:r>
      <w:r>
        <w:rPr>
          <w:highlight w:val="none"/>
        </w:rPr>
        <w:t>采样方案</w:t>
      </w:r>
      <w:r>
        <w:tab/>
      </w:r>
      <w:r>
        <w:fldChar w:fldCharType="begin"/>
      </w:r>
      <w:r>
        <w:instrText xml:space="preserve"> PAGEREF _Toc16007 </w:instrText>
      </w:r>
      <w:r>
        <w:fldChar w:fldCharType="separate"/>
      </w:r>
      <w:r>
        <w:t>- 18 -</w:t>
      </w:r>
      <w:r>
        <w:fldChar w:fldCharType="end"/>
      </w:r>
      <w:r>
        <w:rPr>
          <w:color w:val="000000" w:themeColor="text1"/>
          <w:highlight w:val="none"/>
          <w14:textFill>
            <w14:solidFill>
              <w14:schemeClr w14:val="tx1"/>
            </w14:solidFill>
          </w14:textFill>
        </w:rPr>
        <w:fldChar w:fldCharType="end"/>
      </w:r>
    </w:p>
    <w:p w14:paraId="2AA039D6">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_Toc7192 </w:instrText>
      </w:r>
      <w:r>
        <w:rPr>
          <w:highlight w:val="none"/>
        </w:rPr>
        <w:fldChar w:fldCharType="separate"/>
      </w:r>
      <w:r>
        <w:rPr>
          <w:szCs w:val="24"/>
        </w:rPr>
        <w:t xml:space="preserve">3.4. </w:t>
      </w:r>
      <w:r>
        <w:rPr>
          <w:highlight w:val="none"/>
        </w:rPr>
        <w:t>质量保证与质量控制</w:t>
      </w:r>
      <w:r>
        <w:tab/>
      </w:r>
      <w:r>
        <w:fldChar w:fldCharType="begin"/>
      </w:r>
      <w:r>
        <w:instrText xml:space="preserve"> PAGEREF _Toc7192 </w:instrText>
      </w:r>
      <w:r>
        <w:fldChar w:fldCharType="separate"/>
      </w:r>
      <w:r>
        <w:t>- 20 -</w:t>
      </w:r>
      <w:r>
        <w:fldChar w:fldCharType="end"/>
      </w:r>
      <w:r>
        <w:rPr>
          <w:color w:val="000000" w:themeColor="text1"/>
          <w:highlight w:val="none"/>
          <w14:textFill>
            <w14:solidFill>
              <w14:schemeClr w14:val="tx1"/>
            </w14:solidFill>
          </w14:textFill>
        </w:rPr>
        <w:fldChar w:fldCharType="end"/>
      </w:r>
    </w:p>
    <w:p w14:paraId="69AA6D28">
      <w:pPr>
        <w:pStyle w:val="16"/>
        <w:tabs>
          <w:tab w:val="right" w:leader="dot" w:pos="9638"/>
        </w:tabs>
        <w:rPr>
          <w:b/>
          <w:bCs/>
        </w:rPr>
      </w:pPr>
      <w:r>
        <w:rPr>
          <w:b/>
          <w:bCs/>
          <w:color w:val="000000" w:themeColor="text1"/>
          <w:highlight w:val="none"/>
          <w14:textFill>
            <w14:solidFill>
              <w14:schemeClr w14:val="tx1"/>
            </w14:solidFill>
          </w14:textFill>
        </w:rPr>
        <w:fldChar w:fldCharType="begin"/>
      </w:r>
      <w:r>
        <w:rPr>
          <w:b/>
          <w:bCs/>
          <w:highlight w:val="none"/>
        </w:rPr>
        <w:instrText xml:space="preserve"> HYPERLINK \l _Toc12169 </w:instrText>
      </w:r>
      <w:r>
        <w:rPr>
          <w:b/>
          <w:bCs/>
          <w:highlight w:val="none"/>
        </w:rPr>
        <w:fldChar w:fldCharType="separate"/>
      </w:r>
      <w:r>
        <w:rPr>
          <w:b/>
          <w:bCs/>
        </w:rPr>
        <w:t xml:space="preserve">4. </w:t>
      </w:r>
      <w:r>
        <w:rPr>
          <w:b/>
          <w:bCs/>
          <w:highlight w:val="none"/>
        </w:rPr>
        <w:t>现场工作及实验室分析</w:t>
      </w:r>
      <w:r>
        <w:rPr>
          <w:b/>
          <w:bCs/>
        </w:rPr>
        <w:tab/>
      </w:r>
      <w:r>
        <w:rPr>
          <w:b/>
          <w:bCs/>
        </w:rPr>
        <w:fldChar w:fldCharType="begin"/>
      </w:r>
      <w:r>
        <w:rPr>
          <w:b/>
          <w:bCs/>
        </w:rPr>
        <w:instrText xml:space="preserve"> PAGEREF _Toc12169 </w:instrText>
      </w:r>
      <w:r>
        <w:rPr>
          <w:b/>
          <w:bCs/>
        </w:rPr>
        <w:fldChar w:fldCharType="separate"/>
      </w:r>
      <w:r>
        <w:rPr>
          <w:b/>
          <w:bCs/>
        </w:rPr>
        <w:t>- 22 -</w:t>
      </w:r>
      <w:r>
        <w:rPr>
          <w:b/>
          <w:bCs/>
        </w:rPr>
        <w:fldChar w:fldCharType="end"/>
      </w:r>
      <w:r>
        <w:rPr>
          <w:b/>
          <w:bCs/>
          <w:color w:val="000000" w:themeColor="text1"/>
          <w:highlight w:val="none"/>
          <w14:textFill>
            <w14:solidFill>
              <w14:schemeClr w14:val="tx1"/>
            </w14:solidFill>
          </w14:textFill>
        </w:rPr>
        <w:fldChar w:fldCharType="end"/>
      </w:r>
    </w:p>
    <w:p w14:paraId="46408D4C">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_Toc27583 </w:instrText>
      </w:r>
      <w:r>
        <w:rPr>
          <w:highlight w:val="none"/>
        </w:rPr>
        <w:fldChar w:fldCharType="separate"/>
      </w:r>
      <w:r>
        <w:rPr>
          <w:szCs w:val="24"/>
        </w:rPr>
        <w:t xml:space="preserve">4.1. </w:t>
      </w:r>
      <w:r>
        <w:rPr>
          <w:highlight w:val="none"/>
        </w:rPr>
        <w:t>现场定点测绘</w:t>
      </w:r>
      <w:r>
        <w:tab/>
      </w:r>
      <w:r>
        <w:fldChar w:fldCharType="begin"/>
      </w:r>
      <w:r>
        <w:instrText xml:space="preserve"> PAGEREF _Toc27583 </w:instrText>
      </w:r>
      <w:r>
        <w:fldChar w:fldCharType="separate"/>
      </w:r>
      <w:r>
        <w:t>- 22 -</w:t>
      </w:r>
      <w:r>
        <w:fldChar w:fldCharType="end"/>
      </w:r>
      <w:r>
        <w:rPr>
          <w:color w:val="000000" w:themeColor="text1"/>
          <w:highlight w:val="none"/>
          <w14:textFill>
            <w14:solidFill>
              <w14:schemeClr w14:val="tx1"/>
            </w14:solidFill>
          </w14:textFill>
        </w:rPr>
        <w:fldChar w:fldCharType="end"/>
      </w:r>
    </w:p>
    <w:p w14:paraId="4FF167E5">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_Toc8877 </w:instrText>
      </w:r>
      <w:r>
        <w:rPr>
          <w:highlight w:val="none"/>
        </w:rPr>
        <w:fldChar w:fldCharType="separate"/>
      </w:r>
      <w:r>
        <w:rPr>
          <w:szCs w:val="24"/>
        </w:rPr>
        <w:t xml:space="preserve">4.2. </w:t>
      </w:r>
      <w:r>
        <w:rPr>
          <w:highlight w:val="none"/>
        </w:rPr>
        <w:t>样品采集</w:t>
      </w:r>
      <w:r>
        <w:tab/>
      </w:r>
      <w:r>
        <w:fldChar w:fldCharType="begin"/>
      </w:r>
      <w:r>
        <w:instrText xml:space="preserve"> PAGEREF _Toc8877 </w:instrText>
      </w:r>
      <w:r>
        <w:fldChar w:fldCharType="separate"/>
      </w:r>
      <w:r>
        <w:t>- 22 -</w:t>
      </w:r>
      <w:r>
        <w:fldChar w:fldCharType="end"/>
      </w:r>
      <w:r>
        <w:rPr>
          <w:color w:val="000000" w:themeColor="text1"/>
          <w:highlight w:val="none"/>
          <w14:textFill>
            <w14:solidFill>
              <w14:schemeClr w14:val="tx1"/>
            </w14:solidFill>
          </w14:textFill>
        </w:rPr>
        <w:fldChar w:fldCharType="end"/>
      </w:r>
    </w:p>
    <w:p w14:paraId="156614BE">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_Toc3486 </w:instrText>
      </w:r>
      <w:r>
        <w:rPr>
          <w:highlight w:val="none"/>
        </w:rPr>
        <w:fldChar w:fldCharType="separate"/>
      </w:r>
      <w:r>
        <w:rPr>
          <w:szCs w:val="24"/>
        </w:rPr>
        <w:t xml:space="preserve">4.3. </w:t>
      </w:r>
      <w:r>
        <w:rPr>
          <w:highlight w:val="none"/>
        </w:rPr>
        <w:t>现场记录</w:t>
      </w:r>
      <w:r>
        <w:tab/>
      </w:r>
      <w:r>
        <w:fldChar w:fldCharType="begin"/>
      </w:r>
      <w:r>
        <w:instrText xml:space="preserve"> PAGEREF _Toc3486 </w:instrText>
      </w:r>
      <w:r>
        <w:fldChar w:fldCharType="separate"/>
      </w:r>
      <w:r>
        <w:t>- 26 -</w:t>
      </w:r>
      <w:r>
        <w:fldChar w:fldCharType="end"/>
      </w:r>
      <w:r>
        <w:rPr>
          <w:color w:val="000000" w:themeColor="text1"/>
          <w:highlight w:val="none"/>
          <w14:textFill>
            <w14:solidFill>
              <w14:schemeClr w14:val="tx1"/>
            </w14:solidFill>
          </w14:textFill>
        </w:rPr>
        <w:fldChar w:fldCharType="end"/>
      </w:r>
    </w:p>
    <w:p w14:paraId="4D441A50">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_Toc26189 </w:instrText>
      </w:r>
      <w:r>
        <w:rPr>
          <w:highlight w:val="none"/>
        </w:rPr>
        <w:fldChar w:fldCharType="separate"/>
      </w:r>
      <w:r>
        <w:rPr>
          <w:szCs w:val="24"/>
        </w:rPr>
        <w:t xml:space="preserve">4.4. </w:t>
      </w:r>
      <w:r>
        <w:rPr>
          <w:highlight w:val="none"/>
        </w:rPr>
        <w:t>实验室分析</w:t>
      </w:r>
      <w:r>
        <w:tab/>
      </w:r>
      <w:r>
        <w:fldChar w:fldCharType="begin"/>
      </w:r>
      <w:r>
        <w:instrText xml:space="preserve"> PAGEREF _Toc26189 </w:instrText>
      </w:r>
      <w:r>
        <w:fldChar w:fldCharType="separate"/>
      </w:r>
      <w:r>
        <w:t>- 29 -</w:t>
      </w:r>
      <w:r>
        <w:fldChar w:fldCharType="end"/>
      </w:r>
      <w:r>
        <w:rPr>
          <w:color w:val="000000" w:themeColor="text1"/>
          <w:highlight w:val="none"/>
          <w14:textFill>
            <w14:solidFill>
              <w14:schemeClr w14:val="tx1"/>
            </w14:solidFill>
          </w14:textFill>
        </w:rPr>
        <w:fldChar w:fldCharType="end"/>
      </w:r>
    </w:p>
    <w:p w14:paraId="2CFDE2E1">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_Toc30126 </w:instrText>
      </w:r>
      <w:r>
        <w:rPr>
          <w:highlight w:val="none"/>
        </w:rPr>
        <w:fldChar w:fldCharType="separate"/>
      </w:r>
      <w:r>
        <w:rPr>
          <w:szCs w:val="24"/>
        </w:rPr>
        <w:t xml:space="preserve">4.5. </w:t>
      </w:r>
      <w:r>
        <w:rPr>
          <w:highlight w:val="none"/>
        </w:rPr>
        <w:t>现场质量控制</w:t>
      </w:r>
      <w:r>
        <w:tab/>
      </w:r>
      <w:r>
        <w:fldChar w:fldCharType="begin"/>
      </w:r>
      <w:r>
        <w:instrText xml:space="preserve"> PAGEREF _Toc30126 </w:instrText>
      </w:r>
      <w:r>
        <w:fldChar w:fldCharType="separate"/>
      </w:r>
      <w:r>
        <w:t>- 32 -</w:t>
      </w:r>
      <w:r>
        <w:fldChar w:fldCharType="end"/>
      </w:r>
      <w:r>
        <w:rPr>
          <w:color w:val="000000" w:themeColor="text1"/>
          <w:highlight w:val="none"/>
          <w14:textFill>
            <w14:solidFill>
              <w14:schemeClr w14:val="tx1"/>
            </w14:solidFill>
          </w14:textFill>
        </w:rPr>
        <w:fldChar w:fldCharType="end"/>
      </w:r>
    </w:p>
    <w:p w14:paraId="0CB8629C">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_Toc2418 </w:instrText>
      </w:r>
      <w:r>
        <w:rPr>
          <w:highlight w:val="none"/>
        </w:rPr>
        <w:fldChar w:fldCharType="separate"/>
      </w:r>
      <w:r>
        <w:rPr>
          <w:szCs w:val="24"/>
        </w:rPr>
        <w:t xml:space="preserve">4.6. </w:t>
      </w:r>
      <w:r>
        <w:rPr>
          <w:highlight w:val="none"/>
        </w:rPr>
        <w:t>实验室质量控制</w:t>
      </w:r>
      <w:r>
        <w:tab/>
      </w:r>
      <w:r>
        <w:fldChar w:fldCharType="begin"/>
      </w:r>
      <w:r>
        <w:instrText xml:space="preserve"> PAGEREF _Toc2418 </w:instrText>
      </w:r>
      <w:r>
        <w:fldChar w:fldCharType="separate"/>
      </w:r>
      <w:r>
        <w:t>- 34 -</w:t>
      </w:r>
      <w:r>
        <w:fldChar w:fldCharType="end"/>
      </w:r>
      <w:r>
        <w:rPr>
          <w:color w:val="000000" w:themeColor="text1"/>
          <w:highlight w:val="none"/>
          <w14:textFill>
            <w14:solidFill>
              <w14:schemeClr w14:val="tx1"/>
            </w14:solidFill>
          </w14:textFill>
        </w:rPr>
        <w:fldChar w:fldCharType="end"/>
      </w:r>
    </w:p>
    <w:p w14:paraId="7B3ACB4A">
      <w:pPr>
        <w:pStyle w:val="16"/>
        <w:tabs>
          <w:tab w:val="right" w:leader="dot" w:pos="9638"/>
        </w:tabs>
        <w:rPr>
          <w:b/>
          <w:bCs/>
        </w:rPr>
      </w:pPr>
      <w:r>
        <w:rPr>
          <w:b/>
          <w:bCs/>
          <w:color w:val="000000" w:themeColor="text1"/>
          <w:highlight w:val="none"/>
          <w14:textFill>
            <w14:solidFill>
              <w14:schemeClr w14:val="tx1"/>
            </w14:solidFill>
          </w14:textFill>
        </w:rPr>
        <w:fldChar w:fldCharType="begin"/>
      </w:r>
      <w:r>
        <w:rPr>
          <w:b/>
          <w:bCs/>
          <w:highlight w:val="none"/>
        </w:rPr>
        <w:instrText xml:space="preserve"> HYPERLINK \l _Toc7649 </w:instrText>
      </w:r>
      <w:r>
        <w:rPr>
          <w:b/>
          <w:bCs/>
          <w:highlight w:val="none"/>
        </w:rPr>
        <w:fldChar w:fldCharType="separate"/>
      </w:r>
      <w:r>
        <w:rPr>
          <w:b/>
          <w:bCs/>
        </w:rPr>
        <w:t xml:space="preserve">5. </w:t>
      </w:r>
      <w:r>
        <w:rPr>
          <w:b/>
          <w:bCs/>
          <w:highlight w:val="none"/>
        </w:rPr>
        <w:t>结果与评价</w:t>
      </w:r>
      <w:r>
        <w:rPr>
          <w:b/>
          <w:bCs/>
        </w:rPr>
        <w:tab/>
      </w:r>
      <w:r>
        <w:rPr>
          <w:b/>
          <w:bCs/>
        </w:rPr>
        <w:fldChar w:fldCharType="begin"/>
      </w:r>
      <w:r>
        <w:rPr>
          <w:b/>
          <w:bCs/>
        </w:rPr>
        <w:instrText xml:space="preserve"> PAGEREF _Toc7649 </w:instrText>
      </w:r>
      <w:r>
        <w:rPr>
          <w:b/>
          <w:bCs/>
        </w:rPr>
        <w:fldChar w:fldCharType="separate"/>
      </w:r>
      <w:r>
        <w:rPr>
          <w:b/>
          <w:bCs/>
        </w:rPr>
        <w:t>- 37 -</w:t>
      </w:r>
      <w:r>
        <w:rPr>
          <w:b/>
          <w:bCs/>
        </w:rPr>
        <w:fldChar w:fldCharType="end"/>
      </w:r>
      <w:r>
        <w:rPr>
          <w:b/>
          <w:bCs/>
          <w:color w:val="000000" w:themeColor="text1"/>
          <w:highlight w:val="none"/>
          <w14:textFill>
            <w14:solidFill>
              <w14:schemeClr w14:val="tx1"/>
            </w14:solidFill>
          </w14:textFill>
        </w:rPr>
        <w:fldChar w:fldCharType="end"/>
      </w:r>
    </w:p>
    <w:p w14:paraId="6FEB64F9">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_Toc28944 </w:instrText>
      </w:r>
      <w:r>
        <w:rPr>
          <w:highlight w:val="none"/>
        </w:rPr>
        <w:fldChar w:fldCharType="separate"/>
      </w:r>
      <w:r>
        <w:rPr>
          <w:szCs w:val="24"/>
        </w:rPr>
        <w:t xml:space="preserve">5.1. </w:t>
      </w:r>
      <w:r>
        <w:rPr>
          <w:highlight w:val="none"/>
        </w:rPr>
        <w:t>园区环境质量参考标准</w:t>
      </w:r>
      <w:r>
        <w:tab/>
      </w:r>
      <w:r>
        <w:fldChar w:fldCharType="begin"/>
      </w:r>
      <w:r>
        <w:instrText xml:space="preserve"> PAGEREF _Toc28944 </w:instrText>
      </w:r>
      <w:r>
        <w:fldChar w:fldCharType="separate"/>
      </w:r>
      <w:r>
        <w:t>- 37 -</w:t>
      </w:r>
      <w:r>
        <w:fldChar w:fldCharType="end"/>
      </w:r>
      <w:r>
        <w:rPr>
          <w:color w:val="000000" w:themeColor="text1"/>
          <w:highlight w:val="none"/>
          <w14:textFill>
            <w14:solidFill>
              <w14:schemeClr w14:val="tx1"/>
            </w14:solidFill>
          </w14:textFill>
        </w:rPr>
        <w:fldChar w:fldCharType="end"/>
      </w:r>
    </w:p>
    <w:p w14:paraId="1A9C8461">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_Toc1791 </w:instrText>
      </w:r>
      <w:r>
        <w:rPr>
          <w:highlight w:val="none"/>
        </w:rPr>
        <w:fldChar w:fldCharType="separate"/>
      </w:r>
      <w:r>
        <w:rPr>
          <w:szCs w:val="24"/>
        </w:rPr>
        <w:t xml:space="preserve">5.2. </w:t>
      </w:r>
      <w:r>
        <w:rPr>
          <w:highlight w:val="none"/>
        </w:rPr>
        <w:t>结果分析方法</w:t>
      </w:r>
      <w:r>
        <w:tab/>
      </w:r>
      <w:r>
        <w:fldChar w:fldCharType="begin"/>
      </w:r>
      <w:r>
        <w:instrText xml:space="preserve"> PAGEREF _Toc1791 </w:instrText>
      </w:r>
      <w:r>
        <w:fldChar w:fldCharType="separate"/>
      </w:r>
      <w:r>
        <w:t>- 41 -</w:t>
      </w:r>
      <w:r>
        <w:fldChar w:fldCharType="end"/>
      </w:r>
      <w:r>
        <w:rPr>
          <w:color w:val="000000" w:themeColor="text1"/>
          <w:highlight w:val="none"/>
          <w14:textFill>
            <w14:solidFill>
              <w14:schemeClr w14:val="tx1"/>
            </w14:solidFill>
          </w14:textFill>
        </w:rPr>
        <w:fldChar w:fldCharType="end"/>
      </w:r>
    </w:p>
    <w:p w14:paraId="62901A0E">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_Toc5099 </w:instrText>
      </w:r>
      <w:r>
        <w:rPr>
          <w:highlight w:val="none"/>
        </w:rPr>
        <w:fldChar w:fldCharType="separate"/>
      </w:r>
      <w:r>
        <w:rPr>
          <w:szCs w:val="24"/>
        </w:rPr>
        <w:t xml:space="preserve">5.3. </w:t>
      </w:r>
      <w:r>
        <w:rPr>
          <w:highlight w:val="none"/>
        </w:rPr>
        <w:t>监测结果对标分析</w:t>
      </w:r>
      <w:r>
        <w:tab/>
      </w:r>
      <w:r>
        <w:fldChar w:fldCharType="begin"/>
      </w:r>
      <w:r>
        <w:instrText xml:space="preserve"> PAGEREF _Toc5099 </w:instrText>
      </w:r>
      <w:r>
        <w:fldChar w:fldCharType="separate"/>
      </w:r>
      <w:r>
        <w:t>- 43 -</w:t>
      </w:r>
      <w:r>
        <w:fldChar w:fldCharType="end"/>
      </w:r>
      <w:r>
        <w:rPr>
          <w:color w:val="000000" w:themeColor="text1"/>
          <w:highlight w:val="none"/>
          <w14:textFill>
            <w14:solidFill>
              <w14:schemeClr w14:val="tx1"/>
            </w14:solidFill>
          </w14:textFill>
        </w:rPr>
        <w:fldChar w:fldCharType="end"/>
      </w:r>
    </w:p>
    <w:p w14:paraId="531EF968">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_Toc18799 </w:instrText>
      </w:r>
      <w:r>
        <w:rPr>
          <w:highlight w:val="none"/>
        </w:rPr>
        <w:fldChar w:fldCharType="separate"/>
      </w:r>
      <w:r>
        <w:rPr>
          <w:szCs w:val="24"/>
        </w:rPr>
        <w:t xml:space="preserve">5.4. </w:t>
      </w:r>
      <w:r>
        <w:rPr>
          <w:highlight w:val="none"/>
        </w:rPr>
        <w:t>土壤环境质量评价</w:t>
      </w:r>
      <w:r>
        <w:tab/>
      </w:r>
      <w:r>
        <w:fldChar w:fldCharType="begin"/>
      </w:r>
      <w:r>
        <w:instrText xml:space="preserve"> PAGEREF _Toc18799 </w:instrText>
      </w:r>
      <w:r>
        <w:fldChar w:fldCharType="separate"/>
      </w:r>
      <w:r>
        <w:t>- 53 -</w:t>
      </w:r>
      <w:r>
        <w:fldChar w:fldCharType="end"/>
      </w:r>
      <w:r>
        <w:rPr>
          <w:color w:val="000000" w:themeColor="text1"/>
          <w:highlight w:val="none"/>
          <w14:textFill>
            <w14:solidFill>
              <w14:schemeClr w14:val="tx1"/>
            </w14:solidFill>
          </w14:textFill>
        </w:rPr>
        <w:fldChar w:fldCharType="end"/>
      </w:r>
    </w:p>
    <w:p w14:paraId="547C9E15">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_Toc31415 </w:instrText>
      </w:r>
      <w:r>
        <w:rPr>
          <w:highlight w:val="none"/>
        </w:rPr>
        <w:fldChar w:fldCharType="separate"/>
      </w:r>
      <w:r>
        <w:rPr>
          <w:szCs w:val="24"/>
        </w:rPr>
        <w:t xml:space="preserve">5.5. </w:t>
      </w:r>
      <w:r>
        <w:rPr>
          <w:highlight w:val="none"/>
        </w:rPr>
        <w:t>检测结果小结</w:t>
      </w:r>
      <w:r>
        <w:tab/>
      </w:r>
      <w:r>
        <w:fldChar w:fldCharType="begin"/>
      </w:r>
      <w:r>
        <w:instrText xml:space="preserve"> PAGEREF _Toc31415 </w:instrText>
      </w:r>
      <w:r>
        <w:fldChar w:fldCharType="separate"/>
      </w:r>
      <w:r>
        <w:t>- 56 -</w:t>
      </w:r>
      <w:r>
        <w:fldChar w:fldCharType="end"/>
      </w:r>
      <w:r>
        <w:rPr>
          <w:color w:val="000000" w:themeColor="text1"/>
          <w:highlight w:val="none"/>
          <w14:textFill>
            <w14:solidFill>
              <w14:schemeClr w14:val="tx1"/>
            </w14:solidFill>
          </w14:textFill>
        </w:rPr>
        <w:fldChar w:fldCharType="end"/>
      </w:r>
    </w:p>
    <w:p w14:paraId="34811BCD">
      <w:pPr>
        <w:pStyle w:val="16"/>
        <w:tabs>
          <w:tab w:val="right" w:leader="dot" w:pos="9638"/>
        </w:tabs>
      </w:pPr>
      <w:r>
        <w:rPr>
          <w:b/>
          <w:bCs/>
          <w:color w:val="000000" w:themeColor="text1"/>
          <w:highlight w:val="none"/>
          <w14:textFill>
            <w14:solidFill>
              <w14:schemeClr w14:val="tx1"/>
            </w14:solidFill>
          </w14:textFill>
        </w:rPr>
        <w:fldChar w:fldCharType="begin"/>
      </w:r>
      <w:r>
        <w:rPr>
          <w:b/>
          <w:bCs/>
          <w:highlight w:val="none"/>
        </w:rPr>
        <w:instrText xml:space="preserve"> HYPERLINK \l _Toc32089 </w:instrText>
      </w:r>
      <w:r>
        <w:rPr>
          <w:b/>
          <w:bCs/>
          <w:highlight w:val="none"/>
        </w:rPr>
        <w:fldChar w:fldCharType="separate"/>
      </w:r>
      <w:r>
        <w:rPr>
          <w:b/>
          <w:bCs/>
        </w:rPr>
        <w:t xml:space="preserve">6. </w:t>
      </w:r>
      <w:r>
        <w:rPr>
          <w:b/>
          <w:bCs/>
          <w:highlight w:val="none"/>
        </w:rPr>
        <w:t>结论与建议</w:t>
      </w:r>
      <w:r>
        <w:rPr>
          <w:b/>
          <w:bCs/>
        </w:rPr>
        <w:tab/>
      </w:r>
      <w:r>
        <w:rPr>
          <w:b/>
          <w:bCs/>
        </w:rPr>
        <w:fldChar w:fldCharType="begin"/>
      </w:r>
      <w:r>
        <w:rPr>
          <w:b/>
          <w:bCs/>
        </w:rPr>
        <w:instrText xml:space="preserve"> PAGEREF _Toc32089 </w:instrText>
      </w:r>
      <w:r>
        <w:rPr>
          <w:b/>
          <w:bCs/>
        </w:rPr>
        <w:fldChar w:fldCharType="separate"/>
      </w:r>
      <w:r>
        <w:rPr>
          <w:b/>
          <w:bCs/>
        </w:rPr>
        <w:t>- 58 -</w:t>
      </w:r>
      <w:r>
        <w:rPr>
          <w:b/>
          <w:bCs/>
        </w:rPr>
        <w:fldChar w:fldCharType="end"/>
      </w:r>
      <w:r>
        <w:rPr>
          <w:b/>
          <w:bCs/>
          <w:color w:val="000000" w:themeColor="text1"/>
          <w:highlight w:val="none"/>
          <w14:textFill>
            <w14:solidFill>
              <w14:schemeClr w14:val="tx1"/>
            </w14:solidFill>
          </w14:textFill>
        </w:rPr>
        <w:fldChar w:fldCharType="end"/>
      </w:r>
    </w:p>
    <w:p w14:paraId="15D586CE">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_Toc20023 </w:instrText>
      </w:r>
      <w:r>
        <w:rPr>
          <w:highlight w:val="none"/>
        </w:rPr>
        <w:fldChar w:fldCharType="separate"/>
      </w:r>
      <w:r>
        <w:rPr>
          <w:szCs w:val="24"/>
        </w:rPr>
        <w:t xml:space="preserve">6.1. </w:t>
      </w:r>
      <w:r>
        <w:rPr>
          <w:highlight w:val="none"/>
        </w:rPr>
        <w:t>调查结论</w:t>
      </w:r>
      <w:r>
        <w:tab/>
      </w:r>
      <w:r>
        <w:fldChar w:fldCharType="begin"/>
      </w:r>
      <w:r>
        <w:instrText xml:space="preserve"> PAGEREF _Toc20023 </w:instrText>
      </w:r>
      <w:r>
        <w:fldChar w:fldCharType="separate"/>
      </w:r>
      <w:r>
        <w:t>- 58 -</w:t>
      </w:r>
      <w:r>
        <w:fldChar w:fldCharType="end"/>
      </w:r>
      <w:r>
        <w:rPr>
          <w:color w:val="000000" w:themeColor="text1"/>
          <w:highlight w:val="none"/>
          <w14:textFill>
            <w14:solidFill>
              <w14:schemeClr w14:val="tx1"/>
            </w14:solidFill>
          </w14:textFill>
        </w:rPr>
        <w:fldChar w:fldCharType="end"/>
      </w:r>
    </w:p>
    <w:p w14:paraId="6E1902D3">
      <w:pPr>
        <w:pStyle w:val="18"/>
        <w:tabs>
          <w:tab w:val="right" w:leader="dot" w:pos="9638"/>
        </w:tabs>
      </w:pPr>
      <w:r>
        <w:rPr>
          <w:color w:val="000000" w:themeColor="text1"/>
          <w:highlight w:val="none"/>
          <w14:textFill>
            <w14:solidFill>
              <w14:schemeClr w14:val="tx1"/>
            </w14:solidFill>
          </w14:textFill>
        </w:rPr>
        <w:fldChar w:fldCharType="begin"/>
      </w:r>
      <w:r>
        <w:rPr>
          <w:highlight w:val="none"/>
        </w:rPr>
        <w:instrText xml:space="preserve"> HYPERLINK \l _Toc15551 </w:instrText>
      </w:r>
      <w:r>
        <w:rPr>
          <w:highlight w:val="none"/>
        </w:rPr>
        <w:fldChar w:fldCharType="separate"/>
      </w:r>
      <w:r>
        <w:rPr>
          <w:szCs w:val="24"/>
        </w:rPr>
        <w:t xml:space="preserve">6.2. </w:t>
      </w:r>
      <w:r>
        <w:rPr>
          <w:highlight w:val="none"/>
        </w:rPr>
        <w:t>建议</w:t>
      </w:r>
      <w:r>
        <w:tab/>
      </w:r>
      <w:r>
        <w:fldChar w:fldCharType="begin"/>
      </w:r>
      <w:r>
        <w:instrText xml:space="preserve"> PAGEREF _Toc15551 </w:instrText>
      </w:r>
      <w:r>
        <w:fldChar w:fldCharType="separate"/>
      </w:r>
      <w:r>
        <w:t>- 59 -</w:t>
      </w:r>
      <w:r>
        <w:fldChar w:fldCharType="end"/>
      </w:r>
      <w:r>
        <w:rPr>
          <w:color w:val="000000" w:themeColor="text1"/>
          <w:highlight w:val="none"/>
          <w14:textFill>
            <w14:solidFill>
              <w14:schemeClr w14:val="tx1"/>
            </w14:solidFill>
          </w14:textFill>
        </w:rPr>
        <w:fldChar w:fldCharType="end"/>
      </w:r>
    </w:p>
    <w:p w14:paraId="246000F2">
      <w:pPr>
        <w:rPr>
          <w:b/>
          <w:color w:val="000000" w:themeColor="text1"/>
          <w:highlight w:val="none"/>
          <w14:textFill>
            <w14:solidFill>
              <w14:schemeClr w14:val="tx1"/>
            </w14:solidFill>
          </w14:textFill>
        </w:rPr>
        <w:sectPr>
          <w:headerReference r:id="rId5" w:type="default"/>
          <w:pgSz w:w="11906" w:h="16838"/>
          <w:pgMar w:top="1134" w:right="1134" w:bottom="1134" w:left="1134"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color w:val="000000" w:themeColor="text1"/>
          <w:highlight w:val="none"/>
          <w14:textFill>
            <w14:solidFill>
              <w14:schemeClr w14:val="tx1"/>
            </w14:solidFill>
          </w14:textFill>
        </w:rPr>
        <w:fldChar w:fldCharType="end"/>
      </w:r>
    </w:p>
    <w:p w14:paraId="24FF9582">
      <w:pPr>
        <w:pStyle w:val="30"/>
        <w:adjustRightInd w:val="0"/>
        <w:snapToGrid w:val="0"/>
        <w:spacing w:after="0"/>
        <w:ind w:firstLine="0" w:firstLineChars="0"/>
        <w:rPr>
          <w:b/>
          <w:bCs/>
          <w:caps/>
          <w:color w:val="000000" w:themeColor="text1"/>
          <w:szCs w:val="24"/>
          <w:highlight w:val="none"/>
          <w14:textFill>
            <w14:solidFill>
              <w14:schemeClr w14:val="tx1"/>
            </w14:solidFill>
          </w14:textFill>
        </w:rPr>
      </w:pPr>
    </w:p>
    <w:p w14:paraId="228A005C">
      <w:pPr>
        <w:pStyle w:val="30"/>
        <w:adjustRightInd w:val="0"/>
        <w:snapToGrid w:val="0"/>
        <w:spacing w:after="0"/>
        <w:ind w:firstLine="0" w:firstLineChars="0"/>
        <w:rPr>
          <w:b/>
          <w:bCs/>
          <w:caps/>
          <w:color w:val="000000" w:themeColor="text1"/>
          <w:szCs w:val="24"/>
          <w:highlight w:val="none"/>
          <w14:textFill>
            <w14:solidFill>
              <w14:schemeClr w14:val="tx1"/>
            </w14:solidFill>
          </w14:textFill>
        </w:rPr>
      </w:pPr>
    </w:p>
    <w:p w14:paraId="31E3A588">
      <w:pPr>
        <w:pStyle w:val="30"/>
        <w:adjustRightInd w:val="0"/>
        <w:snapToGrid w:val="0"/>
        <w:spacing w:after="0"/>
        <w:ind w:firstLine="0" w:firstLineChars="0"/>
        <w:rPr>
          <w:b/>
          <w:bCs/>
          <w:caps/>
          <w:color w:val="000000" w:themeColor="text1"/>
          <w:szCs w:val="24"/>
          <w:highlight w:val="none"/>
          <w14:textFill>
            <w14:solidFill>
              <w14:schemeClr w14:val="tx1"/>
            </w14:solidFill>
          </w14:textFill>
        </w:rPr>
      </w:pPr>
    </w:p>
    <w:p w14:paraId="6419D02E">
      <w:pPr>
        <w:pStyle w:val="30"/>
        <w:adjustRightInd w:val="0"/>
        <w:snapToGrid w:val="0"/>
        <w:spacing w:after="0"/>
        <w:ind w:firstLine="0" w:firstLineChars="0"/>
        <w:rPr>
          <w:b/>
          <w:bCs/>
          <w:caps/>
          <w:color w:val="000000" w:themeColor="text1"/>
          <w:szCs w:val="24"/>
          <w:highlight w:val="none"/>
          <w14:textFill>
            <w14:solidFill>
              <w14:schemeClr w14:val="tx1"/>
            </w14:solidFill>
          </w14:textFill>
        </w:rPr>
      </w:pPr>
      <w:r>
        <w:rPr>
          <w:b/>
          <w:bCs/>
          <w:caps/>
          <w:color w:val="000000" w:themeColor="text1"/>
          <w:szCs w:val="24"/>
          <w:highlight w:val="none"/>
          <w14:textFill>
            <w14:solidFill>
              <w14:schemeClr w14:val="tx1"/>
            </w14:solidFill>
          </w14:textFill>
        </w:rPr>
        <w:t>附件：</w:t>
      </w:r>
    </w:p>
    <w:p w14:paraId="780F9A03">
      <w:pPr>
        <w:pStyle w:val="30"/>
        <w:adjustRightInd w:val="0"/>
        <w:snapToGrid w:val="0"/>
        <w:spacing w:after="0"/>
        <w:ind w:firstLine="480"/>
        <w:rPr>
          <w:bCs/>
          <w:caps/>
          <w:color w:val="000000" w:themeColor="text1"/>
          <w:szCs w:val="24"/>
          <w:highlight w:val="none"/>
          <w14:textFill>
            <w14:solidFill>
              <w14:schemeClr w14:val="tx1"/>
            </w14:solidFill>
          </w14:textFill>
        </w:rPr>
      </w:pPr>
      <w:r>
        <w:rPr>
          <w:bCs/>
          <w:caps/>
          <w:color w:val="000000" w:themeColor="text1"/>
          <w:szCs w:val="24"/>
          <w:highlight w:val="none"/>
          <w14:textFill>
            <w14:solidFill>
              <w14:schemeClr w14:val="tx1"/>
            </w14:solidFill>
          </w14:textFill>
        </w:rPr>
        <w:t>附件1 现场记录</w:t>
      </w:r>
    </w:p>
    <w:p w14:paraId="057D3F69">
      <w:pPr>
        <w:pStyle w:val="30"/>
        <w:adjustRightInd w:val="0"/>
        <w:snapToGrid w:val="0"/>
        <w:spacing w:after="0"/>
        <w:ind w:firstLine="480"/>
        <w:rPr>
          <w:bCs/>
          <w:caps/>
          <w:color w:val="000000" w:themeColor="text1"/>
          <w:szCs w:val="24"/>
          <w:highlight w:val="none"/>
          <w14:textFill>
            <w14:solidFill>
              <w14:schemeClr w14:val="tx1"/>
            </w14:solidFill>
          </w14:textFill>
        </w:rPr>
      </w:pPr>
      <w:r>
        <w:rPr>
          <w:bCs/>
          <w:caps/>
          <w:color w:val="000000" w:themeColor="text1"/>
          <w:szCs w:val="24"/>
          <w:highlight w:val="none"/>
          <w14:textFill>
            <w14:solidFill>
              <w14:schemeClr w14:val="tx1"/>
            </w14:solidFill>
          </w14:textFill>
        </w:rPr>
        <w:t>附件2 检测单位资质证书</w:t>
      </w:r>
    </w:p>
    <w:p w14:paraId="35ADA897">
      <w:pPr>
        <w:pStyle w:val="30"/>
        <w:adjustRightInd w:val="0"/>
        <w:snapToGrid w:val="0"/>
        <w:spacing w:after="0"/>
        <w:ind w:firstLine="480"/>
        <w:rPr>
          <w:bCs/>
          <w:caps/>
          <w:color w:val="000000" w:themeColor="text1"/>
          <w:szCs w:val="24"/>
          <w:highlight w:val="none"/>
          <w14:textFill>
            <w14:solidFill>
              <w14:schemeClr w14:val="tx1"/>
            </w14:solidFill>
          </w14:textFill>
        </w:rPr>
      </w:pPr>
      <w:r>
        <w:rPr>
          <w:bCs/>
          <w:caps/>
          <w:color w:val="000000" w:themeColor="text1"/>
          <w:szCs w:val="24"/>
          <w:highlight w:val="none"/>
          <w14:textFill>
            <w14:solidFill>
              <w14:schemeClr w14:val="tx1"/>
            </w14:solidFill>
          </w14:textFill>
        </w:rPr>
        <w:t>附件3 监测报告</w:t>
      </w:r>
    </w:p>
    <w:p w14:paraId="5E9FC970">
      <w:pPr>
        <w:pStyle w:val="30"/>
        <w:adjustRightInd w:val="0"/>
        <w:snapToGrid w:val="0"/>
        <w:spacing w:after="0"/>
        <w:ind w:firstLine="480"/>
        <w:rPr>
          <w:rFonts w:hint="eastAsia" w:eastAsia="宋体"/>
          <w:bCs/>
          <w:caps/>
          <w:color w:val="000000" w:themeColor="text1"/>
          <w:szCs w:val="24"/>
          <w:highlight w:val="none"/>
          <w:lang w:eastAsia="zh-CN"/>
          <w14:textFill>
            <w14:solidFill>
              <w14:schemeClr w14:val="tx1"/>
            </w14:solidFill>
          </w14:textFill>
        </w:rPr>
      </w:pPr>
      <w:r>
        <w:rPr>
          <w:bCs/>
          <w:caps/>
          <w:color w:val="000000" w:themeColor="text1"/>
          <w:szCs w:val="24"/>
          <w:highlight w:val="none"/>
          <w14:textFill>
            <w14:solidFill>
              <w14:schemeClr w14:val="tx1"/>
            </w14:solidFill>
          </w14:textFill>
        </w:rPr>
        <w:t>附件4 质控报告</w:t>
      </w:r>
    </w:p>
    <w:p w14:paraId="0A951AED">
      <w:pPr>
        <w:pStyle w:val="30"/>
        <w:adjustRightInd w:val="0"/>
        <w:snapToGrid w:val="0"/>
        <w:spacing w:after="0"/>
        <w:ind w:firstLine="480"/>
        <w:rPr>
          <w:rFonts w:hint="eastAsia"/>
          <w:bCs/>
          <w:caps/>
          <w:szCs w:val="24"/>
          <w:highlight w:val="none"/>
        </w:rPr>
      </w:pPr>
      <w:r>
        <w:rPr>
          <w:rFonts w:hint="eastAsia"/>
          <w:bCs/>
          <w:caps/>
          <w:color w:val="000000" w:themeColor="text1"/>
          <w:szCs w:val="24"/>
          <w:highlight w:val="none"/>
          <w:lang w:val="en-US" w:eastAsia="zh-CN"/>
          <w14:textFill>
            <w14:solidFill>
              <w14:schemeClr w14:val="tx1"/>
            </w14:solidFill>
          </w14:textFill>
        </w:rPr>
        <w:t xml:space="preserve">附件5 </w:t>
      </w:r>
      <w:r>
        <w:rPr>
          <w:rFonts w:hint="eastAsia"/>
          <w:bCs/>
          <w:caps/>
          <w:color w:val="000000" w:themeColor="text1"/>
          <w:szCs w:val="24"/>
          <w:highlight w:val="none"/>
          <w14:textFill>
            <w14:solidFill>
              <w14:schemeClr w14:val="tx1"/>
            </w14:solidFill>
          </w14:textFill>
        </w:rPr>
        <w:t>现场采样情况说</w:t>
      </w:r>
      <w:r>
        <w:rPr>
          <w:rFonts w:hint="eastAsia"/>
          <w:bCs/>
          <w:caps/>
          <w:szCs w:val="24"/>
          <w:highlight w:val="none"/>
        </w:rPr>
        <w:t>明</w:t>
      </w:r>
    </w:p>
    <w:p w14:paraId="53C99F53">
      <w:pPr>
        <w:pStyle w:val="30"/>
        <w:adjustRightInd w:val="0"/>
        <w:snapToGrid w:val="0"/>
        <w:spacing w:after="0"/>
        <w:ind w:firstLine="480"/>
        <w:rPr>
          <w:highlight w:val="none"/>
        </w:rPr>
      </w:pPr>
      <w:r>
        <w:rPr>
          <w:rFonts w:hint="eastAsia" w:cs="Times New Roman"/>
          <w:bCs/>
          <w:caps/>
          <w:color w:val="auto"/>
          <w:szCs w:val="24"/>
          <w:highlight w:val="none"/>
          <w:lang w:val="en-US" w:eastAsia="zh-CN"/>
        </w:rPr>
        <w:t>附件6 地下水监测井洗井记录单</w:t>
      </w:r>
    </w:p>
    <w:p w14:paraId="3DB1A93F">
      <w:pPr>
        <w:pStyle w:val="30"/>
        <w:adjustRightInd w:val="0"/>
        <w:snapToGrid w:val="0"/>
        <w:spacing w:after="0"/>
        <w:ind w:firstLine="480"/>
        <w:rPr>
          <w:rFonts w:hint="eastAsia"/>
          <w:highlight w:val="none"/>
          <w:lang w:val="en-US" w:eastAsia="zh-CN"/>
        </w:rPr>
      </w:pPr>
      <w:r>
        <w:rPr>
          <w:rFonts w:hint="default"/>
          <w:highlight w:val="none"/>
        </w:rPr>
        <w:t>附件7</w:t>
      </w:r>
      <w:r>
        <w:rPr>
          <w:rFonts w:hint="eastAsia"/>
          <w:highlight w:val="none"/>
          <w:lang w:val="en-US" w:eastAsia="zh-CN"/>
        </w:rPr>
        <w:t xml:space="preserve"> 专家意见及签到表</w:t>
      </w:r>
    </w:p>
    <w:p w14:paraId="2BC7C6D8">
      <w:pPr>
        <w:pStyle w:val="30"/>
        <w:adjustRightInd w:val="0"/>
        <w:snapToGrid w:val="0"/>
        <w:spacing w:after="0"/>
        <w:ind w:firstLine="480"/>
        <w:rPr>
          <w:rFonts w:hint="eastAsia"/>
          <w:bCs/>
          <w:caps/>
          <w:szCs w:val="24"/>
          <w:highlight w:val="none"/>
          <w:lang w:eastAsia="zh-CN"/>
        </w:rPr>
      </w:pPr>
    </w:p>
    <w:p w14:paraId="076F07B1">
      <w:pPr>
        <w:pStyle w:val="30"/>
        <w:adjustRightInd w:val="0"/>
        <w:snapToGrid w:val="0"/>
        <w:spacing w:after="0"/>
        <w:ind w:firstLine="480"/>
        <w:rPr>
          <w:rFonts w:hint="default" w:eastAsia="宋体"/>
          <w:bCs/>
          <w:caps/>
          <w:color w:val="000000" w:themeColor="text1"/>
          <w:szCs w:val="24"/>
          <w:highlight w:val="none"/>
          <w:lang w:val="en-US" w:eastAsia="zh-CN"/>
          <w14:textFill>
            <w14:solidFill>
              <w14:schemeClr w14:val="tx1"/>
            </w14:solidFill>
          </w14:textFill>
        </w:rPr>
      </w:pPr>
    </w:p>
    <w:p w14:paraId="469AC92C">
      <w:pPr>
        <w:pStyle w:val="30"/>
        <w:adjustRightInd w:val="0"/>
        <w:snapToGrid w:val="0"/>
        <w:spacing w:after="0"/>
        <w:ind w:firstLine="480"/>
        <w:rPr>
          <w:bCs/>
          <w:caps/>
          <w:color w:val="000000" w:themeColor="text1"/>
          <w:szCs w:val="24"/>
          <w:highlight w:val="none"/>
          <w14:textFill>
            <w14:solidFill>
              <w14:schemeClr w14:val="tx1"/>
            </w14:solidFill>
          </w14:textFill>
        </w:rPr>
      </w:pPr>
    </w:p>
    <w:p w14:paraId="148B24FA">
      <w:pPr>
        <w:pStyle w:val="30"/>
        <w:adjustRightInd w:val="0"/>
        <w:snapToGrid w:val="0"/>
        <w:spacing w:after="0"/>
        <w:ind w:firstLine="480"/>
        <w:rPr>
          <w:bCs/>
          <w:caps/>
          <w:color w:val="000000" w:themeColor="text1"/>
          <w:szCs w:val="24"/>
          <w:highlight w:val="none"/>
          <w14:textFill>
            <w14:solidFill>
              <w14:schemeClr w14:val="tx1"/>
            </w14:solidFill>
          </w14:textFill>
        </w:rPr>
      </w:pPr>
    </w:p>
    <w:p w14:paraId="701E1252">
      <w:pPr>
        <w:pStyle w:val="30"/>
        <w:adjustRightInd w:val="0"/>
        <w:snapToGrid w:val="0"/>
        <w:spacing w:after="0"/>
        <w:ind w:firstLine="480"/>
        <w:rPr>
          <w:bCs/>
          <w:caps/>
          <w:color w:val="000000" w:themeColor="text1"/>
          <w:szCs w:val="24"/>
          <w:highlight w:val="none"/>
          <w14:textFill>
            <w14:solidFill>
              <w14:schemeClr w14:val="tx1"/>
            </w14:solidFill>
          </w14:textFill>
        </w:rPr>
      </w:pPr>
    </w:p>
    <w:p w14:paraId="7C8EE243">
      <w:pPr>
        <w:pStyle w:val="30"/>
        <w:adjustRightInd w:val="0"/>
        <w:snapToGrid w:val="0"/>
        <w:spacing w:after="0"/>
        <w:ind w:firstLine="0" w:firstLineChars="0"/>
        <w:rPr>
          <w:b/>
          <w:bCs/>
          <w:caps/>
          <w:color w:val="000000" w:themeColor="text1"/>
          <w:szCs w:val="24"/>
          <w:highlight w:val="none"/>
          <w14:textFill>
            <w14:solidFill>
              <w14:schemeClr w14:val="tx1"/>
            </w14:solidFill>
          </w14:textFill>
        </w:rPr>
      </w:pPr>
      <w:r>
        <w:rPr>
          <w:b/>
          <w:bCs/>
          <w:caps/>
          <w:color w:val="000000" w:themeColor="text1"/>
          <w:szCs w:val="24"/>
          <w:highlight w:val="none"/>
          <w14:textFill>
            <w14:solidFill>
              <w14:schemeClr w14:val="tx1"/>
            </w14:solidFill>
          </w14:textFill>
        </w:rPr>
        <w:t>附图：</w:t>
      </w:r>
    </w:p>
    <w:p w14:paraId="30F8C06A">
      <w:pPr>
        <w:pStyle w:val="30"/>
        <w:adjustRightInd w:val="0"/>
        <w:snapToGrid w:val="0"/>
        <w:spacing w:after="0"/>
        <w:ind w:firstLine="480"/>
        <w:rPr>
          <w:bCs/>
          <w:caps/>
          <w:color w:val="000000" w:themeColor="text1"/>
          <w:szCs w:val="24"/>
          <w:highlight w:val="none"/>
          <w14:textFill>
            <w14:solidFill>
              <w14:schemeClr w14:val="tx1"/>
            </w14:solidFill>
          </w14:textFill>
        </w:rPr>
      </w:pPr>
      <w:r>
        <w:rPr>
          <w:rFonts w:hint="eastAsia"/>
          <w:bCs/>
          <w:caps/>
          <w:color w:val="000000" w:themeColor="text1"/>
          <w:szCs w:val="24"/>
          <w:highlight w:val="none"/>
          <w14:textFill>
            <w14:solidFill>
              <w14:schemeClr w14:val="tx1"/>
            </w14:solidFill>
          </w14:textFill>
        </w:rPr>
        <w:t>附图1 花湖开发区地理位置图</w:t>
      </w:r>
    </w:p>
    <w:p w14:paraId="55CFB53E">
      <w:pPr>
        <w:pStyle w:val="30"/>
        <w:adjustRightInd w:val="0"/>
        <w:snapToGrid w:val="0"/>
        <w:spacing w:after="0"/>
        <w:ind w:firstLine="480"/>
        <w:rPr>
          <w:bCs/>
          <w:caps/>
          <w:color w:val="000000" w:themeColor="text1"/>
          <w:szCs w:val="24"/>
          <w:highlight w:val="none"/>
          <w14:textFill>
            <w14:solidFill>
              <w14:schemeClr w14:val="tx1"/>
            </w14:solidFill>
          </w14:textFill>
        </w:rPr>
      </w:pPr>
      <w:r>
        <w:rPr>
          <w:rFonts w:hint="eastAsia"/>
          <w:bCs/>
          <w:caps/>
          <w:color w:val="000000" w:themeColor="text1"/>
          <w:szCs w:val="24"/>
          <w:highlight w:val="none"/>
          <w14:textFill>
            <w14:solidFill>
              <w14:schemeClr w14:val="tx1"/>
            </w14:solidFill>
          </w14:textFill>
        </w:rPr>
        <w:t>附图2 花湖开发区调查范围及周边情况图</w:t>
      </w:r>
    </w:p>
    <w:p w14:paraId="1316F072">
      <w:pPr>
        <w:pStyle w:val="30"/>
        <w:adjustRightInd w:val="0"/>
        <w:snapToGrid w:val="0"/>
        <w:spacing w:after="0"/>
        <w:ind w:firstLine="480"/>
        <w:rPr>
          <w:bCs/>
          <w:caps/>
          <w:color w:val="000000" w:themeColor="text1"/>
          <w:szCs w:val="24"/>
          <w:highlight w:val="none"/>
          <w14:textFill>
            <w14:solidFill>
              <w14:schemeClr w14:val="tx1"/>
            </w14:solidFill>
          </w14:textFill>
        </w:rPr>
      </w:pPr>
      <w:r>
        <w:rPr>
          <w:bCs/>
          <w:caps/>
          <w:color w:val="000000" w:themeColor="text1"/>
          <w:szCs w:val="24"/>
          <w:highlight w:val="none"/>
          <w14:textFill>
            <w14:solidFill>
              <w14:schemeClr w14:val="tx1"/>
            </w14:solidFill>
          </w14:textFill>
        </w:rPr>
        <w:t>附图3 鄂州市远景城乡产业结构图</w:t>
      </w:r>
    </w:p>
    <w:p w14:paraId="3EB6C6E6">
      <w:pPr>
        <w:pStyle w:val="30"/>
        <w:adjustRightInd w:val="0"/>
        <w:snapToGrid w:val="0"/>
        <w:spacing w:after="0"/>
        <w:ind w:firstLine="480"/>
        <w:rPr>
          <w:bCs/>
          <w:caps/>
          <w:color w:val="000000" w:themeColor="text1"/>
          <w:szCs w:val="24"/>
          <w:highlight w:val="none"/>
          <w14:textFill>
            <w14:solidFill>
              <w14:schemeClr w14:val="tx1"/>
            </w14:solidFill>
          </w14:textFill>
        </w:rPr>
      </w:pPr>
      <w:r>
        <w:rPr>
          <w:rFonts w:hint="eastAsia"/>
          <w:bCs/>
          <w:caps/>
          <w:color w:val="000000" w:themeColor="text1"/>
          <w:szCs w:val="24"/>
          <w:highlight w:val="none"/>
          <w14:textFill>
            <w14:solidFill>
              <w14:schemeClr w14:val="tx1"/>
            </w14:solidFill>
          </w14:textFill>
        </w:rPr>
        <w:t>附图4 湖北鄂州花湖经济开发区土地利用规划图</w:t>
      </w:r>
    </w:p>
    <w:p w14:paraId="591AD78F">
      <w:pPr>
        <w:pStyle w:val="30"/>
        <w:adjustRightInd w:val="0"/>
        <w:snapToGrid w:val="0"/>
        <w:spacing w:after="0"/>
        <w:ind w:firstLine="480"/>
        <w:rPr>
          <w:bCs/>
          <w:caps/>
          <w:color w:val="000000" w:themeColor="text1"/>
          <w:szCs w:val="24"/>
          <w:highlight w:val="none"/>
          <w14:textFill>
            <w14:solidFill>
              <w14:schemeClr w14:val="tx1"/>
            </w14:solidFill>
          </w14:textFill>
        </w:rPr>
      </w:pPr>
      <w:r>
        <w:rPr>
          <w:rFonts w:hint="eastAsia"/>
          <w:bCs/>
          <w:caps/>
          <w:color w:val="000000" w:themeColor="text1"/>
          <w:szCs w:val="24"/>
          <w:highlight w:val="none"/>
          <w14:textFill>
            <w14:solidFill>
              <w14:schemeClr w14:val="tx1"/>
            </w14:solidFill>
          </w14:textFill>
        </w:rPr>
        <w:t>附图5 花湖开发区</w:t>
      </w:r>
      <w:r>
        <w:rPr>
          <w:rFonts w:hint="default" w:ascii="Times New Roman" w:hAnsi="Times New Roman" w:cs="Times New Roman"/>
          <w:bCs/>
          <w:caps/>
          <w:color w:val="auto"/>
          <w:szCs w:val="24"/>
          <w:highlight w:val="none"/>
          <w:lang w:val="en-US" w:eastAsia="zh-CN"/>
        </w:rPr>
        <w:t>已建成企业</w:t>
      </w:r>
      <w:r>
        <w:rPr>
          <w:rFonts w:hint="eastAsia" w:cs="Times New Roman"/>
          <w:bCs/>
          <w:caps/>
          <w:color w:val="auto"/>
          <w:szCs w:val="24"/>
          <w:highlight w:val="none"/>
          <w:lang w:val="en-US" w:eastAsia="zh-CN"/>
        </w:rPr>
        <w:t>聚集区及典型企业</w:t>
      </w:r>
      <w:r>
        <w:rPr>
          <w:rFonts w:hint="default" w:ascii="Times New Roman" w:hAnsi="Times New Roman" w:cs="Times New Roman"/>
          <w:bCs/>
          <w:caps/>
          <w:color w:val="auto"/>
          <w:szCs w:val="24"/>
          <w:highlight w:val="none"/>
          <w:lang w:val="en-US" w:eastAsia="zh-CN"/>
        </w:rPr>
        <w:t>分布图</w:t>
      </w:r>
    </w:p>
    <w:p w14:paraId="0CC35E09">
      <w:pPr>
        <w:pStyle w:val="30"/>
        <w:adjustRightInd w:val="0"/>
        <w:snapToGrid w:val="0"/>
        <w:spacing w:after="0"/>
        <w:ind w:firstLine="480"/>
        <w:rPr>
          <w:rFonts w:hint="eastAsia"/>
          <w:bCs/>
          <w:caps/>
          <w:color w:val="000000" w:themeColor="text1"/>
          <w:szCs w:val="24"/>
          <w:highlight w:val="none"/>
          <w14:textFill>
            <w14:solidFill>
              <w14:schemeClr w14:val="tx1"/>
            </w14:solidFill>
          </w14:textFill>
        </w:rPr>
        <w:sectPr>
          <w:headerReference r:id="rId6" w:type="default"/>
          <w:footerReference r:id="rId7" w:type="default"/>
          <w:pgSz w:w="11906" w:h="16838"/>
          <w:pgMar w:top="1134" w:right="1134" w:bottom="1134"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bCs/>
          <w:caps/>
          <w:color w:val="000000" w:themeColor="text1"/>
          <w:szCs w:val="24"/>
          <w:highlight w:val="none"/>
          <w14:textFill>
            <w14:solidFill>
              <w14:schemeClr w14:val="tx1"/>
            </w14:solidFill>
          </w14:textFill>
        </w:rPr>
        <w:t>附图6 土壤和地下水实际采样点位分布图</w:t>
      </w:r>
    </w:p>
    <w:p w14:paraId="3E49261B">
      <w:pPr>
        <w:pStyle w:val="30"/>
        <w:adjustRightInd w:val="0"/>
        <w:snapToGrid w:val="0"/>
        <w:spacing w:after="0"/>
        <w:ind w:firstLine="480"/>
        <w:rPr>
          <w:rFonts w:hint="eastAsia"/>
          <w:bCs/>
          <w:caps/>
          <w:color w:val="000000" w:themeColor="text1"/>
          <w:szCs w:val="24"/>
          <w:highlight w:val="none"/>
          <w14:textFill>
            <w14:solidFill>
              <w14:schemeClr w14:val="tx1"/>
            </w14:solidFill>
          </w14:textFill>
        </w:rPr>
      </w:pPr>
    </w:p>
    <w:p w14:paraId="4FAF0610">
      <w:pPr>
        <w:pStyle w:val="30"/>
        <w:adjustRightInd w:val="0"/>
        <w:snapToGrid w:val="0"/>
        <w:spacing w:after="0"/>
        <w:ind w:firstLine="480"/>
        <w:rPr>
          <w:bCs/>
          <w:caps/>
          <w:color w:val="000000" w:themeColor="text1"/>
          <w:szCs w:val="24"/>
          <w:highlight w:val="none"/>
          <w14:textFill>
            <w14:solidFill>
              <w14:schemeClr w14:val="tx1"/>
            </w14:solidFill>
          </w14:textFill>
        </w:rPr>
      </w:pPr>
    </w:p>
    <w:p w14:paraId="16D2D146">
      <w:pPr>
        <w:pStyle w:val="30"/>
        <w:adjustRightInd w:val="0"/>
        <w:snapToGrid w:val="0"/>
        <w:spacing w:after="0"/>
        <w:ind w:firstLine="480"/>
        <w:rPr>
          <w:bCs/>
          <w:caps/>
          <w:color w:val="000000" w:themeColor="text1"/>
          <w:szCs w:val="24"/>
          <w:highlight w:val="none"/>
          <w14:textFill>
            <w14:solidFill>
              <w14:schemeClr w14:val="tx1"/>
            </w14:solidFill>
          </w14:textFill>
        </w:rPr>
        <w:sectPr>
          <w:headerReference r:id="rId8" w:type="default"/>
          <w:pgSz w:w="11906" w:h="16838"/>
          <w:pgMar w:top="1134" w:right="1134" w:bottom="1134"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150EF40D">
      <w:pPr>
        <w:pStyle w:val="30"/>
        <w:adjustRightInd w:val="0"/>
        <w:snapToGrid w:val="0"/>
        <w:spacing w:after="0"/>
        <w:ind w:firstLine="480"/>
        <w:rPr>
          <w:bCs/>
          <w:caps/>
          <w:color w:val="000000" w:themeColor="text1"/>
          <w:szCs w:val="24"/>
          <w:highlight w:val="none"/>
          <w14:textFill>
            <w14:solidFill>
              <w14:schemeClr w14:val="tx1"/>
            </w14:solidFill>
          </w14:textFill>
        </w:rPr>
      </w:pPr>
    </w:p>
    <w:p w14:paraId="30DC25B8">
      <w:pPr>
        <w:pStyle w:val="3"/>
        <w:pageBreakBefore w:val="0"/>
        <w:numPr>
          <w:ilvl w:val="0"/>
          <w:numId w:val="1"/>
        </w:numPr>
        <w:tabs>
          <w:tab w:val="clear" w:pos="425"/>
        </w:tabs>
        <w:rPr>
          <w:color w:val="000000" w:themeColor="text1"/>
          <w:highlight w:val="none"/>
          <w14:textFill>
            <w14:solidFill>
              <w14:schemeClr w14:val="tx1"/>
            </w14:solidFill>
          </w14:textFill>
        </w:rPr>
      </w:pPr>
      <w:bookmarkStart w:id="0" w:name="_Toc16278"/>
      <w:r>
        <w:rPr>
          <w:color w:val="000000" w:themeColor="text1"/>
          <w:highlight w:val="none"/>
          <w14:textFill>
            <w14:solidFill>
              <w14:schemeClr w14:val="tx1"/>
            </w14:solidFill>
          </w14:textFill>
        </w:rPr>
        <w:t>概述</w:t>
      </w:r>
      <w:bookmarkEnd w:id="0"/>
    </w:p>
    <w:p w14:paraId="692B46A8">
      <w:pPr>
        <w:pStyle w:val="4"/>
        <w:tabs>
          <w:tab w:val="left" w:leader="dot" w:pos="0"/>
          <w:tab w:val="clear" w:pos="567"/>
        </w:tabs>
        <w:rPr>
          <w:color w:val="000000" w:themeColor="text1"/>
          <w:highlight w:val="none"/>
          <w14:textFill>
            <w14:solidFill>
              <w14:schemeClr w14:val="tx1"/>
            </w14:solidFill>
          </w14:textFill>
        </w:rPr>
      </w:pPr>
      <w:bookmarkStart w:id="1" w:name="_Toc10642668"/>
      <w:bookmarkStart w:id="2" w:name="_Toc20813"/>
      <w:r>
        <w:rPr>
          <w:color w:val="000000" w:themeColor="text1"/>
          <w:highlight w:val="none"/>
          <w14:textFill>
            <w14:solidFill>
              <w14:schemeClr w14:val="tx1"/>
            </w14:solidFill>
          </w14:textFill>
        </w:rPr>
        <w:t>项目由来</w:t>
      </w:r>
      <w:bookmarkEnd w:id="1"/>
      <w:bookmarkEnd w:id="2"/>
    </w:p>
    <w:p w14:paraId="53E1D871">
      <w:pPr>
        <w:ind w:left="1" w:firstLine="480" w:firstLineChars="200"/>
        <w:rPr>
          <w:rFonts w:eastAsiaTheme="minorEastAsia"/>
          <w:highlight w:val="none"/>
        </w:rPr>
      </w:pPr>
      <w:r>
        <w:rPr>
          <w:rFonts w:ascii="宋体" w:hAnsi="宋体" w:eastAsia="宋体" w:cs="宋体"/>
          <w:sz w:val="24"/>
          <w:szCs w:val="24"/>
          <w:highlight w:val="none"/>
        </w:rPr>
        <w:t>为贯彻落</w:t>
      </w:r>
      <w:r>
        <w:rPr>
          <w:rFonts w:hint="default" w:ascii="Times New Roman" w:hAnsi="Times New Roman" w:eastAsia="宋体" w:cs="Times New Roman"/>
          <w:sz w:val="24"/>
          <w:szCs w:val="24"/>
          <w:highlight w:val="none"/>
        </w:rPr>
        <w:t>实《中华人民共和国土壤污染防治法》、《国务院关于印发土壤污染防治行动计划的通知》（国发〔2016〕31号）、《省人民政府关于印发湖北省土壤污染防治行动计划工作方案的通知》（鄂政发〔2016〕85号）、《市人民政府关于印发鄂州市土壤污染防治工作方案的通知》、《鄂州市土壤污染治理与修复规划（2018-2020）》中“有关环境保护部门要定期对重点监管企业和工业园区周边开展监测”的要求，切实推进鄂州市土壤污染防治工作，摸清重点监管单位及工业园区土壤污染状况，将调查结果作为风险预警的重要依据，2020年9月，鄂州市生态环境局委托湖北君邦环境技术有限责任公司开展鄂州市华容创业园、三江港经济区、城东产业园（鄂城新区）、鄂州经济开发区、花湖开发区共五个工业园周边土壤环境质量调查工作。接受委托后，湖北君邦环境技术有限责任公司（以下简称“我公司”）于2020年10月至12月开展了现场调查和样品采集工作，结合园区现场情况及前期收集的相关资料，基于现场采集送检样品的检测数据开展数</w:t>
      </w:r>
      <w:r>
        <w:rPr>
          <w:rFonts w:ascii="宋体" w:hAnsi="宋体" w:eastAsia="宋体" w:cs="宋体"/>
          <w:sz w:val="24"/>
          <w:szCs w:val="24"/>
          <w:highlight w:val="none"/>
        </w:rPr>
        <w:t>据分析及报告编制工作。</w:t>
      </w:r>
    </w:p>
    <w:p w14:paraId="796C871D">
      <w:pPr>
        <w:ind w:left="1" w:firstLine="480" w:firstLineChars="200"/>
        <w:rPr>
          <w:rFonts w:eastAsiaTheme="minorEastAsia"/>
          <w:b/>
          <w:bCs/>
          <w:highlight w:val="none"/>
        </w:rPr>
      </w:pPr>
      <w:r>
        <w:rPr>
          <w:rFonts w:hint="eastAsia" w:eastAsiaTheme="minorEastAsia"/>
          <w:highlight w:val="none"/>
        </w:rPr>
        <w:t>其中，花湖开发区位于鄂州市鄂城区，与黄石市接壤，调查面积为26.42km</w:t>
      </w:r>
      <w:r>
        <w:rPr>
          <w:rFonts w:hint="eastAsia" w:eastAsiaTheme="minorEastAsia"/>
          <w:highlight w:val="none"/>
          <w:vertAlign w:val="superscript"/>
        </w:rPr>
        <w:t>2</w:t>
      </w:r>
      <w:r>
        <w:rPr>
          <w:rFonts w:hint="eastAsia" w:eastAsiaTheme="minorEastAsia"/>
          <w:highlight w:val="none"/>
        </w:rPr>
        <w:t>。我公司</w:t>
      </w:r>
      <w:r>
        <w:rPr>
          <w:rFonts w:eastAsiaTheme="minorEastAsia"/>
          <w:highlight w:val="none"/>
        </w:rPr>
        <w:t>于</w:t>
      </w:r>
      <w:r>
        <w:rPr>
          <w:rFonts w:hint="eastAsia" w:eastAsiaTheme="minorEastAsia"/>
          <w:highlight w:val="none"/>
          <w:lang w:eastAsia="zh-CN"/>
        </w:rPr>
        <w:t>2021年2月</w:t>
      </w:r>
      <w:r>
        <w:rPr>
          <w:rFonts w:eastAsiaTheme="minorEastAsia"/>
          <w:highlight w:val="none"/>
        </w:rPr>
        <w:t>编制完成了《鄂州市工业园区周边土壤质量调查评估报告（2020年）——</w:t>
      </w:r>
      <w:r>
        <w:rPr>
          <w:rFonts w:hint="eastAsia" w:eastAsiaTheme="minorEastAsia"/>
          <w:highlight w:val="none"/>
        </w:rPr>
        <w:t xml:space="preserve">花湖开发区 </w:t>
      </w:r>
      <w:r>
        <w:rPr>
          <w:rFonts w:eastAsiaTheme="minorEastAsia"/>
          <w:highlight w:val="none"/>
        </w:rPr>
        <w:t>（送审稿）》</w:t>
      </w:r>
      <w:r>
        <w:rPr>
          <w:rFonts w:hint="eastAsia" w:eastAsiaTheme="minorEastAsia"/>
          <w:highlight w:val="none"/>
          <w:lang w:eastAsia="zh-CN"/>
        </w:rPr>
        <w:t>，</w:t>
      </w:r>
      <w:r>
        <w:rPr>
          <w:rFonts w:hint="eastAsia" w:cs="Times New Roman" w:eastAsiaTheme="minorEastAsia"/>
          <w:color w:val="auto"/>
          <w:sz w:val="24"/>
          <w:szCs w:val="24"/>
          <w:highlight w:val="none"/>
          <w:shd w:val="clear" w:color="auto" w:fill="auto"/>
          <w:lang w:val="en-US" w:eastAsia="zh-CN"/>
        </w:rPr>
        <w:t>并于2021年2月7日通过了专家评审会（专家意见见附件7）。现将</w:t>
      </w:r>
      <w:r>
        <w:rPr>
          <w:rFonts w:eastAsiaTheme="minorEastAsia"/>
          <w:highlight w:val="none"/>
        </w:rPr>
        <w:t>《鄂州市工业园区周边土壤质量调查评估报告（2020年）——</w:t>
      </w:r>
      <w:r>
        <w:rPr>
          <w:rFonts w:hint="eastAsia" w:eastAsiaTheme="minorEastAsia"/>
          <w:highlight w:val="none"/>
        </w:rPr>
        <w:t xml:space="preserve">花湖开发区 </w:t>
      </w:r>
      <w:r>
        <w:rPr>
          <w:rFonts w:eastAsiaTheme="minorEastAsia"/>
          <w:highlight w:val="none"/>
        </w:rPr>
        <w:t>（</w:t>
      </w:r>
      <w:r>
        <w:rPr>
          <w:rFonts w:hint="eastAsia" w:eastAsiaTheme="minorEastAsia"/>
          <w:highlight w:val="none"/>
          <w:lang w:val="en-US" w:eastAsia="zh-CN"/>
        </w:rPr>
        <w:t>备案稿</w:t>
      </w:r>
      <w:r>
        <w:rPr>
          <w:rFonts w:eastAsiaTheme="minorEastAsia"/>
          <w:highlight w:val="none"/>
        </w:rPr>
        <w:t>）》</w:t>
      </w:r>
      <w:r>
        <w:rPr>
          <w:rFonts w:hint="eastAsia" w:cs="Times New Roman" w:eastAsiaTheme="minorEastAsia"/>
          <w:color w:val="auto"/>
          <w:sz w:val="24"/>
          <w:szCs w:val="24"/>
          <w:highlight w:val="none"/>
          <w:shd w:val="clear" w:color="auto" w:fill="auto"/>
          <w:lang w:val="en-US" w:eastAsia="zh-CN"/>
        </w:rPr>
        <w:t>交由鄂州市生态环境局备案</w:t>
      </w:r>
      <w:r>
        <w:rPr>
          <w:rFonts w:eastAsiaTheme="minorEastAsia"/>
          <w:highlight w:val="none"/>
        </w:rPr>
        <w:t>。</w:t>
      </w:r>
    </w:p>
    <w:p w14:paraId="2D2EA567">
      <w:pPr>
        <w:pStyle w:val="4"/>
        <w:tabs>
          <w:tab w:val="left" w:leader="dot" w:pos="0"/>
          <w:tab w:val="clear" w:pos="567"/>
        </w:tabs>
        <w:rPr>
          <w:color w:val="000000" w:themeColor="text1"/>
          <w:highlight w:val="none"/>
          <w14:textFill>
            <w14:solidFill>
              <w14:schemeClr w14:val="tx1"/>
            </w14:solidFill>
          </w14:textFill>
        </w:rPr>
      </w:pPr>
      <w:bookmarkStart w:id="3" w:name="_Toc15371849"/>
      <w:bookmarkStart w:id="4" w:name="_Toc16980"/>
      <w:r>
        <w:rPr>
          <w:color w:val="000000" w:themeColor="text1"/>
          <w:highlight w:val="none"/>
          <w14:textFill>
            <w14:solidFill>
              <w14:schemeClr w14:val="tx1"/>
            </w14:solidFill>
          </w14:textFill>
        </w:rPr>
        <w:t>调查目的和原则</w:t>
      </w:r>
      <w:bookmarkEnd w:id="3"/>
      <w:bookmarkEnd w:id="4"/>
    </w:p>
    <w:p w14:paraId="72A9DA91">
      <w:pPr>
        <w:pStyle w:val="5"/>
        <w:tabs>
          <w:tab w:val="clear" w:pos="851"/>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调查目的</w:t>
      </w:r>
    </w:p>
    <w:p w14:paraId="617C8001">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本次调查的目的为：</w:t>
      </w:r>
    </w:p>
    <w:p w14:paraId="593F7153">
      <w:pPr>
        <w:numPr>
          <w:ilvl w:val="0"/>
          <w:numId w:val="4"/>
        </w:numPr>
        <w:ind w:firstLine="480" w:firstLineChars="200"/>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初步了解</w:t>
      </w:r>
      <w:r>
        <w:rPr>
          <w:color w:val="000000" w:themeColor="text1"/>
          <w:kern w:val="0"/>
          <w:highlight w:val="none"/>
          <w14:textFill>
            <w14:solidFill>
              <w14:schemeClr w14:val="tx1"/>
            </w14:solidFill>
          </w14:textFill>
        </w:rPr>
        <w:t>工业园区周边是否存在土壤和地下水污染；</w:t>
      </w:r>
    </w:p>
    <w:p w14:paraId="6B9827E6">
      <w:pPr>
        <w:numPr>
          <w:ilvl w:val="0"/>
          <w:numId w:val="4"/>
        </w:num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了解工业园区内已建成企业分布情况，</w:t>
      </w:r>
      <w:r>
        <w:rPr>
          <w:rFonts w:hint="eastAsia"/>
          <w:color w:val="000000" w:themeColor="text1"/>
          <w:kern w:val="0"/>
          <w:highlight w:val="none"/>
          <w14:textFill>
            <w14:solidFill>
              <w14:schemeClr w14:val="tx1"/>
            </w14:solidFill>
          </w14:textFill>
        </w:rPr>
        <w:t>调查</w:t>
      </w:r>
      <w:r>
        <w:rPr>
          <w:color w:val="000000" w:themeColor="text1"/>
          <w:kern w:val="0"/>
          <w:highlight w:val="none"/>
          <w14:textFill>
            <w14:solidFill>
              <w14:schemeClr w14:val="tx1"/>
            </w14:solidFill>
          </w14:textFill>
        </w:rPr>
        <w:t>工业园内已建成企业聚集区周边是否存在土壤和地下水污染；</w:t>
      </w:r>
    </w:p>
    <w:p w14:paraId="03B9006A">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（3）若存在污染，明确调查范围内土壤和地下水中污染物类别，初步分析污染成因；</w:t>
      </w:r>
    </w:p>
    <w:p w14:paraId="49B5BECF">
      <w:pPr>
        <w:ind w:left="1"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（4）对土壤及地下水环境质量现状进行评价，为环境风险预警提供重要依据。</w:t>
      </w:r>
    </w:p>
    <w:p w14:paraId="142BD25A">
      <w:pPr>
        <w:pStyle w:val="5"/>
        <w:tabs>
          <w:tab w:val="clear" w:pos="851"/>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调查原则</w:t>
      </w:r>
    </w:p>
    <w:p w14:paraId="3B31BFD7">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（1）针对性原则</w:t>
      </w:r>
    </w:p>
    <w:p w14:paraId="0149D447">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根据鄂州市</w:t>
      </w:r>
      <w:r>
        <w:rPr>
          <w:rFonts w:hint="eastAsia"/>
          <w:color w:val="000000" w:themeColor="text1"/>
          <w:kern w:val="0"/>
          <w:highlight w:val="none"/>
          <w14:textFill>
            <w14:solidFill>
              <w14:schemeClr w14:val="tx1"/>
            </w14:solidFill>
          </w14:textFill>
        </w:rPr>
        <w:t>花湖开发区</w:t>
      </w:r>
      <w:r>
        <w:rPr>
          <w:rFonts w:hint="eastAsia"/>
          <w:color w:val="000000" w:themeColor="text1"/>
          <w:kern w:val="0"/>
          <w:highlight w:val="none"/>
          <w:lang w:val="en-US" w:eastAsia="zh-CN"/>
          <w14:textFill>
            <w14:solidFill>
              <w14:schemeClr w14:val="tx1"/>
            </w14:solidFill>
          </w14:textFill>
        </w:rPr>
        <w:t>工业园区的</w:t>
      </w:r>
      <w:r>
        <w:rPr>
          <w:color w:val="000000" w:themeColor="text1"/>
          <w:kern w:val="0"/>
          <w:highlight w:val="none"/>
          <w14:textFill>
            <w14:solidFill>
              <w14:schemeClr w14:val="tx1"/>
            </w14:solidFill>
          </w14:textFill>
        </w:rPr>
        <w:t>土地利用现状、已建成企业分布情况，将整个工业园园区</w:t>
      </w:r>
      <w:r>
        <w:rPr>
          <w:rFonts w:hint="eastAsia"/>
          <w:color w:val="000000" w:themeColor="text1"/>
          <w:kern w:val="0"/>
          <w:highlight w:val="none"/>
          <w:lang w:val="en-US" w:eastAsia="zh-CN"/>
          <w14:textFill>
            <w14:solidFill>
              <w14:schemeClr w14:val="tx1"/>
            </w14:solidFill>
          </w14:textFill>
        </w:rPr>
        <w:t>及园区内</w:t>
      </w:r>
      <w:r>
        <w:rPr>
          <w:color w:val="000000" w:themeColor="text1"/>
          <w:kern w:val="0"/>
          <w:highlight w:val="none"/>
          <w14:textFill>
            <w14:solidFill>
              <w14:schemeClr w14:val="tx1"/>
            </w14:solidFill>
          </w14:textFill>
        </w:rPr>
        <w:t>已建成企业聚集区域作为调查重点；根据园区产业功能定位、</w:t>
      </w:r>
      <w:r>
        <w:rPr>
          <w:rFonts w:hint="eastAsia"/>
          <w:color w:val="000000" w:themeColor="text1"/>
          <w:kern w:val="0"/>
          <w:highlight w:val="none"/>
          <w:lang w:val="en-US" w:eastAsia="zh-CN"/>
          <w14:textFill>
            <w14:solidFill>
              <w14:schemeClr w14:val="tx1"/>
            </w14:solidFill>
          </w14:textFill>
        </w:rPr>
        <w:t>典型企业</w:t>
      </w:r>
      <w:r>
        <w:rPr>
          <w:color w:val="000000" w:themeColor="text1"/>
          <w:kern w:val="0"/>
          <w:highlight w:val="none"/>
          <w14:textFill>
            <w14:solidFill>
              <w14:schemeClr w14:val="tx1"/>
            </w14:solidFill>
          </w14:textFill>
        </w:rPr>
        <w:t>的产排污环节，有针对性地设定调查项目。</w:t>
      </w:r>
    </w:p>
    <w:p w14:paraId="30FDC0E7">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（2）规范性原则</w:t>
      </w:r>
    </w:p>
    <w:p w14:paraId="5A33D04A">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参考目前国内及国际上场地土壤及地下水调查的相关技术规范，对现场调查采样、样品保存运输、样品分析等一系列过程进行严格的质量控制，保证调查和评估结果的科学性、准确性和客观性。</w:t>
      </w:r>
    </w:p>
    <w:p w14:paraId="6ADD080C">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（3）可操作性原则</w:t>
      </w:r>
    </w:p>
    <w:p w14:paraId="1ABE67F6">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综合考虑调查园区复杂性、污染特点和环境条件等因素，制定可操作的调查方案和采样计划，确保调查评估工作顺利完成。</w:t>
      </w:r>
    </w:p>
    <w:p w14:paraId="53CC16C1">
      <w:pPr>
        <w:pStyle w:val="4"/>
        <w:tabs>
          <w:tab w:val="left" w:leader="dot" w:pos="0"/>
          <w:tab w:val="clear" w:pos="567"/>
        </w:tabs>
        <w:rPr>
          <w:color w:val="000000" w:themeColor="text1"/>
          <w:highlight w:val="none"/>
          <w14:textFill>
            <w14:solidFill>
              <w14:schemeClr w14:val="tx1"/>
            </w14:solidFill>
          </w14:textFill>
        </w:rPr>
      </w:pPr>
      <w:bookmarkStart w:id="5" w:name="_Toc18797"/>
      <w:bookmarkStart w:id="6" w:name="_Toc15371850"/>
      <w:r>
        <w:rPr>
          <w:color w:val="000000" w:themeColor="text1"/>
          <w:highlight w:val="none"/>
          <w14:textFill>
            <w14:solidFill>
              <w14:schemeClr w14:val="tx1"/>
            </w14:solidFill>
          </w14:textFill>
        </w:rPr>
        <w:t>调查对象和范围</w:t>
      </w:r>
      <w:bookmarkEnd w:id="5"/>
      <w:bookmarkEnd w:id="6"/>
    </w:p>
    <w:p w14:paraId="69E90D13">
      <w:pPr>
        <w:ind w:firstLine="480" w:firstLineChars="200"/>
        <w:rPr>
          <w:rFonts w:eastAsiaTheme="minorEastAsia"/>
          <w:highlight w:val="none"/>
        </w:rPr>
      </w:pPr>
      <w:r>
        <w:rPr>
          <w:color w:val="000000" w:themeColor="text1"/>
          <w:kern w:val="0"/>
          <w:highlight w:val="none"/>
          <w14:textFill>
            <w14:solidFill>
              <w14:schemeClr w14:val="tx1"/>
            </w14:solidFill>
          </w14:textFill>
        </w:rPr>
        <w:t>本次调查对象为鄂州市</w:t>
      </w:r>
      <w:r>
        <w:rPr>
          <w:rFonts w:hint="eastAsia"/>
          <w:color w:val="000000" w:themeColor="text1"/>
          <w:kern w:val="0"/>
          <w:highlight w:val="none"/>
          <w14:textFill>
            <w14:solidFill>
              <w14:schemeClr w14:val="tx1"/>
            </w14:solidFill>
          </w14:textFill>
        </w:rPr>
        <w:t>花湖开发区</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主要针对工业园区周边、已建成企业聚集区周边土壤和地下水</w:t>
      </w:r>
      <w:r>
        <w:rPr>
          <w:rFonts w:hint="eastAsia"/>
          <w:color w:val="000000" w:themeColor="text1"/>
          <w:kern w:val="0"/>
          <w:highlight w:val="none"/>
          <w:lang w:eastAsia="zh-CN"/>
          <w14:textFill>
            <w14:solidFill>
              <w14:schemeClr w14:val="tx1"/>
            </w14:solidFill>
          </w14:textFill>
        </w:rPr>
        <w:t>环境</w:t>
      </w:r>
      <w:r>
        <w:rPr>
          <w:rFonts w:hint="eastAsia"/>
          <w:color w:val="000000" w:themeColor="text1"/>
          <w:kern w:val="0"/>
          <w:highlight w:val="none"/>
          <w14:textFill>
            <w14:solidFill>
              <w14:schemeClr w14:val="tx1"/>
            </w14:solidFill>
          </w14:textFill>
        </w:rPr>
        <w:t>质量进行调查评估</w:t>
      </w:r>
      <w:r>
        <w:rPr>
          <w:rFonts w:eastAsiaTheme="minorEastAsia"/>
          <w:highlight w:val="none"/>
        </w:rPr>
        <w:t>。</w:t>
      </w:r>
    </w:p>
    <w:p w14:paraId="63D7F6AF">
      <w:pPr>
        <w:ind w:firstLine="480" w:firstLineChars="200"/>
        <w:rPr>
          <w:color w:val="000000" w:themeColor="text1"/>
          <w:kern w:val="0"/>
          <w:highlight w:val="none"/>
          <w14:textFill>
            <w14:solidFill>
              <w14:schemeClr w14:val="tx1"/>
            </w14:solidFill>
          </w14:textFill>
        </w:rPr>
      </w:pPr>
      <w:r>
        <w:rPr>
          <w:rFonts w:eastAsiaTheme="minorEastAsia"/>
          <w:highlight w:val="none"/>
        </w:rPr>
        <w:t>花湖开发区位于鄂州市</w:t>
      </w:r>
      <w:r>
        <w:rPr>
          <w:rFonts w:hint="eastAsia" w:eastAsiaTheme="minorEastAsia"/>
          <w:highlight w:val="none"/>
        </w:rPr>
        <w:t>鄂城区</w:t>
      </w:r>
      <w:r>
        <w:rPr>
          <w:rFonts w:eastAsiaTheme="minorEastAsia"/>
          <w:highlight w:val="none"/>
        </w:rPr>
        <w:t>，</w:t>
      </w:r>
      <w:r>
        <w:rPr>
          <w:rFonts w:hint="eastAsia" w:eastAsiaTheme="minorEastAsia"/>
          <w:highlight w:val="none"/>
        </w:rPr>
        <w:t>与黄石市接壤，</w:t>
      </w:r>
      <w:r>
        <w:rPr>
          <w:rFonts w:eastAsiaTheme="minorEastAsia"/>
          <w:highlight w:val="none"/>
        </w:rPr>
        <w:t>根据</w:t>
      </w:r>
      <w:r>
        <w:rPr>
          <w:rFonts w:hint="eastAsia"/>
          <w:highlight w:val="none"/>
        </w:rPr>
        <w:t>《湖北鄂州花湖经济开发区（花湖新城）规划环境影响跟踪评价报告书》（中南安全环境技术研究院股份有限公司，2018年12月）</w:t>
      </w:r>
      <w:r>
        <w:rPr>
          <w:rFonts w:eastAsiaTheme="minorEastAsia"/>
          <w:highlight w:val="none"/>
        </w:rPr>
        <w:t>，花湖开发区调查面积为</w:t>
      </w:r>
      <w:r>
        <w:rPr>
          <w:rFonts w:hint="eastAsia" w:eastAsiaTheme="minorEastAsia"/>
          <w:highlight w:val="none"/>
        </w:rPr>
        <w:t>26.42</w:t>
      </w:r>
      <w:r>
        <w:rPr>
          <w:rFonts w:eastAsiaTheme="minorEastAsia"/>
          <w:highlight w:val="none"/>
        </w:rPr>
        <w:t>km</w:t>
      </w:r>
      <w:r>
        <w:rPr>
          <w:rFonts w:eastAsiaTheme="minorEastAsia"/>
          <w:highlight w:val="none"/>
          <w:vertAlign w:val="superscript"/>
        </w:rPr>
        <w:t>2</w:t>
      </w:r>
      <w:r>
        <w:rPr>
          <w:rFonts w:eastAsiaTheme="minorEastAsia"/>
          <w:highlight w:val="none"/>
        </w:rPr>
        <w:t>，花湖开发区</w:t>
      </w:r>
      <w:r>
        <w:rPr>
          <w:bCs/>
          <w:caps/>
          <w:color w:val="000000" w:themeColor="text1"/>
          <w:highlight w:val="none"/>
          <w14:textFill>
            <w14:solidFill>
              <w14:schemeClr w14:val="tx1"/>
            </w14:solidFill>
          </w14:textFill>
        </w:rPr>
        <w:t>地理位置图</w:t>
      </w:r>
      <w:r>
        <w:rPr>
          <w:rFonts w:eastAsiaTheme="minorEastAsia"/>
          <w:highlight w:val="none"/>
        </w:rPr>
        <w:t>见附图1，调查范</w:t>
      </w:r>
      <w:r>
        <w:rPr>
          <w:color w:val="000000" w:themeColor="text1"/>
          <w:kern w:val="0"/>
          <w:highlight w:val="none"/>
          <w14:textFill>
            <w14:solidFill>
              <w14:schemeClr w14:val="tx1"/>
            </w14:solidFill>
          </w14:textFill>
        </w:rPr>
        <w:t>围及周边情况图见附图2。</w:t>
      </w:r>
    </w:p>
    <w:p w14:paraId="50D63F0E">
      <w:pPr>
        <w:pStyle w:val="4"/>
        <w:tabs>
          <w:tab w:val="left" w:leader="dot" w:pos="0"/>
          <w:tab w:val="clear" w:pos="567"/>
        </w:tabs>
        <w:spacing w:before="240"/>
        <w:rPr>
          <w:color w:val="000000" w:themeColor="text1"/>
          <w:highlight w:val="none"/>
          <w14:textFill>
            <w14:solidFill>
              <w14:schemeClr w14:val="tx1"/>
            </w14:solidFill>
          </w14:textFill>
        </w:rPr>
      </w:pPr>
      <w:bookmarkStart w:id="7" w:name="_Toc32648"/>
      <w:r>
        <w:rPr>
          <w:color w:val="000000" w:themeColor="text1"/>
          <w:highlight w:val="none"/>
          <w14:textFill>
            <w14:solidFill>
              <w14:schemeClr w14:val="tx1"/>
            </w14:solidFill>
          </w14:textFill>
        </w:rPr>
        <w:t>调查依据</w:t>
      </w:r>
      <w:bookmarkEnd w:id="7"/>
    </w:p>
    <w:p w14:paraId="58990CD1">
      <w:pPr>
        <w:pStyle w:val="5"/>
        <w:tabs>
          <w:tab w:val="clear" w:pos="851"/>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法律法规</w:t>
      </w:r>
    </w:p>
    <w:p w14:paraId="372FB3B9">
      <w:pPr>
        <w:ind w:left="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（1）《中华人民共和国环境保护法》（2014年4月24日修订，2015年1月1日施行）；</w:t>
      </w:r>
    </w:p>
    <w:p w14:paraId="3946FA04">
      <w:pPr>
        <w:ind w:firstLine="240" w:firstLineChars="1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（2）《中华人民共和国土壤污染防治法》（2019年1月1日施行）；</w:t>
      </w:r>
    </w:p>
    <w:p w14:paraId="192A9D38">
      <w:pPr>
        <w:ind w:firstLine="240" w:firstLineChars="1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color w:val="000000" w:themeColor="text1"/>
          <w:kern w:val="0"/>
          <w:highlight w:val="none"/>
          <w14:textFill>
            <w14:solidFill>
              <w14:schemeClr w14:val="tx1"/>
            </w14:solidFill>
          </w14:textFill>
        </w:rPr>
        <w:t>《国务院关于印发土壤污染防治行动计划的通知》（国发[2016]31号）；</w:t>
      </w:r>
    </w:p>
    <w:p w14:paraId="2EF15F60">
      <w:pPr>
        <w:ind w:firstLine="240" w:firstLineChars="10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（4）</w:t>
      </w:r>
      <w:r>
        <w:rPr>
          <w:color w:val="000000" w:themeColor="text1"/>
          <w:kern w:val="0"/>
          <w:highlight w:val="none"/>
          <w14:textFill>
            <w14:solidFill>
              <w14:schemeClr w14:val="tx1"/>
            </w14:solidFill>
          </w14:textFill>
        </w:rPr>
        <w:t>《湖北省土壤污染防治行动计划工作方案》（鄂政发[2016]85号）；</w:t>
      </w:r>
    </w:p>
    <w:p w14:paraId="1DACDB14">
      <w:pPr>
        <w:ind w:firstLine="240" w:firstLineChars="10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（5）</w:t>
      </w:r>
      <w:r>
        <w:rPr>
          <w:color w:val="000000" w:themeColor="text1"/>
          <w:kern w:val="0"/>
          <w:highlight w:val="none"/>
          <w14:textFill>
            <w14:solidFill>
              <w14:schemeClr w14:val="tx1"/>
            </w14:solidFill>
          </w14:textFill>
        </w:rPr>
        <w:t>《湖北省土壤污染防治条例》（2016年10月1日起施行）；</w:t>
      </w:r>
    </w:p>
    <w:p w14:paraId="53ADBDFD">
      <w:pPr>
        <w:ind w:firstLine="240" w:firstLineChars="10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（6）《市人民政府关于印发鄂州市土壤污染防治工作方案的通知》</w:t>
      </w:r>
      <w:r>
        <w:rPr>
          <w:rFonts w:hint="eastAsia"/>
          <w:color w:val="000000" w:themeColor="text1"/>
          <w:highlight w:val="none"/>
          <w14:textFill>
            <w14:solidFill>
              <w14:schemeClr w14:val="tx1"/>
            </w14:solidFill>
          </w14:textFill>
        </w:rPr>
        <w:t>（鄂州市人民政府</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2017年</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w:t>
      </w:r>
    </w:p>
    <w:p w14:paraId="19E35247">
      <w:pPr>
        <w:ind w:firstLine="240" w:firstLineChars="10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（7）《鄂州市土壤污染治理与修复规划（2018-2020）》</w:t>
      </w:r>
      <w:r>
        <w:rPr>
          <w:color w:val="000000" w:themeColor="text1"/>
          <w:kern w:val="0"/>
          <w:highlight w:val="none"/>
          <w14:textFill>
            <w14:solidFill>
              <w14:schemeClr w14:val="tx1"/>
            </w14:solidFill>
          </w14:textFill>
        </w:rPr>
        <w:t>（2018年8月）</w:t>
      </w:r>
      <w:r>
        <w:rPr>
          <w:rFonts w:hint="eastAsia"/>
          <w:color w:val="000000" w:themeColor="text1"/>
          <w:kern w:val="0"/>
          <w:highlight w:val="none"/>
          <w14:textFill>
            <w14:solidFill>
              <w14:schemeClr w14:val="tx1"/>
            </w14:solidFill>
          </w14:textFill>
        </w:rPr>
        <w:t>。</w:t>
      </w:r>
    </w:p>
    <w:p w14:paraId="7603B632">
      <w:pPr>
        <w:pStyle w:val="5"/>
        <w:tabs>
          <w:tab w:val="clear" w:pos="851"/>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规章及规范性文件</w:t>
      </w:r>
    </w:p>
    <w:p w14:paraId="04E99355">
      <w:pPr>
        <w:numPr>
          <w:ilvl w:val="0"/>
          <w:numId w:val="5"/>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《国家重点监控企业污染源监督性监测及信息公开办法》（环发〔2013〕81号）；</w:t>
      </w:r>
    </w:p>
    <w:p w14:paraId="4D685208">
      <w:pPr>
        <w:numPr>
          <w:ilvl w:val="0"/>
          <w:numId w:val="5"/>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《土壤环境监测技术规范》（HJ/T 166-2004）；</w:t>
      </w:r>
    </w:p>
    <w:p w14:paraId="6207FB0D">
      <w:pPr>
        <w:numPr>
          <w:ilvl w:val="0"/>
          <w:numId w:val="5"/>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《地下水环境监测技术规范》（HJ/T 164-2004）；</w:t>
      </w:r>
    </w:p>
    <w:p w14:paraId="27F871DD">
      <w:pPr>
        <w:numPr>
          <w:ilvl w:val="0"/>
          <w:numId w:val="5"/>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《地下水污染地质调查评价规范》（DD 2008-01）；</w:t>
      </w:r>
    </w:p>
    <w:p w14:paraId="6C0354CD">
      <w:pPr>
        <w:numPr>
          <w:ilvl w:val="0"/>
          <w:numId w:val="5"/>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《水文水井地质钻探规程》（</w:t>
      </w:r>
      <w:r>
        <w:rPr>
          <w:highlight w:val="none"/>
        </w:rPr>
        <w:fldChar w:fldCharType="begin"/>
      </w:r>
      <w:r>
        <w:rPr>
          <w:highlight w:val="none"/>
        </w:rPr>
        <w:instrText xml:space="preserve"> HYPERLINK "http://www.so.com/link?m=a1YwI%2F0%2BYRdYzN9gH7AmoqYK0k5XBBQ78EfoPvN0C4ul1lgOU9LQ344m3y4zBz4X3YodIVcvYWhFCmPmSM2fsLAihDFhW9dXJC9SLZBwYouE0I0sc4EX9UF8hHzXRC7H8AqIQVVp0GP2RJumPi%2BgnsPozumplTOe17J5HHAXiZn2ne2ju3870nRiZ14Q4j7Xnz%2ByMu7ICSioTJkDBWn%2BFqg%3D%3D" \t "_blank" </w:instrText>
      </w:r>
      <w:r>
        <w:rPr>
          <w:highlight w:val="none"/>
        </w:rPr>
        <w:fldChar w:fldCharType="separate"/>
      </w:r>
      <w:r>
        <w:rPr>
          <w:color w:val="000000" w:themeColor="text1"/>
          <w:highlight w:val="none"/>
          <w14:textFill>
            <w14:solidFill>
              <w14:schemeClr w14:val="tx1"/>
            </w14:solidFill>
          </w14:textFill>
        </w:rPr>
        <w:t>DZ/T 0148-2014 </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t>）；</w:t>
      </w:r>
    </w:p>
    <w:p w14:paraId="725EBB18">
      <w:pPr>
        <w:numPr>
          <w:ilvl w:val="0"/>
          <w:numId w:val="5"/>
        </w:numPr>
        <w:ind w:firstLine="360" w:firstLineChars="15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《岩土工程勘查规范》（GB 50021-2001）</w:t>
      </w:r>
      <w:r>
        <w:rPr>
          <w:rFonts w:hint="eastAsia"/>
          <w:color w:val="000000" w:themeColor="text1"/>
          <w:highlight w:val="none"/>
          <w14:textFill>
            <w14:solidFill>
              <w14:schemeClr w14:val="tx1"/>
            </w14:solidFill>
          </w14:textFill>
        </w:rPr>
        <w:t>。</w:t>
      </w:r>
    </w:p>
    <w:p w14:paraId="77DE61C8">
      <w:pPr>
        <w:pStyle w:val="5"/>
        <w:tabs>
          <w:tab w:val="clear" w:pos="851"/>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技术标准和导则 </w:t>
      </w:r>
    </w:p>
    <w:p w14:paraId="74302A55">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《土壤环境质量 建设用地土壤污染风险管控标准（试行）》（GB36600-2018）；</w:t>
      </w:r>
    </w:p>
    <w:p w14:paraId="3601456D">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《土壤环境质量 农用地土壤污染风险管控标准（试行）》（GB15618-2018）；</w:t>
      </w:r>
    </w:p>
    <w:p w14:paraId="3B3CD644">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《地下水质量标准》（GB/T 14848-2017）；</w:t>
      </w:r>
    </w:p>
    <w:p w14:paraId="4EF36C5C">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《地表水环境质量标准》（GB3838-2002）；</w:t>
      </w:r>
    </w:p>
    <w:p w14:paraId="5900F05F">
      <w:pPr>
        <w:numPr>
          <w:ilvl w:val="0"/>
          <w:numId w:val="6"/>
        </w:numPr>
        <w:ind w:firstLine="360" w:firstLineChars="150"/>
        <w:rPr>
          <w:highlight w:val="none"/>
        </w:rPr>
      </w:pPr>
      <w:r>
        <w:rPr>
          <w:rFonts w:hint="eastAsia"/>
          <w:highlight w:val="none"/>
        </w:rPr>
        <w:t>《建设用地土壤污染风险筛选值和管制值》（DB4403_T 67-2020）；</w:t>
      </w:r>
    </w:p>
    <w:p w14:paraId="1F27EC2C">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highlight w:val="none"/>
        </w:rPr>
        <w:t>建设用地土壤污染状况调查技术导则</w:t>
      </w:r>
      <w:r>
        <w:rPr>
          <w:color w:val="000000" w:themeColor="text1"/>
          <w:highlight w:val="none"/>
          <w14:textFill>
            <w14:solidFill>
              <w14:schemeClr w14:val="tx1"/>
            </w14:solidFill>
          </w14:textFill>
        </w:rPr>
        <w:t>》（HJ 25.1-2019）；</w:t>
      </w:r>
    </w:p>
    <w:p w14:paraId="37925FDE">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highlight w:val="none"/>
        </w:rPr>
        <w:t>建设用地土壤污染风险管控和修复监测技术导则</w:t>
      </w:r>
      <w:r>
        <w:rPr>
          <w:color w:val="000000" w:themeColor="text1"/>
          <w:highlight w:val="none"/>
          <w14:textFill>
            <w14:solidFill>
              <w14:schemeClr w14:val="tx1"/>
            </w14:solidFill>
          </w14:textFill>
        </w:rPr>
        <w:t>》（HJ 25.2-2019）；</w:t>
      </w:r>
    </w:p>
    <w:p w14:paraId="7F0BD011">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《建设用地土壤污染风险管控和修复术语》（HJ 682-2019）；</w:t>
      </w:r>
    </w:p>
    <w:p w14:paraId="1BBE6949">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《工业企业场地环境调查评估与修复工作指南（试行）》（环境保护部公告2014年第78号）；</w:t>
      </w:r>
    </w:p>
    <w:p w14:paraId="725F0E26">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《地块土壤和地下水中挥发性有机物采样技术导则》（HJ 1019-2019）；</w:t>
      </w:r>
    </w:p>
    <w:p w14:paraId="200B0074">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《地下水环境状况调查评价工作指南》（2019年9月）；</w:t>
      </w:r>
    </w:p>
    <w:p w14:paraId="5AD0C942">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《重点区域土壤环境质量监测风险点位布设方法》（环办监测函（2016）1号）；</w:t>
      </w:r>
    </w:p>
    <w:p w14:paraId="20EF3990">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《四川省土壤污染重点监管单位和工业园区周边土壤环境监督性监测工作方案》（川环办函〔2018〕547号）；</w:t>
      </w:r>
    </w:p>
    <w:p w14:paraId="16CDB5CF">
      <w:pPr>
        <w:numPr>
          <w:ilvl w:val="0"/>
          <w:numId w:val="6"/>
        </w:numPr>
        <w:ind w:firstLine="360" w:firstLineChars="1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《省级土壤污染状况详查实施方案编制指南》（环办土壤函[2017]1023号）</w:t>
      </w:r>
      <w:r>
        <w:rPr>
          <w:rFonts w:hint="eastAsia"/>
          <w:color w:val="000000" w:themeColor="text1"/>
          <w:highlight w:val="none"/>
          <w:lang w:eastAsia="zh-CN"/>
          <w14:textFill>
            <w14:solidFill>
              <w14:schemeClr w14:val="tx1"/>
            </w14:solidFill>
          </w14:textFill>
        </w:rPr>
        <w:t>；</w:t>
      </w:r>
    </w:p>
    <w:p w14:paraId="73F6C9C4">
      <w:pPr>
        <w:numPr>
          <w:ilvl w:val="0"/>
          <w:numId w:val="6"/>
        </w:num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《全国土壤污染状况评价技术规定》（环发[2008]39号）</w:t>
      </w:r>
      <w:r>
        <w:rPr>
          <w:rFonts w:hint="eastAsia"/>
          <w:color w:val="000000" w:themeColor="text1"/>
          <w:highlight w:val="none"/>
          <w14:textFill>
            <w14:solidFill>
              <w14:schemeClr w14:val="tx1"/>
            </w14:solidFill>
          </w14:textFill>
        </w:rPr>
        <w:t>。</w:t>
      </w:r>
    </w:p>
    <w:p w14:paraId="4811C0ED">
      <w:pPr>
        <w:pStyle w:val="5"/>
        <w:tabs>
          <w:tab w:val="clear" w:pos="851"/>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参考资料</w:t>
      </w:r>
    </w:p>
    <w:p w14:paraId="3822E79A">
      <w:pPr>
        <w:numPr>
          <w:ilvl w:val="0"/>
          <w:numId w:val="7"/>
        </w:numPr>
        <w:ind w:firstLine="480" w:firstLineChars="200"/>
        <w:rPr>
          <w:highlight w:val="none"/>
        </w:rPr>
      </w:pPr>
      <w:r>
        <w:rPr>
          <w:highlight w:val="none"/>
        </w:rPr>
        <w:t>《鄂州市城乡总体规划（2011-2020年）》；</w:t>
      </w:r>
    </w:p>
    <w:p w14:paraId="7CA2B1CA">
      <w:pPr>
        <w:numPr>
          <w:ilvl w:val="0"/>
          <w:numId w:val="7"/>
        </w:numPr>
        <w:ind w:firstLine="480" w:firstLineChars="200"/>
        <w:rPr>
          <w:highlight w:val="none"/>
        </w:rPr>
      </w:pPr>
      <w:r>
        <w:rPr>
          <w:rFonts w:hint="eastAsia"/>
          <w:highlight w:val="none"/>
        </w:rPr>
        <w:t>《湖北鄂州花湖经济开发区（花湖新城）规划环境影响跟踪评价报告书》（报批版）（中南安全环境技术研究院股份有限公司，2018年12月）；</w:t>
      </w:r>
    </w:p>
    <w:p w14:paraId="07E25E11">
      <w:pPr>
        <w:numPr>
          <w:ilvl w:val="0"/>
          <w:numId w:val="7"/>
        </w:numPr>
        <w:ind w:firstLine="480" w:firstLineChars="200"/>
        <w:rPr>
          <w:rFonts w:hint="eastAsia" w:eastAsiaTheme="minorEastAsia"/>
          <w:bCs/>
          <w:highlight w:val="none"/>
        </w:rPr>
      </w:pPr>
      <w:r>
        <w:rPr>
          <w:rFonts w:eastAsiaTheme="minorEastAsia"/>
          <w:bCs/>
          <w:highlight w:val="none"/>
        </w:rPr>
        <w:t>《中国土壤元素背景值》</w:t>
      </w:r>
      <w:r>
        <w:rPr>
          <w:rFonts w:hint="eastAsia" w:eastAsiaTheme="minorEastAsia"/>
          <w:bCs/>
          <w:highlight w:val="none"/>
        </w:rPr>
        <w:t>（国家环境保护局主持, 中国环境监测总站主编. 中国土壤元素背景值[J]. 1990.）</w:t>
      </w:r>
      <w:r>
        <w:rPr>
          <w:rFonts w:hint="eastAsia" w:eastAsiaTheme="minorEastAsia"/>
          <w:bCs/>
          <w:highlight w:val="none"/>
          <w:lang w:eastAsia="zh-CN"/>
        </w:rPr>
        <w:t>；</w:t>
      </w:r>
    </w:p>
    <w:p w14:paraId="05A6CC22">
      <w:pPr>
        <w:numPr>
          <w:ilvl w:val="0"/>
          <w:numId w:val="7"/>
        </w:numPr>
        <w:ind w:firstLine="480" w:firstLineChars="200"/>
        <w:rPr>
          <w:color w:val="000000"/>
          <w:highlight w:val="none"/>
        </w:rPr>
      </w:pPr>
      <w:r>
        <w:rPr>
          <w:rFonts w:hint="eastAsia" w:eastAsiaTheme="minorEastAsia"/>
          <w:bCs/>
          <w:highlight w:val="none"/>
        </w:rPr>
        <w:t>《湖北省地下水污染防治规划实施方案（2011-2020年）》</w:t>
      </w:r>
      <w:r>
        <w:rPr>
          <w:rFonts w:hint="eastAsia" w:eastAsiaTheme="minorEastAsia"/>
          <w:bCs/>
          <w:highlight w:val="none"/>
          <w:lang w:eastAsia="zh-CN"/>
        </w:rPr>
        <w:t>；</w:t>
      </w:r>
    </w:p>
    <w:p w14:paraId="76145B93">
      <w:pPr>
        <w:numPr>
          <w:ilvl w:val="0"/>
          <w:numId w:val="7"/>
        </w:numPr>
        <w:ind w:firstLine="480" w:firstLineChars="200"/>
        <w:rPr>
          <w:color w:val="000000"/>
          <w:highlight w:val="none"/>
        </w:rPr>
      </w:pPr>
      <w:r>
        <w:rPr>
          <w:rFonts w:hint="eastAsia" w:eastAsiaTheme="minorEastAsia"/>
          <w:bCs/>
          <w:highlight w:val="none"/>
          <w:lang w:val="en-US" w:eastAsia="zh-CN"/>
        </w:rPr>
        <w:t xml:space="preserve"> 其他资料</w:t>
      </w:r>
      <w:r>
        <w:rPr>
          <w:rFonts w:hint="eastAsia"/>
          <w:color w:val="000000"/>
          <w:highlight w:val="none"/>
        </w:rPr>
        <w:t>。</w:t>
      </w:r>
    </w:p>
    <w:p w14:paraId="04772A31">
      <w:pPr>
        <w:pStyle w:val="4"/>
        <w:tabs>
          <w:tab w:val="left" w:leader="dot" w:pos="0"/>
          <w:tab w:val="clear" w:pos="567"/>
        </w:tabs>
        <w:rPr>
          <w:color w:val="000000" w:themeColor="text1"/>
          <w:highlight w:val="none"/>
          <w14:textFill>
            <w14:solidFill>
              <w14:schemeClr w14:val="tx1"/>
            </w14:solidFill>
          </w14:textFill>
        </w:rPr>
      </w:pPr>
      <w:bookmarkStart w:id="8" w:name="_Toc11570"/>
      <w:r>
        <w:rPr>
          <w:color w:val="000000" w:themeColor="text1"/>
          <w:highlight w:val="none"/>
          <w14:textFill>
            <w14:solidFill>
              <w14:schemeClr w14:val="tx1"/>
            </w14:solidFill>
          </w14:textFill>
        </w:rPr>
        <w:t>调查方法</w:t>
      </w:r>
      <w:bookmarkEnd w:id="8"/>
    </w:p>
    <w:p w14:paraId="2741CD4F">
      <w:pPr>
        <w:ind w:firstLine="480" w:firstLineChars="200"/>
        <w:rPr>
          <w:color w:val="000000" w:themeColor="text1"/>
          <w:kern w:val="0"/>
          <w:highlight w:val="none"/>
          <w14:textFill>
            <w14:solidFill>
              <w14:schemeClr w14:val="tx1"/>
            </w14:solidFill>
          </w14:textFill>
        </w:rPr>
      </w:pPr>
      <w:r>
        <w:rPr>
          <w:highlight w:val="none"/>
        </w:rPr>
        <w:t>参考《建设用地土壤污染状况调查技术导则》（HJ25.1-2019）、</w:t>
      </w:r>
      <w:r>
        <w:rPr>
          <w:color w:val="000000" w:themeColor="text1"/>
          <w:kern w:val="0"/>
          <w:highlight w:val="none"/>
          <w14:textFill>
            <w14:solidFill>
              <w14:schemeClr w14:val="tx1"/>
            </w14:solidFill>
          </w14:textFill>
        </w:rPr>
        <w:t>《重点区域土壤环境质量监测风险点位布设方法》（环办监测函（2016）1号）、《四川省土壤污染重点监管单位和工业园区周边土壤环境监督性监测工作方案》（川环办函〔2018〕547号），本次调查主要分为两个阶段。</w:t>
      </w:r>
    </w:p>
    <w:p w14:paraId="73ADC4C3">
      <w:pPr>
        <w:ind w:firstLine="480" w:firstLineChars="200"/>
        <w:rPr>
          <w:rFonts w:eastAsiaTheme="minorEastAsia"/>
          <w:highlight w:val="none"/>
        </w:rPr>
      </w:pPr>
      <w:r>
        <w:rPr>
          <w:rFonts w:hint="default" w:ascii="Times New Roman" w:hAnsi="Times New Roman" w:cs="Times New Roman"/>
          <w:color w:val="auto"/>
          <w:sz w:val="24"/>
          <w:highlight w:val="none"/>
          <w:lang w:eastAsia="zh-CN"/>
        </w:rPr>
        <w:t>第一阶段，前期准备阶段，是以资料收集、现场踏勘为主的前期调研阶段。主要针对</w:t>
      </w:r>
      <w:r>
        <w:rPr>
          <w:rFonts w:hint="default" w:ascii="Times New Roman" w:hAnsi="Times New Roman" w:cs="Times New Roman" w:eastAsiaTheme="minorEastAsia"/>
          <w:color w:val="auto"/>
          <w:sz w:val="24"/>
          <w:szCs w:val="24"/>
          <w:highlight w:val="none"/>
          <w:shd w:val="clear" w:color="auto" w:fill="auto"/>
          <w:lang w:val="en-US" w:eastAsia="zh-CN"/>
        </w:rPr>
        <w:t>三江港经济区</w:t>
      </w:r>
      <w:r>
        <w:rPr>
          <w:rFonts w:hint="default" w:ascii="Times New Roman" w:hAnsi="Times New Roman" w:cs="Times New Roman" w:eastAsiaTheme="minorEastAsia"/>
          <w:color w:val="auto"/>
          <w:sz w:val="24"/>
          <w:highlight w:val="none"/>
          <w:shd w:val="clear" w:color="auto" w:fill="auto"/>
          <w:lang w:eastAsia="zh-CN"/>
        </w:rPr>
        <w:t>的规划定位、产业结构及布局、开发情况进行调查分析，初步判断工业园和园区内</w:t>
      </w:r>
      <w:r>
        <w:rPr>
          <w:rFonts w:hint="default" w:ascii="Times New Roman" w:hAnsi="Times New Roman" w:cs="Times New Roman"/>
          <w:color w:val="auto"/>
          <w:kern w:val="0"/>
          <w:sz w:val="24"/>
          <w:highlight w:val="none"/>
          <w:lang w:eastAsia="zh-CN"/>
        </w:rPr>
        <w:t>已建成企业聚集区</w:t>
      </w:r>
      <w:r>
        <w:rPr>
          <w:rFonts w:hint="eastAsia" w:cs="Times New Roman"/>
          <w:color w:val="auto"/>
          <w:kern w:val="0"/>
          <w:sz w:val="24"/>
          <w:highlight w:val="none"/>
          <w:lang w:val="en-US" w:eastAsia="zh-CN"/>
        </w:rPr>
        <w:t>是否存在</w:t>
      </w:r>
      <w:r>
        <w:rPr>
          <w:rFonts w:hint="default" w:ascii="Times New Roman" w:hAnsi="Times New Roman" w:cs="Times New Roman" w:eastAsiaTheme="minorEastAsia"/>
          <w:color w:val="auto"/>
          <w:sz w:val="24"/>
          <w:highlight w:val="none"/>
          <w:shd w:val="clear" w:color="auto" w:fill="auto"/>
          <w:lang w:eastAsia="zh-CN"/>
        </w:rPr>
        <w:t>对周边土壤产生污染的</w:t>
      </w:r>
      <w:r>
        <w:rPr>
          <w:rFonts w:hint="eastAsia" w:cs="Times New Roman" w:eastAsiaTheme="minorEastAsia"/>
          <w:color w:val="auto"/>
          <w:sz w:val="24"/>
          <w:highlight w:val="none"/>
          <w:shd w:val="clear" w:color="auto" w:fill="auto"/>
          <w:lang w:val="en-US" w:eastAsia="zh-CN"/>
        </w:rPr>
        <w:t>污染源，若有</w:t>
      </w:r>
      <w:r>
        <w:rPr>
          <w:rFonts w:ascii="宋体" w:hAnsi="宋体" w:eastAsia="宋体" w:cs="宋体"/>
          <w:sz w:val="24"/>
          <w:szCs w:val="24"/>
          <w:highlight w:val="none"/>
        </w:rPr>
        <w:t>说明可能的污染类型、污染状况和来源</w:t>
      </w:r>
      <w:r>
        <w:rPr>
          <w:rFonts w:hint="default" w:ascii="Times New Roman" w:hAnsi="Times New Roman" w:cs="Times New Roman" w:eastAsiaTheme="minorEastAsia"/>
          <w:color w:val="auto"/>
          <w:sz w:val="24"/>
          <w:highlight w:val="none"/>
          <w:shd w:val="clear" w:color="auto" w:fill="auto"/>
          <w:lang w:eastAsia="zh-CN"/>
        </w:rPr>
        <w:t>。</w:t>
      </w:r>
    </w:p>
    <w:p w14:paraId="1EB5C899">
      <w:pPr>
        <w:ind w:firstLine="480" w:firstLineChars="200"/>
        <w:rPr>
          <w:highlight w:val="none"/>
        </w:rPr>
      </w:pPr>
      <w:r>
        <w:rPr>
          <w:rFonts w:eastAsiaTheme="minorEastAsia"/>
          <w:highlight w:val="none"/>
        </w:rPr>
        <w:t>第二阶段，</w:t>
      </w:r>
      <w:r>
        <w:rPr>
          <w:rFonts w:eastAsiaTheme="minorEastAsia"/>
          <w:color w:val="000000"/>
          <w:highlight w:val="none"/>
        </w:rPr>
        <w:t>工业园周边土壤</w:t>
      </w:r>
      <w:r>
        <w:rPr>
          <w:color w:val="000000"/>
          <w:highlight w:val="none"/>
        </w:rPr>
        <w:t>环境初步调查阶段，是以采样与分析为主的污染证实阶段</w:t>
      </w:r>
      <w:r>
        <w:rPr>
          <w:rFonts w:eastAsiaTheme="minorEastAsia"/>
          <w:highlight w:val="none"/>
        </w:rPr>
        <w:t>。</w:t>
      </w:r>
      <w:r>
        <w:rPr>
          <w:color w:val="000000"/>
          <w:highlight w:val="none"/>
        </w:rPr>
        <w:t>将在第一阶段查表明工业园和园内已建成企业聚集区的周围区域存在可能的污染源的基础上，进行现场采样和实验室分析，以确定污染种类和程度，并对土壤污染状况进行分析评估，提出下一步污染防治工作建议。</w:t>
      </w:r>
    </w:p>
    <w:p w14:paraId="27105190">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194935" cy="7101840"/>
            <wp:effectExtent l="19050" t="19050" r="28575" b="26670"/>
            <wp:docPr id="10" name="图片 10" descr="未命名文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未命名文件(1)"/>
                    <pic:cNvPicPr>
                      <a:picLocks noChangeAspect="1"/>
                    </pic:cNvPicPr>
                  </pic:nvPicPr>
                  <pic:blipFill>
                    <a:blip r:embed="rId26"/>
                    <a:stretch>
                      <a:fillRect/>
                    </a:stretch>
                  </pic:blipFill>
                  <pic:spPr>
                    <a:xfrm>
                      <a:off x="0" y="0"/>
                      <a:ext cx="5194935" cy="7101840"/>
                    </a:xfrm>
                    <a:prstGeom prst="rect">
                      <a:avLst/>
                    </a:prstGeom>
                    <a:ln w="19050" cmpd="sng">
                      <a:solidFill>
                        <a:schemeClr val="tx1"/>
                      </a:solidFill>
                      <a:prstDash val="solid"/>
                    </a:ln>
                  </pic:spPr>
                </pic:pic>
              </a:graphicData>
            </a:graphic>
          </wp:inline>
        </w:drawing>
      </w:r>
    </w:p>
    <w:p w14:paraId="2C38551C">
      <w:pPr>
        <w:jc w:val="center"/>
        <w:rPr>
          <w:rFonts w:eastAsia="黑体"/>
          <w:b/>
          <w:highlight w:val="none"/>
        </w:rPr>
        <w:sectPr>
          <w:headerReference r:id="rId9" w:type="default"/>
          <w:footerReference r:id="rId10" w:type="default"/>
          <w:pgSz w:w="11906" w:h="16838"/>
          <w:pgMar w:top="1134" w:right="1134" w:bottom="1134" w:left="1134"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rFonts w:eastAsia="黑体"/>
          <w:b/>
          <w:highlight w:val="none"/>
        </w:rPr>
        <w:t>图1-5-1 调查方法流程示意图</w:t>
      </w:r>
    </w:p>
    <w:p w14:paraId="13D263BD">
      <w:pPr>
        <w:pStyle w:val="3"/>
        <w:numPr>
          <w:ilvl w:val="0"/>
          <w:numId w:val="1"/>
        </w:numPr>
        <w:rPr>
          <w:color w:val="000000" w:themeColor="text1"/>
          <w:highlight w:val="none"/>
          <w14:textFill>
            <w14:solidFill>
              <w14:schemeClr w14:val="tx1"/>
            </w14:solidFill>
          </w14:textFill>
        </w:rPr>
      </w:pPr>
      <w:bookmarkStart w:id="9" w:name="_Toc23985"/>
      <w:r>
        <w:rPr>
          <w:color w:val="000000" w:themeColor="text1"/>
          <w:highlight w:val="none"/>
          <w14:textFill>
            <w14:solidFill>
              <w14:schemeClr w14:val="tx1"/>
            </w14:solidFill>
          </w14:textFill>
        </w:rPr>
        <w:t>调查区域概况</w:t>
      </w:r>
      <w:bookmarkEnd w:id="9"/>
    </w:p>
    <w:p w14:paraId="7822AF27">
      <w:pPr>
        <w:pStyle w:val="4"/>
        <w:rPr>
          <w:color w:val="000000" w:themeColor="text1"/>
          <w:highlight w:val="none"/>
          <w14:textFill>
            <w14:solidFill>
              <w14:schemeClr w14:val="tx1"/>
            </w14:solidFill>
          </w14:textFill>
        </w:rPr>
      </w:pPr>
      <w:bookmarkStart w:id="10" w:name="_Toc25452"/>
      <w:bookmarkStart w:id="11" w:name="_Toc15371854"/>
      <w:r>
        <w:rPr>
          <w:color w:val="000000" w:themeColor="text1"/>
          <w:highlight w:val="none"/>
          <w14:textFill>
            <w14:solidFill>
              <w14:schemeClr w14:val="tx1"/>
            </w14:solidFill>
          </w14:textFill>
        </w:rPr>
        <w:t>区域环境概况</w:t>
      </w:r>
      <w:bookmarkEnd w:id="10"/>
    </w:p>
    <w:p w14:paraId="21510861">
      <w:pPr>
        <w:pStyle w:val="5"/>
        <w:rPr>
          <w:highlight w:val="none"/>
        </w:rPr>
      </w:pPr>
      <w:r>
        <w:rPr>
          <w:highlight w:val="none"/>
        </w:rPr>
        <w:t>地理位置</w:t>
      </w:r>
    </w:p>
    <w:p w14:paraId="169E250E">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鄂州市位于东经114°30′-115°05′，北纬30°01′-30°36′，湖北省东南部，长江中游南岸。西与武汉市的江夏区、洪山区接壤，东南与黄石市毗连，北临长江，自西向东分别与武汉市的新洲区和黄冈市的团风县、黄州区、浠水县等地隔江相望。整个地域在地图上近似“人”字形。全市地势东南高、西北低、中间较平，境内最高点四峰山海拔485.8米，最低点梁子湖海拔11.7米。</w:t>
      </w:r>
    </w:p>
    <w:p w14:paraId="5C8413FC">
      <w:pPr>
        <w:pStyle w:val="5"/>
        <w:rPr>
          <w:highlight w:val="none"/>
        </w:rPr>
      </w:pPr>
      <w:r>
        <w:rPr>
          <w:highlight w:val="none"/>
        </w:rPr>
        <w:t>地质地貌</w:t>
      </w:r>
    </w:p>
    <w:p w14:paraId="496C0D87">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鄂州市属扬子准地台下扬子台坪中的三级构造单元－－大冶台褶带，跨太子庙台褶束和梁子湖凹陷两个四级构造单元。</w:t>
      </w:r>
    </w:p>
    <w:p w14:paraId="6A332B25">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鄂州市市域范围内出露的地层简单，分布的基岩地层，从下古生界志留系至新生界除缺失志留系上、下统、泥盆系中下统、石炭系下统、三叠系下统嘉陵江组和二叠系上统外，其余地层均有分布。侏罗系～白垩系下统主要出露在鄂州市的中部和梁子湖盆区，三叠系中至上统零星出露在南东部，志留系、泥盆系、石炭系和二叠系零星出露在市区的西山北侧临长江南侧一带。</w:t>
      </w:r>
    </w:p>
    <w:p w14:paraId="78D703AE">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石炭系上统～二叠系下统、三叠系下统，为本区三套碳酸盐岩。二叠系上统为海相含煤建造；志留系及泥盆系上统为滨海相碎屑岩建造；三叠系中、上统～侏罗系中统为海湾～湖相碎屑岩建造；侏罗系上统和白垩系下统为陆相火山碎屑岩建造；上白垩～第三系为陆相砂页岩沉积。新生界以松散堆积物为主。第四系松散层广泛分布，其中湖区与沿江地带最发育。</w:t>
      </w:r>
    </w:p>
    <w:p w14:paraId="1B1B476B">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鄂州市最高地势四峰山，海拔485.8m；最低梁子镇之梁子门，海拔11.7m。分布有四种类型的地貌单元：北侧白浒镇～临江、东侧燕矶～杨叶为长江冲积阶地；东部和南部之东侧，由白雉山、峰尖子山和早山组成了丘陵地貌之基本骨架；北部和南部之西侧，为岗状平原，岗丘标高多在90m左右；中部梁子湖、鸭儿湖、三山湖、洋澜湖横贯鄂州腹地，形成了滞水冲湖积平原。</w:t>
      </w:r>
    </w:p>
    <w:p w14:paraId="491BFCEB">
      <w:pPr>
        <w:pStyle w:val="5"/>
        <w:rPr>
          <w:highlight w:val="none"/>
        </w:rPr>
      </w:pPr>
      <w:r>
        <w:rPr>
          <w:highlight w:val="none"/>
        </w:rPr>
        <w:t>气象气候</w:t>
      </w:r>
    </w:p>
    <w:p w14:paraId="519DAA09">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鄂州市属亚热带季风气候区，季风气候明显，气候受我国东亚季风环流支配。冬冷夏热，四季分明，气温偏高变幅大；雨量充沛，梅雨明显，降水分布均衡，春秋季多阴雨，夏季降水明显偏少，易暴雨成灾；光照充足，多集中于7月；年均无霜期长，为250~300天。</w:t>
      </w:r>
    </w:p>
    <w:p w14:paraId="7CA84B32">
      <w:pPr>
        <w:ind w:firstLine="480" w:firstLineChars="200"/>
        <w:rPr>
          <w:color w:val="000000" w:themeColor="text1"/>
          <w:kern w:val="0"/>
          <w:highlight w:val="none"/>
          <w14:textFill>
            <w14:solidFill>
              <w14:schemeClr w14:val="tx1"/>
            </w14:solidFill>
          </w14:textFill>
        </w:rPr>
      </w:pPr>
      <w:r>
        <w:rPr>
          <w:rFonts w:hint="eastAsia"/>
          <w:highlight w:val="none"/>
        </w:rPr>
        <w:t>鄂州市秋、冬两季主导风向是偏北风，春、夏两季主导风向是偏东风。年均降雨量1282.8毫米，年均日照2003.8小时，年均无霜期266天，平均气温17℃，最高气温40.7℃，最低气温-12.4℃。</w:t>
      </w:r>
    </w:p>
    <w:p w14:paraId="27B7ED64">
      <w:pPr>
        <w:pStyle w:val="5"/>
        <w:rPr>
          <w:highlight w:val="none"/>
        </w:rPr>
      </w:pPr>
      <w:r>
        <w:rPr>
          <w:highlight w:val="none"/>
        </w:rPr>
        <w:t>水文水资源</w:t>
      </w:r>
    </w:p>
    <w:p w14:paraId="7E1AD7FF">
      <w:pPr>
        <w:ind w:firstLine="480" w:firstLineChars="200"/>
        <w:jc w:val="left"/>
        <w:rPr>
          <w:rFonts w:eastAsiaTheme="minorEastAsia"/>
          <w:highlight w:val="none"/>
        </w:rPr>
      </w:pPr>
      <w:r>
        <w:rPr>
          <w:rFonts w:eastAsiaTheme="minorEastAsia"/>
          <w:highlight w:val="none"/>
        </w:rPr>
        <w:t>鄂州市位于长江中游南岸，境内河流星罗棋布，河道交叉纵横，素有“百湖之市”的美称。城区为河流所环绕，地表水体主要有北面的长江、西面的新港、长港，城区内的洋澜湖及市内零星分布的湖、水塘，地表水资源相当丰富。</w:t>
      </w:r>
    </w:p>
    <w:p w14:paraId="56039FF6">
      <w:pPr>
        <w:ind w:firstLine="480" w:firstLineChars="200"/>
        <w:jc w:val="left"/>
        <w:rPr>
          <w:rFonts w:eastAsiaTheme="minorEastAsia"/>
          <w:highlight w:val="none"/>
        </w:rPr>
      </w:pPr>
      <w:r>
        <w:rPr>
          <w:rFonts w:eastAsiaTheme="minorEastAsia"/>
          <w:highlight w:val="none"/>
        </w:rPr>
        <w:t>长江自西依市境而东流，在城区过境长约9km，河道较直，水深量大，江面宽约2000m，年平均流量23331m</w:t>
      </w:r>
      <w:r>
        <w:rPr>
          <w:rFonts w:eastAsiaTheme="minorEastAsia"/>
          <w:highlight w:val="none"/>
          <w:vertAlign w:val="superscript"/>
        </w:rPr>
        <w:t>3</w:t>
      </w:r>
      <w:r>
        <w:rPr>
          <w:rFonts w:eastAsiaTheme="minorEastAsia"/>
          <w:highlight w:val="none"/>
        </w:rPr>
        <w:t>/s，水位17.37m</w:t>
      </w:r>
      <w:r>
        <w:rPr>
          <w:rFonts w:hint="eastAsia" w:eastAsiaTheme="minorEastAsia"/>
          <w:highlight w:val="none"/>
          <w:lang w:eastAsia="zh-CN"/>
        </w:rPr>
        <w:t>；</w:t>
      </w:r>
      <w:r>
        <w:rPr>
          <w:rFonts w:eastAsiaTheme="minorEastAsia"/>
          <w:highlight w:val="none"/>
        </w:rPr>
        <w:t>丰水期流量39100m</w:t>
      </w:r>
      <w:r>
        <w:rPr>
          <w:rFonts w:eastAsiaTheme="minorEastAsia"/>
          <w:highlight w:val="none"/>
          <w:vertAlign w:val="superscript"/>
        </w:rPr>
        <w:t>3</w:t>
      </w:r>
      <w:r>
        <w:rPr>
          <w:rFonts w:eastAsiaTheme="minorEastAsia"/>
          <w:highlight w:val="none"/>
        </w:rPr>
        <w:t>/s，水位21.58m；枯水期平均流量 12076m</w:t>
      </w:r>
      <w:r>
        <w:rPr>
          <w:rFonts w:eastAsiaTheme="minorEastAsia"/>
          <w:highlight w:val="none"/>
          <w:vertAlign w:val="superscript"/>
        </w:rPr>
        <w:t>3</w:t>
      </w:r>
      <w:r>
        <w:rPr>
          <w:rFonts w:eastAsiaTheme="minorEastAsia"/>
          <w:highlight w:val="none"/>
        </w:rPr>
        <w:t>/s，水位 14.03m。鄂州市境内长江窄宽相间，单一性和弯曲型河段较窄，最小河宽870米，河宽最大达8000米。由于长江水量丰沛，汛期时间长，在多年的平均情况下，每年 5~10月为汛期，2~3月为枯水期，境内长江年平均水位17.20米，年平均流量为23800立方米/秒，年平均含沙量为0.586公斤/立方米，年平均输沙量为43000万吨。</w:t>
      </w:r>
    </w:p>
    <w:p w14:paraId="2F7E59DA">
      <w:pPr>
        <w:pStyle w:val="5"/>
        <w:tabs>
          <w:tab w:val="clear" w:pos="851"/>
        </w:tabs>
        <w:rPr>
          <w:highlight w:val="none"/>
        </w:rPr>
      </w:pPr>
      <w:r>
        <w:rPr>
          <w:highlight w:val="none"/>
        </w:rPr>
        <w:t>工程地质及水文地质概况</w:t>
      </w:r>
    </w:p>
    <w:p w14:paraId="247BF367">
      <w:pPr>
        <w:autoSpaceDE w:val="0"/>
        <w:autoSpaceDN w:val="0"/>
        <w:adjustRightInd w:val="0"/>
        <w:ind w:firstLine="480" w:firstLineChars="200"/>
        <w:jc w:val="left"/>
        <w:rPr>
          <w:highlight w:val="none"/>
        </w:rPr>
      </w:pPr>
      <w:r>
        <w:rPr>
          <w:color w:val="000000"/>
          <w:highlight w:val="none"/>
        </w:rPr>
        <w:t>本报告引用</w:t>
      </w:r>
      <w:r>
        <w:rPr>
          <w:rFonts w:hint="eastAsia"/>
          <w:highlight w:val="none"/>
        </w:rPr>
        <w:t>《湖北鄂州花湖经济开发区（花湖新城）规划环境影响跟踪评价报告书》（报批版）（中南安全环境技术研究院股份有限公司，2018年12月）</w:t>
      </w:r>
      <w:r>
        <w:rPr>
          <w:rFonts w:hint="eastAsia"/>
          <w:color w:val="000000"/>
          <w:highlight w:val="none"/>
        </w:rPr>
        <w:t>（以下</w:t>
      </w:r>
      <w:r>
        <w:rPr>
          <w:rFonts w:hint="eastAsia"/>
          <w:highlight w:val="none"/>
        </w:rPr>
        <w:t>简称《花湖规划跟踪环评报告书》）</w:t>
      </w:r>
      <w:r>
        <w:rPr>
          <w:highlight w:val="none"/>
        </w:rPr>
        <w:t>中</w:t>
      </w:r>
      <w:r>
        <w:rPr>
          <w:rFonts w:hint="eastAsia"/>
          <w:highlight w:val="none"/>
        </w:rPr>
        <w:t>岩土结构特征</w:t>
      </w:r>
      <w:r>
        <w:rPr>
          <w:highlight w:val="none"/>
        </w:rPr>
        <w:t>相关内容进行分析。</w:t>
      </w:r>
    </w:p>
    <w:p w14:paraId="47A7DE64">
      <w:pPr>
        <w:pStyle w:val="6"/>
        <w:numPr>
          <w:ilvl w:val="0"/>
          <w:numId w:val="0"/>
        </w:numPr>
        <w:rPr>
          <w:highlight w:val="none"/>
        </w:rPr>
      </w:pPr>
      <w:r>
        <w:rPr>
          <w:highlight w:val="none"/>
        </w:rPr>
        <w:t>2.1.5.1工程地质概况</w:t>
      </w:r>
    </w:p>
    <w:p w14:paraId="5184CEE6">
      <w:pPr>
        <w:autoSpaceDE w:val="0"/>
        <w:autoSpaceDN w:val="0"/>
        <w:adjustRightInd w:val="0"/>
        <w:ind w:firstLine="480" w:firstLineChars="200"/>
        <w:jc w:val="left"/>
        <w:rPr>
          <w:highlight w:val="none"/>
        </w:rPr>
      </w:pPr>
      <w:r>
        <w:rPr>
          <w:color w:val="000000"/>
          <w:highlight w:val="none"/>
        </w:rPr>
        <w:t>根据</w:t>
      </w:r>
      <w:r>
        <w:rPr>
          <w:rFonts w:hint="eastAsia"/>
          <w:highlight w:val="none"/>
        </w:rPr>
        <w:t>《花湖规划跟踪环评报告书》</w:t>
      </w:r>
      <w:r>
        <w:rPr>
          <w:color w:val="000000"/>
          <w:highlight w:val="none"/>
        </w:rPr>
        <w:t>，</w:t>
      </w:r>
      <w:r>
        <w:rPr>
          <w:rFonts w:hint="eastAsia"/>
          <w:color w:val="000000"/>
          <w:highlight w:val="none"/>
          <w:lang w:eastAsia="zh-CN"/>
        </w:rPr>
        <w:t>该区域</w:t>
      </w:r>
      <w:r>
        <w:rPr>
          <w:rFonts w:hint="eastAsia"/>
          <w:highlight w:val="none"/>
        </w:rPr>
        <w:t>地层主要为第四系全新统冲积层（</w:t>
      </w:r>
      <w:r>
        <w:rPr>
          <w:highlight w:val="none"/>
        </w:rPr>
        <w:t>Q</w:t>
      </w:r>
      <w:r>
        <w:rPr>
          <w:highlight w:val="none"/>
          <w:vertAlign w:val="subscript"/>
        </w:rPr>
        <w:t>4</w:t>
      </w:r>
      <w:r>
        <w:rPr>
          <w:highlight w:val="none"/>
          <w:vertAlign w:val="superscript"/>
        </w:rPr>
        <w:t>al</w:t>
      </w:r>
      <w:r>
        <w:rPr>
          <w:rFonts w:hint="eastAsia"/>
          <w:highlight w:val="none"/>
        </w:rPr>
        <w:t>）、上更新统冲积层（</w:t>
      </w:r>
      <w:r>
        <w:rPr>
          <w:highlight w:val="none"/>
        </w:rPr>
        <w:t>Q</w:t>
      </w:r>
      <w:r>
        <w:rPr>
          <w:rFonts w:hint="eastAsia"/>
          <w:highlight w:val="none"/>
          <w:vertAlign w:val="subscript"/>
        </w:rPr>
        <w:t>3</w:t>
      </w:r>
      <w:r>
        <w:rPr>
          <w:highlight w:val="none"/>
          <w:vertAlign w:val="superscript"/>
        </w:rPr>
        <w:t>al</w:t>
      </w:r>
      <w:r>
        <w:rPr>
          <w:rFonts w:hint="eastAsia"/>
          <w:highlight w:val="none"/>
        </w:rPr>
        <w:t>），中更新统残积</w:t>
      </w:r>
      <w:r>
        <w:rPr>
          <w:highlight w:val="none"/>
        </w:rPr>
        <w:t>层（Q</w:t>
      </w:r>
      <w:r>
        <w:rPr>
          <w:highlight w:val="none"/>
          <w:vertAlign w:val="subscript"/>
        </w:rPr>
        <w:t>2</w:t>
      </w:r>
      <w:r>
        <w:rPr>
          <w:highlight w:val="none"/>
          <w:vertAlign w:val="superscript"/>
        </w:rPr>
        <w:t>el</w:t>
      </w:r>
      <w:r>
        <w:rPr>
          <w:highlight w:val="none"/>
        </w:rPr>
        <w:t>）</w:t>
      </w:r>
      <w:r>
        <w:rPr>
          <w:rFonts w:hint="eastAsia"/>
          <w:highlight w:val="none"/>
        </w:rPr>
        <w:t>，厚度10</w:t>
      </w:r>
      <w:r>
        <w:rPr>
          <w:highlight w:val="none"/>
        </w:rPr>
        <w:t>～5</w:t>
      </w:r>
      <w:r>
        <w:rPr>
          <w:rFonts w:hint="eastAsia"/>
          <w:highlight w:val="none"/>
        </w:rPr>
        <w:t>0</w:t>
      </w:r>
      <w:r>
        <w:rPr>
          <w:highlight w:val="none"/>
        </w:rPr>
        <w:t>m。</w:t>
      </w:r>
    </w:p>
    <w:p w14:paraId="18F91237">
      <w:pPr>
        <w:pStyle w:val="70"/>
        <w:rPr>
          <w:highlight w:val="none"/>
        </w:rPr>
      </w:pPr>
      <w:r>
        <w:rPr>
          <w:highlight w:val="none"/>
        </w:rPr>
        <w:t>地层自下而上简述如下：</w:t>
      </w:r>
    </w:p>
    <w:p w14:paraId="5D626415">
      <w:pPr>
        <w:pStyle w:val="70"/>
        <w:rPr>
          <w:highlight w:val="none"/>
        </w:rPr>
      </w:pPr>
      <w:r>
        <w:rPr>
          <w:highlight w:val="none"/>
        </w:rPr>
        <w:fldChar w:fldCharType="begin"/>
      </w:r>
      <w:r>
        <w:rPr>
          <w:highlight w:val="none"/>
        </w:rPr>
        <w:instrText xml:space="preserve"> = 1 \* GB3 </w:instrText>
      </w:r>
      <w:r>
        <w:rPr>
          <w:highlight w:val="none"/>
        </w:rPr>
        <w:fldChar w:fldCharType="separate"/>
      </w:r>
      <w:r>
        <w:rPr>
          <w:rFonts w:hint="eastAsia" w:cs="宋体"/>
          <w:highlight w:val="none"/>
        </w:rPr>
        <w:t>①</w:t>
      </w:r>
      <w:r>
        <w:rPr>
          <w:rFonts w:cs="宋体"/>
          <w:highlight w:val="none"/>
        </w:rPr>
        <w:fldChar w:fldCharType="end"/>
      </w:r>
      <w:r>
        <w:rPr>
          <w:rFonts w:hint="eastAsia"/>
          <w:highlight w:val="none"/>
        </w:rPr>
        <w:t>白垩系古新统舜东湖群</w:t>
      </w:r>
      <w:r>
        <w:rPr>
          <w:highlight w:val="none"/>
        </w:rPr>
        <w:t>（</w:t>
      </w:r>
      <w:r>
        <w:rPr>
          <w:rFonts w:hint="eastAsia" w:ascii="宋体" w:hAnsi="宋体"/>
          <w:highlight w:val="none"/>
        </w:rPr>
        <w:t>K</w:t>
      </w:r>
      <w:r>
        <w:rPr>
          <w:rFonts w:ascii="宋体" w:hAnsi="宋体"/>
          <w:highlight w:val="none"/>
          <w:vertAlign w:val="subscript"/>
        </w:rPr>
        <w:t>2</w:t>
      </w:r>
      <w:r>
        <w:rPr>
          <w:rFonts w:hint="eastAsia" w:ascii="宋体" w:hAnsi="宋体"/>
          <w:highlight w:val="none"/>
        </w:rPr>
        <w:t>-</w:t>
      </w:r>
      <w:r>
        <w:rPr>
          <w:rFonts w:ascii="宋体" w:hAnsi="宋体"/>
          <w:highlight w:val="none"/>
        </w:rPr>
        <w:t>E</w:t>
      </w:r>
      <w:r>
        <w:rPr>
          <w:rFonts w:ascii="宋体" w:hAnsi="宋体"/>
          <w:highlight w:val="none"/>
          <w:vertAlign w:val="subscript"/>
        </w:rPr>
        <w:t>1</w:t>
      </w:r>
      <w:r>
        <w:rPr>
          <w:rFonts w:hint="eastAsia" w:ascii="宋体" w:hAnsi="宋体"/>
          <w:highlight w:val="none"/>
        </w:rPr>
        <w:t>dn</w:t>
      </w:r>
      <w:r>
        <w:rPr>
          <w:highlight w:val="none"/>
        </w:rPr>
        <w:t>）</w:t>
      </w:r>
    </w:p>
    <w:p w14:paraId="34CEE71F">
      <w:pPr>
        <w:pStyle w:val="70"/>
        <w:rPr>
          <w:highlight w:val="none"/>
        </w:rPr>
      </w:pPr>
      <w:r>
        <w:rPr>
          <w:rFonts w:hint="eastAsia"/>
          <w:highlight w:val="none"/>
        </w:rPr>
        <w:t>岩性主要为下部棕褐色含砾砂岩与粉砂质泥岩互层，含砾岩屑砂岩；上部棕红、棕褐色泥质粉砂岩。</w:t>
      </w:r>
      <w:r>
        <w:rPr>
          <w:highlight w:val="none"/>
        </w:rPr>
        <w:t>厚度</w:t>
      </w:r>
      <w:r>
        <w:rPr>
          <w:rFonts w:hint="eastAsia"/>
          <w:highlight w:val="none"/>
        </w:rPr>
        <w:t>大于</w:t>
      </w:r>
      <w:r>
        <w:rPr>
          <w:highlight w:val="none"/>
        </w:rPr>
        <w:t>300m</w:t>
      </w:r>
      <w:r>
        <w:rPr>
          <w:rFonts w:hint="eastAsia"/>
          <w:highlight w:val="none"/>
        </w:rPr>
        <w:t>。</w:t>
      </w:r>
    </w:p>
    <w:p w14:paraId="27DD9CE3">
      <w:pPr>
        <w:pStyle w:val="70"/>
        <w:rPr>
          <w:highlight w:val="none"/>
        </w:rPr>
      </w:pPr>
      <w:r>
        <w:rPr>
          <w:highlight w:val="none"/>
        </w:rPr>
        <w:fldChar w:fldCharType="begin"/>
      </w:r>
      <w:r>
        <w:rPr>
          <w:highlight w:val="none"/>
        </w:rPr>
        <w:instrText xml:space="preserve"> = 2 \* GB3 </w:instrText>
      </w:r>
      <w:r>
        <w:rPr>
          <w:highlight w:val="none"/>
        </w:rPr>
        <w:fldChar w:fldCharType="separate"/>
      </w:r>
      <w:r>
        <w:rPr>
          <w:rFonts w:hint="eastAsia" w:cs="宋体"/>
          <w:highlight w:val="none"/>
        </w:rPr>
        <w:t>②</w:t>
      </w:r>
      <w:r>
        <w:rPr>
          <w:rFonts w:cs="宋体"/>
          <w:highlight w:val="none"/>
        </w:rPr>
        <w:fldChar w:fldCharType="end"/>
      </w:r>
      <w:r>
        <w:rPr>
          <w:highlight w:val="none"/>
        </w:rPr>
        <w:t>第四系</w:t>
      </w:r>
      <w:r>
        <w:rPr>
          <w:rFonts w:hint="eastAsia"/>
          <w:highlight w:val="none"/>
        </w:rPr>
        <w:t>中</w:t>
      </w:r>
      <w:r>
        <w:rPr>
          <w:highlight w:val="none"/>
        </w:rPr>
        <w:t>更新统</w:t>
      </w:r>
      <w:r>
        <w:rPr>
          <w:rFonts w:hint="eastAsia"/>
          <w:highlight w:val="none"/>
        </w:rPr>
        <w:t>残积层</w:t>
      </w:r>
      <w:r>
        <w:rPr>
          <w:highlight w:val="none"/>
        </w:rPr>
        <w:t>（Q</w:t>
      </w:r>
      <w:r>
        <w:rPr>
          <w:highlight w:val="none"/>
          <w:vertAlign w:val="subscript"/>
        </w:rPr>
        <w:t>2</w:t>
      </w:r>
      <w:r>
        <w:rPr>
          <w:highlight w:val="none"/>
          <w:vertAlign w:val="superscript"/>
        </w:rPr>
        <w:t>el</w:t>
      </w:r>
      <w:r>
        <w:rPr>
          <w:highlight w:val="none"/>
        </w:rPr>
        <w:t>）</w:t>
      </w:r>
    </w:p>
    <w:p w14:paraId="1B026E7F">
      <w:pPr>
        <w:pStyle w:val="70"/>
        <w:rPr>
          <w:highlight w:val="none"/>
        </w:rPr>
      </w:pPr>
      <w:r>
        <w:rPr>
          <w:highlight w:val="none"/>
        </w:rPr>
        <w:t>可分为上、下部。总厚度10～15m。</w:t>
      </w:r>
    </w:p>
    <w:p w14:paraId="71CA32BC">
      <w:pPr>
        <w:pStyle w:val="70"/>
        <w:rPr>
          <w:color w:val="FF0000"/>
          <w:highlight w:val="none"/>
        </w:rPr>
      </w:pPr>
      <w:r>
        <w:rPr>
          <w:highlight w:val="none"/>
        </w:rPr>
        <w:t>下部岩性为</w:t>
      </w:r>
      <w:r>
        <w:rPr>
          <w:rFonts w:hint="eastAsia"/>
          <w:highlight w:val="none"/>
        </w:rPr>
        <w:t>含泥砾石层</w:t>
      </w:r>
      <w:r>
        <w:rPr>
          <w:highlight w:val="none"/>
        </w:rPr>
        <w:t>，砾石含量30～40%，砾石磨圆度好，分选性差，粒径以10～30mm为主，偶见大于20mm的卵石。</w:t>
      </w:r>
    </w:p>
    <w:p w14:paraId="1D67E70D">
      <w:pPr>
        <w:pStyle w:val="70"/>
        <w:rPr>
          <w:rFonts w:cs="宋体"/>
          <w:color w:val="FF0000"/>
          <w:highlight w:val="none"/>
        </w:rPr>
      </w:pPr>
      <w:r>
        <w:rPr>
          <w:highlight w:val="none"/>
        </w:rPr>
        <w:t>上部岩性</w:t>
      </w:r>
      <w:r>
        <w:rPr>
          <w:rFonts w:hint="eastAsia"/>
          <w:highlight w:val="none"/>
        </w:rPr>
        <w:t>主要为棕红色粘土</w:t>
      </w:r>
      <w:r>
        <w:rPr>
          <w:highlight w:val="none"/>
        </w:rPr>
        <w:t>，硬塑，有光泽，干强度及韧性高，</w:t>
      </w:r>
      <w:r>
        <w:rPr>
          <w:rFonts w:hint="eastAsia"/>
          <w:highlight w:val="none"/>
        </w:rPr>
        <w:t>据网纹</w:t>
      </w:r>
      <w:r>
        <w:rPr>
          <w:highlight w:val="none"/>
        </w:rPr>
        <w:t>结构，土质均匀。</w:t>
      </w:r>
    </w:p>
    <w:p w14:paraId="144C99F7">
      <w:pPr>
        <w:pStyle w:val="70"/>
        <w:rPr>
          <w:highlight w:val="none"/>
        </w:rPr>
      </w:pPr>
      <w:r>
        <w:rPr>
          <w:rFonts w:hint="eastAsia" w:cs="宋体"/>
          <w:highlight w:val="none"/>
        </w:rPr>
        <w:t>③</w:t>
      </w:r>
      <w:r>
        <w:rPr>
          <w:highlight w:val="none"/>
        </w:rPr>
        <w:t>第四系上更新统</w:t>
      </w:r>
      <w:r>
        <w:rPr>
          <w:rFonts w:hint="eastAsia"/>
          <w:highlight w:val="none"/>
        </w:rPr>
        <w:t>冲积层</w:t>
      </w:r>
      <w:r>
        <w:rPr>
          <w:highlight w:val="none"/>
        </w:rPr>
        <w:t>（Q</w:t>
      </w:r>
      <w:r>
        <w:rPr>
          <w:highlight w:val="none"/>
          <w:vertAlign w:val="subscript"/>
        </w:rPr>
        <w:t>3</w:t>
      </w:r>
      <w:r>
        <w:rPr>
          <w:highlight w:val="none"/>
          <w:vertAlign w:val="superscript"/>
        </w:rPr>
        <w:t>al</w:t>
      </w:r>
      <w:r>
        <w:rPr>
          <w:highlight w:val="none"/>
        </w:rPr>
        <w:t>）</w:t>
      </w:r>
    </w:p>
    <w:p w14:paraId="5694615C">
      <w:pPr>
        <w:pStyle w:val="70"/>
        <w:rPr>
          <w:highlight w:val="none"/>
        </w:rPr>
      </w:pPr>
      <w:r>
        <w:rPr>
          <w:highlight w:val="none"/>
        </w:rPr>
        <w:t>岩性</w:t>
      </w:r>
      <w:r>
        <w:rPr>
          <w:rFonts w:hint="eastAsia"/>
          <w:highlight w:val="none"/>
        </w:rPr>
        <w:t>主要为青黄杂色粉质粘土</w:t>
      </w:r>
      <w:r>
        <w:rPr>
          <w:highlight w:val="none"/>
        </w:rPr>
        <w:t>，硬塑，有光泽，干强度及韧性高，见铁锰质侵染，土质均匀。</w:t>
      </w:r>
    </w:p>
    <w:p w14:paraId="577DAD5B">
      <w:pPr>
        <w:pStyle w:val="70"/>
        <w:rPr>
          <w:highlight w:val="none"/>
        </w:rPr>
      </w:pPr>
      <w:r>
        <w:rPr>
          <w:rFonts w:hint="eastAsia" w:cs="宋体"/>
          <w:highlight w:val="none"/>
        </w:rPr>
        <w:t>④</w:t>
      </w:r>
      <w:r>
        <w:rPr>
          <w:highlight w:val="none"/>
        </w:rPr>
        <w:t>第四系全新统</w:t>
      </w:r>
      <w:r>
        <w:rPr>
          <w:rFonts w:hint="eastAsia"/>
          <w:highlight w:val="none"/>
        </w:rPr>
        <w:t>冲积层</w:t>
      </w:r>
      <w:r>
        <w:rPr>
          <w:highlight w:val="none"/>
        </w:rPr>
        <w:t>（Q</w:t>
      </w:r>
      <w:r>
        <w:rPr>
          <w:highlight w:val="none"/>
          <w:vertAlign w:val="subscript"/>
        </w:rPr>
        <w:t>4</w:t>
      </w:r>
      <w:r>
        <w:rPr>
          <w:highlight w:val="none"/>
          <w:vertAlign w:val="superscript"/>
        </w:rPr>
        <w:t>al</w:t>
      </w:r>
      <w:r>
        <w:rPr>
          <w:highlight w:val="none"/>
        </w:rPr>
        <w:t>）</w:t>
      </w:r>
    </w:p>
    <w:p w14:paraId="56920A1B">
      <w:pPr>
        <w:autoSpaceDE w:val="0"/>
        <w:autoSpaceDN w:val="0"/>
        <w:adjustRightInd w:val="0"/>
        <w:ind w:firstLine="480" w:firstLineChars="200"/>
        <w:jc w:val="left"/>
        <w:rPr>
          <w:color w:val="000000"/>
          <w:highlight w:val="none"/>
        </w:rPr>
      </w:pPr>
      <w:r>
        <w:rPr>
          <w:rFonts w:ascii="宋体" w:hAnsi="宋体" w:cs="宋体"/>
          <w:kern w:val="0"/>
          <w:highlight w:val="none"/>
        </w:rPr>
        <w:t>总厚度</w:t>
      </w:r>
      <w:r>
        <w:rPr>
          <w:rFonts w:hint="eastAsia" w:ascii="宋体" w:hAnsi="宋体" w:cs="宋体"/>
          <w:kern w:val="0"/>
          <w:highlight w:val="none"/>
        </w:rPr>
        <w:t>约0-</w:t>
      </w:r>
      <w:r>
        <w:rPr>
          <w:rFonts w:ascii="宋体" w:hAnsi="宋体" w:cs="宋体"/>
          <w:kern w:val="0"/>
          <w:highlight w:val="none"/>
        </w:rPr>
        <w:t>50m，岩性为黄色</w:t>
      </w:r>
      <w:r>
        <w:rPr>
          <w:rFonts w:hint="eastAsia" w:ascii="宋体" w:hAnsi="宋体" w:cs="宋体"/>
          <w:kern w:val="0"/>
          <w:highlight w:val="none"/>
        </w:rPr>
        <w:t>可－</w:t>
      </w:r>
      <w:r>
        <w:rPr>
          <w:rFonts w:ascii="宋体" w:hAnsi="宋体" w:cs="宋体"/>
          <w:kern w:val="0"/>
          <w:highlight w:val="none"/>
        </w:rPr>
        <w:t>软</w:t>
      </w:r>
      <w:r>
        <w:rPr>
          <w:rFonts w:hint="eastAsia" w:ascii="宋体" w:hAnsi="宋体" w:cs="宋体"/>
          <w:kern w:val="0"/>
          <w:highlight w:val="none"/>
        </w:rPr>
        <w:t>塑粉质</w:t>
      </w:r>
      <w:r>
        <w:rPr>
          <w:rFonts w:ascii="宋体" w:hAnsi="宋体" w:cs="宋体"/>
          <w:kern w:val="0"/>
          <w:highlight w:val="none"/>
        </w:rPr>
        <w:t>粘土</w:t>
      </w:r>
      <w:r>
        <w:rPr>
          <w:rFonts w:hint="eastAsia" w:ascii="宋体" w:hAnsi="宋体" w:cs="宋体"/>
          <w:kern w:val="0"/>
          <w:highlight w:val="none"/>
        </w:rPr>
        <w:t>、</w:t>
      </w:r>
      <w:r>
        <w:rPr>
          <w:rFonts w:ascii="宋体" w:hAnsi="宋体" w:cs="宋体"/>
          <w:kern w:val="0"/>
          <w:highlight w:val="none"/>
        </w:rPr>
        <w:t>粉细砂、砾石，</w:t>
      </w:r>
      <w:r>
        <w:rPr>
          <w:rFonts w:hint="eastAsia" w:ascii="宋体" w:hAnsi="宋体" w:cs="宋体"/>
          <w:kern w:val="0"/>
          <w:highlight w:val="none"/>
        </w:rPr>
        <w:t>主要</w:t>
      </w:r>
      <w:r>
        <w:rPr>
          <w:rFonts w:ascii="宋体" w:hAnsi="宋体" w:cs="宋体"/>
          <w:kern w:val="0"/>
          <w:highlight w:val="none"/>
        </w:rPr>
        <w:t>分布与长江</w:t>
      </w:r>
      <w:r>
        <w:rPr>
          <w:highlight w:val="none"/>
        </w:rPr>
        <w:t>河道，自上而下</w:t>
      </w:r>
      <w:r>
        <w:rPr>
          <w:rFonts w:hint="eastAsia"/>
          <w:highlight w:val="none"/>
        </w:rPr>
        <w:t>粒度具有</w:t>
      </w:r>
      <w:r>
        <w:rPr>
          <w:highlight w:val="none"/>
        </w:rPr>
        <w:t>由</w:t>
      </w:r>
      <w:r>
        <w:rPr>
          <w:rFonts w:hint="eastAsia"/>
          <w:highlight w:val="none"/>
        </w:rPr>
        <w:t>细</w:t>
      </w:r>
      <w:r>
        <w:rPr>
          <w:highlight w:val="none"/>
        </w:rPr>
        <w:t>变粗的趋势</w:t>
      </w:r>
      <w:r>
        <w:rPr>
          <w:rFonts w:hint="eastAsia"/>
          <w:highlight w:val="none"/>
        </w:rPr>
        <w:t>。</w:t>
      </w:r>
    </w:p>
    <w:p w14:paraId="69989879">
      <w:pPr>
        <w:pStyle w:val="6"/>
        <w:numPr>
          <w:ilvl w:val="0"/>
          <w:numId w:val="0"/>
        </w:numPr>
        <w:rPr>
          <w:highlight w:val="none"/>
        </w:rPr>
      </w:pPr>
      <w:r>
        <w:rPr>
          <w:highlight w:val="none"/>
        </w:rPr>
        <w:t>2.1.5.2水文地质概况</w:t>
      </w:r>
    </w:p>
    <w:p w14:paraId="14EAB090">
      <w:pPr>
        <w:pStyle w:val="70"/>
        <w:rPr>
          <w:highlight w:val="none"/>
        </w:rPr>
      </w:pPr>
      <w:r>
        <w:rPr>
          <w:color w:val="000000"/>
          <w:highlight w:val="none"/>
        </w:rPr>
        <w:t>根据</w:t>
      </w:r>
      <w:r>
        <w:rPr>
          <w:rFonts w:hint="eastAsia"/>
          <w:color w:val="000000"/>
          <w:highlight w:val="none"/>
        </w:rPr>
        <w:t>《花湖规划环评报告书》，</w:t>
      </w:r>
      <w:r>
        <w:rPr>
          <w:rFonts w:hint="eastAsia"/>
          <w:highlight w:val="none"/>
          <w:lang w:eastAsia="zh-CN"/>
        </w:rPr>
        <w:t>该区域</w:t>
      </w:r>
      <w:r>
        <w:rPr>
          <w:highlight w:val="none"/>
        </w:rPr>
        <w:t>地下水类型主要为松散岩类孔隙水</w:t>
      </w:r>
      <w:r>
        <w:rPr>
          <w:rFonts w:hint="eastAsia"/>
          <w:highlight w:val="none"/>
        </w:rPr>
        <w:t>、碎屑岩类裂隙水和岩浆岩类裂隙水。按含水层的渗透性可进一步划分为两个弱透水层，一个含水层和一个隔水层，具体描述如下：</w:t>
      </w:r>
    </w:p>
    <w:p w14:paraId="3D1C138D">
      <w:pPr>
        <w:pStyle w:val="70"/>
        <w:rPr>
          <w:highlight w:val="none"/>
        </w:rPr>
      </w:pPr>
      <w:r>
        <w:rPr>
          <w:rFonts w:hint="eastAsia"/>
          <w:highlight w:val="none"/>
        </w:rPr>
        <w:t>①</w:t>
      </w:r>
      <w:r>
        <w:rPr>
          <w:highlight w:val="none"/>
        </w:rPr>
        <w:t>第一弱</w:t>
      </w:r>
      <w:r>
        <w:rPr>
          <w:rFonts w:hint="eastAsia"/>
          <w:highlight w:val="none"/>
        </w:rPr>
        <w:t>透</w:t>
      </w:r>
      <w:r>
        <w:rPr>
          <w:highlight w:val="none"/>
        </w:rPr>
        <w:t>水层</w:t>
      </w:r>
    </w:p>
    <w:p w14:paraId="35467EBA">
      <w:pPr>
        <w:pStyle w:val="70"/>
        <w:rPr>
          <w:color w:val="FF0000"/>
          <w:highlight w:val="none"/>
        </w:rPr>
      </w:pPr>
      <w:r>
        <w:rPr>
          <w:highlight w:val="none"/>
        </w:rPr>
        <w:t>该层主要由第四系全新统</w:t>
      </w:r>
      <w:r>
        <w:rPr>
          <w:rFonts w:hint="eastAsia"/>
          <w:highlight w:val="none"/>
        </w:rPr>
        <w:t>粉质</w:t>
      </w:r>
      <w:r>
        <w:rPr>
          <w:highlight w:val="none"/>
        </w:rPr>
        <w:t>粘土和</w:t>
      </w:r>
      <w:r>
        <w:rPr>
          <w:rFonts w:hint="eastAsia"/>
          <w:highlight w:val="none"/>
        </w:rPr>
        <w:t>中上</w:t>
      </w:r>
      <w:r>
        <w:rPr>
          <w:highlight w:val="none"/>
        </w:rPr>
        <w:t>更新统</w:t>
      </w:r>
      <w:r>
        <w:rPr>
          <w:rFonts w:hint="eastAsia"/>
          <w:highlight w:val="none"/>
        </w:rPr>
        <w:t>粉质</w:t>
      </w:r>
      <w:r>
        <w:rPr>
          <w:highlight w:val="none"/>
        </w:rPr>
        <w:t>粘土</w:t>
      </w:r>
      <w:r>
        <w:rPr>
          <w:rFonts w:hint="eastAsia"/>
          <w:highlight w:val="none"/>
        </w:rPr>
        <w:t>、</w:t>
      </w:r>
      <w:r>
        <w:rPr>
          <w:highlight w:val="none"/>
        </w:rPr>
        <w:t>粘土组成，结构致密。底板埋深在</w:t>
      </w:r>
      <w:r>
        <w:rPr>
          <w:rFonts w:hint="eastAsia"/>
          <w:highlight w:val="none"/>
        </w:rPr>
        <w:t>5</w:t>
      </w:r>
      <w:r>
        <w:rPr>
          <w:highlight w:val="none"/>
        </w:rPr>
        <w:t>～10m之间。</w:t>
      </w:r>
    </w:p>
    <w:p w14:paraId="5FACBA96">
      <w:pPr>
        <w:pStyle w:val="70"/>
        <w:rPr>
          <w:highlight w:val="none"/>
        </w:rPr>
      </w:pPr>
      <w:r>
        <w:rPr>
          <w:rFonts w:hint="eastAsia"/>
          <w:highlight w:val="none"/>
        </w:rPr>
        <w:t>②</w:t>
      </w:r>
      <w:r>
        <w:rPr>
          <w:highlight w:val="none"/>
        </w:rPr>
        <w:t>第一含水层</w:t>
      </w:r>
    </w:p>
    <w:p w14:paraId="734071BB">
      <w:pPr>
        <w:pStyle w:val="70"/>
        <w:rPr>
          <w:color w:val="FF0000"/>
          <w:highlight w:val="none"/>
        </w:rPr>
      </w:pPr>
      <w:r>
        <w:rPr>
          <w:highlight w:val="none"/>
        </w:rPr>
        <w:t>该层主要</w:t>
      </w:r>
      <w:r>
        <w:rPr>
          <w:rFonts w:hint="eastAsia"/>
          <w:highlight w:val="none"/>
        </w:rPr>
        <w:t>为</w:t>
      </w:r>
      <w:r>
        <w:rPr>
          <w:highlight w:val="none"/>
        </w:rPr>
        <w:t>第四系</w:t>
      </w:r>
      <w:r>
        <w:rPr>
          <w:rFonts w:hint="eastAsia"/>
          <w:highlight w:val="none"/>
        </w:rPr>
        <w:t>中</w:t>
      </w:r>
      <w:r>
        <w:rPr>
          <w:highlight w:val="none"/>
        </w:rPr>
        <w:t>上更新统</w:t>
      </w:r>
      <w:r>
        <w:rPr>
          <w:rFonts w:hint="eastAsia"/>
          <w:highlight w:val="none"/>
        </w:rPr>
        <w:t>砾石和</w:t>
      </w:r>
      <w:r>
        <w:rPr>
          <w:highlight w:val="none"/>
        </w:rPr>
        <w:t>第四系全新统的</w:t>
      </w:r>
      <w:r>
        <w:rPr>
          <w:rFonts w:hint="eastAsia"/>
          <w:highlight w:val="none"/>
        </w:rPr>
        <w:t>中细砂</w:t>
      </w:r>
      <w:r>
        <w:rPr>
          <w:highlight w:val="none"/>
        </w:rPr>
        <w:t>、</w:t>
      </w:r>
      <w:r>
        <w:rPr>
          <w:rFonts w:hint="eastAsia"/>
          <w:highlight w:val="none"/>
        </w:rPr>
        <w:t>砂砾石</w:t>
      </w:r>
      <w:r>
        <w:rPr>
          <w:highlight w:val="none"/>
        </w:rPr>
        <w:t>层组成，</w:t>
      </w:r>
      <w:r>
        <w:rPr>
          <w:rFonts w:hint="eastAsia"/>
          <w:highlight w:val="none"/>
        </w:rPr>
        <w:t>中上更新统</w:t>
      </w:r>
      <w:r>
        <w:rPr>
          <w:highlight w:val="none"/>
        </w:rPr>
        <w:t>泥砾层厚2～5m，</w:t>
      </w:r>
      <w:r>
        <w:rPr>
          <w:rFonts w:hint="eastAsia"/>
          <w:highlight w:val="none"/>
        </w:rPr>
        <w:t>底</w:t>
      </w:r>
      <w:r>
        <w:rPr>
          <w:highlight w:val="none"/>
        </w:rPr>
        <w:t>板埋深为10～15m，</w:t>
      </w:r>
      <w:r>
        <w:rPr>
          <w:rFonts w:hint="eastAsia"/>
          <w:highlight w:val="none"/>
        </w:rPr>
        <w:t>单井涌水量</w:t>
      </w:r>
      <w:r>
        <w:rPr>
          <w:highlight w:val="none"/>
        </w:rPr>
        <w:t>10-100m</w:t>
      </w:r>
      <w:r>
        <w:rPr>
          <w:highlight w:val="none"/>
          <w:vertAlign w:val="superscript"/>
        </w:rPr>
        <w:t>3</w:t>
      </w:r>
      <w:r>
        <w:rPr>
          <w:highlight w:val="none"/>
        </w:rPr>
        <w:t>/d。</w:t>
      </w:r>
      <w:r>
        <w:rPr>
          <w:rFonts w:hint="eastAsia"/>
          <w:highlight w:val="none"/>
        </w:rPr>
        <w:t>第四系</w:t>
      </w:r>
      <w:r>
        <w:rPr>
          <w:highlight w:val="none"/>
        </w:rPr>
        <w:t>全新统</w:t>
      </w:r>
      <w:r>
        <w:rPr>
          <w:rFonts w:hint="eastAsia"/>
          <w:highlight w:val="none"/>
        </w:rPr>
        <w:t>中细砂、砂砾石</w:t>
      </w:r>
      <w:r>
        <w:rPr>
          <w:highlight w:val="none"/>
        </w:rPr>
        <w:t>分布于</w:t>
      </w:r>
      <w:r>
        <w:rPr>
          <w:rFonts w:hint="eastAsia"/>
          <w:highlight w:val="none"/>
        </w:rPr>
        <w:t>长江漫滩</w:t>
      </w:r>
      <w:r>
        <w:rPr>
          <w:highlight w:val="none"/>
        </w:rPr>
        <w:t>区</w:t>
      </w:r>
      <w:r>
        <w:rPr>
          <w:rFonts w:hint="eastAsia"/>
          <w:highlight w:val="none"/>
        </w:rPr>
        <w:t>，层厚</w:t>
      </w:r>
      <w:r>
        <w:rPr>
          <w:highlight w:val="none"/>
        </w:rPr>
        <w:t>30-40m，底板埋深40-50m，单井涌水量</w:t>
      </w:r>
      <w:r>
        <w:rPr>
          <w:rFonts w:hint="eastAsia"/>
          <w:highlight w:val="none"/>
        </w:rPr>
        <w:t>&gt;1</w:t>
      </w:r>
      <w:r>
        <w:rPr>
          <w:highlight w:val="none"/>
        </w:rPr>
        <w:t>000m</w:t>
      </w:r>
      <w:r>
        <w:rPr>
          <w:highlight w:val="none"/>
          <w:vertAlign w:val="superscript"/>
        </w:rPr>
        <w:t>3</w:t>
      </w:r>
      <w:r>
        <w:rPr>
          <w:highlight w:val="none"/>
        </w:rPr>
        <w:t>/d，</w:t>
      </w:r>
      <w:r>
        <w:rPr>
          <w:rFonts w:hint="eastAsia"/>
          <w:highlight w:val="none"/>
        </w:rPr>
        <w:t>根据现场抽水试验测试结果，渗透系数为</w:t>
      </w:r>
      <w:r>
        <w:rPr>
          <w:highlight w:val="none"/>
        </w:rPr>
        <w:t>4</w:t>
      </w:r>
      <w:r>
        <w:rPr>
          <w:rFonts w:hint="eastAsia"/>
          <w:highlight w:val="none"/>
        </w:rPr>
        <w:t>.58</w:t>
      </w:r>
      <w:r>
        <w:rPr>
          <w:highlight w:val="none"/>
        </w:rPr>
        <w:t>×10</w:t>
      </w:r>
      <w:r>
        <w:rPr>
          <w:highlight w:val="none"/>
          <w:vertAlign w:val="superscript"/>
        </w:rPr>
        <w:t>-</w:t>
      </w:r>
      <w:r>
        <w:rPr>
          <w:rFonts w:hint="eastAsia"/>
          <w:highlight w:val="none"/>
          <w:vertAlign w:val="superscript"/>
        </w:rPr>
        <w:t>4</w:t>
      </w:r>
      <w:r>
        <w:rPr>
          <w:highlight w:val="none"/>
        </w:rPr>
        <w:t>cm/s</w:t>
      </w:r>
      <w:r>
        <w:rPr>
          <w:rFonts w:hint="eastAsia"/>
          <w:highlight w:val="none"/>
        </w:rPr>
        <w:t>，</w:t>
      </w:r>
      <w:r>
        <w:rPr>
          <w:highlight w:val="none"/>
        </w:rPr>
        <w:t>地下水水力特征为微承压水。</w:t>
      </w:r>
    </w:p>
    <w:p w14:paraId="373CA2C6">
      <w:pPr>
        <w:pStyle w:val="70"/>
        <w:rPr>
          <w:highlight w:val="none"/>
        </w:rPr>
      </w:pPr>
      <w:r>
        <w:rPr>
          <w:rFonts w:hint="eastAsia"/>
          <w:highlight w:val="none"/>
        </w:rPr>
        <w:t>③第二弱透水层</w:t>
      </w:r>
    </w:p>
    <w:p w14:paraId="73E1728F">
      <w:pPr>
        <w:pStyle w:val="70"/>
        <w:rPr>
          <w:highlight w:val="none"/>
        </w:rPr>
      </w:pPr>
      <w:r>
        <w:rPr>
          <w:rFonts w:hint="eastAsia"/>
          <w:highlight w:val="none"/>
        </w:rPr>
        <w:t>该含水层地下水主要赋存于岩浆岩、白垩纪－</w:t>
      </w:r>
      <w:r>
        <w:rPr>
          <w:highlight w:val="none"/>
        </w:rPr>
        <w:t>古近系</w:t>
      </w:r>
      <w:r>
        <w:rPr>
          <w:rFonts w:hint="eastAsia"/>
          <w:highlight w:val="none"/>
        </w:rPr>
        <w:t>的</w:t>
      </w:r>
      <w:r>
        <w:rPr>
          <w:highlight w:val="none"/>
        </w:rPr>
        <w:t>砂岩</w:t>
      </w:r>
      <w:r>
        <w:rPr>
          <w:rFonts w:hint="eastAsia"/>
          <w:highlight w:val="none"/>
        </w:rPr>
        <w:t>、</w:t>
      </w:r>
      <w:r>
        <w:rPr>
          <w:highlight w:val="none"/>
        </w:rPr>
        <w:t>泥岩</w:t>
      </w:r>
      <w:r>
        <w:rPr>
          <w:rFonts w:hint="eastAsia"/>
          <w:highlight w:val="none"/>
        </w:rPr>
        <w:t>的风化裂隙中。</w:t>
      </w:r>
    </w:p>
    <w:p w14:paraId="59E9A12E">
      <w:pPr>
        <w:autoSpaceDE w:val="0"/>
        <w:autoSpaceDN w:val="0"/>
        <w:adjustRightInd w:val="0"/>
        <w:ind w:firstLine="480" w:firstLineChars="200"/>
        <w:jc w:val="left"/>
        <w:rPr>
          <w:highlight w:val="none"/>
        </w:rPr>
      </w:pPr>
      <w:r>
        <w:rPr>
          <w:rFonts w:hint="eastAsia"/>
          <w:highlight w:val="none"/>
        </w:rPr>
        <w:t>风化层厚度一般为5～10</w:t>
      </w:r>
      <w:r>
        <w:rPr>
          <w:highlight w:val="none"/>
        </w:rPr>
        <w:t>m</w:t>
      </w:r>
      <w:r>
        <w:rPr>
          <w:rFonts w:hint="eastAsia"/>
          <w:highlight w:val="none"/>
        </w:rPr>
        <w:t>，单井涌水量</w:t>
      </w:r>
      <w:r>
        <w:rPr>
          <w:highlight w:val="none"/>
        </w:rPr>
        <w:t>10-</w:t>
      </w:r>
      <w:r>
        <w:rPr>
          <w:rFonts w:hint="eastAsia"/>
          <w:highlight w:val="none"/>
        </w:rPr>
        <w:t>100</w:t>
      </w:r>
      <w:r>
        <w:rPr>
          <w:highlight w:val="none"/>
        </w:rPr>
        <w:t>m</w:t>
      </w:r>
      <w:r>
        <w:rPr>
          <w:highlight w:val="none"/>
          <w:vertAlign w:val="superscript"/>
        </w:rPr>
        <w:t>3</w:t>
      </w:r>
      <w:r>
        <w:rPr>
          <w:highlight w:val="none"/>
        </w:rPr>
        <w:t>/d</w:t>
      </w:r>
      <w:r>
        <w:rPr>
          <w:rFonts w:hint="eastAsia"/>
          <w:highlight w:val="none"/>
        </w:rPr>
        <w:t>，根据</w:t>
      </w:r>
      <w:r>
        <w:rPr>
          <w:rFonts w:hint="eastAsia"/>
          <w:highlight w:val="none"/>
          <w:lang w:eastAsia="zh-CN"/>
        </w:rPr>
        <w:t>相关</w:t>
      </w:r>
      <w:r>
        <w:rPr>
          <w:rFonts w:hint="eastAsia"/>
          <w:highlight w:val="none"/>
        </w:rPr>
        <w:t>抽水资料，计算该层平均渗透系数为</w:t>
      </w:r>
      <w:r>
        <w:rPr>
          <w:highlight w:val="none"/>
        </w:rPr>
        <w:t>5</w:t>
      </w:r>
      <w:r>
        <w:rPr>
          <w:rFonts w:hint="eastAsia"/>
          <w:highlight w:val="none"/>
        </w:rPr>
        <w:t>.10</w:t>
      </w:r>
      <w:r>
        <w:rPr>
          <w:highlight w:val="none"/>
        </w:rPr>
        <w:t>×10</w:t>
      </w:r>
      <w:r>
        <w:rPr>
          <w:highlight w:val="none"/>
          <w:vertAlign w:val="superscript"/>
        </w:rPr>
        <w:t>-5</w:t>
      </w:r>
      <w:r>
        <w:rPr>
          <w:highlight w:val="none"/>
        </w:rPr>
        <w:t>cm/s</w:t>
      </w:r>
      <w:r>
        <w:rPr>
          <w:rFonts w:hint="eastAsia"/>
          <w:highlight w:val="none"/>
        </w:rPr>
        <w:t>，地下水水力特征为潜水</w:t>
      </w:r>
      <w:r>
        <w:rPr>
          <w:highlight w:val="none"/>
        </w:rPr>
        <w:t>－</w:t>
      </w:r>
      <w:r>
        <w:rPr>
          <w:rFonts w:hint="eastAsia"/>
          <w:highlight w:val="none"/>
        </w:rPr>
        <w:t>承压水。</w:t>
      </w:r>
    </w:p>
    <w:bookmarkEnd w:id="11"/>
    <w:p w14:paraId="016B943B">
      <w:pPr>
        <w:pStyle w:val="4"/>
        <w:rPr>
          <w:color w:val="000000" w:themeColor="text1"/>
          <w:highlight w:val="none"/>
          <w14:textFill>
            <w14:solidFill>
              <w14:schemeClr w14:val="tx1"/>
            </w14:solidFill>
          </w14:textFill>
        </w:rPr>
      </w:pPr>
      <w:bookmarkStart w:id="12" w:name="_Toc385"/>
      <w:r>
        <w:rPr>
          <w:color w:val="000000" w:themeColor="text1"/>
          <w:highlight w:val="none"/>
          <w14:textFill>
            <w14:solidFill>
              <w14:schemeClr w14:val="tx1"/>
            </w14:solidFill>
          </w14:textFill>
        </w:rPr>
        <w:t>园区概况</w:t>
      </w:r>
      <w:bookmarkEnd w:id="12"/>
    </w:p>
    <w:p w14:paraId="6B420E7F">
      <w:pPr>
        <w:pStyle w:val="5"/>
        <w:rPr>
          <w:highlight w:val="none"/>
        </w:rPr>
      </w:pPr>
      <w:r>
        <w:rPr>
          <w:highlight w:val="none"/>
        </w:rPr>
        <w:t>园区地理位置及周边情况</w:t>
      </w:r>
    </w:p>
    <w:p w14:paraId="01E100F5">
      <w:pPr>
        <w:ind w:firstLine="480" w:firstLineChars="200"/>
        <w:rPr>
          <w:color w:val="000000" w:themeColor="text1"/>
          <w:kern w:val="0"/>
          <w:highlight w:val="none"/>
          <w14:textFill>
            <w14:solidFill>
              <w14:schemeClr w14:val="tx1"/>
            </w14:solidFill>
          </w14:textFill>
        </w:rPr>
      </w:pPr>
      <w:r>
        <w:rPr>
          <w:rFonts w:eastAsiaTheme="minorEastAsia"/>
          <w:highlight w:val="none"/>
        </w:rPr>
        <w:t>花湖开发区位于</w:t>
      </w:r>
      <w:r>
        <w:rPr>
          <w:rFonts w:hint="eastAsia" w:eastAsiaTheme="minorEastAsia"/>
          <w:highlight w:val="none"/>
        </w:rPr>
        <w:t>鄂州市鄂城区</w:t>
      </w:r>
      <w:r>
        <w:rPr>
          <w:rFonts w:eastAsiaTheme="minorEastAsia"/>
          <w:highlight w:val="none"/>
        </w:rPr>
        <w:t>，根据</w:t>
      </w:r>
      <w:r>
        <w:rPr>
          <w:rFonts w:hint="eastAsia"/>
          <w:highlight w:val="none"/>
        </w:rPr>
        <w:t>《湖北鄂州花湖经济开发区（花湖新城）规划环境影响跟踪评价报告书》（中南安全环境技术研究院股份有限公司，2018年12月）</w:t>
      </w:r>
      <w:r>
        <w:rPr>
          <w:rFonts w:eastAsiaTheme="minorEastAsia"/>
          <w:highlight w:val="none"/>
        </w:rPr>
        <w:t>，花湖开发区调查面积为</w:t>
      </w:r>
      <w:r>
        <w:rPr>
          <w:rFonts w:hint="eastAsia" w:eastAsiaTheme="minorEastAsia"/>
          <w:highlight w:val="none"/>
        </w:rPr>
        <w:t>26.42</w:t>
      </w:r>
      <w:r>
        <w:rPr>
          <w:rFonts w:eastAsiaTheme="minorEastAsia"/>
          <w:highlight w:val="none"/>
        </w:rPr>
        <w:t>km</w:t>
      </w:r>
      <w:r>
        <w:rPr>
          <w:rFonts w:eastAsiaTheme="minorEastAsia"/>
          <w:highlight w:val="none"/>
          <w:vertAlign w:val="superscript"/>
        </w:rPr>
        <w:t>2</w:t>
      </w:r>
      <w:r>
        <w:rPr>
          <w:color w:val="000000" w:themeColor="text1"/>
          <w:kern w:val="0"/>
          <w:highlight w:val="none"/>
          <w14:textFill>
            <w14:solidFill>
              <w14:schemeClr w14:val="tx1"/>
            </w14:solidFill>
          </w14:textFill>
        </w:rPr>
        <w:t>。</w:t>
      </w:r>
      <w:r>
        <w:rPr>
          <w:rFonts w:eastAsiaTheme="minorEastAsia"/>
          <w:highlight w:val="none"/>
        </w:rPr>
        <w:t>调查范</w:t>
      </w:r>
      <w:r>
        <w:rPr>
          <w:color w:val="000000" w:themeColor="text1"/>
          <w:kern w:val="0"/>
          <w:highlight w:val="none"/>
          <w14:textFill>
            <w14:solidFill>
              <w14:schemeClr w14:val="tx1"/>
            </w14:solidFill>
          </w14:textFill>
        </w:rPr>
        <w:t>围及周边情况见附图2。</w:t>
      </w:r>
    </w:p>
    <w:p w14:paraId="6AB5B281">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根据</w:t>
      </w:r>
      <w:r>
        <w:rPr>
          <w:rFonts w:eastAsiaTheme="minorEastAsia"/>
          <w:highlight w:val="none"/>
        </w:rPr>
        <w:t>花湖开发区</w:t>
      </w:r>
      <w:r>
        <w:rPr>
          <w:color w:val="000000" w:themeColor="text1"/>
          <w:kern w:val="0"/>
          <w:highlight w:val="none"/>
          <w14:textFill>
            <w14:solidFill>
              <w14:schemeClr w14:val="tx1"/>
            </w14:solidFill>
          </w14:textFill>
        </w:rPr>
        <w:t>及周边</w:t>
      </w:r>
      <w:r>
        <w:rPr>
          <w:rFonts w:hint="eastAsia"/>
          <w:color w:val="000000" w:themeColor="text1"/>
          <w:kern w:val="0"/>
          <w:highlight w:val="none"/>
          <w:lang w:val="en-US" w:eastAsia="zh-CN"/>
          <w14:textFill>
            <w14:solidFill>
              <w14:schemeClr w14:val="tx1"/>
            </w14:solidFill>
          </w14:textFill>
        </w:rPr>
        <w:t>环境</w:t>
      </w:r>
      <w:r>
        <w:rPr>
          <w:color w:val="000000" w:themeColor="text1"/>
          <w:kern w:val="0"/>
          <w:highlight w:val="none"/>
          <w14:textFill>
            <w14:solidFill>
              <w14:schemeClr w14:val="tx1"/>
            </w14:solidFill>
          </w14:textFill>
        </w:rPr>
        <w:t>现状卫片，</w:t>
      </w:r>
      <w:r>
        <w:rPr>
          <w:rFonts w:eastAsiaTheme="minorEastAsia"/>
          <w:highlight w:val="none"/>
        </w:rPr>
        <w:t>花湖开发区</w:t>
      </w:r>
      <w:r>
        <w:rPr>
          <w:rFonts w:hint="eastAsia" w:eastAsiaTheme="minorEastAsia"/>
          <w:highlight w:val="none"/>
        </w:rPr>
        <w:t>西侧边界外主要为花马湖以及农田、村落等；北临杨叶镇，北侧边界外主要为农田、村落和少量企业；东侧</w:t>
      </w:r>
      <w:r>
        <w:rPr>
          <w:rFonts w:hint="eastAsia" w:eastAsiaTheme="minorEastAsia"/>
          <w:highlight w:val="none"/>
          <w:lang w:eastAsia="zh-CN"/>
        </w:rPr>
        <w:t>边界</w:t>
      </w:r>
      <w:r>
        <w:rPr>
          <w:rFonts w:hint="eastAsia" w:eastAsiaTheme="minorEastAsia"/>
          <w:highlight w:val="none"/>
        </w:rPr>
        <w:t>外为长江（鄂州段）及码头；南侧</w:t>
      </w:r>
      <w:r>
        <w:rPr>
          <w:rFonts w:hint="eastAsia" w:eastAsiaTheme="minorEastAsia"/>
          <w:highlight w:val="none"/>
          <w:lang w:eastAsia="zh-CN"/>
        </w:rPr>
        <w:t>边界</w:t>
      </w:r>
      <w:r>
        <w:rPr>
          <w:rFonts w:hint="eastAsia" w:eastAsiaTheme="minorEastAsia"/>
          <w:highlight w:val="none"/>
        </w:rPr>
        <w:t>与黄石市接壤，边界外主要为住宅、商服和企业</w:t>
      </w:r>
      <w:r>
        <w:rPr>
          <w:color w:val="000000" w:themeColor="text1"/>
          <w:kern w:val="0"/>
          <w:highlight w:val="none"/>
          <w14:textFill>
            <w14:solidFill>
              <w14:schemeClr w14:val="tx1"/>
            </w14:solidFill>
          </w14:textFill>
        </w:rPr>
        <w:t>。</w:t>
      </w:r>
    </w:p>
    <w:p w14:paraId="0817CBCD">
      <w:pPr>
        <w:ind w:firstLine="480" w:firstLineChars="200"/>
        <w:rPr>
          <w:color w:val="000000" w:themeColor="text1"/>
          <w:kern w:val="0"/>
          <w:highlight w:val="none"/>
          <w14:textFill>
            <w14:solidFill>
              <w14:schemeClr w14:val="tx1"/>
            </w14:solidFill>
          </w14:textFill>
        </w:rPr>
      </w:pPr>
      <w:r>
        <w:rPr>
          <w:rFonts w:eastAsiaTheme="minorEastAsia"/>
          <w:highlight w:val="none"/>
        </w:rPr>
        <w:t>花湖开发区</w:t>
      </w:r>
      <w:r>
        <w:rPr>
          <w:color w:val="000000" w:themeColor="text1"/>
          <w:kern w:val="0"/>
          <w:highlight w:val="none"/>
          <w14:textFill>
            <w14:solidFill>
              <w14:schemeClr w14:val="tx1"/>
            </w14:solidFill>
          </w14:textFill>
        </w:rPr>
        <w:t>周边敏感点分布情况如下表所示：</w:t>
      </w:r>
    </w:p>
    <w:p w14:paraId="2F39CC83">
      <w:pPr>
        <w:spacing w:before="156" w:beforeLines="50" w:line="240" w:lineRule="auto"/>
        <w:jc w:val="center"/>
        <w:rPr>
          <w:rFonts w:eastAsia="黑体"/>
          <w:b/>
          <w:highlight w:val="none"/>
        </w:rPr>
      </w:pPr>
      <w:r>
        <w:rPr>
          <w:rFonts w:eastAsia="黑体"/>
          <w:b/>
          <w:highlight w:val="none"/>
        </w:rPr>
        <w:t xml:space="preserve">表2-2-1 </w:t>
      </w:r>
      <w:r>
        <w:rPr>
          <w:rFonts w:hint="eastAsia" w:eastAsia="黑体"/>
          <w:b/>
          <w:highlight w:val="none"/>
        </w:rPr>
        <w:t>花湖开发区</w:t>
      </w:r>
      <w:r>
        <w:rPr>
          <w:rFonts w:eastAsia="黑体"/>
          <w:b/>
          <w:highlight w:val="none"/>
        </w:rPr>
        <w:t>周边敏感点分布情况</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2072"/>
        <w:gridCol w:w="1158"/>
        <w:gridCol w:w="2962"/>
        <w:gridCol w:w="2962"/>
      </w:tblGrid>
      <w:tr w14:paraId="3A85B5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97" w:type="dxa"/>
            <w:tcBorders>
              <w:bottom w:val="single" w:color="auto" w:sz="12" w:space="0"/>
            </w:tcBorders>
            <w:vAlign w:val="center"/>
          </w:tcPr>
          <w:p w14:paraId="174D32FC">
            <w:pPr>
              <w:pStyle w:val="2"/>
              <w:spacing w:after="0" w:line="240" w:lineRule="auto"/>
              <w:jc w:val="center"/>
              <w:rPr>
                <w:b/>
                <w:bCs/>
                <w:sz w:val="21"/>
                <w:szCs w:val="21"/>
                <w:highlight w:val="none"/>
              </w:rPr>
            </w:pPr>
            <w:r>
              <w:rPr>
                <w:b/>
                <w:bCs/>
                <w:sz w:val="21"/>
                <w:szCs w:val="21"/>
                <w:highlight w:val="none"/>
              </w:rPr>
              <w:t>编号</w:t>
            </w:r>
          </w:p>
        </w:tc>
        <w:tc>
          <w:tcPr>
            <w:tcW w:w="2072" w:type="dxa"/>
            <w:tcBorders>
              <w:bottom w:val="single" w:color="auto" w:sz="12" w:space="0"/>
            </w:tcBorders>
            <w:vAlign w:val="center"/>
          </w:tcPr>
          <w:p w14:paraId="6B4D7DFF">
            <w:pPr>
              <w:pStyle w:val="2"/>
              <w:spacing w:after="0" w:line="240" w:lineRule="auto"/>
              <w:jc w:val="center"/>
              <w:rPr>
                <w:b/>
                <w:bCs/>
                <w:sz w:val="21"/>
                <w:szCs w:val="21"/>
                <w:highlight w:val="none"/>
              </w:rPr>
            </w:pPr>
            <w:r>
              <w:rPr>
                <w:b/>
                <w:bCs/>
                <w:sz w:val="21"/>
                <w:szCs w:val="21"/>
                <w:highlight w:val="none"/>
              </w:rPr>
              <w:t>项目</w:t>
            </w:r>
          </w:p>
        </w:tc>
        <w:tc>
          <w:tcPr>
            <w:tcW w:w="1158" w:type="dxa"/>
            <w:tcBorders>
              <w:bottom w:val="single" w:color="auto" w:sz="12" w:space="0"/>
            </w:tcBorders>
            <w:vAlign w:val="center"/>
          </w:tcPr>
          <w:p w14:paraId="3E21F00B">
            <w:pPr>
              <w:pStyle w:val="2"/>
              <w:spacing w:after="0" w:line="240" w:lineRule="auto"/>
              <w:jc w:val="center"/>
              <w:rPr>
                <w:b/>
                <w:bCs/>
                <w:sz w:val="21"/>
                <w:szCs w:val="21"/>
                <w:highlight w:val="none"/>
              </w:rPr>
            </w:pPr>
            <w:r>
              <w:rPr>
                <w:b/>
                <w:bCs/>
                <w:sz w:val="21"/>
                <w:szCs w:val="21"/>
                <w:highlight w:val="none"/>
              </w:rPr>
              <w:t>相对方位</w:t>
            </w:r>
          </w:p>
        </w:tc>
        <w:tc>
          <w:tcPr>
            <w:tcW w:w="2962" w:type="dxa"/>
            <w:tcBorders>
              <w:bottom w:val="single" w:color="auto" w:sz="12" w:space="0"/>
            </w:tcBorders>
            <w:vAlign w:val="center"/>
          </w:tcPr>
          <w:p w14:paraId="1D78E095">
            <w:pPr>
              <w:pStyle w:val="2"/>
              <w:spacing w:after="0" w:line="240" w:lineRule="auto"/>
              <w:jc w:val="center"/>
              <w:rPr>
                <w:b/>
                <w:bCs/>
                <w:sz w:val="21"/>
                <w:szCs w:val="21"/>
                <w:highlight w:val="none"/>
              </w:rPr>
            </w:pPr>
            <w:r>
              <w:rPr>
                <w:b/>
                <w:bCs/>
                <w:sz w:val="21"/>
                <w:szCs w:val="21"/>
                <w:highlight w:val="none"/>
              </w:rPr>
              <w:t>与工业园区最近距离（m）</w:t>
            </w:r>
          </w:p>
        </w:tc>
        <w:tc>
          <w:tcPr>
            <w:tcW w:w="2962" w:type="dxa"/>
            <w:tcBorders>
              <w:bottom w:val="single" w:color="auto" w:sz="12" w:space="0"/>
            </w:tcBorders>
            <w:vAlign w:val="center"/>
          </w:tcPr>
          <w:p w14:paraId="77DB9544">
            <w:pPr>
              <w:pStyle w:val="2"/>
              <w:spacing w:after="0" w:line="240" w:lineRule="auto"/>
              <w:jc w:val="center"/>
              <w:rPr>
                <w:b/>
                <w:bCs/>
                <w:sz w:val="21"/>
                <w:szCs w:val="21"/>
                <w:highlight w:val="none"/>
              </w:rPr>
            </w:pPr>
            <w:r>
              <w:rPr>
                <w:rFonts w:hint="eastAsia"/>
                <w:b/>
                <w:bCs/>
                <w:sz w:val="21"/>
                <w:szCs w:val="21"/>
                <w:highlight w:val="none"/>
              </w:rPr>
              <w:t>备注</w:t>
            </w:r>
          </w:p>
        </w:tc>
      </w:tr>
      <w:tr w14:paraId="269EE8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72273458">
            <w:pPr>
              <w:widowControl/>
              <w:spacing w:line="240" w:lineRule="auto"/>
              <w:jc w:val="center"/>
              <w:textAlignment w:val="center"/>
              <w:rPr>
                <w:sz w:val="21"/>
                <w:szCs w:val="21"/>
                <w:highlight w:val="none"/>
              </w:rPr>
            </w:pPr>
            <w:r>
              <w:rPr>
                <w:color w:val="000000"/>
                <w:kern w:val="0"/>
                <w:sz w:val="22"/>
                <w:szCs w:val="22"/>
                <w:highlight w:val="none"/>
                <w:lang w:bidi="ar"/>
              </w:rPr>
              <w:t>1</w:t>
            </w:r>
          </w:p>
        </w:tc>
        <w:tc>
          <w:tcPr>
            <w:tcW w:w="2072" w:type="dxa"/>
            <w:vAlign w:val="center"/>
          </w:tcPr>
          <w:p w14:paraId="088FDEAE">
            <w:pPr>
              <w:widowControl/>
              <w:spacing w:line="240" w:lineRule="auto"/>
              <w:jc w:val="center"/>
              <w:textAlignment w:val="center"/>
              <w:rPr>
                <w:sz w:val="21"/>
                <w:szCs w:val="21"/>
                <w:highlight w:val="none"/>
              </w:rPr>
            </w:pPr>
            <w:r>
              <w:rPr>
                <w:rFonts w:hint="eastAsia"/>
                <w:sz w:val="21"/>
                <w:szCs w:val="21"/>
                <w:highlight w:val="none"/>
              </w:rPr>
              <w:t>老屋湾</w:t>
            </w:r>
          </w:p>
        </w:tc>
        <w:tc>
          <w:tcPr>
            <w:tcW w:w="1158" w:type="dxa"/>
            <w:vAlign w:val="center"/>
          </w:tcPr>
          <w:p w14:paraId="3C78901A">
            <w:pPr>
              <w:widowControl/>
              <w:spacing w:line="240" w:lineRule="auto"/>
              <w:jc w:val="center"/>
              <w:textAlignment w:val="center"/>
              <w:rPr>
                <w:sz w:val="21"/>
                <w:szCs w:val="21"/>
                <w:highlight w:val="none"/>
              </w:rPr>
            </w:pPr>
            <w:r>
              <w:rPr>
                <w:rFonts w:hint="eastAsia"/>
                <w:sz w:val="21"/>
                <w:szCs w:val="21"/>
                <w:highlight w:val="none"/>
              </w:rPr>
              <w:t>北</w:t>
            </w:r>
          </w:p>
        </w:tc>
        <w:tc>
          <w:tcPr>
            <w:tcW w:w="2962" w:type="dxa"/>
            <w:vAlign w:val="center"/>
          </w:tcPr>
          <w:p w14:paraId="6E9BED86">
            <w:pPr>
              <w:widowControl/>
              <w:spacing w:line="240" w:lineRule="auto"/>
              <w:jc w:val="center"/>
              <w:textAlignment w:val="center"/>
              <w:rPr>
                <w:sz w:val="21"/>
                <w:szCs w:val="21"/>
                <w:highlight w:val="none"/>
              </w:rPr>
            </w:pPr>
            <w:r>
              <w:rPr>
                <w:rFonts w:hint="eastAsia"/>
                <w:sz w:val="21"/>
                <w:szCs w:val="21"/>
                <w:highlight w:val="none"/>
              </w:rPr>
              <w:t>0</w:t>
            </w:r>
          </w:p>
        </w:tc>
        <w:tc>
          <w:tcPr>
            <w:tcW w:w="2962" w:type="dxa"/>
            <w:vAlign w:val="center"/>
          </w:tcPr>
          <w:p w14:paraId="1E9904A2">
            <w:pPr>
              <w:widowControl/>
              <w:spacing w:line="240" w:lineRule="auto"/>
              <w:jc w:val="center"/>
              <w:textAlignment w:val="center"/>
              <w:rPr>
                <w:sz w:val="21"/>
                <w:szCs w:val="21"/>
                <w:highlight w:val="none"/>
              </w:rPr>
            </w:pPr>
            <w:r>
              <w:rPr>
                <w:rFonts w:hint="eastAsia"/>
                <w:sz w:val="21"/>
                <w:szCs w:val="21"/>
                <w:highlight w:val="none"/>
              </w:rPr>
              <w:t>居住</w:t>
            </w:r>
          </w:p>
        </w:tc>
      </w:tr>
      <w:tr w14:paraId="7F1DEB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31DF2D58">
            <w:pPr>
              <w:widowControl/>
              <w:spacing w:line="240" w:lineRule="auto"/>
              <w:jc w:val="center"/>
              <w:textAlignment w:val="center"/>
              <w:rPr>
                <w:sz w:val="21"/>
                <w:szCs w:val="21"/>
                <w:highlight w:val="none"/>
              </w:rPr>
            </w:pPr>
            <w:r>
              <w:rPr>
                <w:color w:val="000000"/>
                <w:kern w:val="0"/>
                <w:sz w:val="22"/>
                <w:szCs w:val="22"/>
                <w:highlight w:val="none"/>
                <w:lang w:bidi="ar"/>
              </w:rPr>
              <w:t>2</w:t>
            </w:r>
          </w:p>
        </w:tc>
        <w:tc>
          <w:tcPr>
            <w:tcW w:w="2072" w:type="dxa"/>
            <w:vAlign w:val="center"/>
          </w:tcPr>
          <w:p w14:paraId="0A43DBD9">
            <w:pPr>
              <w:widowControl/>
              <w:spacing w:line="240" w:lineRule="auto"/>
              <w:jc w:val="center"/>
              <w:textAlignment w:val="center"/>
              <w:rPr>
                <w:sz w:val="21"/>
                <w:szCs w:val="21"/>
                <w:highlight w:val="none"/>
              </w:rPr>
            </w:pPr>
            <w:r>
              <w:rPr>
                <w:rFonts w:hint="eastAsia"/>
                <w:sz w:val="21"/>
                <w:szCs w:val="21"/>
                <w:highlight w:val="none"/>
              </w:rPr>
              <w:t>徐家墩</w:t>
            </w:r>
          </w:p>
        </w:tc>
        <w:tc>
          <w:tcPr>
            <w:tcW w:w="1158" w:type="dxa"/>
            <w:vAlign w:val="center"/>
          </w:tcPr>
          <w:p w14:paraId="6FD8B7C5">
            <w:pPr>
              <w:widowControl/>
              <w:spacing w:line="240" w:lineRule="auto"/>
              <w:jc w:val="center"/>
              <w:textAlignment w:val="center"/>
              <w:rPr>
                <w:sz w:val="21"/>
                <w:szCs w:val="21"/>
                <w:highlight w:val="none"/>
              </w:rPr>
            </w:pPr>
            <w:r>
              <w:rPr>
                <w:rFonts w:hint="eastAsia"/>
                <w:sz w:val="21"/>
                <w:szCs w:val="21"/>
                <w:highlight w:val="none"/>
              </w:rPr>
              <w:t>北</w:t>
            </w:r>
          </w:p>
        </w:tc>
        <w:tc>
          <w:tcPr>
            <w:tcW w:w="2962" w:type="dxa"/>
            <w:vAlign w:val="center"/>
          </w:tcPr>
          <w:p w14:paraId="5F6468DD">
            <w:pPr>
              <w:widowControl/>
              <w:spacing w:line="240" w:lineRule="auto"/>
              <w:jc w:val="center"/>
              <w:textAlignment w:val="center"/>
              <w:rPr>
                <w:sz w:val="21"/>
                <w:szCs w:val="21"/>
                <w:highlight w:val="none"/>
              </w:rPr>
            </w:pPr>
            <w:r>
              <w:rPr>
                <w:rFonts w:hint="eastAsia"/>
                <w:sz w:val="21"/>
                <w:szCs w:val="21"/>
                <w:highlight w:val="none"/>
              </w:rPr>
              <w:t>360</w:t>
            </w:r>
          </w:p>
        </w:tc>
        <w:tc>
          <w:tcPr>
            <w:tcW w:w="2962" w:type="dxa"/>
            <w:vAlign w:val="center"/>
          </w:tcPr>
          <w:p w14:paraId="2837941D">
            <w:pPr>
              <w:widowControl/>
              <w:spacing w:line="240" w:lineRule="auto"/>
              <w:jc w:val="center"/>
              <w:textAlignment w:val="center"/>
              <w:rPr>
                <w:sz w:val="21"/>
                <w:szCs w:val="21"/>
                <w:highlight w:val="none"/>
              </w:rPr>
            </w:pPr>
            <w:r>
              <w:rPr>
                <w:rFonts w:hint="eastAsia"/>
                <w:sz w:val="21"/>
                <w:szCs w:val="21"/>
                <w:highlight w:val="none"/>
              </w:rPr>
              <w:t>居住</w:t>
            </w:r>
          </w:p>
        </w:tc>
      </w:tr>
      <w:tr w14:paraId="24CEB8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5A8AB29E">
            <w:pPr>
              <w:widowControl/>
              <w:spacing w:line="240" w:lineRule="auto"/>
              <w:jc w:val="center"/>
              <w:textAlignment w:val="center"/>
              <w:rPr>
                <w:sz w:val="21"/>
                <w:szCs w:val="21"/>
                <w:highlight w:val="none"/>
              </w:rPr>
            </w:pPr>
            <w:r>
              <w:rPr>
                <w:color w:val="000000"/>
                <w:kern w:val="0"/>
                <w:sz w:val="22"/>
                <w:szCs w:val="22"/>
                <w:highlight w:val="none"/>
                <w:lang w:bidi="ar"/>
              </w:rPr>
              <w:t>3</w:t>
            </w:r>
          </w:p>
        </w:tc>
        <w:tc>
          <w:tcPr>
            <w:tcW w:w="2072" w:type="dxa"/>
            <w:vAlign w:val="center"/>
          </w:tcPr>
          <w:p w14:paraId="5C08A155">
            <w:pPr>
              <w:widowControl/>
              <w:spacing w:line="240" w:lineRule="auto"/>
              <w:jc w:val="center"/>
              <w:textAlignment w:val="center"/>
              <w:rPr>
                <w:sz w:val="21"/>
                <w:szCs w:val="21"/>
                <w:highlight w:val="none"/>
              </w:rPr>
            </w:pPr>
            <w:r>
              <w:rPr>
                <w:rFonts w:hint="eastAsia"/>
                <w:sz w:val="21"/>
                <w:szCs w:val="21"/>
                <w:highlight w:val="none"/>
              </w:rPr>
              <w:t>万家堰</w:t>
            </w:r>
          </w:p>
        </w:tc>
        <w:tc>
          <w:tcPr>
            <w:tcW w:w="1158" w:type="dxa"/>
            <w:vAlign w:val="center"/>
          </w:tcPr>
          <w:p w14:paraId="3F149867">
            <w:pPr>
              <w:widowControl/>
              <w:spacing w:line="240" w:lineRule="auto"/>
              <w:jc w:val="center"/>
              <w:textAlignment w:val="center"/>
              <w:rPr>
                <w:sz w:val="21"/>
                <w:szCs w:val="21"/>
                <w:highlight w:val="none"/>
              </w:rPr>
            </w:pPr>
            <w:r>
              <w:rPr>
                <w:rFonts w:hint="eastAsia"/>
                <w:sz w:val="21"/>
                <w:szCs w:val="21"/>
                <w:highlight w:val="none"/>
              </w:rPr>
              <w:t>北</w:t>
            </w:r>
          </w:p>
        </w:tc>
        <w:tc>
          <w:tcPr>
            <w:tcW w:w="2962" w:type="dxa"/>
            <w:vAlign w:val="center"/>
          </w:tcPr>
          <w:p w14:paraId="43C7E32F">
            <w:pPr>
              <w:widowControl/>
              <w:spacing w:line="240" w:lineRule="auto"/>
              <w:jc w:val="center"/>
              <w:textAlignment w:val="center"/>
              <w:rPr>
                <w:sz w:val="21"/>
                <w:szCs w:val="21"/>
                <w:highlight w:val="none"/>
              </w:rPr>
            </w:pPr>
            <w:r>
              <w:rPr>
                <w:rFonts w:hint="eastAsia"/>
                <w:sz w:val="21"/>
                <w:szCs w:val="21"/>
                <w:highlight w:val="none"/>
              </w:rPr>
              <w:t>160</w:t>
            </w:r>
          </w:p>
        </w:tc>
        <w:tc>
          <w:tcPr>
            <w:tcW w:w="2962" w:type="dxa"/>
            <w:vAlign w:val="center"/>
          </w:tcPr>
          <w:p w14:paraId="11485530">
            <w:pPr>
              <w:widowControl/>
              <w:spacing w:line="240" w:lineRule="auto"/>
              <w:jc w:val="center"/>
              <w:textAlignment w:val="center"/>
              <w:rPr>
                <w:sz w:val="21"/>
                <w:szCs w:val="21"/>
                <w:highlight w:val="none"/>
              </w:rPr>
            </w:pPr>
            <w:r>
              <w:rPr>
                <w:rFonts w:hint="eastAsia"/>
                <w:sz w:val="21"/>
                <w:szCs w:val="21"/>
                <w:highlight w:val="none"/>
              </w:rPr>
              <w:t>居住</w:t>
            </w:r>
          </w:p>
        </w:tc>
      </w:tr>
      <w:tr w14:paraId="2E448D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145AA23F">
            <w:pPr>
              <w:widowControl/>
              <w:spacing w:line="240" w:lineRule="auto"/>
              <w:jc w:val="center"/>
              <w:textAlignment w:val="center"/>
              <w:rPr>
                <w:sz w:val="21"/>
                <w:szCs w:val="21"/>
                <w:highlight w:val="none"/>
              </w:rPr>
            </w:pPr>
            <w:r>
              <w:rPr>
                <w:color w:val="000000"/>
                <w:kern w:val="0"/>
                <w:sz w:val="22"/>
                <w:szCs w:val="22"/>
                <w:highlight w:val="none"/>
                <w:lang w:bidi="ar"/>
              </w:rPr>
              <w:t>4</w:t>
            </w:r>
          </w:p>
        </w:tc>
        <w:tc>
          <w:tcPr>
            <w:tcW w:w="2072" w:type="dxa"/>
            <w:vAlign w:val="center"/>
          </w:tcPr>
          <w:p w14:paraId="7B85A77C">
            <w:pPr>
              <w:widowControl/>
              <w:spacing w:line="240" w:lineRule="auto"/>
              <w:jc w:val="center"/>
              <w:textAlignment w:val="center"/>
              <w:rPr>
                <w:sz w:val="21"/>
                <w:szCs w:val="21"/>
                <w:highlight w:val="none"/>
              </w:rPr>
            </w:pPr>
            <w:r>
              <w:rPr>
                <w:rFonts w:hint="eastAsia"/>
                <w:sz w:val="21"/>
                <w:szCs w:val="21"/>
                <w:highlight w:val="none"/>
              </w:rPr>
              <w:t>卢家湾</w:t>
            </w:r>
          </w:p>
        </w:tc>
        <w:tc>
          <w:tcPr>
            <w:tcW w:w="1158" w:type="dxa"/>
            <w:vAlign w:val="center"/>
          </w:tcPr>
          <w:p w14:paraId="52F2DE7E">
            <w:pPr>
              <w:widowControl/>
              <w:spacing w:line="240" w:lineRule="auto"/>
              <w:jc w:val="center"/>
              <w:textAlignment w:val="center"/>
              <w:rPr>
                <w:sz w:val="21"/>
                <w:szCs w:val="21"/>
                <w:highlight w:val="none"/>
              </w:rPr>
            </w:pPr>
            <w:r>
              <w:rPr>
                <w:rFonts w:hint="eastAsia"/>
                <w:sz w:val="21"/>
                <w:szCs w:val="21"/>
                <w:highlight w:val="none"/>
              </w:rPr>
              <w:t>北</w:t>
            </w:r>
          </w:p>
        </w:tc>
        <w:tc>
          <w:tcPr>
            <w:tcW w:w="2962" w:type="dxa"/>
            <w:vAlign w:val="center"/>
          </w:tcPr>
          <w:p w14:paraId="6133D11E">
            <w:pPr>
              <w:widowControl/>
              <w:spacing w:line="240" w:lineRule="auto"/>
              <w:jc w:val="center"/>
              <w:textAlignment w:val="center"/>
              <w:rPr>
                <w:sz w:val="21"/>
                <w:szCs w:val="21"/>
                <w:highlight w:val="none"/>
              </w:rPr>
            </w:pPr>
            <w:r>
              <w:rPr>
                <w:rFonts w:hint="eastAsia"/>
                <w:sz w:val="21"/>
                <w:szCs w:val="21"/>
                <w:highlight w:val="none"/>
              </w:rPr>
              <w:t>20</w:t>
            </w:r>
          </w:p>
        </w:tc>
        <w:tc>
          <w:tcPr>
            <w:tcW w:w="2962" w:type="dxa"/>
            <w:vAlign w:val="center"/>
          </w:tcPr>
          <w:p w14:paraId="79EF6F6C">
            <w:pPr>
              <w:widowControl/>
              <w:spacing w:line="240" w:lineRule="auto"/>
              <w:jc w:val="center"/>
              <w:textAlignment w:val="center"/>
              <w:rPr>
                <w:sz w:val="21"/>
                <w:szCs w:val="21"/>
                <w:highlight w:val="none"/>
              </w:rPr>
            </w:pPr>
            <w:r>
              <w:rPr>
                <w:rFonts w:hint="eastAsia"/>
                <w:sz w:val="21"/>
                <w:szCs w:val="21"/>
                <w:highlight w:val="none"/>
              </w:rPr>
              <w:t>居住</w:t>
            </w:r>
          </w:p>
        </w:tc>
      </w:tr>
      <w:tr w14:paraId="289B85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21A8B34C">
            <w:pPr>
              <w:widowControl/>
              <w:spacing w:line="240" w:lineRule="auto"/>
              <w:jc w:val="center"/>
              <w:textAlignment w:val="center"/>
              <w:rPr>
                <w:sz w:val="21"/>
                <w:szCs w:val="21"/>
                <w:highlight w:val="none"/>
              </w:rPr>
            </w:pPr>
            <w:r>
              <w:rPr>
                <w:color w:val="000000"/>
                <w:kern w:val="0"/>
                <w:sz w:val="22"/>
                <w:szCs w:val="22"/>
                <w:highlight w:val="none"/>
                <w:lang w:bidi="ar"/>
              </w:rPr>
              <w:t>5</w:t>
            </w:r>
          </w:p>
        </w:tc>
        <w:tc>
          <w:tcPr>
            <w:tcW w:w="2072" w:type="dxa"/>
            <w:vAlign w:val="center"/>
          </w:tcPr>
          <w:p w14:paraId="516B8E3D">
            <w:pPr>
              <w:widowControl/>
              <w:spacing w:line="240" w:lineRule="auto"/>
              <w:jc w:val="center"/>
              <w:textAlignment w:val="center"/>
              <w:rPr>
                <w:sz w:val="21"/>
                <w:szCs w:val="21"/>
                <w:highlight w:val="none"/>
              </w:rPr>
            </w:pPr>
            <w:r>
              <w:rPr>
                <w:rFonts w:hint="eastAsia"/>
                <w:sz w:val="21"/>
                <w:szCs w:val="21"/>
                <w:highlight w:val="none"/>
              </w:rPr>
              <w:t>细屋</w:t>
            </w:r>
          </w:p>
        </w:tc>
        <w:tc>
          <w:tcPr>
            <w:tcW w:w="1158" w:type="dxa"/>
            <w:vAlign w:val="center"/>
          </w:tcPr>
          <w:p w14:paraId="0DE19CD2">
            <w:pPr>
              <w:widowControl/>
              <w:spacing w:line="240" w:lineRule="auto"/>
              <w:jc w:val="center"/>
              <w:textAlignment w:val="center"/>
              <w:rPr>
                <w:sz w:val="21"/>
                <w:szCs w:val="21"/>
                <w:highlight w:val="none"/>
              </w:rPr>
            </w:pPr>
            <w:r>
              <w:rPr>
                <w:rFonts w:hint="eastAsia"/>
                <w:sz w:val="21"/>
                <w:szCs w:val="21"/>
                <w:highlight w:val="none"/>
              </w:rPr>
              <w:t>北</w:t>
            </w:r>
          </w:p>
        </w:tc>
        <w:tc>
          <w:tcPr>
            <w:tcW w:w="2962" w:type="dxa"/>
            <w:vAlign w:val="center"/>
          </w:tcPr>
          <w:p w14:paraId="3F827E6A">
            <w:pPr>
              <w:widowControl/>
              <w:spacing w:line="240" w:lineRule="auto"/>
              <w:jc w:val="center"/>
              <w:textAlignment w:val="center"/>
              <w:rPr>
                <w:sz w:val="21"/>
                <w:szCs w:val="21"/>
                <w:highlight w:val="none"/>
              </w:rPr>
            </w:pPr>
            <w:r>
              <w:rPr>
                <w:rFonts w:hint="eastAsia"/>
                <w:sz w:val="21"/>
                <w:szCs w:val="21"/>
                <w:highlight w:val="none"/>
              </w:rPr>
              <w:t>10</w:t>
            </w:r>
          </w:p>
        </w:tc>
        <w:tc>
          <w:tcPr>
            <w:tcW w:w="2962" w:type="dxa"/>
            <w:vAlign w:val="center"/>
          </w:tcPr>
          <w:p w14:paraId="1B974469">
            <w:pPr>
              <w:widowControl/>
              <w:spacing w:line="240" w:lineRule="auto"/>
              <w:jc w:val="center"/>
              <w:textAlignment w:val="center"/>
              <w:rPr>
                <w:sz w:val="21"/>
                <w:szCs w:val="21"/>
                <w:highlight w:val="none"/>
              </w:rPr>
            </w:pPr>
            <w:r>
              <w:rPr>
                <w:rFonts w:hint="eastAsia"/>
                <w:sz w:val="21"/>
                <w:szCs w:val="21"/>
                <w:highlight w:val="none"/>
              </w:rPr>
              <w:t>居住</w:t>
            </w:r>
          </w:p>
        </w:tc>
      </w:tr>
      <w:tr w14:paraId="0049B3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233CC2FB">
            <w:pPr>
              <w:widowControl/>
              <w:spacing w:line="240" w:lineRule="auto"/>
              <w:jc w:val="center"/>
              <w:textAlignment w:val="center"/>
              <w:rPr>
                <w:sz w:val="21"/>
                <w:szCs w:val="21"/>
                <w:highlight w:val="none"/>
              </w:rPr>
            </w:pPr>
            <w:r>
              <w:rPr>
                <w:color w:val="000000"/>
                <w:kern w:val="0"/>
                <w:sz w:val="22"/>
                <w:szCs w:val="22"/>
                <w:highlight w:val="none"/>
                <w:lang w:bidi="ar"/>
              </w:rPr>
              <w:t>6</w:t>
            </w:r>
          </w:p>
        </w:tc>
        <w:tc>
          <w:tcPr>
            <w:tcW w:w="2072" w:type="dxa"/>
            <w:vAlign w:val="center"/>
          </w:tcPr>
          <w:p w14:paraId="6EB968E5">
            <w:pPr>
              <w:widowControl/>
              <w:spacing w:line="240" w:lineRule="auto"/>
              <w:jc w:val="center"/>
              <w:textAlignment w:val="center"/>
              <w:rPr>
                <w:sz w:val="21"/>
                <w:szCs w:val="21"/>
                <w:highlight w:val="none"/>
              </w:rPr>
            </w:pPr>
            <w:r>
              <w:rPr>
                <w:rFonts w:hint="eastAsia"/>
                <w:sz w:val="21"/>
                <w:szCs w:val="21"/>
                <w:highlight w:val="none"/>
              </w:rPr>
              <w:t>回龙咀</w:t>
            </w:r>
          </w:p>
        </w:tc>
        <w:tc>
          <w:tcPr>
            <w:tcW w:w="1158" w:type="dxa"/>
            <w:vAlign w:val="center"/>
          </w:tcPr>
          <w:p w14:paraId="5CF9E56B">
            <w:pPr>
              <w:widowControl/>
              <w:spacing w:line="240" w:lineRule="auto"/>
              <w:jc w:val="center"/>
              <w:textAlignment w:val="center"/>
              <w:rPr>
                <w:sz w:val="21"/>
                <w:szCs w:val="21"/>
                <w:highlight w:val="none"/>
              </w:rPr>
            </w:pPr>
            <w:r>
              <w:rPr>
                <w:rFonts w:hint="eastAsia"/>
                <w:sz w:val="21"/>
                <w:szCs w:val="21"/>
                <w:highlight w:val="none"/>
              </w:rPr>
              <w:t>北</w:t>
            </w:r>
          </w:p>
        </w:tc>
        <w:tc>
          <w:tcPr>
            <w:tcW w:w="2962" w:type="dxa"/>
            <w:vAlign w:val="center"/>
          </w:tcPr>
          <w:p w14:paraId="5F5DDAAE">
            <w:pPr>
              <w:widowControl/>
              <w:spacing w:line="240" w:lineRule="auto"/>
              <w:jc w:val="center"/>
              <w:textAlignment w:val="center"/>
              <w:rPr>
                <w:sz w:val="21"/>
                <w:szCs w:val="21"/>
                <w:highlight w:val="none"/>
              </w:rPr>
            </w:pPr>
            <w:r>
              <w:rPr>
                <w:rFonts w:hint="eastAsia"/>
                <w:sz w:val="21"/>
                <w:szCs w:val="21"/>
                <w:highlight w:val="none"/>
              </w:rPr>
              <w:t>0</w:t>
            </w:r>
          </w:p>
        </w:tc>
        <w:tc>
          <w:tcPr>
            <w:tcW w:w="2962" w:type="dxa"/>
            <w:vAlign w:val="center"/>
          </w:tcPr>
          <w:p w14:paraId="274507B9">
            <w:pPr>
              <w:widowControl/>
              <w:spacing w:line="240" w:lineRule="auto"/>
              <w:jc w:val="center"/>
              <w:textAlignment w:val="center"/>
              <w:rPr>
                <w:sz w:val="21"/>
                <w:szCs w:val="21"/>
                <w:highlight w:val="none"/>
              </w:rPr>
            </w:pPr>
            <w:r>
              <w:rPr>
                <w:rFonts w:hint="eastAsia"/>
                <w:sz w:val="21"/>
                <w:szCs w:val="21"/>
                <w:highlight w:val="none"/>
              </w:rPr>
              <w:t>居住</w:t>
            </w:r>
          </w:p>
        </w:tc>
      </w:tr>
      <w:tr w14:paraId="552155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55F53A21">
            <w:pPr>
              <w:widowControl/>
              <w:spacing w:line="240" w:lineRule="auto"/>
              <w:jc w:val="center"/>
              <w:textAlignment w:val="center"/>
              <w:rPr>
                <w:sz w:val="21"/>
                <w:szCs w:val="21"/>
                <w:highlight w:val="none"/>
              </w:rPr>
            </w:pPr>
            <w:r>
              <w:rPr>
                <w:color w:val="000000"/>
                <w:kern w:val="0"/>
                <w:sz w:val="22"/>
                <w:szCs w:val="22"/>
                <w:highlight w:val="none"/>
                <w:lang w:bidi="ar"/>
              </w:rPr>
              <w:t>7</w:t>
            </w:r>
          </w:p>
        </w:tc>
        <w:tc>
          <w:tcPr>
            <w:tcW w:w="2072" w:type="dxa"/>
            <w:vAlign w:val="center"/>
          </w:tcPr>
          <w:p w14:paraId="2D4C2A3A">
            <w:pPr>
              <w:widowControl/>
              <w:spacing w:line="240" w:lineRule="auto"/>
              <w:jc w:val="center"/>
              <w:textAlignment w:val="center"/>
              <w:rPr>
                <w:sz w:val="21"/>
                <w:szCs w:val="21"/>
                <w:highlight w:val="none"/>
              </w:rPr>
            </w:pPr>
            <w:r>
              <w:rPr>
                <w:rFonts w:hint="eastAsia"/>
                <w:sz w:val="21"/>
                <w:szCs w:val="21"/>
                <w:highlight w:val="none"/>
              </w:rPr>
              <w:t>石马咀</w:t>
            </w:r>
          </w:p>
        </w:tc>
        <w:tc>
          <w:tcPr>
            <w:tcW w:w="1158" w:type="dxa"/>
            <w:vAlign w:val="center"/>
          </w:tcPr>
          <w:p w14:paraId="561F3EF8">
            <w:pPr>
              <w:widowControl/>
              <w:spacing w:line="240" w:lineRule="auto"/>
              <w:jc w:val="center"/>
              <w:textAlignment w:val="center"/>
              <w:rPr>
                <w:sz w:val="21"/>
                <w:szCs w:val="21"/>
                <w:highlight w:val="none"/>
              </w:rPr>
            </w:pPr>
            <w:r>
              <w:rPr>
                <w:rFonts w:hint="eastAsia"/>
                <w:sz w:val="21"/>
                <w:szCs w:val="21"/>
                <w:highlight w:val="none"/>
              </w:rPr>
              <w:t>北</w:t>
            </w:r>
          </w:p>
        </w:tc>
        <w:tc>
          <w:tcPr>
            <w:tcW w:w="2962" w:type="dxa"/>
            <w:vAlign w:val="center"/>
          </w:tcPr>
          <w:p w14:paraId="15AD9EAC">
            <w:pPr>
              <w:widowControl/>
              <w:spacing w:line="240" w:lineRule="auto"/>
              <w:jc w:val="center"/>
              <w:textAlignment w:val="center"/>
              <w:rPr>
                <w:sz w:val="21"/>
                <w:szCs w:val="21"/>
                <w:highlight w:val="none"/>
              </w:rPr>
            </w:pPr>
            <w:r>
              <w:rPr>
                <w:rFonts w:hint="eastAsia"/>
                <w:sz w:val="21"/>
                <w:szCs w:val="21"/>
                <w:highlight w:val="none"/>
              </w:rPr>
              <w:t>390</w:t>
            </w:r>
          </w:p>
        </w:tc>
        <w:tc>
          <w:tcPr>
            <w:tcW w:w="2962" w:type="dxa"/>
            <w:vAlign w:val="center"/>
          </w:tcPr>
          <w:p w14:paraId="5BB84508">
            <w:pPr>
              <w:widowControl/>
              <w:spacing w:line="240" w:lineRule="auto"/>
              <w:jc w:val="center"/>
              <w:textAlignment w:val="center"/>
              <w:rPr>
                <w:sz w:val="21"/>
                <w:szCs w:val="21"/>
                <w:highlight w:val="none"/>
              </w:rPr>
            </w:pPr>
            <w:r>
              <w:rPr>
                <w:rFonts w:hint="eastAsia"/>
                <w:sz w:val="21"/>
                <w:szCs w:val="21"/>
                <w:highlight w:val="none"/>
              </w:rPr>
              <w:t>居住</w:t>
            </w:r>
          </w:p>
        </w:tc>
      </w:tr>
      <w:tr w14:paraId="3BABBA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275160C3">
            <w:pPr>
              <w:widowControl/>
              <w:spacing w:line="240" w:lineRule="auto"/>
              <w:jc w:val="center"/>
              <w:textAlignment w:val="center"/>
              <w:rPr>
                <w:sz w:val="21"/>
                <w:szCs w:val="21"/>
                <w:highlight w:val="none"/>
              </w:rPr>
            </w:pPr>
            <w:r>
              <w:rPr>
                <w:color w:val="000000"/>
                <w:kern w:val="0"/>
                <w:sz w:val="22"/>
                <w:szCs w:val="22"/>
                <w:highlight w:val="none"/>
                <w:lang w:bidi="ar"/>
              </w:rPr>
              <w:t>8</w:t>
            </w:r>
          </w:p>
        </w:tc>
        <w:tc>
          <w:tcPr>
            <w:tcW w:w="2072" w:type="dxa"/>
            <w:vAlign w:val="center"/>
          </w:tcPr>
          <w:p w14:paraId="3ED6D69D">
            <w:pPr>
              <w:widowControl/>
              <w:spacing w:line="240" w:lineRule="auto"/>
              <w:jc w:val="center"/>
              <w:textAlignment w:val="center"/>
              <w:rPr>
                <w:sz w:val="21"/>
                <w:szCs w:val="21"/>
                <w:highlight w:val="none"/>
              </w:rPr>
            </w:pPr>
            <w:r>
              <w:rPr>
                <w:rFonts w:hint="eastAsia"/>
                <w:sz w:val="21"/>
                <w:szCs w:val="21"/>
                <w:highlight w:val="none"/>
              </w:rPr>
              <w:t>潘河</w:t>
            </w:r>
          </w:p>
        </w:tc>
        <w:tc>
          <w:tcPr>
            <w:tcW w:w="1158" w:type="dxa"/>
            <w:vAlign w:val="center"/>
          </w:tcPr>
          <w:p w14:paraId="62C64EE2">
            <w:pPr>
              <w:widowControl/>
              <w:spacing w:line="240" w:lineRule="auto"/>
              <w:jc w:val="center"/>
              <w:textAlignment w:val="center"/>
              <w:rPr>
                <w:sz w:val="21"/>
                <w:szCs w:val="21"/>
                <w:highlight w:val="none"/>
              </w:rPr>
            </w:pPr>
            <w:r>
              <w:rPr>
                <w:rFonts w:hint="eastAsia"/>
                <w:sz w:val="21"/>
                <w:szCs w:val="21"/>
                <w:highlight w:val="none"/>
              </w:rPr>
              <w:t>北</w:t>
            </w:r>
          </w:p>
        </w:tc>
        <w:tc>
          <w:tcPr>
            <w:tcW w:w="2962" w:type="dxa"/>
            <w:vAlign w:val="center"/>
          </w:tcPr>
          <w:p w14:paraId="65084409">
            <w:pPr>
              <w:widowControl/>
              <w:spacing w:line="240" w:lineRule="auto"/>
              <w:jc w:val="center"/>
              <w:textAlignment w:val="center"/>
              <w:rPr>
                <w:sz w:val="21"/>
                <w:szCs w:val="21"/>
                <w:highlight w:val="none"/>
              </w:rPr>
            </w:pPr>
            <w:r>
              <w:rPr>
                <w:rFonts w:hint="eastAsia"/>
                <w:sz w:val="21"/>
                <w:szCs w:val="21"/>
                <w:highlight w:val="none"/>
              </w:rPr>
              <w:t>80</w:t>
            </w:r>
          </w:p>
        </w:tc>
        <w:tc>
          <w:tcPr>
            <w:tcW w:w="2962" w:type="dxa"/>
            <w:vAlign w:val="center"/>
          </w:tcPr>
          <w:p w14:paraId="42A6640D">
            <w:pPr>
              <w:widowControl/>
              <w:spacing w:line="240" w:lineRule="auto"/>
              <w:jc w:val="center"/>
              <w:textAlignment w:val="center"/>
              <w:rPr>
                <w:sz w:val="21"/>
                <w:szCs w:val="21"/>
                <w:highlight w:val="none"/>
              </w:rPr>
            </w:pPr>
            <w:r>
              <w:rPr>
                <w:rFonts w:hint="eastAsia"/>
                <w:sz w:val="21"/>
                <w:szCs w:val="21"/>
                <w:highlight w:val="none"/>
              </w:rPr>
              <w:t>居住</w:t>
            </w:r>
          </w:p>
        </w:tc>
      </w:tr>
      <w:tr w14:paraId="3D2C07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0393D779">
            <w:pPr>
              <w:widowControl/>
              <w:spacing w:line="240" w:lineRule="auto"/>
              <w:jc w:val="center"/>
              <w:textAlignment w:val="center"/>
              <w:rPr>
                <w:sz w:val="21"/>
                <w:szCs w:val="21"/>
                <w:highlight w:val="none"/>
              </w:rPr>
            </w:pPr>
            <w:r>
              <w:rPr>
                <w:color w:val="000000"/>
                <w:kern w:val="0"/>
                <w:sz w:val="22"/>
                <w:szCs w:val="22"/>
                <w:highlight w:val="none"/>
                <w:lang w:bidi="ar"/>
              </w:rPr>
              <w:t>9</w:t>
            </w:r>
          </w:p>
        </w:tc>
        <w:tc>
          <w:tcPr>
            <w:tcW w:w="2072" w:type="dxa"/>
            <w:vAlign w:val="center"/>
          </w:tcPr>
          <w:p w14:paraId="61CAEBF6">
            <w:pPr>
              <w:widowControl/>
              <w:spacing w:line="240" w:lineRule="auto"/>
              <w:jc w:val="center"/>
              <w:textAlignment w:val="center"/>
              <w:rPr>
                <w:sz w:val="21"/>
                <w:szCs w:val="21"/>
                <w:highlight w:val="none"/>
              </w:rPr>
            </w:pPr>
            <w:r>
              <w:rPr>
                <w:rFonts w:hint="eastAsia"/>
                <w:sz w:val="21"/>
                <w:szCs w:val="21"/>
                <w:highlight w:val="none"/>
              </w:rPr>
              <w:t>罗家</w:t>
            </w:r>
          </w:p>
        </w:tc>
        <w:tc>
          <w:tcPr>
            <w:tcW w:w="1158" w:type="dxa"/>
            <w:vAlign w:val="center"/>
          </w:tcPr>
          <w:p w14:paraId="4021EC58">
            <w:pPr>
              <w:widowControl/>
              <w:spacing w:line="240" w:lineRule="auto"/>
              <w:jc w:val="center"/>
              <w:textAlignment w:val="center"/>
              <w:rPr>
                <w:sz w:val="21"/>
                <w:szCs w:val="21"/>
                <w:highlight w:val="none"/>
              </w:rPr>
            </w:pPr>
            <w:r>
              <w:rPr>
                <w:rFonts w:hint="eastAsia"/>
                <w:sz w:val="21"/>
                <w:szCs w:val="21"/>
                <w:highlight w:val="none"/>
              </w:rPr>
              <w:t>北</w:t>
            </w:r>
          </w:p>
        </w:tc>
        <w:tc>
          <w:tcPr>
            <w:tcW w:w="2962" w:type="dxa"/>
            <w:vAlign w:val="center"/>
          </w:tcPr>
          <w:p w14:paraId="2FBD94E8">
            <w:pPr>
              <w:widowControl/>
              <w:spacing w:line="240" w:lineRule="auto"/>
              <w:jc w:val="center"/>
              <w:textAlignment w:val="center"/>
              <w:rPr>
                <w:sz w:val="21"/>
                <w:szCs w:val="21"/>
                <w:highlight w:val="none"/>
              </w:rPr>
            </w:pPr>
            <w:r>
              <w:rPr>
                <w:rFonts w:hint="eastAsia"/>
                <w:sz w:val="21"/>
                <w:szCs w:val="21"/>
                <w:highlight w:val="none"/>
              </w:rPr>
              <w:t>0</w:t>
            </w:r>
          </w:p>
        </w:tc>
        <w:tc>
          <w:tcPr>
            <w:tcW w:w="2962" w:type="dxa"/>
            <w:vAlign w:val="center"/>
          </w:tcPr>
          <w:p w14:paraId="72F89F10">
            <w:pPr>
              <w:widowControl/>
              <w:spacing w:line="240" w:lineRule="auto"/>
              <w:jc w:val="center"/>
              <w:textAlignment w:val="center"/>
              <w:rPr>
                <w:sz w:val="21"/>
                <w:szCs w:val="21"/>
                <w:highlight w:val="none"/>
              </w:rPr>
            </w:pPr>
            <w:r>
              <w:rPr>
                <w:rFonts w:hint="eastAsia"/>
                <w:sz w:val="21"/>
                <w:szCs w:val="21"/>
                <w:highlight w:val="none"/>
              </w:rPr>
              <w:t>居住</w:t>
            </w:r>
          </w:p>
        </w:tc>
      </w:tr>
      <w:tr w14:paraId="1195F1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08C958ED">
            <w:pPr>
              <w:widowControl/>
              <w:spacing w:line="240" w:lineRule="auto"/>
              <w:jc w:val="center"/>
              <w:textAlignment w:val="center"/>
              <w:rPr>
                <w:sz w:val="21"/>
                <w:szCs w:val="21"/>
                <w:highlight w:val="none"/>
              </w:rPr>
            </w:pPr>
            <w:r>
              <w:rPr>
                <w:color w:val="000000"/>
                <w:kern w:val="0"/>
                <w:sz w:val="22"/>
                <w:szCs w:val="22"/>
                <w:highlight w:val="none"/>
                <w:lang w:bidi="ar"/>
              </w:rPr>
              <w:t>10</w:t>
            </w:r>
          </w:p>
        </w:tc>
        <w:tc>
          <w:tcPr>
            <w:tcW w:w="2072" w:type="dxa"/>
            <w:vAlign w:val="center"/>
          </w:tcPr>
          <w:p w14:paraId="5ACB1FB4">
            <w:pPr>
              <w:widowControl/>
              <w:spacing w:line="240" w:lineRule="auto"/>
              <w:jc w:val="center"/>
              <w:textAlignment w:val="center"/>
              <w:rPr>
                <w:sz w:val="21"/>
                <w:szCs w:val="21"/>
                <w:highlight w:val="none"/>
              </w:rPr>
            </w:pPr>
            <w:r>
              <w:rPr>
                <w:rFonts w:hint="eastAsia"/>
                <w:sz w:val="21"/>
                <w:szCs w:val="21"/>
                <w:highlight w:val="none"/>
              </w:rPr>
              <w:t>郭家山</w:t>
            </w:r>
          </w:p>
        </w:tc>
        <w:tc>
          <w:tcPr>
            <w:tcW w:w="1158" w:type="dxa"/>
            <w:vAlign w:val="center"/>
          </w:tcPr>
          <w:p w14:paraId="09B75E12">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1236649A">
            <w:pPr>
              <w:widowControl/>
              <w:spacing w:line="240" w:lineRule="auto"/>
              <w:jc w:val="center"/>
              <w:textAlignment w:val="center"/>
              <w:rPr>
                <w:sz w:val="21"/>
                <w:szCs w:val="21"/>
                <w:highlight w:val="none"/>
              </w:rPr>
            </w:pPr>
            <w:r>
              <w:rPr>
                <w:rFonts w:hint="eastAsia"/>
                <w:sz w:val="21"/>
                <w:szCs w:val="21"/>
                <w:highlight w:val="none"/>
              </w:rPr>
              <w:t>0</w:t>
            </w:r>
          </w:p>
        </w:tc>
        <w:tc>
          <w:tcPr>
            <w:tcW w:w="2962" w:type="dxa"/>
            <w:vAlign w:val="center"/>
          </w:tcPr>
          <w:p w14:paraId="1094CCB6">
            <w:pPr>
              <w:widowControl/>
              <w:spacing w:line="240" w:lineRule="auto"/>
              <w:jc w:val="center"/>
              <w:textAlignment w:val="center"/>
              <w:rPr>
                <w:sz w:val="21"/>
                <w:szCs w:val="21"/>
                <w:highlight w:val="none"/>
              </w:rPr>
            </w:pPr>
            <w:r>
              <w:rPr>
                <w:rFonts w:hint="eastAsia"/>
                <w:sz w:val="21"/>
                <w:szCs w:val="21"/>
                <w:highlight w:val="none"/>
              </w:rPr>
              <w:t>居住</w:t>
            </w:r>
          </w:p>
        </w:tc>
      </w:tr>
      <w:tr w14:paraId="578766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038F0F00">
            <w:pPr>
              <w:widowControl/>
              <w:spacing w:line="240" w:lineRule="auto"/>
              <w:jc w:val="center"/>
              <w:textAlignment w:val="center"/>
              <w:rPr>
                <w:sz w:val="21"/>
                <w:szCs w:val="21"/>
                <w:highlight w:val="none"/>
              </w:rPr>
            </w:pPr>
            <w:r>
              <w:rPr>
                <w:color w:val="000000"/>
                <w:kern w:val="0"/>
                <w:sz w:val="22"/>
                <w:szCs w:val="22"/>
                <w:highlight w:val="none"/>
                <w:lang w:bidi="ar"/>
              </w:rPr>
              <w:t>11</w:t>
            </w:r>
          </w:p>
        </w:tc>
        <w:tc>
          <w:tcPr>
            <w:tcW w:w="2072" w:type="dxa"/>
            <w:vAlign w:val="center"/>
          </w:tcPr>
          <w:p w14:paraId="68A868A7">
            <w:pPr>
              <w:widowControl/>
              <w:spacing w:line="240" w:lineRule="auto"/>
              <w:jc w:val="center"/>
              <w:textAlignment w:val="center"/>
              <w:rPr>
                <w:sz w:val="21"/>
                <w:szCs w:val="21"/>
                <w:highlight w:val="none"/>
              </w:rPr>
            </w:pPr>
            <w:r>
              <w:rPr>
                <w:rFonts w:hint="eastAsia"/>
                <w:sz w:val="21"/>
                <w:szCs w:val="21"/>
                <w:highlight w:val="none"/>
              </w:rPr>
              <w:t>赵家洲</w:t>
            </w:r>
          </w:p>
        </w:tc>
        <w:tc>
          <w:tcPr>
            <w:tcW w:w="1158" w:type="dxa"/>
            <w:vAlign w:val="center"/>
          </w:tcPr>
          <w:p w14:paraId="380E945E">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63AB01E2">
            <w:pPr>
              <w:widowControl/>
              <w:spacing w:line="240" w:lineRule="auto"/>
              <w:jc w:val="center"/>
              <w:textAlignment w:val="center"/>
              <w:rPr>
                <w:sz w:val="21"/>
                <w:szCs w:val="21"/>
                <w:highlight w:val="none"/>
              </w:rPr>
            </w:pPr>
            <w:r>
              <w:rPr>
                <w:rFonts w:hint="eastAsia"/>
                <w:sz w:val="21"/>
                <w:szCs w:val="21"/>
                <w:highlight w:val="none"/>
              </w:rPr>
              <w:t>380</w:t>
            </w:r>
          </w:p>
        </w:tc>
        <w:tc>
          <w:tcPr>
            <w:tcW w:w="2962" w:type="dxa"/>
            <w:vAlign w:val="center"/>
          </w:tcPr>
          <w:p w14:paraId="54056B00">
            <w:pPr>
              <w:widowControl/>
              <w:spacing w:line="240" w:lineRule="auto"/>
              <w:jc w:val="center"/>
              <w:textAlignment w:val="center"/>
              <w:rPr>
                <w:sz w:val="21"/>
                <w:szCs w:val="21"/>
                <w:highlight w:val="none"/>
              </w:rPr>
            </w:pPr>
            <w:r>
              <w:rPr>
                <w:rFonts w:hint="eastAsia"/>
                <w:sz w:val="21"/>
                <w:szCs w:val="21"/>
                <w:highlight w:val="none"/>
              </w:rPr>
              <w:t>居住</w:t>
            </w:r>
          </w:p>
        </w:tc>
      </w:tr>
      <w:tr w14:paraId="48D3B7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6899EA86">
            <w:pPr>
              <w:widowControl/>
              <w:spacing w:line="240" w:lineRule="auto"/>
              <w:jc w:val="center"/>
              <w:textAlignment w:val="center"/>
              <w:rPr>
                <w:sz w:val="21"/>
                <w:szCs w:val="21"/>
                <w:highlight w:val="none"/>
              </w:rPr>
            </w:pPr>
            <w:r>
              <w:rPr>
                <w:color w:val="000000"/>
                <w:kern w:val="0"/>
                <w:sz w:val="22"/>
                <w:szCs w:val="22"/>
                <w:highlight w:val="none"/>
                <w:lang w:bidi="ar"/>
              </w:rPr>
              <w:t>12</w:t>
            </w:r>
          </w:p>
        </w:tc>
        <w:tc>
          <w:tcPr>
            <w:tcW w:w="2072" w:type="dxa"/>
            <w:vAlign w:val="center"/>
          </w:tcPr>
          <w:p w14:paraId="274271D7">
            <w:pPr>
              <w:widowControl/>
              <w:spacing w:line="240" w:lineRule="auto"/>
              <w:jc w:val="center"/>
              <w:textAlignment w:val="center"/>
              <w:rPr>
                <w:sz w:val="21"/>
                <w:szCs w:val="21"/>
                <w:highlight w:val="none"/>
              </w:rPr>
            </w:pPr>
            <w:r>
              <w:rPr>
                <w:rFonts w:hint="eastAsia"/>
                <w:sz w:val="21"/>
                <w:szCs w:val="21"/>
                <w:highlight w:val="none"/>
              </w:rPr>
              <w:t>花马湖</w:t>
            </w:r>
          </w:p>
        </w:tc>
        <w:tc>
          <w:tcPr>
            <w:tcW w:w="1158" w:type="dxa"/>
            <w:vAlign w:val="center"/>
          </w:tcPr>
          <w:p w14:paraId="77FC1ED5">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13F13A18">
            <w:pPr>
              <w:widowControl/>
              <w:spacing w:line="240" w:lineRule="auto"/>
              <w:jc w:val="center"/>
              <w:textAlignment w:val="center"/>
              <w:rPr>
                <w:sz w:val="21"/>
                <w:szCs w:val="21"/>
                <w:highlight w:val="none"/>
              </w:rPr>
            </w:pPr>
            <w:r>
              <w:rPr>
                <w:rFonts w:hint="eastAsia"/>
                <w:sz w:val="21"/>
                <w:szCs w:val="21"/>
                <w:highlight w:val="none"/>
              </w:rPr>
              <w:t>0</w:t>
            </w:r>
          </w:p>
        </w:tc>
        <w:tc>
          <w:tcPr>
            <w:tcW w:w="2962" w:type="dxa"/>
            <w:vAlign w:val="center"/>
          </w:tcPr>
          <w:p w14:paraId="4DD328CD">
            <w:pPr>
              <w:widowControl/>
              <w:spacing w:line="240" w:lineRule="auto"/>
              <w:jc w:val="center"/>
              <w:textAlignment w:val="center"/>
              <w:rPr>
                <w:sz w:val="21"/>
                <w:szCs w:val="21"/>
                <w:highlight w:val="none"/>
              </w:rPr>
            </w:pPr>
            <w:r>
              <w:rPr>
                <w:rFonts w:hint="eastAsia"/>
                <w:sz w:val="21"/>
                <w:szCs w:val="21"/>
                <w:highlight w:val="none"/>
              </w:rPr>
              <w:t>地表水体</w:t>
            </w:r>
          </w:p>
        </w:tc>
      </w:tr>
      <w:tr w14:paraId="1D33DC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7543C0D2">
            <w:pPr>
              <w:widowControl/>
              <w:spacing w:line="240" w:lineRule="auto"/>
              <w:jc w:val="center"/>
              <w:textAlignment w:val="center"/>
              <w:rPr>
                <w:sz w:val="21"/>
                <w:szCs w:val="21"/>
                <w:highlight w:val="none"/>
              </w:rPr>
            </w:pPr>
            <w:r>
              <w:rPr>
                <w:color w:val="000000"/>
                <w:kern w:val="0"/>
                <w:sz w:val="22"/>
                <w:szCs w:val="22"/>
                <w:highlight w:val="none"/>
                <w:lang w:bidi="ar"/>
              </w:rPr>
              <w:t>13</w:t>
            </w:r>
          </w:p>
        </w:tc>
        <w:tc>
          <w:tcPr>
            <w:tcW w:w="2072" w:type="dxa"/>
            <w:vAlign w:val="center"/>
          </w:tcPr>
          <w:p w14:paraId="28380DE9">
            <w:pPr>
              <w:widowControl/>
              <w:spacing w:line="240" w:lineRule="auto"/>
              <w:jc w:val="center"/>
              <w:textAlignment w:val="center"/>
              <w:rPr>
                <w:sz w:val="21"/>
                <w:szCs w:val="21"/>
                <w:highlight w:val="none"/>
              </w:rPr>
            </w:pPr>
            <w:r>
              <w:rPr>
                <w:rFonts w:hint="eastAsia"/>
                <w:sz w:val="21"/>
                <w:szCs w:val="21"/>
                <w:highlight w:val="none"/>
              </w:rPr>
              <w:t>对面屋</w:t>
            </w:r>
          </w:p>
        </w:tc>
        <w:tc>
          <w:tcPr>
            <w:tcW w:w="1158" w:type="dxa"/>
            <w:vAlign w:val="center"/>
          </w:tcPr>
          <w:p w14:paraId="3599F039">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35082925">
            <w:pPr>
              <w:widowControl/>
              <w:spacing w:line="240" w:lineRule="auto"/>
              <w:jc w:val="center"/>
              <w:textAlignment w:val="center"/>
              <w:rPr>
                <w:sz w:val="21"/>
                <w:szCs w:val="21"/>
                <w:highlight w:val="none"/>
              </w:rPr>
            </w:pPr>
            <w:r>
              <w:rPr>
                <w:rFonts w:hint="eastAsia"/>
                <w:sz w:val="21"/>
                <w:szCs w:val="21"/>
                <w:highlight w:val="none"/>
              </w:rPr>
              <w:t>370</w:t>
            </w:r>
          </w:p>
        </w:tc>
        <w:tc>
          <w:tcPr>
            <w:tcW w:w="2962" w:type="dxa"/>
            <w:vAlign w:val="center"/>
          </w:tcPr>
          <w:p w14:paraId="61596AE2">
            <w:pPr>
              <w:widowControl/>
              <w:spacing w:line="240" w:lineRule="auto"/>
              <w:jc w:val="center"/>
              <w:textAlignment w:val="center"/>
              <w:rPr>
                <w:sz w:val="21"/>
                <w:szCs w:val="21"/>
                <w:highlight w:val="none"/>
              </w:rPr>
            </w:pPr>
            <w:r>
              <w:rPr>
                <w:rFonts w:hint="eastAsia"/>
                <w:sz w:val="21"/>
                <w:szCs w:val="21"/>
                <w:highlight w:val="none"/>
              </w:rPr>
              <w:t>居住</w:t>
            </w:r>
          </w:p>
        </w:tc>
      </w:tr>
      <w:tr w14:paraId="51280F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643341BC">
            <w:pPr>
              <w:widowControl/>
              <w:spacing w:line="240" w:lineRule="auto"/>
              <w:jc w:val="center"/>
              <w:textAlignment w:val="center"/>
              <w:rPr>
                <w:sz w:val="21"/>
                <w:szCs w:val="21"/>
                <w:highlight w:val="none"/>
              </w:rPr>
            </w:pPr>
            <w:r>
              <w:rPr>
                <w:color w:val="000000"/>
                <w:kern w:val="0"/>
                <w:sz w:val="22"/>
                <w:szCs w:val="22"/>
                <w:highlight w:val="none"/>
                <w:lang w:bidi="ar"/>
              </w:rPr>
              <w:t>14</w:t>
            </w:r>
          </w:p>
        </w:tc>
        <w:tc>
          <w:tcPr>
            <w:tcW w:w="2072" w:type="dxa"/>
            <w:vAlign w:val="center"/>
          </w:tcPr>
          <w:p w14:paraId="443F5450">
            <w:pPr>
              <w:widowControl/>
              <w:spacing w:line="240" w:lineRule="auto"/>
              <w:jc w:val="center"/>
              <w:textAlignment w:val="center"/>
              <w:rPr>
                <w:sz w:val="21"/>
                <w:szCs w:val="21"/>
                <w:highlight w:val="none"/>
              </w:rPr>
            </w:pPr>
            <w:r>
              <w:rPr>
                <w:rFonts w:hint="eastAsia"/>
                <w:sz w:val="21"/>
                <w:szCs w:val="21"/>
                <w:highlight w:val="none"/>
              </w:rPr>
              <w:t>上屋林</w:t>
            </w:r>
          </w:p>
        </w:tc>
        <w:tc>
          <w:tcPr>
            <w:tcW w:w="1158" w:type="dxa"/>
            <w:vAlign w:val="center"/>
          </w:tcPr>
          <w:p w14:paraId="7E9BC016">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29CA235B">
            <w:pPr>
              <w:widowControl/>
              <w:spacing w:line="240" w:lineRule="auto"/>
              <w:jc w:val="center"/>
              <w:textAlignment w:val="center"/>
              <w:rPr>
                <w:sz w:val="21"/>
                <w:szCs w:val="21"/>
                <w:highlight w:val="none"/>
              </w:rPr>
            </w:pPr>
            <w:r>
              <w:rPr>
                <w:rFonts w:hint="eastAsia"/>
                <w:sz w:val="21"/>
                <w:szCs w:val="21"/>
                <w:highlight w:val="none"/>
              </w:rPr>
              <w:t>50</w:t>
            </w:r>
          </w:p>
        </w:tc>
        <w:tc>
          <w:tcPr>
            <w:tcW w:w="2962" w:type="dxa"/>
            <w:vAlign w:val="center"/>
          </w:tcPr>
          <w:p w14:paraId="38020192">
            <w:pPr>
              <w:widowControl/>
              <w:spacing w:line="240" w:lineRule="auto"/>
              <w:jc w:val="center"/>
              <w:textAlignment w:val="center"/>
              <w:rPr>
                <w:sz w:val="21"/>
                <w:szCs w:val="21"/>
                <w:highlight w:val="none"/>
              </w:rPr>
            </w:pPr>
            <w:r>
              <w:rPr>
                <w:rFonts w:hint="eastAsia"/>
                <w:sz w:val="21"/>
                <w:szCs w:val="21"/>
                <w:highlight w:val="none"/>
              </w:rPr>
              <w:t>居住</w:t>
            </w:r>
          </w:p>
        </w:tc>
      </w:tr>
      <w:tr w14:paraId="60DD7A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473191C7">
            <w:pPr>
              <w:widowControl/>
              <w:spacing w:line="240" w:lineRule="auto"/>
              <w:jc w:val="center"/>
              <w:textAlignment w:val="center"/>
              <w:rPr>
                <w:sz w:val="21"/>
                <w:szCs w:val="21"/>
                <w:highlight w:val="none"/>
              </w:rPr>
            </w:pPr>
            <w:r>
              <w:rPr>
                <w:color w:val="000000"/>
                <w:kern w:val="0"/>
                <w:sz w:val="22"/>
                <w:szCs w:val="22"/>
                <w:highlight w:val="none"/>
                <w:lang w:bidi="ar"/>
              </w:rPr>
              <w:t>15</w:t>
            </w:r>
          </w:p>
        </w:tc>
        <w:tc>
          <w:tcPr>
            <w:tcW w:w="2072" w:type="dxa"/>
            <w:vAlign w:val="center"/>
          </w:tcPr>
          <w:p w14:paraId="138E880F">
            <w:pPr>
              <w:widowControl/>
              <w:spacing w:line="240" w:lineRule="auto"/>
              <w:jc w:val="center"/>
              <w:textAlignment w:val="center"/>
              <w:rPr>
                <w:sz w:val="21"/>
                <w:szCs w:val="21"/>
                <w:highlight w:val="none"/>
              </w:rPr>
            </w:pPr>
            <w:r>
              <w:rPr>
                <w:rFonts w:hint="eastAsia"/>
                <w:sz w:val="21"/>
                <w:szCs w:val="21"/>
                <w:highlight w:val="none"/>
              </w:rPr>
              <w:t>下刘钊</w:t>
            </w:r>
          </w:p>
        </w:tc>
        <w:tc>
          <w:tcPr>
            <w:tcW w:w="1158" w:type="dxa"/>
            <w:vAlign w:val="center"/>
          </w:tcPr>
          <w:p w14:paraId="73D1768D">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1C532B02">
            <w:pPr>
              <w:widowControl/>
              <w:spacing w:line="240" w:lineRule="auto"/>
              <w:jc w:val="center"/>
              <w:textAlignment w:val="center"/>
              <w:rPr>
                <w:sz w:val="21"/>
                <w:szCs w:val="21"/>
                <w:highlight w:val="none"/>
              </w:rPr>
            </w:pPr>
            <w:r>
              <w:rPr>
                <w:rFonts w:hint="eastAsia"/>
                <w:sz w:val="21"/>
                <w:szCs w:val="21"/>
                <w:highlight w:val="none"/>
              </w:rPr>
              <w:t>230</w:t>
            </w:r>
          </w:p>
        </w:tc>
        <w:tc>
          <w:tcPr>
            <w:tcW w:w="2962" w:type="dxa"/>
            <w:vAlign w:val="center"/>
          </w:tcPr>
          <w:p w14:paraId="1F11F2FA">
            <w:pPr>
              <w:widowControl/>
              <w:spacing w:line="240" w:lineRule="auto"/>
              <w:jc w:val="center"/>
              <w:textAlignment w:val="center"/>
              <w:rPr>
                <w:sz w:val="21"/>
                <w:szCs w:val="21"/>
                <w:highlight w:val="none"/>
              </w:rPr>
            </w:pPr>
            <w:r>
              <w:rPr>
                <w:rFonts w:hint="eastAsia"/>
                <w:sz w:val="21"/>
                <w:szCs w:val="21"/>
                <w:highlight w:val="none"/>
              </w:rPr>
              <w:t>居住</w:t>
            </w:r>
          </w:p>
        </w:tc>
      </w:tr>
      <w:tr w14:paraId="4F6975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059AEA3D">
            <w:pPr>
              <w:widowControl/>
              <w:spacing w:line="240" w:lineRule="auto"/>
              <w:jc w:val="center"/>
              <w:textAlignment w:val="center"/>
              <w:rPr>
                <w:sz w:val="21"/>
                <w:szCs w:val="21"/>
                <w:highlight w:val="none"/>
              </w:rPr>
            </w:pPr>
            <w:r>
              <w:rPr>
                <w:color w:val="000000"/>
                <w:kern w:val="0"/>
                <w:sz w:val="22"/>
                <w:szCs w:val="22"/>
                <w:highlight w:val="none"/>
                <w:lang w:bidi="ar"/>
              </w:rPr>
              <w:t>16</w:t>
            </w:r>
          </w:p>
        </w:tc>
        <w:tc>
          <w:tcPr>
            <w:tcW w:w="2072" w:type="dxa"/>
            <w:vAlign w:val="center"/>
          </w:tcPr>
          <w:p w14:paraId="3EC133A5">
            <w:pPr>
              <w:widowControl/>
              <w:spacing w:line="240" w:lineRule="auto"/>
              <w:jc w:val="center"/>
              <w:textAlignment w:val="center"/>
              <w:rPr>
                <w:sz w:val="21"/>
                <w:szCs w:val="21"/>
                <w:highlight w:val="none"/>
              </w:rPr>
            </w:pPr>
            <w:r>
              <w:rPr>
                <w:rFonts w:hint="eastAsia"/>
                <w:sz w:val="21"/>
                <w:szCs w:val="21"/>
                <w:highlight w:val="none"/>
              </w:rPr>
              <w:t>叶家径</w:t>
            </w:r>
          </w:p>
        </w:tc>
        <w:tc>
          <w:tcPr>
            <w:tcW w:w="1158" w:type="dxa"/>
            <w:vAlign w:val="center"/>
          </w:tcPr>
          <w:p w14:paraId="779A9E4E">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587A297B">
            <w:pPr>
              <w:widowControl/>
              <w:spacing w:line="240" w:lineRule="auto"/>
              <w:jc w:val="center"/>
              <w:textAlignment w:val="center"/>
              <w:rPr>
                <w:sz w:val="21"/>
                <w:szCs w:val="21"/>
                <w:highlight w:val="none"/>
              </w:rPr>
            </w:pPr>
            <w:r>
              <w:rPr>
                <w:rFonts w:hint="eastAsia"/>
                <w:sz w:val="21"/>
                <w:szCs w:val="21"/>
                <w:highlight w:val="none"/>
              </w:rPr>
              <w:t>220</w:t>
            </w:r>
          </w:p>
        </w:tc>
        <w:tc>
          <w:tcPr>
            <w:tcW w:w="2962" w:type="dxa"/>
            <w:vAlign w:val="center"/>
          </w:tcPr>
          <w:p w14:paraId="72D369F1">
            <w:pPr>
              <w:widowControl/>
              <w:spacing w:line="240" w:lineRule="auto"/>
              <w:jc w:val="center"/>
              <w:textAlignment w:val="center"/>
              <w:rPr>
                <w:sz w:val="21"/>
                <w:szCs w:val="21"/>
                <w:highlight w:val="none"/>
              </w:rPr>
            </w:pPr>
            <w:r>
              <w:rPr>
                <w:rFonts w:hint="eastAsia"/>
                <w:sz w:val="21"/>
                <w:szCs w:val="21"/>
                <w:highlight w:val="none"/>
              </w:rPr>
              <w:t>居住</w:t>
            </w:r>
          </w:p>
        </w:tc>
      </w:tr>
      <w:tr w14:paraId="73D298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196764FA">
            <w:pPr>
              <w:widowControl/>
              <w:spacing w:line="240" w:lineRule="auto"/>
              <w:jc w:val="center"/>
              <w:textAlignment w:val="center"/>
              <w:rPr>
                <w:sz w:val="21"/>
                <w:szCs w:val="21"/>
                <w:highlight w:val="none"/>
              </w:rPr>
            </w:pPr>
            <w:r>
              <w:rPr>
                <w:color w:val="000000"/>
                <w:kern w:val="0"/>
                <w:sz w:val="22"/>
                <w:szCs w:val="22"/>
                <w:highlight w:val="none"/>
                <w:lang w:bidi="ar"/>
              </w:rPr>
              <w:t>17</w:t>
            </w:r>
          </w:p>
        </w:tc>
        <w:tc>
          <w:tcPr>
            <w:tcW w:w="2072" w:type="dxa"/>
            <w:vAlign w:val="center"/>
          </w:tcPr>
          <w:p w14:paraId="627B45D4">
            <w:pPr>
              <w:widowControl/>
              <w:spacing w:line="240" w:lineRule="auto"/>
              <w:jc w:val="center"/>
              <w:textAlignment w:val="center"/>
              <w:rPr>
                <w:sz w:val="21"/>
                <w:szCs w:val="21"/>
                <w:highlight w:val="none"/>
              </w:rPr>
            </w:pPr>
            <w:r>
              <w:rPr>
                <w:rFonts w:hint="eastAsia"/>
                <w:sz w:val="21"/>
                <w:szCs w:val="21"/>
                <w:highlight w:val="none"/>
              </w:rPr>
              <w:t>汇龙居</w:t>
            </w:r>
          </w:p>
        </w:tc>
        <w:tc>
          <w:tcPr>
            <w:tcW w:w="1158" w:type="dxa"/>
            <w:vAlign w:val="center"/>
          </w:tcPr>
          <w:p w14:paraId="4E337945">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0295B168">
            <w:pPr>
              <w:widowControl/>
              <w:spacing w:line="240" w:lineRule="auto"/>
              <w:jc w:val="center"/>
              <w:textAlignment w:val="center"/>
              <w:rPr>
                <w:sz w:val="21"/>
                <w:szCs w:val="21"/>
                <w:highlight w:val="none"/>
              </w:rPr>
            </w:pPr>
            <w:r>
              <w:rPr>
                <w:rFonts w:hint="eastAsia"/>
                <w:sz w:val="21"/>
                <w:szCs w:val="21"/>
                <w:highlight w:val="none"/>
              </w:rPr>
              <w:t>120</w:t>
            </w:r>
          </w:p>
        </w:tc>
        <w:tc>
          <w:tcPr>
            <w:tcW w:w="2962" w:type="dxa"/>
            <w:vAlign w:val="center"/>
          </w:tcPr>
          <w:p w14:paraId="13887CE3">
            <w:pPr>
              <w:widowControl/>
              <w:spacing w:line="240" w:lineRule="auto"/>
              <w:jc w:val="center"/>
              <w:textAlignment w:val="center"/>
              <w:rPr>
                <w:sz w:val="21"/>
                <w:szCs w:val="21"/>
                <w:highlight w:val="none"/>
              </w:rPr>
            </w:pPr>
            <w:r>
              <w:rPr>
                <w:rFonts w:hint="eastAsia"/>
                <w:sz w:val="21"/>
                <w:szCs w:val="21"/>
                <w:highlight w:val="none"/>
              </w:rPr>
              <w:t>居住</w:t>
            </w:r>
          </w:p>
        </w:tc>
      </w:tr>
      <w:tr w14:paraId="45C9AC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0847D9AE">
            <w:pPr>
              <w:widowControl/>
              <w:spacing w:line="240" w:lineRule="auto"/>
              <w:jc w:val="center"/>
              <w:textAlignment w:val="center"/>
              <w:rPr>
                <w:sz w:val="21"/>
                <w:szCs w:val="21"/>
                <w:highlight w:val="none"/>
              </w:rPr>
            </w:pPr>
            <w:r>
              <w:rPr>
                <w:color w:val="000000"/>
                <w:kern w:val="0"/>
                <w:sz w:val="22"/>
                <w:szCs w:val="22"/>
                <w:highlight w:val="none"/>
                <w:lang w:bidi="ar"/>
              </w:rPr>
              <w:t>18</w:t>
            </w:r>
          </w:p>
        </w:tc>
        <w:tc>
          <w:tcPr>
            <w:tcW w:w="2072" w:type="dxa"/>
            <w:vAlign w:val="center"/>
          </w:tcPr>
          <w:p w14:paraId="4301D1E6">
            <w:pPr>
              <w:widowControl/>
              <w:spacing w:line="240" w:lineRule="auto"/>
              <w:jc w:val="center"/>
              <w:textAlignment w:val="center"/>
              <w:rPr>
                <w:sz w:val="21"/>
                <w:szCs w:val="21"/>
                <w:highlight w:val="none"/>
              </w:rPr>
            </w:pPr>
            <w:r>
              <w:rPr>
                <w:rFonts w:hint="eastAsia"/>
                <w:sz w:val="21"/>
                <w:szCs w:val="21"/>
                <w:highlight w:val="none"/>
              </w:rPr>
              <w:t>飞蛾地</w:t>
            </w:r>
          </w:p>
        </w:tc>
        <w:tc>
          <w:tcPr>
            <w:tcW w:w="1158" w:type="dxa"/>
            <w:vAlign w:val="center"/>
          </w:tcPr>
          <w:p w14:paraId="0FDA1F59">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29252AF4">
            <w:pPr>
              <w:widowControl/>
              <w:spacing w:line="240" w:lineRule="auto"/>
              <w:jc w:val="center"/>
              <w:textAlignment w:val="center"/>
              <w:rPr>
                <w:sz w:val="21"/>
                <w:szCs w:val="21"/>
                <w:highlight w:val="none"/>
              </w:rPr>
            </w:pPr>
            <w:r>
              <w:rPr>
                <w:rFonts w:hint="eastAsia"/>
                <w:sz w:val="21"/>
                <w:szCs w:val="21"/>
                <w:highlight w:val="none"/>
              </w:rPr>
              <w:t>260</w:t>
            </w:r>
          </w:p>
        </w:tc>
        <w:tc>
          <w:tcPr>
            <w:tcW w:w="2962" w:type="dxa"/>
            <w:vAlign w:val="center"/>
          </w:tcPr>
          <w:p w14:paraId="2ECCE1A6">
            <w:pPr>
              <w:widowControl/>
              <w:spacing w:line="240" w:lineRule="auto"/>
              <w:jc w:val="center"/>
              <w:textAlignment w:val="center"/>
              <w:rPr>
                <w:sz w:val="21"/>
                <w:szCs w:val="21"/>
                <w:highlight w:val="none"/>
              </w:rPr>
            </w:pPr>
            <w:r>
              <w:rPr>
                <w:rFonts w:hint="eastAsia"/>
                <w:sz w:val="21"/>
                <w:szCs w:val="21"/>
                <w:highlight w:val="none"/>
              </w:rPr>
              <w:t>居住</w:t>
            </w:r>
          </w:p>
        </w:tc>
      </w:tr>
      <w:tr w14:paraId="19622F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40856160">
            <w:pPr>
              <w:widowControl/>
              <w:spacing w:line="240" w:lineRule="auto"/>
              <w:jc w:val="center"/>
              <w:textAlignment w:val="center"/>
              <w:rPr>
                <w:sz w:val="21"/>
                <w:szCs w:val="21"/>
                <w:highlight w:val="none"/>
              </w:rPr>
            </w:pPr>
            <w:r>
              <w:rPr>
                <w:color w:val="000000"/>
                <w:kern w:val="0"/>
                <w:sz w:val="22"/>
                <w:szCs w:val="22"/>
                <w:highlight w:val="none"/>
                <w:lang w:bidi="ar"/>
              </w:rPr>
              <w:t>19</w:t>
            </w:r>
          </w:p>
        </w:tc>
        <w:tc>
          <w:tcPr>
            <w:tcW w:w="2072" w:type="dxa"/>
            <w:vAlign w:val="center"/>
          </w:tcPr>
          <w:p w14:paraId="225EFD27">
            <w:pPr>
              <w:widowControl/>
              <w:spacing w:line="240" w:lineRule="auto"/>
              <w:jc w:val="center"/>
              <w:textAlignment w:val="center"/>
              <w:rPr>
                <w:sz w:val="21"/>
                <w:szCs w:val="21"/>
                <w:highlight w:val="none"/>
              </w:rPr>
            </w:pPr>
            <w:r>
              <w:rPr>
                <w:rFonts w:hint="eastAsia"/>
                <w:sz w:val="21"/>
                <w:szCs w:val="21"/>
                <w:highlight w:val="none"/>
              </w:rPr>
              <w:t>王家</w:t>
            </w:r>
          </w:p>
        </w:tc>
        <w:tc>
          <w:tcPr>
            <w:tcW w:w="1158" w:type="dxa"/>
            <w:vAlign w:val="center"/>
          </w:tcPr>
          <w:p w14:paraId="252F455E">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4A1CBCC3">
            <w:pPr>
              <w:widowControl/>
              <w:spacing w:line="240" w:lineRule="auto"/>
              <w:jc w:val="center"/>
              <w:textAlignment w:val="center"/>
              <w:rPr>
                <w:sz w:val="21"/>
                <w:szCs w:val="21"/>
                <w:highlight w:val="none"/>
              </w:rPr>
            </w:pPr>
            <w:r>
              <w:rPr>
                <w:rFonts w:hint="eastAsia"/>
                <w:sz w:val="21"/>
                <w:szCs w:val="21"/>
                <w:highlight w:val="none"/>
              </w:rPr>
              <w:t>75</w:t>
            </w:r>
          </w:p>
        </w:tc>
        <w:tc>
          <w:tcPr>
            <w:tcW w:w="2962" w:type="dxa"/>
            <w:vAlign w:val="center"/>
          </w:tcPr>
          <w:p w14:paraId="69683018">
            <w:pPr>
              <w:widowControl/>
              <w:spacing w:line="240" w:lineRule="auto"/>
              <w:jc w:val="center"/>
              <w:textAlignment w:val="center"/>
              <w:rPr>
                <w:sz w:val="21"/>
                <w:szCs w:val="21"/>
                <w:highlight w:val="none"/>
              </w:rPr>
            </w:pPr>
            <w:r>
              <w:rPr>
                <w:rFonts w:hint="eastAsia"/>
                <w:sz w:val="21"/>
                <w:szCs w:val="21"/>
                <w:highlight w:val="none"/>
              </w:rPr>
              <w:t>居住</w:t>
            </w:r>
          </w:p>
        </w:tc>
      </w:tr>
      <w:tr w14:paraId="2FEA9F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2D13C9FA">
            <w:pPr>
              <w:widowControl/>
              <w:spacing w:line="240" w:lineRule="auto"/>
              <w:jc w:val="center"/>
              <w:textAlignment w:val="center"/>
              <w:rPr>
                <w:sz w:val="21"/>
                <w:szCs w:val="21"/>
                <w:highlight w:val="none"/>
              </w:rPr>
            </w:pPr>
            <w:r>
              <w:rPr>
                <w:color w:val="000000"/>
                <w:kern w:val="0"/>
                <w:sz w:val="22"/>
                <w:szCs w:val="22"/>
                <w:highlight w:val="none"/>
                <w:lang w:bidi="ar"/>
              </w:rPr>
              <w:t>20</w:t>
            </w:r>
          </w:p>
        </w:tc>
        <w:tc>
          <w:tcPr>
            <w:tcW w:w="2072" w:type="dxa"/>
            <w:vAlign w:val="center"/>
          </w:tcPr>
          <w:p w14:paraId="4EE2691D">
            <w:pPr>
              <w:widowControl/>
              <w:spacing w:line="240" w:lineRule="auto"/>
              <w:jc w:val="center"/>
              <w:textAlignment w:val="center"/>
              <w:rPr>
                <w:sz w:val="21"/>
                <w:szCs w:val="21"/>
                <w:highlight w:val="none"/>
              </w:rPr>
            </w:pPr>
            <w:r>
              <w:rPr>
                <w:rFonts w:hint="eastAsia"/>
                <w:sz w:val="21"/>
                <w:szCs w:val="21"/>
                <w:highlight w:val="none"/>
              </w:rPr>
              <w:t>徐家</w:t>
            </w:r>
          </w:p>
        </w:tc>
        <w:tc>
          <w:tcPr>
            <w:tcW w:w="1158" w:type="dxa"/>
            <w:vAlign w:val="center"/>
          </w:tcPr>
          <w:p w14:paraId="03C94695">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20A429E2">
            <w:pPr>
              <w:widowControl/>
              <w:spacing w:line="240" w:lineRule="auto"/>
              <w:jc w:val="center"/>
              <w:textAlignment w:val="center"/>
              <w:rPr>
                <w:sz w:val="21"/>
                <w:szCs w:val="21"/>
                <w:highlight w:val="none"/>
              </w:rPr>
            </w:pPr>
            <w:r>
              <w:rPr>
                <w:rFonts w:hint="eastAsia"/>
                <w:sz w:val="21"/>
                <w:szCs w:val="21"/>
                <w:highlight w:val="none"/>
              </w:rPr>
              <w:t>210</w:t>
            </w:r>
          </w:p>
        </w:tc>
        <w:tc>
          <w:tcPr>
            <w:tcW w:w="2962" w:type="dxa"/>
            <w:vAlign w:val="center"/>
          </w:tcPr>
          <w:p w14:paraId="75E62ED8">
            <w:pPr>
              <w:widowControl/>
              <w:spacing w:line="240" w:lineRule="auto"/>
              <w:jc w:val="center"/>
              <w:textAlignment w:val="center"/>
              <w:rPr>
                <w:sz w:val="21"/>
                <w:szCs w:val="21"/>
                <w:highlight w:val="none"/>
              </w:rPr>
            </w:pPr>
            <w:r>
              <w:rPr>
                <w:rFonts w:hint="eastAsia"/>
                <w:sz w:val="21"/>
                <w:szCs w:val="21"/>
                <w:highlight w:val="none"/>
              </w:rPr>
              <w:t>居住</w:t>
            </w:r>
          </w:p>
        </w:tc>
      </w:tr>
      <w:tr w14:paraId="54F9C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71327B78">
            <w:pPr>
              <w:widowControl/>
              <w:spacing w:line="240" w:lineRule="auto"/>
              <w:jc w:val="center"/>
              <w:textAlignment w:val="center"/>
              <w:rPr>
                <w:sz w:val="21"/>
                <w:szCs w:val="21"/>
                <w:highlight w:val="none"/>
              </w:rPr>
            </w:pPr>
            <w:r>
              <w:rPr>
                <w:color w:val="000000"/>
                <w:kern w:val="0"/>
                <w:sz w:val="22"/>
                <w:szCs w:val="22"/>
                <w:highlight w:val="none"/>
                <w:lang w:bidi="ar"/>
              </w:rPr>
              <w:t>21</w:t>
            </w:r>
          </w:p>
        </w:tc>
        <w:tc>
          <w:tcPr>
            <w:tcW w:w="2072" w:type="dxa"/>
            <w:vAlign w:val="center"/>
          </w:tcPr>
          <w:p w14:paraId="57745202">
            <w:pPr>
              <w:widowControl/>
              <w:spacing w:line="240" w:lineRule="auto"/>
              <w:jc w:val="center"/>
              <w:textAlignment w:val="center"/>
              <w:rPr>
                <w:sz w:val="21"/>
                <w:szCs w:val="21"/>
                <w:highlight w:val="none"/>
              </w:rPr>
            </w:pPr>
            <w:r>
              <w:rPr>
                <w:rFonts w:hint="eastAsia"/>
                <w:sz w:val="21"/>
                <w:szCs w:val="21"/>
                <w:highlight w:val="none"/>
              </w:rPr>
              <w:t>戴家坝</w:t>
            </w:r>
          </w:p>
        </w:tc>
        <w:tc>
          <w:tcPr>
            <w:tcW w:w="1158" w:type="dxa"/>
            <w:vAlign w:val="center"/>
          </w:tcPr>
          <w:p w14:paraId="7D62DA2C">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74B50A76">
            <w:pPr>
              <w:widowControl/>
              <w:spacing w:line="240" w:lineRule="auto"/>
              <w:jc w:val="center"/>
              <w:textAlignment w:val="center"/>
              <w:rPr>
                <w:sz w:val="21"/>
                <w:szCs w:val="21"/>
                <w:highlight w:val="none"/>
              </w:rPr>
            </w:pPr>
            <w:r>
              <w:rPr>
                <w:rFonts w:hint="eastAsia"/>
                <w:sz w:val="21"/>
                <w:szCs w:val="21"/>
                <w:highlight w:val="none"/>
              </w:rPr>
              <w:t>20</w:t>
            </w:r>
          </w:p>
        </w:tc>
        <w:tc>
          <w:tcPr>
            <w:tcW w:w="2962" w:type="dxa"/>
            <w:vAlign w:val="center"/>
          </w:tcPr>
          <w:p w14:paraId="06CF9AF3">
            <w:pPr>
              <w:widowControl/>
              <w:spacing w:line="240" w:lineRule="auto"/>
              <w:jc w:val="center"/>
              <w:textAlignment w:val="center"/>
              <w:rPr>
                <w:sz w:val="21"/>
                <w:szCs w:val="21"/>
                <w:highlight w:val="none"/>
              </w:rPr>
            </w:pPr>
            <w:r>
              <w:rPr>
                <w:rFonts w:hint="eastAsia"/>
                <w:sz w:val="21"/>
                <w:szCs w:val="21"/>
                <w:highlight w:val="none"/>
              </w:rPr>
              <w:t>居住</w:t>
            </w:r>
          </w:p>
        </w:tc>
      </w:tr>
      <w:tr w14:paraId="699B06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72251BE4">
            <w:pPr>
              <w:widowControl/>
              <w:spacing w:line="240" w:lineRule="auto"/>
              <w:jc w:val="center"/>
              <w:textAlignment w:val="center"/>
              <w:rPr>
                <w:sz w:val="21"/>
                <w:szCs w:val="21"/>
                <w:highlight w:val="none"/>
              </w:rPr>
            </w:pPr>
            <w:r>
              <w:rPr>
                <w:color w:val="000000"/>
                <w:kern w:val="0"/>
                <w:sz w:val="22"/>
                <w:szCs w:val="22"/>
                <w:highlight w:val="none"/>
                <w:lang w:bidi="ar"/>
              </w:rPr>
              <w:t>22</w:t>
            </w:r>
          </w:p>
        </w:tc>
        <w:tc>
          <w:tcPr>
            <w:tcW w:w="2072" w:type="dxa"/>
            <w:vAlign w:val="center"/>
          </w:tcPr>
          <w:p w14:paraId="300BED00">
            <w:pPr>
              <w:widowControl/>
              <w:spacing w:line="240" w:lineRule="auto"/>
              <w:jc w:val="center"/>
              <w:textAlignment w:val="center"/>
              <w:rPr>
                <w:sz w:val="21"/>
                <w:szCs w:val="21"/>
                <w:highlight w:val="none"/>
              </w:rPr>
            </w:pPr>
            <w:r>
              <w:rPr>
                <w:rFonts w:hint="eastAsia"/>
                <w:sz w:val="21"/>
                <w:szCs w:val="21"/>
                <w:highlight w:val="none"/>
              </w:rPr>
              <w:t>董李</w:t>
            </w:r>
          </w:p>
        </w:tc>
        <w:tc>
          <w:tcPr>
            <w:tcW w:w="1158" w:type="dxa"/>
            <w:vAlign w:val="center"/>
          </w:tcPr>
          <w:p w14:paraId="7B23D16A">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43063B26">
            <w:pPr>
              <w:widowControl/>
              <w:spacing w:line="240" w:lineRule="auto"/>
              <w:jc w:val="center"/>
              <w:textAlignment w:val="center"/>
              <w:rPr>
                <w:sz w:val="21"/>
                <w:szCs w:val="21"/>
                <w:highlight w:val="none"/>
              </w:rPr>
            </w:pPr>
            <w:r>
              <w:rPr>
                <w:rFonts w:hint="eastAsia"/>
                <w:sz w:val="21"/>
                <w:szCs w:val="21"/>
                <w:highlight w:val="none"/>
              </w:rPr>
              <w:t>180</w:t>
            </w:r>
          </w:p>
        </w:tc>
        <w:tc>
          <w:tcPr>
            <w:tcW w:w="2962" w:type="dxa"/>
            <w:vAlign w:val="center"/>
          </w:tcPr>
          <w:p w14:paraId="409856BA">
            <w:pPr>
              <w:widowControl/>
              <w:spacing w:line="240" w:lineRule="auto"/>
              <w:jc w:val="center"/>
              <w:textAlignment w:val="center"/>
              <w:rPr>
                <w:sz w:val="21"/>
                <w:szCs w:val="21"/>
                <w:highlight w:val="none"/>
              </w:rPr>
            </w:pPr>
            <w:r>
              <w:rPr>
                <w:rFonts w:hint="eastAsia"/>
                <w:sz w:val="21"/>
                <w:szCs w:val="21"/>
                <w:highlight w:val="none"/>
              </w:rPr>
              <w:t>居住</w:t>
            </w:r>
          </w:p>
        </w:tc>
      </w:tr>
      <w:tr w14:paraId="0B0166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7AD3A076">
            <w:pPr>
              <w:widowControl/>
              <w:spacing w:line="240" w:lineRule="auto"/>
              <w:jc w:val="center"/>
              <w:textAlignment w:val="center"/>
              <w:rPr>
                <w:sz w:val="21"/>
                <w:szCs w:val="21"/>
                <w:highlight w:val="none"/>
              </w:rPr>
            </w:pPr>
            <w:r>
              <w:rPr>
                <w:color w:val="000000"/>
                <w:kern w:val="0"/>
                <w:sz w:val="22"/>
                <w:szCs w:val="22"/>
                <w:highlight w:val="none"/>
                <w:lang w:bidi="ar"/>
              </w:rPr>
              <w:t>23</w:t>
            </w:r>
          </w:p>
        </w:tc>
        <w:tc>
          <w:tcPr>
            <w:tcW w:w="2072" w:type="dxa"/>
            <w:vAlign w:val="center"/>
          </w:tcPr>
          <w:p w14:paraId="1A82CD3B">
            <w:pPr>
              <w:widowControl/>
              <w:spacing w:line="240" w:lineRule="auto"/>
              <w:jc w:val="center"/>
              <w:textAlignment w:val="center"/>
              <w:rPr>
                <w:sz w:val="21"/>
                <w:szCs w:val="21"/>
                <w:highlight w:val="none"/>
              </w:rPr>
            </w:pPr>
            <w:r>
              <w:rPr>
                <w:rFonts w:hint="eastAsia"/>
                <w:sz w:val="21"/>
                <w:szCs w:val="21"/>
                <w:highlight w:val="none"/>
              </w:rPr>
              <w:t>管咀</w:t>
            </w:r>
          </w:p>
        </w:tc>
        <w:tc>
          <w:tcPr>
            <w:tcW w:w="1158" w:type="dxa"/>
            <w:vAlign w:val="center"/>
          </w:tcPr>
          <w:p w14:paraId="1CF8DDBC">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260936CD">
            <w:pPr>
              <w:widowControl/>
              <w:spacing w:line="240" w:lineRule="auto"/>
              <w:jc w:val="center"/>
              <w:textAlignment w:val="center"/>
              <w:rPr>
                <w:sz w:val="21"/>
                <w:szCs w:val="21"/>
                <w:highlight w:val="none"/>
              </w:rPr>
            </w:pPr>
            <w:r>
              <w:rPr>
                <w:rFonts w:hint="eastAsia"/>
                <w:sz w:val="21"/>
                <w:szCs w:val="21"/>
                <w:highlight w:val="none"/>
              </w:rPr>
              <w:t>290</w:t>
            </w:r>
          </w:p>
        </w:tc>
        <w:tc>
          <w:tcPr>
            <w:tcW w:w="2962" w:type="dxa"/>
            <w:vAlign w:val="center"/>
          </w:tcPr>
          <w:p w14:paraId="4CB4BB72">
            <w:pPr>
              <w:widowControl/>
              <w:spacing w:line="240" w:lineRule="auto"/>
              <w:jc w:val="center"/>
              <w:textAlignment w:val="center"/>
              <w:rPr>
                <w:sz w:val="21"/>
                <w:szCs w:val="21"/>
                <w:highlight w:val="none"/>
              </w:rPr>
            </w:pPr>
            <w:r>
              <w:rPr>
                <w:rFonts w:hint="eastAsia"/>
                <w:sz w:val="21"/>
                <w:szCs w:val="21"/>
                <w:highlight w:val="none"/>
              </w:rPr>
              <w:t>居住</w:t>
            </w:r>
          </w:p>
        </w:tc>
      </w:tr>
      <w:tr w14:paraId="5F9FDD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38CD41A8">
            <w:pPr>
              <w:spacing w:line="240" w:lineRule="auto"/>
              <w:jc w:val="center"/>
              <w:rPr>
                <w:sz w:val="21"/>
                <w:szCs w:val="21"/>
                <w:highlight w:val="none"/>
              </w:rPr>
            </w:pPr>
            <w:r>
              <w:rPr>
                <w:color w:val="000000"/>
                <w:kern w:val="0"/>
                <w:sz w:val="22"/>
                <w:szCs w:val="22"/>
                <w:highlight w:val="none"/>
                <w:lang w:bidi="ar"/>
              </w:rPr>
              <w:t>24</w:t>
            </w:r>
          </w:p>
        </w:tc>
        <w:tc>
          <w:tcPr>
            <w:tcW w:w="2072" w:type="dxa"/>
            <w:vAlign w:val="center"/>
          </w:tcPr>
          <w:p w14:paraId="7778476B">
            <w:pPr>
              <w:widowControl/>
              <w:spacing w:line="240" w:lineRule="auto"/>
              <w:jc w:val="center"/>
              <w:textAlignment w:val="center"/>
              <w:rPr>
                <w:sz w:val="21"/>
                <w:szCs w:val="21"/>
                <w:highlight w:val="none"/>
              </w:rPr>
            </w:pPr>
            <w:r>
              <w:rPr>
                <w:rFonts w:hint="eastAsia"/>
                <w:sz w:val="21"/>
                <w:szCs w:val="21"/>
                <w:highlight w:val="none"/>
              </w:rPr>
              <w:t>巷子口</w:t>
            </w:r>
          </w:p>
        </w:tc>
        <w:tc>
          <w:tcPr>
            <w:tcW w:w="1158" w:type="dxa"/>
            <w:vAlign w:val="center"/>
          </w:tcPr>
          <w:p w14:paraId="247C146F">
            <w:pPr>
              <w:widowControl/>
              <w:spacing w:line="240" w:lineRule="auto"/>
              <w:jc w:val="center"/>
              <w:textAlignment w:val="center"/>
              <w:rPr>
                <w:sz w:val="21"/>
                <w:szCs w:val="21"/>
                <w:highlight w:val="none"/>
              </w:rPr>
            </w:pPr>
            <w:r>
              <w:rPr>
                <w:rFonts w:hint="eastAsia"/>
                <w:sz w:val="21"/>
                <w:szCs w:val="21"/>
                <w:highlight w:val="none"/>
              </w:rPr>
              <w:t>西</w:t>
            </w:r>
          </w:p>
        </w:tc>
        <w:tc>
          <w:tcPr>
            <w:tcW w:w="2962" w:type="dxa"/>
            <w:vAlign w:val="center"/>
          </w:tcPr>
          <w:p w14:paraId="615B0770">
            <w:pPr>
              <w:widowControl/>
              <w:spacing w:line="240" w:lineRule="auto"/>
              <w:jc w:val="center"/>
              <w:textAlignment w:val="center"/>
              <w:rPr>
                <w:sz w:val="21"/>
                <w:szCs w:val="21"/>
                <w:highlight w:val="none"/>
              </w:rPr>
            </w:pPr>
            <w:r>
              <w:rPr>
                <w:rFonts w:hint="eastAsia"/>
                <w:sz w:val="21"/>
                <w:szCs w:val="21"/>
                <w:highlight w:val="none"/>
              </w:rPr>
              <w:t>100</w:t>
            </w:r>
          </w:p>
        </w:tc>
        <w:tc>
          <w:tcPr>
            <w:tcW w:w="2962" w:type="dxa"/>
            <w:vAlign w:val="center"/>
          </w:tcPr>
          <w:p w14:paraId="727920F1">
            <w:pPr>
              <w:widowControl/>
              <w:spacing w:line="240" w:lineRule="auto"/>
              <w:jc w:val="center"/>
              <w:textAlignment w:val="center"/>
              <w:rPr>
                <w:sz w:val="21"/>
                <w:szCs w:val="21"/>
                <w:highlight w:val="none"/>
              </w:rPr>
            </w:pPr>
            <w:r>
              <w:rPr>
                <w:rFonts w:hint="eastAsia"/>
                <w:sz w:val="21"/>
                <w:szCs w:val="21"/>
                <w:highlight w:val="none"/>
              </w:rPr>
              <w:t>居住</w:t>
            </w:r>
          </w:p>
        </w:tc>
      </w:tr>
      <w:tr w14:paraId="7BF81B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426410E7">
            <w:pPr>
              <w:widowControl/>
              <w:spacing w:line="240" w:lineRule="auto"/>
              <w:jc w:val="center"/>
              <w:textAlignment w:val="center"/>
              <w:rPr>
                <w:sz w:val="21"/>
                <w:szCs w:val="21"/>
                <w:highlight w:val="none"/>
              </w:rPr>
            </w:pPr>
            <w:r>
              <w:rPr>
                <w:color w:val="000000"/>
                <w:kern w:val="0"/>
                <w:sz w:val="22"/>
                <w:szCs w:val="22"/>
                <w:highlight w:val="none"/>
                <w:lang w:bidi="ar"/>
              </w:rPr>
              <w:t>25</w:t>
            </w:r>
          </w:p>
        </w:tc>
        <w:tc>
          <w:tcPr>
            <w:tcW w:w="2072" w:type="dxa"/>
            <w:vAlign w:val="center"/>
          </w:tcPr>
          <w:p w14:paraId="58FE4C97">
            <w:pPr>
              <w:widowControl/>
              <w:spacing w:line="240" w:lineRule="auto"/>
              <w:jc w:val="center"/>
              <w:textAlignment w:val="center"/>
              <w:rPr>
                <w:sz w:val="21"/>
                <w:szCs w:val="21"/>
                <w:highlight w:val="none"/>
              </w:rPr>
            </w:pPr>
            <w:r>
              <w:rPr>
                <w:rFonts w:hint="eastAsia"/>
                <w:sz w:val="21"/>
                <w:szCs w:val="21"/>
                <w:highlight w:val="none"/>
              </w:rPr>
              <w:t>泉塘</w:t>
            </w:r>
          </w:p>
        </w:tc>
        <w:tc>
          <w:tcPr>
            <w:tcW w:w="1158" w:type="dxa"/>
            <w:vAlign w:val="center"/>
          </w:tcPr>
          <w:p w14:paraId="4DF6AE60">
            <w:pPr>
              <w:widowControl/>
              <w:spacing w:line="240" w:lineRule="auto"/>
              <w:jc w:val="center"/>
              <w:textAlignment w:val="center"/>
              <w:rPr>
                <w:sz w:val="21"/>
                <w:szCs w:val="21"/>
                <w:highlight w:val="none"/>
              </w:rPr>
            </w:pPr>
            <w:r>
              <w:rPr>
                <w:rFonts w:hint="eastAsia"/>
                <w:sz w:val="21"/>
                <w:szCs w:val="21"/>
                <w:highlight w:val="none"/>
              </w:rPr>
              <w:t>南</w:t>
            </w:r>
          </w:p>
        </w:tc>
        <w:tc>
          <w:tcPr>
            <w:tcW w:w="2962" w:type="dxa"/>
            <w:vAlign w:val="center"/>
          </w:tcPr>
          <w:p w14:paraId="2EC511E5">
            <w:pPr>
              <w:widowControl/>
              <w:spacing w:line="240" w:lineRule="auto"/>
              <w:jc w:val="center"/>
              <w:textAlignment w:val="center"/>
              <w:rPr>
                <w:sz w:val="21"/>
                <w:szCs w:val="21"/>
                <w:highlight w:val="none"/>
              </w:rPr>
            </w:pPr>
            <w:r>
              <w:rPr>
                <w:rFonts w:hint="eastAsia"/>
                <w:sz w:val="21"/>
                <w:szCs w:val="21"/>
                <w:highlight w:val="none"/>
              </w:rPr>
              <w:t>0</w:t>
            </w:r>
          </w:p>
        </w:tc>
        <w:tc>
          <w:tcPr>
            <w:tcW w:w="2962" w:type="dxa"/>
            <w:vAlign w:val="center"/>
          </w:tcPr>
          <w:p w14:paraId="66FA1750">
            <w:pPr>
              <w:widowControl/>
              <w:spacing w:line="240" w:lineRule="auto"/>
              <w:jc w:val="center"/>
              <w:textAlignment w:val="center"/>
              <w:rPr>
                <w:sz w:val="21"/>
                <w:szCs w:val="21"/>
                <w:highlight w:val="none"/>
              </w:rPr>
            </w:pPr>
            <w:r>
              <w:rPr>
                <w:rFonts w:hint="eastAsia"/>
                <w:sz w:val="21"/>
                <w:szCs w:val="21"/>
                <w:highlight w:val="none"/>
              </w:rPr>
              <w:t>居住</w:t>
            </w:r>
          </w:p>
        </w:tc>
      </w:tr>
      <w:tr w14:paraId="4FE160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454F0AC1">
            <w:pPr>
              <w:widowControl/>
              <w:spacing w:line="240" w:lineRule="auto"/>
              <w:jc w:val="center"/>
              <w:textAlignment w:val="center"/>
              <w:rPr>
                <w:sz w:val="21"/>
                <w:szCs w:val="21"/>
                <w:highlight w:val="none"/>
              </w:rPr>
            </w:pPr>
            <w:r>
              <w:rPr>
                <w:color w:val="000000"/>
                <w:kern w:val="0"/>
                <w:sz w:val="22"/>
                <w:szCs w:val="22"/>
                <w:highlight w:val="none"/>
                <w:lang w:bidi="ar"/>
              </w:rPr>
              <w:t>26</w:t>
            </w:r>
          </w:p>
        </w:tc>
        <w:tc>
          <w:tcPr>
            <w:tcW w:w="2072" w:type="dxa"/>
            <w:vAlign w:val="center"/>
          </w:tcPr>
          <w:p w14:paraId="136BA5BE">
            <w:pPr>
              <w:widowControl/>
              <w:spacing w:line="240" w:lineRule="auto"/>
              <w:jc w:val="center"/>
              <w:textAlignment w:val="center"/>
              <w:rPr>
                <w:sz w:val="21"/>
                <w:szCs w:val="21"/>
                <w:highlight w:val="none"/>
              </w:rPr>
            </w:pPr>
            <w:r>
              <w:rPr>
                <w:rFonts w:hint="eastAsia"/>
                <w:sz w:val="21"/>
                <w:szCs w:val="21"/>
                <w:highlight w:val="none"/>
              </w:rPr>
              <w:t>刘畈村</w:t>
            </w:r>
          </w:p>
        </w:tc>
        <w:tc>
          <w:tcPr>
            <w:tcW w:w="1158" w:type="dxa"/>
            <w:vAlign w:val="center"/>
          </w:tcPr>
          <w:p w14:paraId="64759098">
            <w:pPr>
              <w:widowControl/>
              <w:spacing w:line="240" w:lineRule="auto"/>
              <w:jc w:val="center"/>
              <w:textAlignment w:val="center"/>
              <w:rPr>
                <w:sz w:val="21"/>
                <w:szCs w:val="21"/>
                <w:highlight w:val="none"/>
              </w:rPr>
            </w:pPr>
            <w:r>
              <w:rPr>
                <w:rFonts w:hint="eastAsia"/>
                <w:sz w:val="21"/>
                <w:szCs w:val="21"/>
                <w:highlight w:val="none"/>
              </w:rPr>
              <w:t>南</w:t>
            </w:r>
          </w:p>
        </w:tc>
        <w:tc>
          <w:tcPr>
            <w:tcW w:w="2962" w:type="dxa"/>
            <w:vAlign w:val="center"/>
          </w:tcPr>
          <w:p w14:paraId="7A02D947">
            <w:pPr>
              <w:widowControl/>
              <w:spacing w:line="240" w:lineRule="auto"/>
              <w:jc w:val="center"/>
              <w:textAlignment w:val="center"/>
              <w:rPr>
                <w:sz w:val="21"/>
                <w:szCs w:val="21"/>
                <w:highlight w:val="none"/>
              </w:rPr>
            </w:pPr>
            <w:r>
              <w:rPr>
                <w:rFonts w:hint="eastAsia"/>
                <w:sz w:val="21"/>
                <w:szCs w:val="21"/>
                <w:highlight w:val="none"/>
              </w:rPr>
              <w:t>340</w:t>
            </w:r>
          </w:p>
        </w:tc>
        <w:tc>
          <w:tcPr>
            <w:tcW w:w="2962" w:type="dxa"/>
            <w:vAlign w:val="center"/>
          </w:tcPr>
          <w:p w14:paraId="2C8A2974">
            <w:pPr>
              <w:widowControl/>
              <w:spacing w:line="240" w:lineRule="auto"/>
              <w:jc w:val="center"/>
              <w:textAlignment w:val="center"/>
              <w:rPr>
                <w:sz w:val="21"/>
                <w:szCs w:val="21"/>
                <w:highlight w:val="none"/>
              </w:rPr>
            </w:pPr>
            <w:r>
              <w:rPr>
                <w:rFonts w:hint="eastAsia"/>
                <w:sz w:val="21"/>
                <w:szCs w:val="21"/>
                <w:highlight w:val="none"/>
              </w:rPr>
              <w:t>居住</w:t>
            </w:r>
          </w:p>
        </w:tc>
      </w:tr>
      <w:tr w14:paraId="16A190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685326F8">
            <w:pPr>
              <w:widowControl/>
              <w:spacing w:line="240" w:lineRule="auto"/>
              <w:jc w:val="center"/>
              <w:textAlignment w:val="center"/>
              <w:rPr>
                <w:sz w:val="21"/>
                <w:szCs w:val="21"/>
                <w:highlight w:val="none"/>
              </w:rPr>
            </w:pPr>
            <w:r>
              <w:rPr>
                <w:color w:val="000000"/>
                <w:kern w:val="0"/>
                <w:sz w:val="22"/>
                <w:szCs w:val="22"/>
                <w:highlight w:val="none"/>
                <w:lang w:bidi="ar"/>
              </w:rPr>
              <w:t>27</w:t>
            </w:r>
          </w:p>
        </w:tc>
        <w:tc>
          <w:tcPr>
            <w:tcW w:w="2072" w:type="dxa"/>
            <w:vAlign w:val="center"/>
          </w:tcPr>
          <w:p w14:paraId="28F5BFB9">
            <w:pPr>
              <w:widowControl/>
              <w:spacing w:line="240" w:lineRule="auto"/>
              <w:jc w:val="center"/>
              <w:textAlignment w:val="center"/>
              <w:rPr>
                <w:sz w:val="21"/>
                <w:szCs w:val="21"/>
                <w:highlight w:val="none"/>
              </w:rPr>
            </w:pPr>
            <w:r>
              <w:rPr>
                <w:rFonts w:hint="eastAsia"/>
                <w:sz w:val="21"/>
                <w:szCs w:val="21"/>
                <w:highlight w:val="none"/>
              </w:rPr>
              <w:t>蔡家垄</w:t>
            </w:r>
          </w:p>
        </w:tc>
        <w:tc>
          <w:tcPr>
            <w:tcW w:w="1158" w:type="dxa"/>
            <w:vAlign w:val="center"/>
          </w:tcPr>
          <w:p w14:paraId="0E554175">
            <w:pPr>
              <w:widowControl/>
              <w:spacing w:line="240" w:lineRule="auto"/>
              <w:jc w:val="center"/>
              <w:textAlignment w:val="center"/>
              <w:rPr>
                <w:sz w:val="21"/>
                <w:szCs w:val="21"/>
                <w:highlight w:val="none"/>
              </w:rPr>
            </w:pPr>
            <w:r>
              <w:rPr>
                <w:rFonts w:hint="eastAsia"/>
                <w:sz w:val="21"/>
                <w:szCs w:val="21"/>
                <w:highlight w:val="none"/>
              </w:rPr>
              <w:t>南</w:t>
            </w:r>
          </w:p>
        </w:tc>
        <w:tc>
          <w:tcPr>
            <w:tcW w:w="2962" w:type="dxa"/>
            <w:vAlign w:val="center"/>
          </w:tcPr>
          <w:p w14:paraId="38E58FA1">
            <w:pPr>
              <w:widowControl/>
              <w:spacing w:line="240" w:lineRule="auto"/>
              <w:jc w:val="center"/>
              <w:textAlignment w:val="center"/>
              <w:rPr>
                <w:sz w:val="21"/>
                <w:szCs w:val="21"/>
                <w:highlight w:val="none"/>
              </w:rPr>
            </w:pPr>
            <w:r>
              <w:rPr>
                <w:rFonts w:hint="eastAsia"/>
                <w:sz w:val="21"/>
                <w:szCs w:val="21"/>
                <w:highlight w:val="none"/>
              </w:rPr>
              <w:t>0</w:t>
            </w:r>
          </w:p>
        </w:tc>
        <w:tc>
          <w:tcPr>
            <w:tcW w:w="2962" w:type="dxa"/>
            <w:vAlign w:val="center"/>
          </w:tcPr>
          <w:p w14:paraId="0ABA25C9">
            <w:pPr>
              <w:widowControl/>
              <w:spacing w:line="240" w:lineRule="auto"/>
              <w:jc w:val="center"/>
              <w:textAlignment w:val="center"/>
              <w:rPr>
                <w:sz w:val="21"/>
                <w:szCs w:val="21"/>
                <w:highlight w:val="none"/>
              </w:rPr>
            </w:pPr>
            <w:r>
              <w:rPr>
                <w:rFonts w:hint="eastAsia"/>
                <w:sz w:val="21"/>
                <w:szCs w:val="21"/>
                <w:highlight w:val="none"/>
              </w:rPr>
              <w:t>居住</w:t>
            </w:r>
          </w:p>
        </w:tc>
      </w:tr>
      <w:tr w14:paraId="5DFF1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34B936FA">
            <w:pPr>
              <w:widowControl/>
              <w:spacing w:line="240" w:lineRule="auto"/>
              <w:jc w:val="center"/>
              <w:textAlignment w:val="center"/>
              <w:rPr>
                <w:sz w:val="21"/>
                <w:szCs w:val="21"/>
                <w:highlight w:val="none"/>
              </w:rPr>
            </w:pPr>
            <w:r>
              <w:rPr>
                <w:color w:val="000000"/>
                <w:kern w:val="0"/>
                <w:sz w:val="22"/>
                <w:szCs w:val="22"/>
                <w:highlight w:val="none"/>
                <w:lang w:bidi="ar"/>
              </w:rPr>
              <w:t>28</w:t>
            </w:r>
          </w:p>
        </w:tc>
        <w:tc>
          <w:tcPr>
            <w:tcW w:w="2072" w:type="dxa"/>
            <w:vAlign w:val="center"/>
          </w:tcPr>
          <w:p w14:paraId="635C4702">
            <w:pPr>
              <w:widowControl/>
              <w:spacing w:line="240" w:lineRule="auto"/>
              <w:jc w:val="center"/>
              <w:textAlignment w:val="center"/>
              <w:rPr>
                <w:sz w:val="21"/>
                <w:szCs w:val="21"/>
                <w:highlight w:val="none"/>
              </w:rPr>
            </w:pPr>
            <w:r>
              <w:rPr>
                <w:rFonts w:hint="eastAsia"/>
                <w:sz w:val="21"/>
                <w:szCs w:val="21"/>
                <w:highlight w:val="none"/>
              </w:rPr>
              <w:t>樟树下</w:t>
            </w:r>
          </w:p>
        </w:tc>
        <w:tc>
          <w:tcPr>
            <w:tcW w:w="1158" w:type="dxa"/>
            <w:vAlign w:val="center"/>
          </w:tcPr>
          <w:p w14:paraId="374B7287">
            <w:pPr>
              <w:widowControl/>
              <w:spacing w:line="240" w:lineRule="auto"/>
              <w:jc w:val="center"/>
              <w:textAlignment w:val="center"/>
              <w:rPr>
                <w:sz w:val="21"/>
                <w:szCs w:val="21"/>
                <w:highlight w:val="none"/>
              </w:rPr>
            </w:pPr>
            <w:r>
              <w:rPr>
                <w:rFonts w:hint="eastAsia"/>
                <w:sz w:val="21"/>
                <w:szCs w:val="21"/>
                <w:highlight w:val="none"/>
              </w:rPr>
              <w:t>南</w:t>
            </w:r>
          </w:p>
        </w:tc>
        <w:tc>
          <w:tcPr>
            <w:tcW w:w="2962" w:type="dxa"/>
            <w:vAlign w:val="center"/>
          </w:tcPr>
          <w:p w14:paraId="2AA37753">
            <w:pPr>
              <w:widowControl/>
              <w:spacing w:line="240" w:lineRule="auto"/>
              <w:jc w:val="center"/>
              <w:textAlignment w:val="center"/>
              <w:rPr>
                <w:sz w:val="21"/>
                <w:szCs w:val="21"/>
                <w:highlight w:val="none"/>
              </w:rPr>
            </w:pPr>
            <w:r>
              <w:rPr>
                <w:rFonts w:hint="eastAsia"/>
                <w:sz w:val="21"/>
                <w:szCs w:val="21"/>
                <w:highlight w:val="none"/>
              </w:rPr>
              <w:t>0</w:t>
            </w:r>
          </w:p>
        </w:tc>
        <w:tc>
          <w:tcPr>
            <w:tcW w:w="2962" w:type="dxa"/>
            <w:vAlign w:val="center"/>
          </w:tcPr>
          <w:p w14:paraId="5450BBFF">
            <w:pPr>
              <w:widowControl/>
              <w:spacing w:line="240" w:lineRule="auto"/>
              <w:jc w:val="center"/>
              <w:textAlignment w:val="center"/>
              <w:rPr>
                <w:sz w:val="21"/>
                <w:szCs w:val="21"/>
                <w:highlight w:val="none"/>
              </w:rPr>
            </w:pPr>
            <w:r>
              <w:rPr>
                <w:rFonts w:hint="eastAsia"/>
                <w:sz w:val="21"/>
                <w:szCs w:val="21"/>
                <w:highlight w:val="none"/>
              </w:rPr>
              <w:t>居住</w:t>
            </w:r>
          </w:p>
        </w:tc>
      </w:tr>
      <w:tr w14:paraId="349DE3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6C52883F">
            <w:pPr>
              <w:widowControl/>
              <w:spacing w:line="240" w:lineRule="auto"/>
              <w:jc w:val="center"/>
              <w:textAlignment w:val="center"/>
              <w:rPr>
                <w:sz w:val="21"/>
                <w:szCs w:val="21"/>
                <w:highlight w:val="none"/>
              </w:rPr>
            </w:pPr>
            <w:r>
              <w:rPr>
                <w:color w:val="000000"/>
                <w:kern w:val="0"/>
                <w:sz w:val="22"/>
                <w:szCs w:val="22"/>
                <w:highlight w:val="none"/>
                <w:lang w:bidi="ar"/>
              </w:rPr>
              <w:t>29</w:t>
            </w:r>
          </w:p>
        </w:tc>
        <w:tc>
          <w:tcPr>
            <w:tcW w:w="2072" w:type="dxa"/>
            <w:vAlign w:val="center"/>
          </w:tcPr>
          <w:p w14:paraId="386D8164">
            <w:pPr>
              <w:widowControl/>
              <w:spacing w:line="240" w:lineRule="auto"/>
              <w:jc w:val="center"/>
              <w:textAlignment w:val="center"/>
              <w:rPr>
                <w:sz w:val="21"/>
                <w:szCs w:val="21"/>
                <w:highlight w:val="none"/>
              </w:rPr>
            </w:pPr>
            <w:r>
              <w:rPr>
                <w:rFonts w:hint="eastAsia"/>
                <w:sz w:val="21"/>
                <w:szCs w:val="21"/>
                <w:highlight w:val="none"/>
              </w:rPr>
              <w:t>余家坳</w:t>
            </w:r>
          </w:p>
        </w:tc>
        <w:tc>
          <w:tcPr>
            <w:tcW w:w="1158" w:type="dxa"/>
            <w:vAlign w:val="center"/>
          </w:tcPr>
          <w:p w14:paraId="52F53ED1">
            <w:pPr>
              <w:widowControl/>
              <w:spacing w:line="240" w:lineRule="auto"/>
              <w:jc w:val="center"/>
              <w:textAlignment w:val="center"/>
              <w:rPr>
                <w:sz w:val="21"/>
                <w:szCs w:val="21"/>
                <w:highlight w:val="none"/>
              </w:rPr>
            </w:pPr>
            <w:r>
              <w:rPr>
                <w:rFonts w:hint="eastAsia"/>
                <w:sz w:val="21"/>
                <w:szCs w:val="21"/>
                <w:highlight w:val="none"/>
              </w:rPr>
              <w:t>南</w:t>
            </w:r>
          </w:p>
        </w:tc>
        <w:tc>
          <w:tcPr>
            <w:tcW w:w="2962" w:type="dxa"/>
            <w:vAlign w:val="center"/>
          </w:tcPr>
          <w:p w14:paraId="5C0954C0">
            <w:pPr>
              <w:widowControl/>
              <w:spacing w:line="240" w:lineRule="auto"/>
              <w:jc w:val="center"/>
              <w:textAlignment w:val="center"/>
              <w:rPr>
                <w:sz w:val="21"/>
                <w:szCs w:val="21"/>
                <w:highlight w:val="none"/>
              </w:rPr>
            </w:pPr>
            <w:r>
              <w:rPr>
                <w:rFonts w:hint="eastAsia"/>
                <w:sz w:val="21"/>
                <w:szCs w:val="21"/>
                <w:highlight w:val="none"/>
              </w:rPr>
              <w:t>10</w:t>
            </w:r>
          </w:p>
        </w:tc>
        <w:tc>
          <w:tcPr>
            <w:tcW w:w="2962" w:type="dxa"/>
            <w:vAlign w:val="center"/>
          </w:tcPr>
          <w:p w14:paraId="2A8CBD57">
            <w:pPr>
              <w:widowControl/>
              <w:spacing w:line="240" w:lineRule="auto"/>
              <w:jc w:val="center"/>
              <w:textAlignment w:val="center"/>
              <w:rPr>
                <w:sz w:val="21"/>
                <w:szCs w:val="21"/>
                <w:highlight w:val="none"/>
              </w:rPr>
            </w:pPr>
            <w:r>
              <w:rPr>
                <w:rFonts w:hint="eastAsia"/>
                <w:sz w:val="21"/>
                <w:szCs w:val="21"/>
                <w:highlight w:val="none"/>
              </w:rPr>
              <w:t>居住</w:t>
            </w:r>
          </w:p>
        </w:tc>
      </w:tr>
      <w:tr w14:paraId="3484EA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66B5A0A5">
            <w:pPr>
              <w:widowControl/>
              <w:spacing w:line="240" w:lineRule="auto"/>
              <w:jc w:val="center"/>
              <w:textAlignment w:val="center"/>
              <w:rPr>
                <w:sz w:val="21"/>
                <w:szCs w:val="21"/>
                <w:highlight w:val="none"/>
              </w:rPr>
            </w:pPr>
            <w:r>
              <w:rPr>
                <w:color w:val="000000"/>
                <w:kern w:val="0"/>
                <w:sz w:val="22"/>
                <w:szCs w:val="22"/>
                <w:highlight w:val="none"/>
                <w:lang w:bidi="ar"/>
              </w:rPr>
              <w:t>30</w:t>
            </w:r>
          </w:p>
        </w:tc>
        <w:tc>
          <w:tcPr>
            <w:tcW w:w="2072" w:type="dxa"/>
            <w:vAlign w:val="center"/>
          </w:tcPr>
          <w:p w14:paraId="04AD27EE">
            <w:pPr>
              <w:widowControl/>
              <w:spacing w:line="240" w:lineRule="auto"/>
              <w:jc w:val="center"/>
              <w:textAlignment w:val="center"/>
              <w:rPr>
                <w:sz w:val="21"/>
                <w:szCs w:val="21"/>
                <w:highlight w:val="none"/>
              </w:rPr>
            </w:pPr>
            <w:r>
              <w:rPr>
                <w:rFonts w:hint="eastAsia"/>
                <w:sz w:val="21"/>
                <w:szCs w:val="21"/>
                <w:highlight w:val="none"/>
              </w:rPr>
              <w:t>筲箕窝</w:t>
            </w:r>
          </w:p>
        </w:tc>
        <w:tc>
          <w:tcPr>
            <w:tcW w:w="1158" w:type="dxa"/>
            <w:vAlign w:val="center"/>
          </w:tcPr>
          <w:p w14:paraId="52ABFA21">
            <w:pPr>
              <w:widowControl/>
              <w:spacing w:line="240" w:lineRule="auto"/>
              <w:jc w:val="center"/>
              <w:textAlignment w:val="center"/>
              <w:rPr>
                <w:sz w:val="21"/>
                <w:szCs w:val="21"/>
                <w:highlight w:val="none"/>
              </w:rPr>
            </w:pPr>
            <w:r>
              <w:rPr>
                <w:rFonts w:hint="eastAsia"/>
                <w:sz w:val="21"/>
                <w:szCs w:val="21"/>
                <w:highlight w:val="none"/>
              </w:rPr>
              <w:t>南</w:t>
            </w:r>
          </w:p>
        </w:tc>
        <w:tc>
          <w:tcPr>
            <w:tcW w:w="2962" w:type="dxa"/>
            <w:vAlign w:val="center"/>
          </w:tcPr>
          <w:p w14:paraId="4EE374C4">
            <w:pPr>
              <w:widowControl/>
              <w:spacing w:line="240" w:lineRule="auto"/>
              <w:jc w:val="center"/>
              <w:textAlignment w:val="center"/>
              <w:rPr>
                <w:sz w:val="21"/>
                <w:szCs w:val="21"/>
                <w:highlight w:val="none"/>
              </w:rPr>
            </w:pPr>
            <w:r>
              <w:rPr>
                <w:rFonts w:hint="eastAsia"/>
                <w:sz w:val="21"/>
                <w:szCs w:val="21"/>
                <w:highlight w:val="none"/>
              </w:rPr>
              <w:t>0</w:t>
            </w:r>
          </w:p>
        </w:tc>
        <w:tc>
          <w:tcPr>
            <w:tcW w:w="2962" w:type="dxa"/>
            <w:vAlign w:val="center"/>
          </w:tcPr>
          <w:p w14:paraId="64FC55F8">
            <w:pPr>
              <w:widowControl/>
              <w:spacing w:line="240" w:lineRule="auto"/>
              <w:jc w:val="center"/>
              <w:textAlignment w:val="center"/>
              <w:rPr>
                <w:sz w:val="21"/>
                <w:szCs w:val="21"/>
                <w:highlight w:val="none"/>
              </w:rPr>
            </w:pPr>
            <w:r>
              <w:rPr>
                <w:rFonts w:hint="eastAsia"/>
                <w:sz w:val="21"/>
                <w:szCs w:val="21"/>
                <w:highlight w:val="none"/>
              </w:rPr>
              <w:t>居住</w:t>
            </w:r>
          </w:p>
        </w:tc>
      </w:tr>
      <w:tr w14:paraId="0C960E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574AE09D">
            <w:pPr>
              <w:widowControl/>
              <w:spacing w:line="240" w:lineRule="auto"/>
              <w:jc w:val="center"/>
              <w:textAlignment w:val="center"/>
              <w:rPr>
                <w:sz w:val="21"/>
                <w:szCs w:val="21"/>
                <w:highlight w:val="none"/>
              </w:rPr>
            </w:pPr>
            <w:r>
              <w:rPr>
                <w:color w:val="000000"/>
                <w:kern w:val="0"/>
                <w:sz w:val="22"/>
                <w:szCs w:val="22"/>
                <w:highlight w:val="none"/>
                <w:lang w:bidi="ar"/>
              </w:rPr>
              <w:t>31</w:t>
            </w:r>
          </w:p>
        </w:tc>
        <w:tc>
          <w:tcPr>
            <w:tcW w:w="2072" w:type="dxa"/>
            <w:vAlign w:val="center"/>
          </w:tcPr>
          <w:p w14:paraId="42850CF6">
            <w:pPr>
              <w:widowControl/>
              <w:spacing w:line="240" w:lineRule="auto"/>
              <w:jc w:val="center"/>
              <w:textAlignment w:val="center"/>
              <w:rPr>
                <w:sz w:val="21"/>
                <w:szCs w:val="21"/>
                <w:highlight w:val="none"/>
              </w:rPr>
            </w:pPr>
            <w:r>
              <w:rPr>
                <w:rFonts w:hint="eastAsia"/>
                <w:sz w:val="21"/>
                <w:szCs w:val="21"/>
                <w:highlight w:val="none"/>
              </w:rPr>
              <w:t>刘家大湾</w:t>
            </w:r>
          </w:p>
        </w:tc>
        <w:tc>
          <w:tcPr>
            <w:tcW w:w="1158" w:type="dxa"/>
            <w:vAlign w:val="center"/>
          </w:tcPr>
          <w:p w14:paraId="5D4565DB">
            <w:pPr>
              <w:widowControl/>
              <w:spacing w:line="240" w:lineRule="auto"/>
              <w:jc w:val="center"/>
              <w:textAlignment w:val="center"/>
              <w:rPr>
                <w:sz w:val="21"/>
                <w:szCs w:val="21"/>
                <w:highlight w:val="none"/>
              </w:rPr>
            </w:pPr>
            <w:r>
              <w:rPr>
                <w:rFonts w:hint="eastAsia"/>
                <w:sz w:val="21"/>
                <w:szCs w:val="21"/>
                <w:highlight w:val="none"/>
              </w:rPr>
              <w:t>南</w:t>
            </w:r>
          </w:p>
        </w:tc>
        <w:tc>
          <w:tcPr>
            <w:tcW w:w="2962" w:type="dxa"/>
            <w:vAlign w:val="center"/>
          </w:tcPr>
          <w:p w14:paraId="1F9173B3">
            <w:pPr>
              <w:widowControl/>
              <w:spacing w:line="240" w:lineRule="auto"/>
              <w:jc w:val="center"/>
              <w:textAlignment w:val="center"/>
              <w:rPr>
                <w:sz w:val="21"/>
                <w:szCs w:val="21"/>
                <w:highlight w:val="none"/>
              </w:rPr>
            </w:pPr>
            <w:r>
              <w:rPr>
                <w:rFonts w:hint="eastAsia"/>
                <w:sz w:val="21"/>
                <w:szCs w:val="21"/>
                <w:highlight w:val="none"/>
              </w:rPr>
              <w:t>340</w:t>
            </w:r>
          </w:p>
        </w:tc>
        <w:tc>
          <w:tcPr>
            <w:tcW w:w="2962" w:type="dxa"/>
            <w:vAlign w:val="center"/>
          </w:tcPr>
          <w:p w14:paraId="30150B76">
            <w:pPr>
              <w:widowControl/>
              <w:spacing w:line="240" w:lineRule="auto"/>
              <w:jc w:val="center"/>
              <w:textAlignment w:val="center"/>
              <w:rPr>
                <w:sz w:val="21"/>
                <w:szCs w:val="21"/>
                <w:highlight w:val="none"/>
              </w:rPr>
            </w:pPr>
            <w:r>
              <w:rPr>
                <w:rFonts w:hint="eastAsia"/>
                <w:sz w:val="21"/>
                <w:szCs w:val="21"/>
                <w:highlight w:val="none"/>
              </w:rPr>
              <w:t>居住</w:t>
            </w:r>
          </w:p>
        </w:tc>
      </w:tr>
      <w:tr w14:paraId="4390A5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7CD79AAD">
            <w:pPr>
              <w:widowControl/>
              <w:spacing w:line="240" w:lineRule="auto"/>
              <w:jc w:val="center"/>
              <w:textAlignment w:val="center"/>
              <w:rPr>
                <w:sz w:val="21"/>
                <w:szCs w:val="21"/>
                <w:highlight w:val="none"/>
              </w:rPr>
            </w:pPr>
            <w:r>
              <w:rPr>
                <w:color w:val="000000"/>
                <w:kern w:val="0"/>
                <w:sz w:val="22"/>
                <w:szCs w:val="22"/>
                <w:highlight w:val="none"/>
                <w:lang w:bidi="ar"/>
              </w:rPr>
              <w:t>32</w:t>
            </w:r>
          </w:p>
        </w:tc>
        <w:tc>
          <w:tcPr>
            <w:tcW w:w="2072" w:type="dxa"/>
            <w:vAlign w:val="center"/>
          </w:tcPr>
          <w:p w14:paraId="09DD9DFB">
            <w:pPr>
              <w:widowControl/>
              <w:spacing w:line="240" w:lineRule="auto"/>
              <w:jc w:val="center"/>
              <w:textAlignment w:val="center"/>
              <w:rPr>
                <w:sz w:val="21"/>
                <w:szCs w:val="21"/>
                <w:highlight w:val="none"/>
              </w:rPr>
            </w:pPr>
            <w:r>
              <w:rPr>
                <w:rFonts w:hint="eastAsia"/>
                <w:sz w:val="21"/>
                <w:szCs w:val="21"/>
                <w:highlight w:val="none"/>
              </w:rPr>
              <w:t>黄家墩</w:t>
            </w:r>
          </w:p>
        </w:tc>
        <w:tc>
          <w:tcPr>
            <w:tcW w:w="1158" w:type="dxa"/>
            <w:vAlign w:val="center"/>
          </w:tcPr>
          <w:p w14:paraId="47ADE583">
            <w:pPr>
              <w:widowControl/>
              <w:spacing w:line="240" w:lineRule="auto"/>
              <w:jc w:val="center"/>
              <w:textAlignment w:val="center"/>
              <w:rPr>
                <w:sz w:val="21"/>
                <w:szCs w:val="21"/>
                <w:highlight w:val="none"/>
              </w:rPr>
            </w:pPr>
            <w:r>
              <w:rPr>
                <w:rFonts w:hint="eastAsia"/>
                <w:sz w:val="21"/>
                <w:szCs w:val="21"/>
                <w:highlight w:val="none"/>
              </w:rPr>
              <w:t>南</w:t>
            </w:r>
          </w:p>
        </w:tc>
        <w:tc>
          <w:tcPr>
            <w:tcW w:w="2962" w:type="dxa"/>
            <w:vAlign w:val="center"/>
          </w:tcPr>
          <w:p w14:paraId="290F1BAF">
            <w:pPr>
              <w:widowControl/>
              <w:spacing w:line="240" w:lineRule="auto"/>
              <w:jc w:val="center"/>
              <w:textAlignment w:val="center"/>
              <w:rPr>
                <w:sz w:val="21"/>
                <w:szCs w:val="21"/>
                <w:highlight w:val="none"/>
              </w:rPr>
            </w:pPr>
            <w:r>
              <w:rPr>
                <w:rFonts w:hint="eastAsia"/>
                <w:sz w:val="21"/>
                <w:szCs w:val="21"/>
                <w:highlight w:val="none"/>
              </w:rPr>
              <w:t>0</w:t>
            </w:r>
          </w:p>
        </w:tc>
        <w:tc>
          <w:tcPr>
            <w:tcW w:w="2962" w:type="dxa"/>
            <w:vAlign w:val="center"/>
          </w:tcPr>
          <w:p w14:paraId="05FAD051">
            <w:pPr>
              <w:widowControl/>
              <w:spacing w:line="240" w:lineRule="auto"/>
              <w:jc w:val="center"/>
              <w:textAlignment w:val="center"/>
              <w:rPr>
                <w:sz w:val="21"/>
                <w:szCs w:val="21"/>
                <w:highlight w:val="none"/>
              </w:rPr>
            </w:pPr>
            <w:r>
              <w:rPr>
                <w:rFonts w:hint="eastAsia"/>
                <w:sz w:val="21"/>
                <w:szCs w:val="21"/>
                <w:highlight w:val="none"/>
              </w:rPr>
              <w:t>居住</w:t>
            </w:r>
          </w:p>
        </w:tc>
      </w:tr>
      <w:tr w14:paraId="19ED70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1AAF871C">
            <w:pPr>
              <w:widowControl/>
              <w:spacing w:line="240" w:lineRule="auto"/>
              <w:jc w:val="center"/>
              <w:textAlignment w:val="center"/>
              <w:rPr>
                <w:sz w:val="21"/>
                <w:szCs w:val="21"/>
                <w:highlight w:val="none"/>
              </w:rPr>
            </w:pPr>
            <w:r>
              <w:rPr>
                <w:color w:val="000000"/>
                <w:kern w:val="0"/>
                <w:sz w:val="22"/>
                <w:szCs w:val="22"/>
                <w:highlight w:val="none"/>
                <w:lang w:bidi="ar"/>
              </w:rPr>
              <w:t>33</w:t>
            </w:r>
          </w:p>
        </w:tc>
        <w:tc>
          <w:tcPr>
            <w:tcW w:w="2072" w:type="dxa"/>
            <w:vAlign w:val="center"/>
          </w:tcPr>
          <w:p w14:paraId="581BF62D">
            <w:pPr>
              <w:widowControl/>
              <w:spacing w:line="240" w:lineRule="auto"/>
              <w:jc w:val="center"/>
              <w:textAlignment w:val="center"/>
              <w:rPr>
                <w:sz w:val="21"/>
                <w:szCs w:val="21"/>
                <w:highlight w:val="none"/>
              </w:rPr>
            </w:pPr>
            <w:r>
              <w:rPr>
                <w:rFonts w:hint="eastAsia"/>
                <w:sz w:val="21"/>
                <w:szCs w:val="21"/>
                <w:highlight w:val="none"/>
              </w:rPr>
              <w:t>三江共和城</w:t>
            </w:r>
          </w:p>
        </w:tc>
        <w:tc>
          <w:tcPr>
            <w:tcW w:w="1158" w:type="dxa"/>
            <w:vAlign w:val="center"/>
          </w:tcPr>
          <w:p w14:paraId="6C7843B9">
            <w:pPr>
              <w:widowControl/>
              <w:spacing w:line="240" w:lineRule="auto"/>
              <w:jc w:val="center"/>
              <w:textAlignment w:val="center"/>
              <w:rPr>
                <w:sz w:val="21"/>
                <w:szCs w:val="21"/>
                <w:highlight w:val="none"/>
              </w:rPr>
            </w:pPr>
            <w:r>
              <w:rPr>
                <w:rFonts w:hint="eastAsia"/>
                <w:sz w:val="21"/>
                <w:szCs w:val="21"/>
                <w:highlight w:val="none"/>
              </w:rPr>
              <w:t>南</w:t>
            </w:r>
          </w:p>
        </w:tc>
        <w:tc>
          <w:tcPr>
            <w:tcW w:w="2962" w:type="dxa"/>
            <w:vAlign w:val="center"/>
          </w:tcPr>
          <w:p w14:paraId="015B6FE3">
            <w:pPr>
              <w:widowControl/>
              <w:spacing w:line="240" w:lineRule="auto"/>
              <w:jc w:val="center"/>
              <w:textAlignment w:val="center"/>
              <w:rPr>
                <w:sz w:val="21"/>
                <w:szCs w:val="21"/>
                <w:highlight w:val="none"/>
              </w:rPr>
            </w:pPr>
            <w:r>
              <w:rPr>
                <w:rFonts w:hint="eastAsia"/>
                <w:sz w:val="21"/>
                <w:szCs w:val="21"/>
                <w:highlight w:val="none"/>
              </w:rPr>
              <w:t>0</w:t>
            </w:r>
          </w:p>
        </w:tc>
        <w:tc>
          <w:tcPr>
            <w:tcW w:w="2962" w:type="dxa"/>
            <w:vAlign w:val="center"/>
          </w:tcPr>
          <w:p w14:paraId="369949CE">
            <w:pPr>
              <w:widowControl/>
              <w:spacing w:line="240" w:lineRule="auto"/>
              <w:jc w:val="center"/>
              <w:textAlignment w:val="center"/>
              <w:rPr>
                <w:sz w:val="21"/>
                <w:szCs w:val="21"/>
                <w:highlight w:val="none"/>
              </w:rPr>
            </w:pPr>
            <w:r>
              <w:rPr>
                <w:rFonts w:hint="eastAsia"/>
                <w:sz w:val="21"/>
                <w:szCs w:val="21"/>
                <w:highlight w:val="none"/>
              </w:rPr>
              <w:t>居住</w:t>
            </w:r>
          </w:p>
        </w:tc>
      </w:tr>
      <w:tr w14:paraId="540A1A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0B1ECCDF">
            <w:pPr>
              <w:widowControl/>
              <w:spacing w:line="240" w:lineRule="auto"/>
              <w:jc w:val="center"/>
              <w:textAlignment w:val="center"/>
              <w:rPr>
                <w:color w:val="000000"/>
                <w:kern w:val="0"/>
                <w:sz w:val="21"/>
                <w:szCs w:val="21"/>
                <w:highlight w:val="none"/>
                <w:lang w:bidi="ar"/>
              </w:rPr>
            </w:pPr>
            <w:r>
              <w:rPr>
                <w:color w:val="000000"/>
                <w:kern w:val="0"/>
                <w:sz w:val="22"/>
                <w:szCs w:val="22"/>
                <w:highlight w:val="none"/>
                <w:lang w:bidi="ar"/>
              </w:rPr>
              <w:t>34</w:t>
            </w:r>
          </w:p>
        </w:tc>
        <w:tc>
          <w:tcPr>
            <w:tcW w:w="2072" w:type="dxa"/>
            <w:vAlign w:val="center"/>
          </w:tcPr>
          <w:p w14:paraId="5D240FB8">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方家墩</w:t>
            </w:r>
          </w:p>
        </w:tc>
        <w:tc>
          <w:tcPr>
            <w:tcW w:w="1158" w:type="dxa"/>
            <w:vAlign w:val="center"/>
          </w:tcPr>
          <w:p w14:paraId="350F35F1">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南</w:t>
            </w:r>
          </w:p>
        </w:tc>
        <w:tc>
          <w:tcPr>
            <w:tcW w:w="2962" w:type="dxa"/>
            <w:vAlign w:val="center"/>
          </w:tcPr>
          <w:p w14:paraId="385EE86D">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0</w:t>
            </w:r>
          </w:p>
        </w:tc>
        <w:tc>
          <w:tcPr>
            <w:tcW w:w="2962" w:type="dxa"/>
            <w:vAlign w:val="center"/>
          </w:tcPr>
          <w:p w14:paraId="4EFFACE1">
            <w:pPr>
              <w:widowControl/>
              <w:spacing w:line="240" w:lineRule="auto"/>
              <w:jc w:val="center"/>
              <w:textAlignment w:val="center"/>
              <w:rPr>
                <w:color w:val="000000"/>
                <w:kern w:val="0"/>
                <w:sz w:val="21"/>
                <w:szCs w:val="21"/>
                <w:highlight w:val="none"/>
                <w:lang w:bidi="ar"/>
              </w:rPr>
            </w:pPr>
            <w:r>
              <w:rPr>
                <w:rFonts w:hint="eastAsia"/>
                <w:sz w:val="21"/>
                <w:szCs w:val="21"/>
                <w:highlight w:val="none"/>
              </w:rPr>
              <w:t>居住</w:t>
            </w:r>
          </w:p>
        </w:tc>
      </w:tr>
      <w:tr w14:paraId="39643A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6CBC39C9">
            <w:pPr>
              <w:widowControl/>
              <w:spacing w:line="240" w:lineRule="auto"/>
              <w:jc w:val="center"/>
              <w:textAlignment w:val="center"/>
              <w:rPr>
                <w:color w:val="000000"/>
                <w:kern w:val="0"/>
                <w:sz w:val="21"/>
                <w:szCs w:val="21"/>
                <w:highlight w:val="none"/>
                <w:lang w:bidi="ar"/>
              </w:rPr>
            </w:pPr>
            <w:r>
              <w:rPr>
                <w:color w:val="000000"/>
                <w:kern w:val="0"/>
                <w:sz w:val="22"/>
                <w:szCs w:val="22"/>
                <w:highlight w:val="none"/>
                <w:lang w:bidi="ar"/>
              </w:rPr>
              <w:t>35</w:t>
            </w:r>
          </w:p>
        </w:tc>
        <w:tc>
          <w:tcPr>
            <w:tcW w:w="2072" w:type="dxa"/>
            <w:vAlign w:val="center"/>
          </w:tcPr>
          <w:p w14:paraId="54D70876">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紫荆花幼儿园</w:t>
            </w:r>
          </w:p>
        </w:tc>
        <w:tc>
          <w:tcPr>
            <w:tcW w:w="1158" w:type="dxa"/>
            <w:vAlign w:val="center"/>
          </w:tcPr>
          <w:p w14:paraId="2F2003FA">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南</w:t>
            </w:r>
          </w:p>
        </w:tc>
        <w:tc>
          <w:tcPr>
            <w:tcW w:w="2962" w:type="dxa"/>
            <w:vAlign w:val="center"/>
          </w:tcPr>
          <w:p w14:paraId="4AF7563C">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10</w:t>
            </w:r>
          </w:p>
        </w:tc>
        <w:tc>
          <w:tcPr>
            <w:tcW w:w="2962" w:type="dxa"/>
            <w:vAlign w:val="center"/>
          </w:tcPr>
          <w:p w14:paraId="448C8C1D">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文化教育</w:t>
            </w:r>
          </w:p>
        </w:tc>
      </w:tr>
      <w:tr w14:paraId="551E13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4F6C2954">
            <w:pPr>
              <w:widowControl/>
              <w:spacing w:line="240" w:lineRule="auto"/>
              <w:jc w:val="center"/>
              <w:textAlignment w:val="center"/>
              <w:rPr>
                <w:color w:val="000000"/>
                <w:kern w:val="0"/>
                <w:sz w:val="22"/>
                <w:szCs w:val="22"/>
                <w:highlight w:val="none"/>
                <w:lang w:bidi="ar"/>
              </w:rPr>
            </w:pPr>
            <w:r>
              <w:rPr>
                <w:rFonts w:hint="eastAsia"/>
                <w:color w:val="000000"/>
                <w:kern w:val="0"/>
                <w:sz w:val="22"/>
                <w:szCs w:val="22"/>
                <w:highlight w:val="none"/>
                <w:lang w:bidi="ar"/>
              </w:rPr>
              <w:t>36</w:t>
            </w:r>
          </w:p>
        </w:tc>
        <w:tc>
          <w:tcPr>
            <w:tcW w:w="2072" w:type="dxa"/>
            <w:vAlign w:val="center"/>
          </w:tcPr>
          <w:p w14:paraId="7407F45A">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九厢地</w:t>
            </w:r>
          </w:p>
        </w:tc>
        <w:tc>
          <w:tcPr>
            <w:tcW w:w="1158" w:type="dxa"/>
            <w:vAlign w:val="center"/>
          </w:tcPr>
          <w:p w14:paraId="4F47F190">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南</w:t>
            </w:r>
          </w:p>
        </w:tc>
        <w:tc>
          <w:tcPr>
            <w:tcW w:w="2962" w:type="dxa"/>
            <w:vAlign w:val="center"/>
          </w:tcPr>
          <w:p w14:paraId="0E1BFA0F">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0</w:t>
            </w:r>
          </w:p>
        </w:tc>
        <w:tc>
          <w:tcPr>
            <w:tcW w:w="2962" w:type="dxa"/>
            <w:vAlign w:val="center"/>
          </w:tcPr>
          <w:p w14:paraId="75C0D7B2">
            <w:pPr>
              <w:widowControl/>
              <w:spacing w:line="240" w:lineRule="auto"/>
              <w:jc w:val="center"/>
              <w:textAlignment w:val="center"/>
              <w:rPr>
                <w:color w:val="000000"/>
                <w:kern w:val="0"/>
                <w:sz w:val="21"/>
                <w:szCs w:val="21"/>
                <w:highlight w:val="none"/>
                <w:lang w:bidi="ar"/>
              </w:rPr>
            </w:pPr>
            <w:r>
              <w:rPr>
                <w:rFonts w:hint="eastAsia"/>
                <w:sz w:val="21"/>
                <w:szCs w:val="21"/>
                <w:highlight w:val="none"/>
              </w:rPr>
              <w:t>居住</w:t>
            </w:r>
          </w:p>
        </w:tc>
      </w:tr>
      <w:tr w14:paraId="17B8DE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61A3BF5C">
            <w:pPr>
              <w:widowControl/>
              <w:spacing w:line="240" w:lineRule="auto"/>
              <w:jc w:val="center"/>
              <w:textAlignment w:val="center"/>
              <w:rPr>
                <w:color w:val="000000"/>
                <w:kern w:val="0"/>
                <w:sz w:val="22"/>
                <w:szCs w:val="22"/>
                <w:highlight w:val="none"/>
                <w:lang w:bidi="ar"/>
              </w:rPr>
            </w:pPr>
            <w:r>
              <w:rPr>
                <w:rFonts w:hint="eastAsia"/>
                <w:color w:val="000000"/>
                <w:kern w:val="0"/>
                <w:sz w:val="22"/>
                <w:szCs w:val="22"/>
                <w:highlight w:val="none"/>
                <w:lang w:bidi="ar"/>
              </w:rPr>
              <w:t>37</w:t>
            </w:r>
          </w:p>
        </w:tc>
        <w:tc>
          <w:tcPr>
            <w:tcW w:w="2072" w:type="dxa"/>
            <w:vAlign w:val="center"/>
          </w:tcPr>
          <w:p w14:paraId="455CFF41">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桥楠花园</w:t>
            </w:r>
          </w:p>
        </w:tc>
        <w:tc>
          <w:tcPr>
            <w:tcW w:w="1158" w:type="dxa"/>
            <w:vAlign w:val="center"/>
          </w:tcPr>
          <w:p w14:paraId="63EA9749">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南</w:t>
            </w:r>
          </w:p>
        </w:tc>
        <w:tc>
          <w:tcPr>
            <w:tcW w:w="2962" w:type="dxa"/>
            <w:vAlign w:val="center"/>
          </w:tcPr>
          <w:p w14:paraId="735DE610">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0</w:t>
            </w:r>
          </w:p>
        </w:tc>
        <w:tc>
          <w:tcPr>
            <w:tcW w:w="2962" w:type="dxa"/>
            <w:vAlign w:val="center"/>
          </w:tcPr>
          <w:p w14:paraId="404D9A09">
            <w:pPr>
              <w:widowControl/>
              <w:spacing w:line="240" w:lineRule="auto"/>
              <w:jc w:val="center"/>
              <w:textAlignment w:val="center"/>
              <w:rPr>
                <w:color w:val="000000"/>
                <w:kern w:val="0"/>
                <w:sz w:val="21"/>
                <w:szCs w:val="21"/>
                <w:highlight w:val="none"/>
                <w:lang w:bidi="ar"/>
              </w:rPr>
            </w:pPr>
            <w:r>
              <w:rPr>
                <w:rFonts w:hint="eastAsia"/>
                <w:sz w:val="21"/>
                <w:szCs w:val="21"/>
                <w:highlight w:val="none"/>
              </w:rPr>
              <w:t>居住</w:t>
            </w:r>
          </w:p>
        </w:tc>
      </w:tr>
      <w:tr w14:paraId="2E715D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26661E31">
            <w:pPr>
              <w:widowControl/>
              <w:spacing w:line="240" w:lineRule="auto"/>
              <w:jc w:val="center"/>
              <w:textAlignment w:val="center"/>
              <w:rPr>
                <w:color w:val="000000"/>
                <w:kern w:val="0"/>
                <w:sz w:val="22"/>
                <w:szCs w:val="22"/>
                <w:highlight w:val="none"/>
                <w:lang w:bidi="ar"/>
              </w:rPr>
            </w:pPr>
            <w:r>
              <w:rPr>
                <w:rFonts w:hint="eastAsia"/>
                <w:color w:val="000000"/>
                <w:kern w:val="0"/>
                <w:sz w:val="22"/>
                <w:szCs w:val="22"/>
                <w:highlight w:val="none"/>
                <w:lang w:bidi="ar"/>
              </w:rPr>
              <w:t>38</w:t>
            </w:r>
          </w:p>
        </w:tc>
        <w:tc>
          <w:tcPr>
            <w:tcW w:w="2072" w:type="dxa"/>
            <w:vAlign w:val="center"/>
          </w:tcPr>
          <w:p w14:paraId="3A03CD5F">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江泰春岸</w:t>
            </w:r>
          </w:p>
        </w:tc>
        <w:tc>
          <w:tcPr>
            <w:tcW w:w="1158" w:type="dxa"/>
            <w:vAlign w:val="center"/>
          </w:tcPr>
          <w:p w14:paraId="5C6C2E01">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南</w:t>
            </w:r>
          </w:p>
        </w:tc>
        <w:tc>
          <w:tcPr>
            <w:tcW w:w="2962" w:type="dxa"/>
            <w:vAlign w:val="center"/>
          </w:tcPr>
          <w:p w14:paraId="2EA227F2">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200</w:t>
            </w:r>
          </w:p>
        </w:tc>
        <w:tc>
          <w:tcPr>
            <w:tcW w:w="2962" w:type="dxa"/>
            <w:vAlign w:val="center"/>
          </w:tcPr>
          <w:p w14:paraId="6BF7A602">
            <w:pPr>
              <w:widowControl/>
              <w:spacing w:line="240" w:lineRule="auto"/>
              <w:jc w:val="center"/>
              <w:textAlignment w:val="center"/>
              <w:rPr>
                <w:color w:val="000000"/>
                <w:kern w:val="0"/>
                <w:sz w:val="21"/>
                <w:szCs w:val="21"/>
                <w:highlight w:val="none"/>
                <w:lang w:bidi="ar"/>
              </w:rPr>
            </w:pPr>
            <w:r>
              <w:rPr>
                <w:rFonts w:hint="eastAsia"/>
                <w:sz w:val="21"/>
                <w:szCs w:val="21"/>
                <w:highlight w:val="none"/>
              </w:rPr>
              <w:t>居住</w:t>
            </w:r>
          </w:p>
        </w:tc>
      </w:tr>
      <w:tr w14:paraId="4C87DA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6F7C3E30">
            <w:pPr>
              <w:widowControl/>
              <w:spacing w:line="240" w:lineRule="auto"/>
              <w:jc w:val="center"/>
              <w:textAlignment w:val="center"/>
              <w:rPr>
                <w:color w:val="000000"/>
                <w:kern w:val="0"/>
                <w:sz w:val="22"/>
                <w:szCs w:val="22"/>
                <w:highlight w:val="none"/>
                <w:lang w:bidi="ar"/>
              </w:rPr>
            </w:pPr>
            <w:r>
              <w:rPr>
                <w:rFonts w:hint="eastAsia"/>
                <w:color w:val="000000"/>
                <w:kern w:val="0"/>
                <w:sz w:val="22"/>
                <w:szCs w:val="22"/>
                <w:highlight w:val="none"/>
                <w:lang w:bidi="ar"/>
              </w:rPr>
              <w:t>39</w:t>
            </w:r>
          </w:p>
        </w:tc>
        <w:tc>
          <w:tcPr>
            <w:tcW w:w="2072" w:type="dxa"/>
            <w:vAlign w:val="center"/>
          </w:tcPr>
          <w:p w14:paraId="721F7B1A">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飞云佳苑</w:t>
            </w:r>
          </w:p>
        </w:tc>
        <w:tc>
          <w:tcPr>
            <w:tcW w:w="1158" w:type="dxa"/>
            <w:vAlign w:val="center"/>
          </w:tcPr>
          <w:p w14:paraId="1B8CAD98">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南</w:t>
            </w:r>
          </w:p>
        </w:tc>
        <w:tc>
          <w:tcPr>
            <w:tcW w:w="2962" w:type="dxa"/>
            <w:vAlign w:val="center"/>
          </w:tcPr>
          <w:p w14:paraId="253564CB">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0</w:t>
            </w:r>
          </w:p>
        </w:tc>
        <w:tc>
          <w:tcPr>
            <w:tcW w:w="2962" w:type="dxa"/>
            <w:vAlign w:val="center"/>
          </w:tcPr>
          <w:p w14:paraId="55F88A58">
            <w:pPr>
              <w:widowControl/>
              <w:spacing w:line="240" w:lineRule="auto"/>
              <w:jc w:val="center"/>
              <w:textAlignment w:val="center"/>
              <w:rPr>
                <w:color w:val="000000"/>
                <w:kern w:val="0"/>
                <w:sz w:val="21"/>
                <w:szCs w:val="21"/>
                <w:highlight w:val="none"/>
                <w:lang w:bidi="ar"/>
              </w:rPr>
            </w:pPr>
            <w:r>
              <w:rPr>
                <w:rFonts w:hint="eastAsia"/>
                <w:sz w:val="21"/>
                <w:szCs w:val="21"/>
                <w:highlight w:val="none"/>
              </w:rPr>
              <w:t>居住</w:t>
            </w:r>
          </w:p>
        </w:tc>
      </w:tr>
    </w:tbl>
    <w:p w14:paraId="5DE576C3">
      <w:pPr>
        <w:pStyle w:val="5"/>
        <w:rPr>
          <w:highlight w:val="none"/>
        </w:rPr>
      </w:pPr>
      <w:r>
        <w:rPr>
          <w:highlight w:val="none"/>
        </w:rPr>
        <w:t>规划定位</w:t>
      </w:r>
    </w:p>
    <w:p w14:paraId="3A61472E">
      <w:pPr>
        <w:ind w:firstLine="480" w:firstLineChars="200"/>
        <w:rPr>
          <w:highlight w:val="none"/>
        </w:rPr>
      </w:pPr>
      <w:r>
        <w:rPr>
          <w:color w:val="000000" w:themeColor="text1"/>
          <w:kern w:val="0"/>
          <w:highlight w:val="none"/>
          <w14:textFill>
            <w14:solidFill>
              <w14:schemeClr w14:val="tx1"/>
            </w14:solidFill>
          </w14:textFill>
        </w:rPr>
        <w:t>根据《鄂州市城乡总体规划》（2011-2020），鄂州市通过多条通道的联接，形成西联东湖高新区、北湖化工区，东接黄石老工业基地的葛店开发区、华容创业园、三江港经济区、鄂州经济开发区、城东产业园区（鄂城新区）、花湖开发区“一线串六园区”的沿江综合产业走廊。其中，</w:t>
      </w:r>
      <w:r>
        <w:rPr>
          <w:highlight w:val="none"/>
        </w:rPr>
        <w:t>花湖开发区</w:t>
      </w:r>
      <w:r>
        <w:rPr>
          <w:color w:val="000000" w:themeColor="text1"/>
          <w:kern w:val="0"/>
          <w:highlight w:val="none"/>
          <w14:textFill>
            <w14:solidFill>
              <w14:schemeClr w14:val="tx1"/>
            </w14:solidFill>
          </w14:textFill>
        </w:rPr>
        <w:t>重点发展</w:t>
      </w:r>
      <w:r>
        <w:rPr>
          <w:rFonts w:hint="eastAsia" w:ascii="宋体" w:hAnsi="宋体"/>
          <w:szCs w:val="21"/>
          <w:highlight w:val="none"/>
        </w:rPr>
        <w:t>五金制品、汽车配件、服装食品。</w:t>
      </w:r>
    </w:p>
    <w:p w14:paraId="54173794">
      <w:pPr>
        <w:ind w:firstLine="480" w:firstLineChars="200"/>
        <w:rPr>
          <w:highlight w:val="none"/>
        </w:rPr>
      </w:pPr>
      <w:r>
        <w:rPr>
          <w:color w:val="000000" w:themeColor="text1"/>
          <w:kern w:val="0"/>
          <w:highlight w:val="none"/>
          <w14:textFill>
            <w14:solidFill>
              <w14:schemeClr w14:val="tx1"/>
            </w14:solidFill>
          </w14:textFill>
        </w:rPr>
        <w:t>鄂州市远景城乡产业结构图见附图3。</w:t>
      </w:r>
      <w:r>
        <w:rPr>
          <w:rFonts w:hint="eastAsia"/>
          <w:highlight w:val="none"/>
        </w:rPr>
        <w:t>《湖北鄂州花湖经济开发区（花湖新城）规划环境影响跟踪评价报告书》（以下简称《花湖规划跟踪环评报告书》）中土地利用规划图</w:t>
      </w:r>
      <w:r>
        <w:rPr>
          <w:color w:val="000000" w:themeColor="text1"/>
          <w:kern w:val="0"/>
          <w:highlight w:val="none"/>
          <w14:textFill>
            <w14:solidFill>
              <w14:schemeClr w14:val="tx1"/>
            </w14:solidFill>
          </w14:textFill>
        </w:rPr>
        <w:t>见附图4。</w:t>
      </w:r>
    </w:p>
    <w:p w14:paraId="6B726063">
      <w:pPr>
        <w:pStyle w:val="5"/>
        <w:rPr>
          <w:highlight w:val="none"/>
        </w:rPr>
      </w:pPr>
      <w:r>
        <w:rPr>
          <w:highlight w:val="none"/>
        </w:rPr>
        <w:t>园区土地利用现状</w:t>
      </w:r>
    </w:p>
    <w:p w14:paraId="6BC3A400">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根据现场踏勘和谷歌卫片图，园区</w:t>
      </w:r>
      <w:r>
        <w:rPr>
          <w:rFonts w:hint="eastAsia"/>
          <w:color w:val="000000" w:themeColor="text1"/>
          <w:kern w:val="0"/>
          <w:highlight w:val="none"/>
          <w14:textFill>
            <w14:solidFill>
              <w14:schemeClr w14:val="tx1"/>
            </w14:solidFill>
          </w14:textFill>
        </w:rPr>
        <w:t>西部主要为花马湖、农田和村落；园区中部为已建成企业聚集区、住宅小区；园区东部和北部主要为农田和村庄</w:t>
      </w:r>
      <w:r>
        <w:rPr>
          <w:color w:val="000000" w:themeColor="text1"/>
          <w:kern w:val="0"/>
          <w:highlight w:val="none"/>
          <w14:textFill>
            <w14:solidFill>
              <w14:schemeClr w14:val="tx1"/>
            </w14:solidFill>
          </w14:textFill>
        </w:rPr>
        <w:t>。</w:t>
      </w:r>
    </w:p>
    <w:p w14:paraId="46276D97">
      <w:pPr>
        <w:ind w:firstLine="480" w:firstLineChars="200"/>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园区内</w:t>
      </w:r>
      <w:r>
        <w:rPr>
          <w:color w:val="000000" w:themeColor="text1"/>
          <w:kern w:val="0"/>
          <w:highlight w:val="none"/>
          <w14:textFill>
            <w14:solidFill>
              <w14:schemeClr w14:val="tx1"/>
            </w14:solidFill>
          </w14:textFill>
        </w:rPr>
        <w:t>已建成企业聚集区内主要企业情况如</w:t>
      </w:r>
      <w:r>
        <w:rPr>
          <w:rFonts w:hint="eastAsia"/>
          <w:color w:val="000000" w:themeColor="text1"/>
          <w:kern w:val="0"/>
          <w:highlight w:val="none"/>
          <w:lang w:val="en-US" w:eastAsia="zh-CN"/>
          <w14:textFill>
            <w14:solidFill>
              <w14:schemeClr w14:val="tx1"/>
            </w14:solidFill>
          </w14:textFill>
        </w:rPr>
        <w:t>表2-2-2</w:t>
      </w:r>
      <w:r>
        <w:rPr>
          <w:color w:val="000000" w:themeColor="text1"/>
          <w:kern w:val="0"/>
          <w:highlight w:val="none"/>
          <w14:textFill>
            <w14:solidFill>
              <w14:schemeClr w14:val="tx1"/>
            </w14:solidFill>
          </w14:textFill>
        </w:rPr>
        <w:t>所示，已建成企业分布图见附图</w:t>
      </w:r>
      <w:r>
        <w:rPr>
          <w:rFonts w:hint="eastAsia"/>
          <w:color w:val="000000" w:themeColor="text1"/>
          <w:kern w:val="0"/>
          <w:highlight w:val="none"/>
          <w14:textFill>
            <w14:solidFill>
              <w14:schemeClr w14:val="tx1"/>
            </w14:solidFill>
          </w14:textFill>
        </w:rPr>
        <w:t>5</w:t>
      </w:r>
      <w:r>
        <w:rPr>
          <w:color w:val="000000" w:themeColor="text1"/>
          <w:kern w:val="0"/>
          <w:highlight w:val="none"/>
          <w14:textFill>
            <w14:solidFill>
              <w14:schemeClr w14:val="tx1"/>
            </w14:solidFill>
          </w14:textFill>
        </w:rPr>
        <w:t>。</w:t>
      </w:r>
    </w:p>
    <w:p w14:paraId="531AC1BF">
      <w:pPr>
        <w:jc w:val="center"/>
        <w:rPr>
          <w:rFonts w:eastAsia="黑体"/>
          <w:b/>
          <w:highlight w:val="none"/>
        </w:rPr>
      </w:pPr>
      <w:r>
        <w:rPr>
          <w:rFonts w:hint="eastAsia" w:eastAsia="黑体"/>
          <w:b/>
          <w:highlight w:val="none"/>
          <w:lang w:bidi="ar"/>
        </w:rPr>
        <w:t>表</w:t>
      </w:r>
      <w:r>
        <w:rPr>
          <w:rFonts w:eastAsia="黑体"/>
          <w:b/>
          <w:highlight w:val="none"/>
          <w:lang w:bidi="ar"/>
        </w:rPr>
        <w:t xml:space="preserve">2-2-2 </w:t>
      </w:r>
      <w:r>
        <w:rPr>
          <w:rFonts w:hint="eastAsia" w:eastAsia="黑体"/>
          <w:b/>
          <w:highlight w:val="none"/>
          <w:lang w:bidi="ar"/>
        </w:rPr>
        <w:t>园区内主要已建成企业情况一览表</w:t>
      </w:r>
    </w:p>
    <w:tbl>
      <w:tblPr>
        <w:tblStyle w:val="22"/>
        <w:tblW w:w="4983"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2676"/>
        <w:gridCol w:w="2320"/>
        <w:gridCol w:w="4151"/>
      </w:tblGrid>
      <w:tr w14:paraId="67E0CD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trPr>
        <w:tc>
          <w:tcPr>
            <w:tcW w:w="343" w:type="pct"/>
            <w:tcBorders>
              <w:bottom w:val="single" w:color="auto" w:sz="12" w:space="0"/>
            </w:tcBorders>
            <w:vAlign w:val="center"/>
          </w:tcPr>
          <w:p w14:paraId="1DA8B28C">
            <w:pPr>
              <w:pStyle w:val="2"/>
              <w:spacing w:after="0" w:line="240" w:lineRule="auto"/>
              <w:jc w:val="center"/>
              <w:rPr>
                <w:b/>
                <w:bCs/>
                <w:sz w:val="21"/>
                <w:szCs w:val="21"/>
                <w:highlight w:val="none"/>
              </w:rPr>
            </w:pPr>
            <w:bookmarkStart w:id="13" w:name="_Hlk59711812"/>
            <w:r>
              <w:rPr>
                <w:b/>
                <w:bCs/>
                <w:sz w:val="21"/>
                <w:szCs w:val="21"/>
                <w:highlight w:val="none"/>
              </w:rPr>
              <w:t>编号</w:t>
            </w:r>
          </w:p>
        </w:tc>
        <w:tc>
          <w:tcPr>
            <w:tcW w:w="1362" w:type="pct"/>
            <w:tcBorders>
              <w:bottom w:val="single" w:color="auto" w:sz="12" w:space="0"/>
            </w:tcBorders>
            <w:vAlign w:val="center"/>
          </w:tcPr>
          <w:p w14:paraId="016D8A38">
            <w:pPr>
              <w:pStyle w:val="2"/>
              <w:spacing w:after="0" w:line="240" w:lineRule="auto"/>
              <w:jc w:val="center"/>
              <w:rPr>
                <w:b/>
                <w:bCs/>
                <w:sz w:val="21"/>
                <w:szCs w:val="21"/>
                <w:highlight w:val="none"/>
              </w:rPr>
            </w:pPr>
            <w:r>
              <w:rPr>
                <w:b/>
                <w:bCs/>
                <w:sz w:val="21"/>
                <w:szCs w:val="21"/>
                <w:highlight w:val="none"/>
              </w:rPr>
              <w:t>主要企业名称</w:t>
            </w:r>
          </w:p>
        </w:tc>
        <w:tc>
          <w:tcPr>
            <w:tcW w:w="1181" w:type="pct"/>
            <w:tcBorders>
              <w:bottom w:val="single" w:color="auto" w:sz="12" w:space="0"/>
            </w:tcBorders>
            <w:vAlign w:val="center"/>
          </w:tcPr>
          <w:p w14:paraId="137E20BD">
            <w:pPr>
              <w:pStyle w:val="2"/>
              <w:spacing w:after="0" w:line="240" w:lineRule="auto"/>
              <w:jc w:val="center"/>
              <w:rPr>
                <w:b/>
                <w:bCs/>
                <w:sz w:val="21"/>
                <w:szCs w:val="21"/>
                <w:highlight w:val="none"/>
              </w:rPr>
            </w:pPr>
            <w:r>
              <w:rPr>
                <w:b/>
                <w:bCs/>
                <w:sz w:val="21"/>
                <w:szCs w:val="21"/>
                <w:highlight w:val="none"/>
              </w:rPr>
              <w:t>企业位置</w:t>
            </w:r>
            <w:r>
              <w:rPr>
                <w:rFonts w:hint="eastAsia" w:ascii="宋体" w:hAnsi="宋体" w:cs="宋体"/>
                <w:b/>
                <w:bCs/>
                <w:sz w:val="21"/>
                <w:szCs w:val="21"/>
                <w:highlight w:val="none"/>
                <w:vertAlign w:val="superscript"/>
              </w:rPr>
              <w:t>①</w:t>
            </w:r>
          </w:p>
        </w:tc>
        <w:tc>
          <w:tcPr>
            <w:tcW w:w="2113" w:type="pct"/>
            <w:tcBorders>
              <w:bottom w:val="single" w:color="auto" w:sz="12" w:space="0"/>
            </w:tcBorders>
            <w:vAlign w:val="center"/>
          </w:tcPr>
          <w:p w14:paraId="746322F2">
            <w:pPr>
              <w:pStyle w:val="2"/>
              <w:spacing w:after="0" w:line="240" w:lineRule="auto"/>
              <w:jc w:val="center"/>
              <w:rPr>
                <w:b/>
                <w:bCs/>
                <w:sz w:val="21"/>
                <w:szCs w:val="21"/>
                <w:highlight w:val="none"/>
              </w:rPr>
            </w:pPr>
            <w:r>
              <w:rPr>
                <w:b/>
                <w:bCs/>
                <w:sz w:val="21"/>
                <w:szCs w:val="21"/>
                <w:highlight w:val="none"/>
              </w:rPr>
              <w:t>主要经营范围</w:t>
            </w:r>
            <w:r>
              <w:rPr>
                <w:rFonts w:hint="eastAsia" w:ascii="宋体" w:hAnsi="宋体" w:cs="宋体"/>
                <w:b/>
                <w:bCs/>
                <w:sz w:val="21"/>
                <w:szCs w:val="21"/>
                <w:highlight w:val="none"/>
                <w:vertAlign w:val="superscript"/>
              </w:rPr>
              <w:t>①</w:t>
            </w:r>
          </w:p>
        </w:tc>
      </w:tr>
      <w:tr w14:paraId="50200E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tcBorders>
              <w:top w:val="single" w:color="auto" w:sz="12" w:space="0"/>
            </w:tcBorders>
            <w:shd w:val="clear" w:color="auto" w:fill="D7D7D7" w:themeFill="background1" w:themeFillShade="D8"/>
            <w:vAlign w:val="center"/>
          </w:tcPr>
          <w:p w14:paraId="55767B7E">
            <w:pPr>
              <w:pStyle w:val="2"/>
              <w:spacing w:after="0" w:line="240" w:lineRule="auto"/>
              <w:jc w:val="center"/>
              <w:rPr>
                <w:sz w:val="21"/>
                <w:szCs w:val="21"/>
                <w:highlight w:val="none"/>
              </w:rPr>
            </w:pPr>
            <w:r>
              <w:rPr>
                <w:sz w:val="21"/>
                <w:szCs w:val="21"/>
                <w:highlight w:val="none"/>
              </w:rPr>
              <w:t>1</w:t>
            </w:r>
          </w:p>
        </w:tc>
        <w:tc>
          <w:tcPr>
            <w:tcW w:w="1362" w:type="pct"/>
            <w:tcBorders>
              <w:top w:val="single" w:color="auto" w:sz="12" w:space="0"/>
            </w:tcBorders>
            <w:shd w:val="clear" w:color="auto" w:fill="D7D7D7" w:themeFill="background1" w:themeFillShade="D8"/>
            <w:vAlign w:val="center"/>
          </w:tcPr>
          <w:p w14:paraId="7E095E59">
            <w:pPr>
              <w:pStyle w:val="2"/>
              <w:spacing w:after="0" w:line="240" w:lineRule="auto"/>
              <w:jc w:val="center"/>
              <w:rPr>
                <w:sz w:val="21"/>
                <w:szCs w:val="21"/>
                <w:highlight w:val="none"/>
              </w:rPr>
            </w:pPr>
            <w:r>
              <w:rPr>
                <w:sz w:val="21"/>
                <w:szCs w:val="21"/>
                <w:highlight w:val="none"/>
              </w:rPr>
              <w:t>鄂州市诚德塑业有限公司</w:t>
            </w:r>
          </w:p>
        </w:tc>
        <w:tc>
          <w:tcPr>
            <w:tcW w:w="1181" w:type="pct"/>
            <w:tcBorders>
              <w:top w:val="single" w:color="auto" w:sz="12" w:space="0"/>
            </w:tcBorders>
            <w:shd w:val="clear" w:color="auto" w:fill="D7D7D7" w:themeFill="background1" w:themeFillShade="D8"/>
            <w:vAlign w:val="center"/>
          </w:tcPr>
          <w:p w14:paraId="262F27EC">
            <w:pPr>
              <w:pStyle w:val="2"/>
              <w:spacing w:after="0" w:line="240" w:lineRule="auto"/>
              <w:jc w:val="center"/>
              <w:rPr>
                <w:sz w:val="21"/>
                <w:szCs w:val="21"/>
                <w:highlight w:val="none"/>
              </w:rPr>
            </w:pPr>
            <w:r>
              <w:rPr>
                <w:sz w:val="21"/>
                <w:szCs w:val="21"/>
                <w:highlight w:val="none"/>
              </w:rPr>
              <w:t>鄂州市花湖镇滨港东路</w:t>
            </w:r>
          </w:p>
        </w:tc>
        <w:tc>
          <w:tcPr>
            <w:tcW w:w="2113" w:type="pct"/>
            <w:tcBorders>
              <w:top w:val="single" w:color="auto" w:sz="12" w:space="0"/>
            </w:tcBorders>
            <w:shd w:val="clear" w:color="auto" w:fill="D7D7D7" w:themeFill="background1" w:themeFillShade="D8"/>
            <w:vAlign w:val="center"/>
          </w:tcPr>
          <w:p w14:paraId="6B2B3BA7">
            <w:pPr>
              <w:pStyle w:val="2"/>
              <w:spacing w:after="0" w:line="240" w:lineRule="auto"/>
              <w:jc w:val="center"/>
              <w:rPr>
                <w:sz w:val="21"/>
                <w:szCs w:val="21"/>
                <w:highlight w:val="none"/>
              </w:rPr>
            </w:pPr>
            <w:r>
              <w:rPr>
                <w:sz w:val="21"/>
                <w:szCs w:val="21"/>
                <w:highlight w:val="none"/>
              </w:rPr>
              <w:t>包装装潢印刷品印刷；生产、销售：塑料编织布、塑料编织袋；塑料制品及塑料原材料加工</w:t>
            </w:r>
          </w:p>
        </w:tc>
      </w:tr>
      <w:tr w14:paraId="2CC56B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0BCEE3B0">
            <w:pPr>
              <w:pStyle w:val="2"/>
              <w:spacing w:after="0" w:line="240" w:lineRule="auto"/>
              <w:jc w:val="center"/>
              <w:rPr>
                <w:sz w:val="21"/>
                <w:szCs w:val="21"/>
                <w:highlight w:val="none"/>
              </w:rPr>
            </w:pPr>
            <w:r>
              <w:rPr>
                <w:sz w:val="21"/>
                <w:szCs w:val="21"/>
                <w:highlight w:val="none"/>
              </w:rPr>
              <w:t>2</w:t>
            </w:r>
          </w:p>
        </w:tc>
        <w:tc>
          <w:tcPr>
            <w:tcW w:w="1362" w:type="pct"/>
            <w:vAlign w:val="center"/>
          </w:tcPr>
          <w:p w14:paraId="5A971AF6">
            <w:pPr>
              <w:pStyle w:val="2"/>
              <w:spacing w:after="0" w:line="240" w:lineRule="auto"/>
              <w:jc w:val="center"/>
              <w:rPr>
                <w:sz w:val="21"/>
                <w:szCs w:val="21"/>
                <w:highlight w:val="none"/>
              </w:rPr>
            </w:pPr>
            <w:r>
              <w:rPr>
                <w:sz w:val="21"/>
                <w:szCs w:val="21"/>
                <w:highlight w:val="none"/>
              </w:rPr>
              <w:t>湖北华源塑胶有限公司</w:t>
            </w:r>
          </w:p>
        </w:tc>
        <w:tc>
          <w:tcPr>
            <w:tcW w:w="1181" w:type="pct"/>
            <w:vAlign w:val="center"/>
          </w:tcPr>
          <w:p w14:paraId="178A3D47">
            <w:pPr>
              <w:pStyle w:val="2"/>
              <w:spacing w:after="0" w:line="240" w:lineRule="auto"/>
              <w:jc w:val="center"/>
              <w:rPr>
                <w:sz w:val="21"/>
                <w:szCs w:val="21"/>
                <w:highlight w:val="none"/>
              </w:rPr>
            </w:pPr>
            <w:r>
              <w:rPr>
                <w:sz w:val="21"/>
                <w:szCs w:val="21"/>
                <w:highlight w:val="none"/>
              </w:rPr>
              <w:t>鄂州市花湖开发区农工商北侧</w:t>
            </w:r>
          </w:p>
        </w:tc>
        <w:tc>
          <w:tcPr>
            <w:tcW w:w="2113" w:type="pct"/>
            <w:vAlign w:val="center"/>
          </w:tcPr>
          <w:p w14:paraId="25A0214C">
            <w:pPr>
              <w:pStyle w:val="2"/>
              <w:spacing w:after="0" w:line="240" w:lineRule="auto"/>
              <w:jc w:val="center"/>
              <w:rPr>
                <w:sz w:val="21"/>
                <w:szCs w:val="21"/>
                <w:highlight w:val="none"/>
              </w:rPr>
            </w:pPr>
            <w:r>
              <w:rPr>
                <w:sz w:val="21"/>
                <w:szCs w:val="21"/>
                <w:highlight w:val="none"/>
              </w:rPr>
              <w:t>塑胶制品制造、销售；塑料机械加工；塑料模具设计、加工</w:t>
            </w:r>
          </w:p>
        </w:tc>
      </w:tr>
      <w:tr w14:paraId="0CC4F1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2E4C5A79">
            <w:pPr>
              <w:pStyle w:val="2"/>
              <w:spacing w:after="0" w:line="240" w:lineRule="auto"/>
              <w:jc w:val="center"/>
              <w:rPr>
                <w:sz w:val="21"/>
                <w:szCs w:val="21"/>
                <w:highlight w:val="none"/>
              </w:rPr>
            </w:pPr>
            <w:r>
              <w:rPr>
                <w:sz w:val="21"/>
                <w:szCs w:val="21"/>
                <w:highlight w:val="none"/>
              </w:rPr>
              <w:t>3</w:t>
            </w:r>
          </w:p>
        </w:tc>
        <w:tc>
          <w:tcPr>
            <w:tcW w:w="1362" w:type="pct"/>
            <w:vAlign w:val="center"/>
          </w:tcPr>
          <w:p w14:paraId="76921D9B">
            <w:pPr>
              <w:pStyle w:val="2"/>
              <w:spacing w:after="0" w:line="240" w:lineRule="auto"/>
              <w:jc w:val="center"/>
              <w:rPr>
                <w:sz w:val="21"/>
                <w:szCs w:val="21"/>
                <w:highlight w:val="none"/>
              </w:rPr>
            </w:pPr>
            <w:r>
              <w:rPr>
                <w:sz w:val="21"/>
                <w:szCs w:val="21"/>
                <w:highlight w:val="none"/>
              </w:rPr>
              <w:t>湖北富洋机械制造股份有限公司</w:t>
            </w:r>
          </w:p>
        </w:tc>
        <w:tc>
          <w:tcPr>
            <w:tcW w:w="1181" w:type="pct"/>
            <w:vAlign w:val="center"/>
          </w:tcPr>
          <w:p w14:paraId="2F30D407">
            <w:pPr>
              <w:pStyle w:val="2"/>
              <w:spacing w:after="0" w:line="240" w:lineRule="auto"/>
              <w:jc w:val="center"/>
              <w:rPr>
                <w:sz w:val="21"/>
                <w:szCs w:val="21"/>
                <w:highlight w:val="none"/>
              </w:rPr>
            </w:pPr>
            <w:r>
              <w:rPr>
                <w:sz w:val="21"/>
                <w:szCs w:val="21"/>
                <w:highlight w:val="none"/>
              </w:rPr>
              <w:t>鄂州市花湖开发区滨港东路</w:t>
            </w:r>
          </w:p>
        </w:tc>
        <w:tc>
          <w:tcPr>
            <w:tcW w:w="2113" w:type="pct"/>
            <w:vAlign w:val="center"/>
          </w:tcPr>
          <w:p w14:paraId="563381D7">
            <w:pPr>
              <w:pStyle w:val="2"/>
              <w:spacing w:after="0" w:line="240" w:lineRule="auto"/>
              <w:jc w:val="center"/>
              <w:rPr>
                <w:sz w:val="21"/>
                <w:szCs w:val="21"/>
                <w:highlight w:val="none"/>
              </w:rPr>
            </w:pPr>
            <w:r>
              <w:rPr>
                <w:sz w:val="21"/>
                <w:szCs w:val="21"/>
                <w:highlight w:val="none"/>
              </w:rPr>
              <w:t>齿轮、齿轮轴、锻压机械制造；金属结构件制作；金属材料、机械零配件加工</w:t>
            </w:r>
          </w:p>
        </w:tc>
      </w:tr>
      <w:tr w14:paraId="7D3A3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7ECA55EA">
            <w:pPr>
              <w:pStyle w:val="2"/>
              <w:spacing w:after="0" w:line="240" w:lineRule="auto"/>
              <w:jc w:val="center"/>
              <w:rPr>
                <w:sz w:val="21"/>
                <w:szCs w:val="21"/>
                <w:highlight w:val="none"/>
              </w:rPr>
            </w:pPr>
            <w:r>
              <w:rPr>
                <w:sz w:val="21"/>
                <w:szCs w:val="21"/>
                <w:highlight w:val="none"/>
              </w:rPr>
              <w:t>4</w:t>
            </w:r>
          </w:p>
        </w:tc>
        <w:tc>
          <w:tcPr>
            <w:tcW w:w="1362" w:type="pct"/>
            <w:vAlign w:val="center"/>
          </w:tcPr>
          <w:p w14:paraId="332AF6C6">
            <w:pPr>
              <w:pStyle w:val="2"/>
              <w:spacing w:after="0" w:line="240" w:lineRule="auto"/>
              <w:jc w:val="center"/>
              <w:rPr>
                <w:sz w:val="21"/>
                <w:szCs w:val="21"/>
                <w:highlight w:val="none"/>
              </w:rPr>
            </w:pPr>
            <w:r>
              <w:rPr>
                <w:sz w:val="21"/>
                <w:szCs w:val="21"/>
                <w:highlight w:val="none"/>
              </w:rPr>
              <w:t>湖北华浙新型材料有限公司</w:t>
            </w:r>
          </w:p>
        </w:tc>
        <w:tc>
          <w:tcPr>
            <w:tcW w:w="1181" w:type="pct"/>
            <w:vAlign w:val="center"/>
          </w:tcPr>
          <w:p w14:paraId="41353536">
            <w:pPr>
              <w:pStyle w:val="2"/>
              <w:spacing w:after="0" w:line="240" w:lineRule="auto"/>
              <w:jc w:val="center"/>
              <w:rPr>
                <w:sz w:val="21"/>
                <w:szCs w:val="21"/>
                <w:highlight w:val="none"/>
              </w:rPr>
            </w:pPr>
            <w:r>
              <w:rPr>
                <w:sz w:val="21"/>
                <w:szCs w:val="21"/>
                <w:highlight w:val="none"/>
              </w:rPr>
              <w:t>鄂州市花湖经济开发区</w:t>
            </w:r>
          </w:p>
        </w:tc>
        <w:tc>
          <w:tcPr>
            <w:tcW w:w="2113" w:type="pct"/>
            <w:vAlign w:val="center"/>
          </w:tcPr>
          <w:p w14:paraId="7F36BB90">
            <w:pPr>
              <w:pStyle w:val="2"/>
              <w:spacing w:after="0" w:line="240" w:lineRule="auto"/>
              <w:jc w:val="center"/>
              <w:rPr>
                <w:sz w:val="21"/>
                <w:szCs w:val="21"/>
                <w:highlight w:val="none"/>
              </w:rPr>
            </w:pPr>
            <w:r>
              <w:rPr>
                <w:sz w:val="21"/>
                <w:szCs w:val="21"/>
                <w:highlight w:val="none"/>
              </w:rPr>
              <w:t>加工、销售：PC钢棒、钢材（不含冶炼）、五金机械、钢结构件、通信铁塔</w:t>
            </w:r>
          </w:p>
        </w:tc>
      </w:tr>
      <w:tr w14:paraId="7D12B9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shd w:val="clear" w:color="auto" w:fill="auto"/>
            <w:vAlign w:val="center"/>
          </w:tcPr>
          <w:p w14:paraId="553C2762">
            <w:pPr>
              <w:pStyle w:val="2"/>
              <w:spacing w:after="0" w:line="240" w:lineRule="auto"/>
              <w:jc w:val="center"/>
              <w:rPr>
                <w:sz w:val="21"/>
                <w:szCs w:val="21"/>
                <w:highlight w:val="none"/>
              </w:rPr>
            </w:pPr>
            <w:r>
              <w:rPr>
                <w:sz w:val="21"/>
                <w:szCs w:val="21"/>
                <w:highlight w:val="none"/>
              </w:rPr>
              <w:t>5</w:t>
            </w:r>
          </w:p>
        </w:tc>
        <w:tc>
          <w:tcPr>
            <w:tcW w:w="1362" w:type="pct"/>
            <w:shd w:val="clear" w:color="auto" w:fill="auto"/>
            <w:vAlign w:val="center"/>
          </w:tcPr>
          <w:p w14:paraId="57E3DAFF">
            <w:pPr>
              <w:pStyle w:val="2"/>
              <w:spacing w:after="0" w:line="240" w:lineRule="auto"/>
              <w:jc w:val="center"/>
              <w:rPr>
                <w:sz w:val="21"/>
                <w:szCs w:val="21"/>
                <w:highlight w:val="none"/>
              </w:rPr>
            </w:pPr>
            <w:r>
              <w:rPr>
                <w:sz w:val="21"/>
                <w:szCs w:val="21"/>
                <w:highlight w:val="none"/>
              </w:rPr>
              <w:t>鄂州市大江机械设备有限公司</w:t>
            </w:r>
          </w:p>
        </w:tc>
        <w:tc>
          <w:tcPr>
            <w:tcW w:w="1181" w:type="pct"/>
            <w:shd w:val="clear" w:color="auto" w:fill="auto"/>
            <w:vAlign w:val="center"/>
          </w:tcPr>
          <w:p w14:paraId="5D3A8C39">
            <w:pPr>
              <w:pStyle w:val="2"/>
              <w:spacing w:after="0" w:line="240" w:lineRule="auto"/>
              <w:jc w:val="center"/>
              <w:rPr>
                <w:sz w:val="21"/>
                <w:szCs w:val="21"/>
                <w:highlight w:val="none"/>
              </w:rPr>
            </w:pPr>
            <w:r>
              <w:rPr>
                <w:sz w:val="21"/>
                <w:szCs w:val="21"/>
                <w:highlight w:val="none"/>
              </w:rPr>
              <w:t>鄂州市花湖镇滨港路</w:t>
            </w:r>
          </w:p>
        </w:tc>
        <w:tc>
          <w:tcPr>
            <w:tcW w:w="2113" w:type="pct"/>
            <w:shd w:val="clear" w:color="auto" w:fill="auto"/>
            <w:vAlign w:val="center"/>
          </w:tcPr>
          <w:p w14:paraId="2051ACA6">
            <w:pPr>
              <w:pStyle w:val="2"/>
              <w:spacing w:after="0" w:line="240" w:lineRule="auto"/>
              <w:jc w:val="center"/>
              <w:rPr>
                <w:sz w:val="21"/>
                <w:szCs w:val="21"/>
                <w:highlight w:val="none"/>
              </w:rPr>
            </w:pPr>
            <w:r>
              <w:rPr>
                <w:sz w:val="21"/>
                <w:szCs w:val="21"/>
                <w:highlight w:val="none"/>
              </w:rPr>
              <w:t>机械设备零配件加工</w:t>
            </w:r>
          </w:p>
        </w:tc>
      </w:tr>
      <w:tr w14:paraId="073BAF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35816C4D">
            <w:pPr>
              <w:pStyle w:val="2"/>
              <w:spacing w:after="0" w:line="240" w:lineRule="auto"/>
              <w:jc w:val="center"/>
              <w:rPr>
                <w:sz w:val="21"/>
                <w:szCs w:val="21"/>
                <w:highlight w:val="none"/>
              </w:rPr>
            </w:pPr>
            <w:r>
              <w:rPr>
                <w:sz w:val="21"/>
                <w:szCs w:val="21"/>
                <w:highlight w:val="none"/>
              </w:rPr>
              <w:t>6</w:t>
            </w:r>
          </w:p>
        </w:tc>
        <w:tc>
          <w:tcPr>
            <w:tcW w:w="1362" w:type="pct"/>
            <w:vAlign w:val="center"/>
          </w:tcPr>
          <w:p w14:paraId="1D930DD9">
            <w:pPr>
              <w:pStyle w:val="2"/>
              <w:spacing w:after="0" w:line="240" w:lineRule="auto"/>
              <w:jc w:val="center"/>
              <w:rPr>
                <w:sz w:val="21"/>
                <w:szCs w:val="21"/>
                <w:highlight w:val="none"/>
              </w:rPr>
            </w:pPr>
            <w:r>
              <w:rPr>
                <w:sz w:val="21"/>
                <w:szCs w:val="21"/>
                <w:highlight w:val="none"/>
              </w:rPr>
              <w:t>湖北浩然化工有限公司（鄂州轩瑞科技有限公司）</w:t>
            </w:r>
          </w:p>
        </w:tc>
        <w:tc>
          <w:tcPr>
            <w:tcW w:w="1181" w:type="pct"/>
            <w:vAlign w:val="center"/>
          </w:tcPr>
          <w:p w14:paraId="050EE352">
            <w:pPr>
              <w:pStyle w:val="2"/>
              <w:spacing w:after="0" w:line="240" w:lineRule="auto"/>
              <w:jc w:val="center"/>
              <w:rPr>
                <w:sz w:val="21"/>
                <w:szCs w:val="21"/>
                <w:highlight w:val="none"/>
              </w:rPr>
            </w:pPr>
            <w:r>
              <w:rPr>
                <w:sz w:val="21"/>
                <w:szCs w:val="21"/>
                <w:highlight w:val="none"/>
              </w:rPr>
              <w:t>鄂州市花湖开发区滨港东路东侧</w:t>
            </w:r>
          </w:p>
        </w:tc>
        <w:tc>
          <w:tcPr>
            <w:tcW w:w="2113" w:type="pct"/>
            <w:vAlign w:val="center"/>
          </w:tcPr>
          <w:p w14:paraId="086E56F6">
            <w:pPr>
              <w:pStyle w:val="2"/>
              <w:spacing w:after="0" w:line="240" w:lineRule="auto"/>
              <w:jc w:val="center"/>
              <w:rPr>
                <w:sz w:val="21"/>
                <w:szCs w:val="21"/>
                <w:highlight w:val="none"/>
              </w:rPr>
            </w:pPr>
            <w:r>
              <w:rPr>
                <w:sz w:val="21"/>
                <w:szCs w:val="21"/>
                <w:highlight w:val="none"/>
              </w:rPr>
              <w:t>销售：矿产品、钢材、水泥、建筑材料；货物仓储</w:t>
            </w:r>
          </w:p>
        </w:tc>
      </w:tr>
      <w:tr w14:paraId="4A8C62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2CF8697C">
            <w:pPr>
              <w:pStyle w:val="2"/>
              <w:spacing w:after="0" w:line="240" w:lineRule="auto"/>
              <w:jc w:val="center"/>
              <w:rPr>
                <w:sz w:val="21"/>
                <w:szCs w:val="21"/>
                <w:highlight w:val="none"/>
              </w:rPr>
            </w:pPr>
            <w:r>
              <w:rPr>
                <w:sz w:val="21"/>
                <w:szCs w:val="21"/>
                <w:highlight w:val="none"/>
              </w:rPr>
              <w:t>7</w:t>
            </w:r>
          </w:p>
        </w:tc>
        <w:tc>
          <w:tcPr>
            <w:tcW w:w="1362" w:type="pct"/>
            <w:vAlign w:val="center"/>
          </w:tcPr>
          <w:p w14:paraId="577EEEFC">
            <w:pPr>
              <w:pStyle w:val="2"/>
              <w:spacing w:after="0" w:line="240" w:lineRule="auto"/>
              <w:jc w:val="center"/>
              <w:rPr>
                <w:sz w:val="21"/>
                <w:szCs w:val="21"/>
                <w:highlight w:val="none"/>
              </w:rPr>
            </w:pPr>
            <w:r>
              <w:rPr>
                <w:sz w:val="21"/>
                <w:szCs w:val="21"/>
                <w:highlight w:val="none"/>
              </w:rPr>
              <w:t>湖北弘山塑业有限公司</w:t>
            </w:r>
          </w:p>
        </w:tc>
        <w:tc>
          <w:tcPr>
            <w:tcW w:w="1181" w:type="pct"/>
            <w:vAlign w:val="center"/>
          </w:tcPr>
          <w:p w14:paraId="633E4159">
            <w:pPr>
              <w:spacing w:line="240" w:lineRule="auto"/>
              <w:jc w:val="center"/>
              <w:rPr>
                <w:sz w:val="21"/>
                <w:szCs w:val="21"/>
                <w:highlight w:val="none"/>
              </w:rPr>
            </w:pPr>
            <w:r>
              <w:rPr>
                <w:sz w:val="21"/>
                <w:szCs w:val="21"/>
                <w:highlight w:val="none"/>
              </w:rPr>
              <w:t>鄂州花湖开发区滨港东路西侧</w:t>
            </w:r>
          </w:p>
        </w:tc>
        <w:tc>
          <w:tcPr>
            <w:tcW w:w="2113" w:type="pct"/>
            <w:vAlign w:val="center"/>
          </w:tcPr>
          <w:p w14:paraId="6BD2E458">
            <w:pPr>
              <w:pStyle w:val="2"/>
              <w:spacing w:after="0" w:line="240" w:lineRule="auto"/>
              <w:jc w:val="center"/>
              <w:rPr>
                <w:sz w:val="21"/>
                <w:szCs w:val="21"/>
                <w:highlight w:val="none"/>
              </w:rPr>
            </w:pPr>
            <w:r>
              <w:rPr>
                <w:sz w:val="21"/>
                <w:szCs w:val="21"/>
                <w:highlight w:val="none"/>
              </w:rPr>
              <w:t>生产、销售：PVC塑料异型材、塑钢及铝合金门窗、注塑产品；废旧物资（不含危险废弃物）回收、销售</w:t>
            </w:r>
          </w:p>
        </w:tc>
      </w:tr>
      <w:tr w14:paraId="5FF0EE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015DCE50">
            <w:pPr>
              <w:pStyle w:val="2"/>
              <w:spacing w:after="0" w:line="240" w:lineRule="auto"/>
              <w:jc w:val="center"/>
              <w:rPr>
                <w:sz w:val="21"/>
                <w:szCs w:val="21"/>
                <w:highlight w:val="none"/>
              </w:rPr>
            </w:pPr>
            <w:r>
              <w:rPr>
                <w:sz w:val="21"/>
                <w:szCs w:val="21"/>
                <w:highlight w:val="none"/>
              </w:rPr>
              <w:t>8</w:t>
            </w:r>
          </w:p>
        </w:tc>
        <w:tc>
          <w:tcPr>
            <w:tcW w:w="1362" w:type="pct"/>
            <w:vAlign w:val="center"/>
          </w:tcPr>
          <w:p w14:paraId="7A7DD13E">
            <w:pPr>
              <w:pStyle w:val="2"/>
              <w:spacing w:after="0" w:line="240" w:lineRule="auto"/>
              <w:jc w:val="center"/>
              <w:rPr>
                <w:sz w:val="21"/>
                <w:szCs w:val="21"/>
                <w:highlight w:val="none"/>
              </w:rPr>
            </w:pPr>
            <w:r>
              <w:rPr>
                <w:sz w:val="21"/>
                <w:szCs w:val="21"/>
                <w:highlight w:val="none"/>
              </w:rPr>
              <w:t>鄂州新中模具有限公司</w:t>
            </w:r>
          </w:p>
        </w:tc>
        <w:tc>
          <w:tcPr>
            <w:tcW w:w="1181" w:type="pct"/>
            <w:vAlign w:val="center"/>
          </w:tcPr>
          <w:p w14:paraId="64F5F99F">
            <w:pPr>
              <w:pStyle w:val="2"/>
              <w:spacing w:after="0" w:line="240" w:lineRule="auto"/>
              <w:jc w:val="center"/>
              <w:rPr>
                <w:sz w:val="21"/>
                <w:szCs w:val="21"/>
                <w:highlight w:val="none"/>
              </w:rPr>
            </w:pPr>
            <w:r>
              <w:rPr>
                <w:sz w:val="21"/>
                <w:szCs w:val="21"/>
                <w:highlight w:val="none"/>
              </w:rPr>
              <w:t>鄂州市花湖开发区</w:t>
            </w:r>
          </w:p>
        </w:tc>
        <w:tc>
          <w:tcPr>
            <w:tcW w:w="2113" w:type="pct"/>
            <w:vAlign w:val="center"/>
          </w:tcPr>
          <w:p w14:paraId="36B3CAC3">
            <w:pPr>
              <w:pStyle w:val="2"/>
              <w:spacing w:after="0" w:line="240" w:lineRule="auto"/>
              <w:jc w:val="center"/>
              <w:rPr>
                <w:sz w:val="21"/>
                <w:szCs w:val="21"/>
                <w:highlight w:val="none"/>
              </w:rPr>
            </w:pPr>
            <w:r>
              <w:rPr>
                <w:sz w:val="21"/>
                <w:szCs w:val="21"/>
                <w:highlight w:val="none"/>
              </w:rPr>
              <w:t>模具制造、销售；销售：模具钢、塑料制品、五金</w:t>
            </w:r>
          </w:p>
        </w:tc>
      </w:tr>
      <w:tr w14:paraId="4591EB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09AF6070">
            <w:pPr>
              <w:pStyle w:val="2"/>
              <w:spacing w:after="0" w:line="240" w:lineRule="auto"/>
              <w:jc w:val="center"/>
              <w:rPr>
                <w:sz w:val="21"/>
                <w:szCs w:val="21"/>
                <w:highlight w:val="none"/>
              </w:rPr>
            </w:pPr>
            <w:r>
              <w:rPr>
                <w:sz w:val="21"/>
                <w:szCs w:val="21"/>
                <w:highlight w:val="none"/>
              </w:rPr>
              <w:t>9</w:t>
            </w:r>
          </w:p>
        </w:tc>
        <w:tc>
          <w:tcPr>
            <w:tcW w:w="1362" w:type="pct"/>
            <w:vAlign w:val="center"/>
          </w:tcPr>
          <w:p w14:paraId="3CA7D919">
            <w:pPr>
              <w:pStyle w:val="2"/>
              <w:spacing w:after="0" w:line="240" w:lineRule="auto"/>
              <w:jc w:val="center"/>
              <w:rPr>
                <w:sz w:val="21"/>
                <w:szCs w:val="21"/>
                <w:highlight w:val="none"/>
              </w:rPr>
            </w:pPr>
            <w:r>
              <w:rPr>
                <w:sz w:val="21"/>
                <w:szCs w:val="21"/>
                <w:highlight w:val="none"/>
              </w:rPr>
              <w:t>鄂州市三力弹簧有限公司</w:t>
            </w:r>
          </w:p>
        </w:tc>
        <w:tc>
          <w:tcPr>
            <w:tcW w:w="1181" w:type="pct"/>
            <w:vAlign w:val="center"/>
          </w:tcPr>
          <w:p w14:paraId="199D3012">
            <w:pPr>
              <w:pStyle w:val="2"/>
              <w:spacing w:after="0" w:line="240" w:lineRule="auto"/>
              <w:jc w:val="center"/>
              <w:rPr>
                <w:sz w:val="21"/>
                <w:szCs w:val="21"/>
                <w:highlight w:val="none"/>
              </w:rPr>
            </w:pPr>
            <w:r>
              <w:rPr>
                <w:sz w:val="21"/>
                <w:szCs w:val="21"/>
                <w:highlight w:val="none"/>
              </w:rPr>
              <w:t>鄂州市花湖开发区滨港东路</w:t>
            </w:r>
          </w:p>
        </w:tc>
        <w:tc>
          <w:tcPr>
            <w:tcW w:w="2113" w:type="pct"/>
            <w:vAlign w:val="center"/>
          </w:tcPr>
          <w:p w14:paraId="5D635A6E">
            <w:pPr>
              <w:pStyle w:val="2"/>
              <w:spacing w:after="0" w:line="240" w:lineRule="auto"/>
              <w:jc w:val="center"/>
              <w:rPr>
                <w:sz w:val="21"/>
                <w:szCs w:val="21"/>
                <w:highlight w:val="none"/>
              </w:rPr>
            </w:pPr>
            <w:r>
              <w:rPr>
                <w:sz w:val="21"/>
                <w:szCs w:val="21"/>
                <w:highlight w:val="none"/>
              </w:rPr>
              <w:t>加工、销售：弹簧及配套零配件；机械设备零配件、机电设备零配件</w:t>
            </w:r>
          </w:p>
        </w:tc>
      </w:tr>
      <w:tr w14:paraId="128585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277F0D6F">
            <w:pPr>
              <w:pStyle w:val="2"/>
              <w:spacing w:after="0" w:line="240" w:lineRule="auto"/>
              <w:jc w:val="center"/>
              <w:rPr>
                <w:b/>
                <w:bCs/>
                <w:sz w:val="21"/>
                <w:szCs w:val="21"/>
                <w:highlight w:val="none"/>
              </w:rPr>
            </w:pPr>
            <w:r>
              <w:rPr>
                <w:b/>
                <w:bCs/>
                <w:sz w:val="21"/>
                <w:szCs w:val="21"/>
                <w:highlight w:val="none"/>
              </w:rPr>
              <w:t>10</w:t>
            </w:r>
          </w:p>
        </w:tc>
        <w:tc>
          <w:tcPr>
            <w:tcW w:w="1362" w:type="pct"/>
            <w:vAlign w:val="center"/>
          </w:tcPr>
          <w:p w14:paraId="67A92CD8">
            <w:pPr>
              <w:pStyle w:val="2"/>
              <w:spacing w:after="0" w:line="240" w:lineRule="auto"/>
              <w:jc w:val="center"/>
              <w:rPr>
                <w:b/>
                <w:bCs/>
                <w:sz w:val="21"/>
                <w:szCs w:val="21"/>
                <w:highlight w:val="none"/>
              </w:rPr>
            </w:pPr>
            <w:r>
              <w:rPr>
                <w:b/>
                <w:bCs/>
                <w:sz w:val="21"/>
                <w:szCs w:val="21"/>
                <w:highlight w:val="none"/>
              </w:rPr>
              <w:t>湖北钢华特种钢材锻造有限公司</w:t>
            </w:r>
          </w:p>
        </w:tc>
        <w:tc>
          <w:tcPr>
            <w:tcW w:w="1181" w:type="pct"/>
            <w:vAlign w:val="center"/>
          </w:tcPr>
          <w:p w14:paraId="0743B246">
            <w:pPr>
              <w:pStyle w:val="2"/>
              <w:spacing w:after="0" w:line="240" w:lineRule="auto"/>
              <w:jc w:val="center"/>
              <w:rPr>
                <w:b/>
                <w:bCs/>
                <w:sz w:val="21"/>
                <w:szCs w:val="21"/>
                <w:highlight w:val="none"/>
              </w:rPr>
            </w:pPr>
            <w:r>
              <w:rPr>
                <w:b/>
                <w:bCs/>
                <w:sz w:val="21"/>
                <w:szCs w:val="21"/>
                <w:highlight w:val="none"/>
              </w:rPr>
              <w:t>花湖镇滨港路1号附近</w:t>
            </w:r>
          </w:p>
        </w:tc>
        <w:tc>
          <w:tcPr>
            <w:tcW w:w="2113" w:type="pct"/>
            <w:vAlign w:val="center"/>
          </w:tcPr>
          <w:p w14:paraId="3463B753">
            <w:pPr>
              <w:pStyle w:val="2"/>
              <w:spacing w:after="0" w:line="240" w:lineRule="auto"/>
              <w:jc w:val="center"/>
              <w:rPr>
                <w:b/>
                <w:bCs/>
                <w:sz w:val="21"/>
                <w:szCs w:val="21"/>
                <w:highlight w:val="none"/>
              </w:rPr>
            </w:pPr>
            <w:r>
              <w:rPr>
                <w:b/>
                <w:bCs/>
                <w:sz w:val="21"/>
                <w:szCs w:val="21"/>
                <w:highlight w:val="none"/>
              </w:rPr>
              <w:t>生产、销售：特种钢材</w:t>
            </w:r>
          </w:p>
        </w:tc>
      </w:tr>
      <w:tr w14:paraId="6DB1D7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343" w:type="pct"/>
            <w:vAlign w:val="center"/>
          </w:tcPr>
          <w:p w14:paraId="733D3B81">
            <w:pPr>
              <w:pStyle w:val="2"/>
              <w:spacing w:after="0" w:line="240" w:lineRule="auto"/>
              <w:jc w:val="center"/>
              <w:rPr>
                <w:sz w:val="21"/>
                <w:szCs w:val="21"/>
                <w:highlight w:val="none"/>
              </w:rPr>
            </w:pPr>
            <w:r>
              <w:rPr>
                <w:sz w:val="21"/>
                <w:szCs w:val="21"/>
                <w:highlight w:val="none"/>
              </w:rPr>
              <w:t>11</w:t>
            </w:r>
          </w:p>
        </w:tc>
        <w:tc>
          <w:tcPr>
            <w:tcW w:w="1362" w:type="pct"/>
            <w:vAlign w:val="center"/>
          </w:tcPr>
          <w:p w14:paraId="02E86498">
            <w:pPr>
              <w:pStyle w:val="2"/>
              <w:spacing w:after="0" w:line="240" w:lineRule="auto"/>
              <w:jc w:val="center"/>
              <w:rPr>
                <w:sz w:val="21"/>
                <w:szCs w:val="21"/>
                <w:highlight w:val="none"/>
              </w:rPr>
            </w:pPr>
            <w:r>
              <w:rPr>
                <w:sz w:val="21"/>
                <w:szCs w:val="21"/>
                <w:highlight w:val="none"/>
              </w:rPr>
              <w:t>鄂州市钢兴冶金工贸有限公司</w:t>
            </w:r>
          </w:p>
        </w:tc>
        <w:tc>
          <w:tcPr>
            <w:tcW w:w="1181" w:type="pct"/>
            <w:vAlign w:val="center"/>
          </w:tcPr>
          <w:p w14:paraId="7CC899E5">
            <w:pPr>
              <w:pStyle w:val="2"/>
              <w:spacing w:after="0" w:line="240" w:lineRule="auto"/>
              <w:jc w:val="center"/>
              <w:rPr>
                <w:sz w:val="21"/>
                <w:szCs w:val="21"/>
                <w:highlight w:val="none"/>
              </w:rPr>
            </w:pPr>
            <w:r>
              <w:rPr>
                <w:sz w:val="21"/>
                <w:szCs w:val="21"/>
                <w:highlight w:val="none"/>
              </w:rPr>
              <w:t>鄂州市花湖开发区</w:t>
            </w:r>
          </w:p>
        </w:tc>
        <w:tc>
          <w:tcPr>
            <w:tcW w:w="2113" w:type="pct"/>
            <w:vAlign w:val="center"/>
          </w:tcPr>
          <w:p w14:paraId="7D7D5F26">
            <w:pPr>
              <w:pStyle w:val="2"/>
              <w:spacing w:after="0" w:line="240" w:lineRule="auto"/>
              <w:jc w:val="center"/>
              <w:rPr>
                <w:sz w:val="21"/>
                <w:szCs w:val="21"/>
                <w:highlight w:val="none"/>
              </w:rPr>
            </w:pPr>
            <w:r>
              <w:rPr>
                <w:sz w:val="21"/>
                <w:szCs w:val="21"/>
                <w:highlight w:val="none"/>
              </w:rPr>
              <w:t>销售：金属材料、机电产品、五金交电、建筑材料、钢渣、水渣</w:t>
            </w:r>
          </w:p>
        </w:tc>
      </w:tr>
      <w:tr w14:paraId="48B539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3C83212C">
            <w:pPr>
              <w:pStyle w:val="2"/>
              <w:spacing w:after="0" w:line="240" w:lineRule="auto"/>
              <w:jc w:val="center"/>
              <w:rPr>
                <w:sz w:val="21"/>
                <w:szCs w:val="21"/>
                <w:highlight w:val="none"/>
              </w:rPr>
            </w:pPr>
            <w:r>
              <w:rPr>
                <w:sz w:val="21"/>
                <w:szCs w:val="21"/>
                <w:highlight w:val="none"/>
              </w:rPr>
              <w:t>12</w:t>
            </w:r>
          </w:p>
        </w:tc>
        <w:tc>
          <w:tcPr>
            <w:tcW w:w="1362" w:type="pct"/>
            <w:vAlign w:val="center"/>
          </w:tcPr>
          <w:p w14:paraId="4E9D9BA5">
            <w:pPr>
              <w:pStyle w:val="2"/>
              <w:spacing w:after="0" w:line="240" w:lineRule="auto"/>
              <w:jc w:val="center"/>
              <w:rPr>
                <w:sz w:val="21"/>
                <w:szCs w:val="21"/>
                <w:highlight w:val="none"/>
              </w:rPr>
            </w:pPr>
            <w:r>
              <w:rPr>
                <w:sz w:val="21"/>
                <w:szCs w:val="21"/>
                <w:highlight w:val="none"/>
              </w:rPr>
              <w:t>永信气动机械厂花湖制造分厂</w:t>
            </w:r>
          </w:p>
        </w:tc>
        <w:tc>
          <w:tcPr>
            <w:tcW w:w="1181" w:type="pct"/>
            <w:vAlign w:val="center"/>
          </w:tcPr>
          <w:p w14:paraId="12623D54">
            <w:pPr>
              <w:pStyle w:val="2"/>
              <w:spacing w:after="0" w:line="240" w:lineRule="auto"/>
              <w:jc w:val="center"/>
              <w:rPr>
                <w:sz w:val="21"/>
                <w:szCs w:val="21"/>
                <w:highlight w:val="none"/>
              </w:rPr>
            </w:pPr>
            <w:r>
              <w:rPr>
                <w:sz w:val="21"/>
                <w:szCs w:val="21"/>
                <w:highlight w:val="none"/>
              </w:rPr>
              <w:t>鄂州市鄂城区花湖镇</w:t>
            </w:r>
          </w:p>
        </w:tc>
        <w:tc>
          <w:tcPr>
            <w:tcW w:w="2113" w:type="pct"/>
            <w:vAlign w:val="center"/>
          </w:tcPr>
          <w:p w14:paraId="5DE40913">
            <w:pPr>
              <w:pStyle w:val="2"/>
              <w:spacing w:after="0" w:line="240" w:lineRule="auto"/>
              <w:jc w:val="center"/>
              <w:rPr>
                <w:sz w:val="21"/>
                <w:szCs w:val="21"/>
                <w:highlight w:val="none"/>
              </w:rPr>
            </w:pPr>
            <w:r>
              <w:rPr>
                <w:sz w:val="21"/>
                <w:szCs w:val="21"/>
                <w:highlight w:val="none"/>
              </w:rPr>
              <w:t>潜孔钻机、马达及钻机零部件生产、销售</w:t>
            </w:r>
          </w:p>
        </w:tc>
      </w:tr>
      <w:tr w14:paraId="5F99A0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1CB0B1C7">
            <w:pPr>
              <w:pStyle w:val="2"/>
              <w:spacing w:after="0" w:line="240" w:lineRule="auto"/>
              <w:jc w:val="center"/>
              <w:rPr>
                <w:sz w:val="21"/>
                <w:szCs w:val="21"/>
                <w:highlight w:val="none"/>
              </w:rPr>
            </w:pPr>
            <w:r>
              <w:rPr>
                <w:sz w:val="21"/>
                <w:szCs w:val="21"/>
                <w:highlight w:val="none"/>
              </w:rPr>
              <w:t>13</w:t>
            </w:r>
          </w:p>
        </w:tc>
        <w:tc>
          <w:tcPr>
            <w:tcW w:w="1362" w:type="pct"/>
            <w:vAlign w:val="center"/>
          </w:tcPr>
          <w:p w14:paraId="700676E5">
            <w:pPr>
              <w:pStyle w:val="2"/>
              <w:spacing w:after="0" w:line="240" w:lineRule="auto"/>
              <w:jc w:val="center"/>
              <w:rPr>
                <w:sz w:val="21"/>
                <w:szCs w:val="21"/>
                <w:highlight w:val="none"/>
              </w:rPr>
            </w:pPr>
            <w:r>
              <w:rPr>
                <w:sz w:val="21"/>
                <w:szCs w:val="21"/>
                <w:highlight w:val="none"/>
              </w:rPr>
              <w:t>鄂州市金帆鞋业有限公司</w:t>
            </w:r>
          </w:p>
        </w:tc>
        <w:tc>
          <w:tcPr>
            <w:tcW w:w="1181" w:type="pct"/>
            <w:vAlign w:val="center"/>
          </w:tcPr>
          <w:p w14:paraId="003864E6">
            <w:pPr>
              <w:spacing w:line="240" w:lineRule="auto"/>
              <w:jc w:val="center"/>
              <w:rPr>
                <w:sz w:val="21"/>
                <w:szCs w:val="21"/>
                <w:highlight w:val="none"/>
              </w:rPr>
            </w:pPr>
            <w:r>
              <w:rPr>
                <w:sz w:val="21"/>
                <w:szCs w:val="21"/>
                <w:highlight w:val="none"/>
              </w:rPr>
              <w:t>鄂州市花湖开发区工业园区</w:t>
            </w:r>
          </w:p>
        </w:tc>
        <w:tc>
          <w:tcPr>
            <w:tcW w:w="2113" w:type="pct"/>
            <w:vAlign w:val="center"/>
          </w:tcPr>
          <w:p w14:paraId="6B80136D">
            <w:pPr>
              <w:pStyle w:val="2"/>
              <w:spacing w:after="0" w:line="240" w:lineRule="auto"/>
              <w:jc w:val="center"/>
              <w:rPr>
                <w:sz w:val="21"/>
                <w:szCs w:val="21"/>
                <w:highlight w:val="none"/>
              </w:rPr>
            </w:pPr>
            <w:r>
              <w:rPr>
                <w:sz w:val="21"/>
                <w:szCs w:val="21"/>
                <w:highlight w:val="none"/>
              </w:rPr>
              <w:t>鞋及面辅材料、橡胶制品、塑料制品、制鞋模具的制造、销售；包装装璜印刷品印刷</w:t>
            </w:r>
          </w:p>
        </w:tc>
      </w:tr>
      <w:tr w14:paraId="64BD3A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1353AFF2">
            <w:pPr>
              <w:pStyle w:val="2"/>
              <w:spacing w:after="0" w:line="240" w:lineRule="auto"/>
              <w:jc w:val="center"/>
              <w:rPr>
                <w:sz w:val="21"/>
                <w:szCs w:val="21"/>
                <w:highlight w:val="none"/>
              </w:rPr>
            </w:pPr>
            <w:r>
              <w:rPr>
                <w:sz w:val="21"/>
                <w:szCs w:val="21"/>
                <w:highlight w:val="none"/>
              </w:rPr>
              <w:t>14</w:t>
            </w:r>
          </w:p>
        </w:tc>
        <w:tc>
          <w:tcPr>
            <w:tcW w:w="1362" w:type="pct"/>
            <w:vAlign w:val="center"/>
          </w:tcPr>
          <w:p w14:paraId="7A78700B">
            <w:pPr>
              <w:pStyle w:val="2"/>
              <w:spacing w:after="0" w:line="240" w:lineRule="auto"/>
              <w:jc w:val="center"/>
              <w:rPr>
                <w:sz w:val="21"/>
                <w:szCs w:val="21"/>
                <w:highlight w:val="none"/>
              </w:rPr>
            </w:pPr>
            <w:r>
              <w:rPr>
                <w:sz w:val="21"/>
                <w:szCs w:val="21"/>
                <w:highlight w:val="none"/>
              </w:rPr>
              <w:t>黄石东方肥业有限公司鄂州分公司</w:t>
            </w:r>
          </w:p>
        </w:tc>
        <w:tc>
          <w:tcPr>
            <w:tcW w:w="1181" w:type="pct"/>
            <w:vAlign w:val="center"/>
          </w:tcPr>
          <w:p w14:paraId="6F21B306">
            <w:pPr>
              <w:spacing w:line="240" w:lineRule="auto"/>
              <w:jc w:val="center"/>
              <w:rPr>
                <w:sz w:val="21"/>
                <w:szCs w:val="21"/>
                <w:highlight w:val="none"/>
              </w:rPr>
            </w:pPr>
            <w:r>
              <w:rPr>
                <w:sz w:val="21"/>
                <w:szCs w:val="21"/>
                <w:highlight w:val="none"/>
              </w:rPr>
              <w:t>鄂州市鄂城区农工商六组18</w:t>
            </w:r>
          </w:p>
        </w:tc>
        <w:tc>
          <w:tcPr>
            <w:tcW w:w="2113" w:type="pct"/>
            <w:vAlign w:val="center"/>
          </w:tcPr>
          <w:p w14:paraId="40E5FC10">
            <w:pPr>
              <w:pStyle w:val="2"/>
              <w:spacing w:after="0" w:line="240" w:lineRule="auto"/>
              <w:jc w:val="center"/>
              <w:rPr>
                <w:sz w:val="21"/>
                <w:szCs w:val="21"/>
                <w:highlight w:val="none"/>
              </w:rPr>
            </w:pPr>
            <w:r>
              <w:rPr>
                <w:sz w:val="21"/>
                <w:szCs w:val="21"/>
                <w:highlight w:val="none"/>
              </w:rPr>
              <w:t>主要经营</w:t>
            </w:r>
            <w:r>
              <w:rPr>
                <w:rFonts w:hint="eastAsia"/>
                <w:sz w:val="21"/>
                <w:szCs w:val="21"/>
                <w:highlight w:val="none"/>
              </w:rPr>
              <w:t>：</w:t>
            </w:r>
            <w:r>
              <w:rPr>
                <w:sz w:val="21"/>
                <w:szCs w:val="21"/>
                <w:highlight w:val="none"/>
              </w:rPr>
              <w:t>25%,-45%彩色或原色氯基复合肥、专用肥</w:t>
            </w:r>
            <w:r>
              <w:rPr>
                <w:rFonts w:hint="eastAsia"/>
                <w:sz w:val="21"/>
                <w:szCs w:val="21"/>
                <w:highlight w:val="none"/>
              </w:rPr>
              <w:t>；</w:t>
            </w:r>
            <w:r>
              <w:rPr>
                <w:sz w:val="21"/>
                <w:szCs w:val="21"/>
                <w:highlight w:val="none"/>
              </w:rPr>
              <w:t>30%-45%彩色或原色硫基复合肥专用肥</w:t>
            </w:r>
            <w:r>
              <w:rPr>
                <w:rFonts w:hint="eastAsia"/>
                <w:sz w:val="21"/>
                <w:szCs w:val="21"/>
                <w:highlight w:val="none"/>
              </w:rPr>
              <w:t>；</w:t>
            </w:r>
            <w:r>
              <w:rPr>
                <w:sz w:val="21"/>
                <w:szCs w:val="21"/>
                <w:highlight w:val="none"/>
              </w:rPr>
              <w:t>40%-50%高氮彩色或原色BB肥</w:t>
            </w:r>
          </w:p>
        </w:tc>
      </w:tr>
      <w:tr w14:paraId="2C5120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227497CC">
            <w:pPr>
              <w:pStyle w:val="2"/>
              <w:spacing w:after="0" w:line="240" w:lineRule="auto"/>
              <w:jc w:val="center"/>
              <w:rPr>
                <w:sz w:val="21"/>
                <w:szCs w:val="21"/>
                <w:highlight w:val="none"/>
              </w:rPr>
            </w:pPr>
            <w:r>
              <w:rPr>
                <w:sz w:val="21"/>
                <w:szCs w:val="21"/>
                <w:highlight w:val="none"/>
              </w:rPr>
              <w:t>15</w:t>
            </w:r>
          </w:p>
        </w:tc>
        <w:tc>
          <w:tcPr>
            <w:tcW w:w="1362" w:type="pct"/>
            <w:vAlign w:val="center"/>
          </w:tcPr>
          <w:p w14:paraId="4618810D">
            <w:pPr>
              <w:pStyle w:val="2"/>
              <w:spacing w:after="0" w:line="240" w:lineRule="auto"/>
              <w:jc w:val="center"/>
              <w:rPr>
                <w:sz w:val="21"/>
                <w:szCs w:val="21"/>
                <w:highlight w:val="none"/>
              </w:rPr>
            </w:pPr>
            <w:r>
              <w:rPr>
                <w:sz w:val="21"/>
                <w:szCs w:val="21"/>
                <w:highlight w:val="none"/>
              </w:rPr>
              <w:t>湖北科赛德起重输送设备有限公司</w:t>
            </w:r>
          </w:p>
        </w:tc>
        <w:tc>
          <w:tcPr>
            <w:tcW w:w="1181" w:type="pct"/>
            <w:vAlign w:val="center"/>
          </w:tcPr>
          <w:p w14:paraId="73B79C00">
            <w:pPr>
              <w:spacing w:line="240" w:lineRule="auto"/>
              <w:jc w:val="center"/>
              <w:rPr>
                <w:sz w:val="21"/>
                <w:szCs w:val="21"/>
                <w:highlight w:val="none"/>
              </w:rPr>
            </w:pPr>
            <w:r>
              <w:rPr>
                <w:sz w:val="21"/>
                <w:szCs w:val="21"/>
                <w:highlight w:val="none"/>
              </w:rPr>
              <w:t>鄂州市花湖开发区胄山村</w:t>
            </w:r>
          </w:p>
        </w:tc>
        <w:tc>
          <w:tcPr>
            <w:tcW w:w="2113" w:type="pct"/>
            <w:vAlign w:val="center"/>
          </w:tcPr>
          <w:p w14:paraId="743DFDFE">
            <w:pPr>
              <w:pStyle w:val="2"/>
              <w:spacing w:after="0" w:line="240" w:lineRule="auto"/>
              <w:jc w:val="center"/>
              <w:rPr>
                <w:sz w:val="21"/>
                <w:szCs w:val="21"/>
                <w:highlight w:val="none"/>
              </w:rPr>
            </w:pPr>
            <w:r>
              <w:rPr>
                <w:sz w:val="21"/>
                <w:szCs w:val="21"/>
                <w:highlight w:val="none"/>
              </w:rPr>
              <w:t>起重输送自动设备及配件的制造、销售、安装、修理；钢结构件制品的加工、销售、安装；环保设备的制造、销售；金属材料延伸加工及销售</w:t>
            </w:r>
          </w:p>
        </w:tc>
      </w:tr>
      <w:tr w14:paraId="2AF4E2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shd w:val="clear" w:color="auto" w:fill="D7D7D7" w:themeFill="background1" w:themeFillShade="D8"/>
            <w:vAlign w:val="center"/>
          </w:tcPr>
          <w:p w14:paraId="5CDE05BB">
            <w:pPr>
              <w:pStyle w:val="2"/>
              <w:spacing w:after="0" w:line="240" w:lineRule="auto"/>
              <w:jc w:val="center"/>
              <w:rPr>
                <w:b/>
                <w:bCs/>
                <w:sz w:val="21"/>
                <w:szCs w:val="21"/>
                <w:highlight w:val="none"/>
              </w:rPr>
            </w:pPr>
            <w:r>
              <w:rPr>
                <w:b/>
                <w:bCs/>
                <w:sz w:val="21"/>
                <w:szCs w:val="21"/>
                <w:highlight w:val="none"/>
              </w:rPr>
              <w:t>16</w:t>
            </w:r>
          </w:p>
        </w:tc>
        <w:tc>
          <w:tcPr>
            <w:tcW w:w="1362" w:type="pct"/>
            <w:shd w:val="clear" w:color="auto" w:fill="D7D7D7" w:themeFill="background1" w:themeFillShade="D8"/>
            <w:vAlign w:val="center"/>
          </w:tcPr>
          <w:p w14:paraId="0C28B75A">
            <w:pPr>
              <w:pStyle w:val="2"/>
              <w:spacing w:after="0" w:line="240" w:lineRule="auto"/>
              <w:jc w:val="center"/>
              <w:rPr>
                <w:b/>
                <w:bCs/>
                <w:sz w:val="21"/>
                <w:szCs w:val="21"/>
                <w:highlight w:val="none"/>
              </w:rPr>
            </w:pPr>
            <w:r>
              <w:rPr>
                <w:b/>
                <w:bCs/>
                <w:sz w:val="21"/>
                <w:szCs w:val="21"/>
                <w:highlight w:val="none"/>
              </w:rPr>
              <w:t>鄂州市海成工贸有限公司</w:t>
            </w:r>
          </w:p>
        </w:tc>
        <w:tc>
          <w:tcPr>
            <w:tcW w:w="1181" w:type="pct"/>
            <w:shd w:val="clear" w:color="auto" w:fill="D7D7D7" w:themeFill="background1" w:themeFillShade="D8"/>
            <w:vAlign w:val="center"/>
          </w:tcPr>
          <w:p w14:paraId="4FC89D7A">
            <w:pPr>
              <w:spacing w:line="240" w:lineRule="auto"/>
              <w:jc w:val="center"/>
              <w:rPr>
                <w:b/>
                <w:bCs/>
                <w:sz w:val="21"/>
                <w:szCs w:val="21"/>
                <w:highlight w:val="none"/>
              </w:rPr>
            </w:pPr>
            <w:r>
              <w:rPr>
                <w:b/>
                <w:bCs/>
                <w:sz w:val="21"/>
                <w:szCs w:val="21"/>
                <w:highlight w:val="none"/>
              </w:rPr>
              <w:t>花湖镇胄山村委会胄山村</w:t>
            </w:r>
          </w:p>
        </w:tc>
        <w:tc>
          <w:tcPr>
            <w:tcW w:w="2113" w:type="pct"/>
            <w:shd w:val="clear" w:color="auto" w:fill="D7D7D7" w:themeFill="background1" w:themeFillShade="D8"/>
            <w:vAlign w:val="center"/>
          </w:tcPr>
          <w:p w14:paraId="06FAF84D">
            <w:pPr>
              <w:pStyle w:val="2"/>
              <w:spacing w:after="0" w:line="240" w:lineRule="auto"/>
              <w:jc w:val="center"/>
              <w:rPr>
                <w:b/>
                <w:bCs/>
                <w:sz w:val="21"/>
                <w:szCs w:val="21"/>
                <w:highlight w:val="none"/>
              </w:rPr>
            </w:pPr>
            <w:r>
              <w:rPr>
                <w:b/>
                <w:bCs/>
                <w:sz w:val="21"/>
                <w:szCs w:val="21"/>
                <w:highlight w:val="none"/>
              </w:rPr>
              <w:t>模具钢生产、加工、销售；机械配件加工、销售</w:t>
            </w:r>
          </w:p>
        </w:tc>
      </w:tr>
      <w:tr w14:paraId="227BEC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shd w:val="clear" w:color="auto" w:fill="D7D7D7" w:themeFill="background1" w:themeFillShade="D8"/>
            <w:vAlign w:val="center"/>
          </w:tcPr>
          <w:p w14:paraId="6E70B29A">
            <w:pPr>
              <w:pStyle w:val="2"/>
              <w:spacing w:after="0" w:line="240" w:lineRule="auto"/>
              <w:jc w:val="center"/>
              <w:rPr>
                <w:b/>
                <w:bCs/>
                <w:sz w:val="21"/>
                <w:szCs w:val="21"/>
                <w:highlight w:val="none"/>
              </w:rPr>
            </w:pPr>
            <w:r>
              <w:rPr>
                <w:b/>
                <w:bCs/>
                <w:sz w:val="21"/>
                <w:szCs w:val="21"/>
                <w:highlight w:val="none"/>
              </w:rPr>
              <w:t>17</w:t>
            </w:r>
          </w:p>
        </w:tc>
        <w:tc>
          <w:tcPr>
            <w:tcW w:w="1362" w:type="pct"/>
            <w:shd w:val="clear" w:color="auto" w:fill="D7D7D7" w:themeFill="background1" w:themeFillShade="D8"/>
            <w:vAlign w:val="center"/>
          </w:tcPr>
          <w:p w14:paraId="561444B3">
            <w:pPr>
              <w:pStyle w:val="2"/>
              <w:spacing w:after="0" w:line="240" w:lineRule="auto"/>
              <w:jc w:val="center"/>
              <w:rPr>
                <w:b/>
                <w:bCs/>
                <w:sz w:val="21"/>
                <w:szCs w:val="21"/>
                <w:highlight w:val="none"/>
              </w:rPr>
            </w:pPr>
            <w:r>
              <w:rPr>
                <w:b/>
                <w:bCs/>
                <w:sz w:val="21"/>
                <w:szCs w:val="21"/>
                <w:highlight w:val="none"/>
              </w:rPr>
              <w:t>湖北上大模具材料科技股份有限公司</w:t>
            </w:r>
          </w:p>
        </w:tc>
        <w:tc>
          <w:tcPr>
            <w:tcW w:w="1181" w:type="pct"/>
            <w:shd w:val="clear" w:color="auto" w:fill="D7D7D7" w:themeFill="background1" w:themeFillShade="D8"/>
            <w:vAlign w:val="center"/>
          </w:tcPr>
          <w:p w14:paraId="4E1DC3C7">
            <w:pPr>
              <w:spacing w:line="240" w:lineRule="auto"/>
              <w:jc w:val="center"/>
              <w:rPr>
                <w:b/>
                <w:bCs/>
                <w:sz w:val="21"/>
                <w:szCs w:val="21"/>
                <w:highlight w:val="none"/>
              </w:rPr>
            </w:pPr>
            <w:r>
              <w:rPr>
                <w:b/>
                <w:bCs/>
                <w:sz w:val="21"/>
                <w:szCs w:val="21"/>
                <w:highlight w:val="none"/>
              </w:rPr>
              <w:t>花湖开发区金帆鞋业院内</w:t>
            </w:r>
          </w:p>
        </w:tc>
        <w:tc>
          <w:tcPr>
            <w:tcW w:w="2113" w:type="pct"/>
            <w:shd w:val="clear" w:color="auto" w:fill="D7D7D7" w:themeFill="background1" w:themeFillShade="D8"/>
            <w:vAlign w:val="center"/>
          </w:tcPr>
          <w:p w14:paraId="00D05079">
            <w:pPr>
              <w:pStyle w:val="2"/>
              <w:spacing w:after="0" w:line="240" w:lineRule="auto"/>
              <w:jc w:val="center"/>
              <w:rPr>
                <w:b/>
                <w:bCs/>
                <w:sz w:val="21"/>
                <w:szCs w:val="21"/>
                <w:highlight w:val="none"/>
              </w:rPr>
            </w:pPr>
            <w:r>
              <w:rPr>
                <w:b/>
                <w:bCs/>
                <w:sz w:val="21"/>
                <w:szCs w:val="21"/>
                <w:highlight w:val="none"/>
              </w:rPr>
              <w:t>生产、加工、销售：模具钢、工具钢、合结钢、碳工钢；特殊钢进出口</w:t>
            </w:r>
          </w:p>
        </w:tc>
      </w:tr>
      <w:tr w14:paraId="2AD91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42AB0993">
            <w:pPr>
              <w:pStyle w:val="2"/>
              <w:spacing w:after="0" w:line="240" w:lineRule="auto"/>
              <w:jc w:val="center"/>
              <w:rPr>
                <w:sz w:val="21"/>
                <w:szCs w:val="21"/>
                <w:highlight w:val="none"/>
              </w:rPr>
            </w:pPr>
            <w:r>
              <w:rPr>
                <w:sz w:val="21"/>
                <w:szCs w:val="21"/>
                <w:highlight w:val="none"/>
              </w:rPr>
              <w:t>18</w:t>
            </w:r>
          </w:p>
        </w:tc>
        <w:tc>
          <w:tcPr>
            <w:tcW w:w="1362" w:type="pct"/>
            <w:vAlign w:val="center"/>
          </w:tcPr>
          <w:p w14:paraId="3FE0B2CB">
            <w:pPr>
              <w:pStyle w:val="2"/>
              <w:spacing w:after="0" w:line="240" w:lineRule="auto"/>
              <w:jc w:val="center"/>
              <w:rPr>
                <w:sz w:val="21"/>
                <w:szCs w:val="21"/>
                <w:highlight w:val="none"/>
              </w:rPr>
            </w:pPr>
            <w:r>
              <w:rPr>
                <w:sz w:val="21"/>
                <w:szCs w:val="21"/>
                <w:highlight w:val="none"/>
              </w:rPr>
              <w:t>湖北正鑫锻压机械设备有限公司</w:t>
            </w:r>
          </w:p>
        </w:tc>
        <w:tc>
          <w:tcPr>
            <w:tcW w:w="1181" w:type="pct"/>
            <w:vAlign w:val="center"/>
          </w:tcPr>
          <w:p w14:paraId="0A42B035">
            <w:pPr>
              <w:pStyle w:val="2"/>
              <w:spacing w:after="0" w:line="240" w:lineRule="auto"/>
              <w:jc w:val="center"/>
              <w:rPr>
                <w:sz w:val="21"/>
                <w:szCs w:val="21"/>
                <w:highlight w:val="none"/>
              </w:rPr>
            </w:pPr>
            <w:r>
              <w:rPr>
                <w:sz w:val="21"/>
                <w:szCs w:val="21"/>
                <w:highlight w:val="none"/>
              </w:rPr>
              <w:t>鄂州市花湖开发区友谊路</w:t>
            </w:r>
          </w:p>
        </w:tc>
        <w:tc>
          <w:tcPr>
            <w:tcW w:w="2113" w:type="pct"/>
            <w:vAlign w:val="center"/>
          </w:tcPr>
          <w:p w14:paraId="78E5EA2F">
            <w:pPr>
              <w:pStyle w:val="2"/>
              <w:spacing w:after="0" w:line="240" w:lineRule="auto"/>
              <w:jc w:val="center"/>
              <w:rPr>
                <w:sz w:val="21"/>
                <w:szCs w:val="21"/>
                <w:highlight w:val="none"/>
              </w:rPr>
            </w:pPr>
            <w:r>
              <w:rPr>
                <w:sz w:val="21"/>
                <w:szCs w:val="21"/>
                <w:highlight w:val="none"/>
              </w:rPr>
              <w:t>锻压机械、水泥机械、冶金装备、环保机械、工业自动化装备研发、制造及销售</w:t>
            </w:r>
          </w:p>
        </w:tc>
      </w:tr>
      <w:tr w14:paraId="7F8CB2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4BBAB76F">
            <w:pPr>
              <w:pStyle w:val="2"/>
              <w:spacing w:after="0" w:line="240" w:lineRule="auto"/>
              <w:jc w:val="center"/>
              <w:rPr>
                <w:sz w:val="21"/>
                <w:szCs w:val="21"/>
                <w:highlight w:val="none"/>
              </w:rPr>
            </w:pPr>
            <w:r>
              <w:rPr>
                <w:sz w:val="21"/>
                <w:szCs w:val="21"/>
                <w:highlight w:val="none"/>
              </w:rPr>
              <w:t>19</w:t>
            </w:r>
          </w:p>
        </w:tc>
        <w:tc>
          <w:tcPr>
            <w:tcW w:w="1362" w:type="pct"/>
            <w:vAlign w:val="center"/>
          </w:tcPr>
          <w:p w14:paraId="0B740D01">
            <w:pPr>
              <w:pStyle w:val="2"/>
              <w:spacing w:after="0" w:line="240" w:lineRule="auto"/>
              <w:jc w:val="center"/>
              <w:rPr>
                <w:sz w:val="21"/>
                <w:szCs w:val="21"/>
                <w:highlight w:val="none"/>
              </w:rPr>
            </w:pPr>
            <w:r>
              <w:rPr>
                <w:sz w:val="21"/>
                <w:szCs w:val="21"/>
                <w:highlight w:val="none"/>
              </w:rPr>
              <w:t>华新鄂州包装有限公司</w:t>
            </w:r>
          </w:p>
        </w:tc>
        <w:tc>
          <w:tcPr>
            <w:tcW w:w="1181" w:type="pct"/>
            <w:vAlign w:val="center"/>
          </w:tcPr>
          <w:p w14:paraId="09178017">
            <w:pPr>
              <w:pStyle w:val="2"/>
              <w:spacing w:after="0" w:line="240" w:lineRule="auto"/>
              <w:jc w:val="center"/>
              <w:rPr>
                <w:sz w:val="21"/>
                <w:szCs w:val="21"/>
                <w:highlight w:val="none"/>
              </w:rPr>
            </w:pPr>
            <w:r>
              <w:rPr>
                <w:sz w:val="21"/>
                <w:szCs w:val="21"/>
                <w:highlight w:val="none"/>
              </w:rPr>
              <w:t>鄂州市花湖开发区滨港东路</w:t>
            </w:r>
          </w:p>
        </w:tc>
        <w:tc>
          <w:tcPr>
            <w:tcW w:w="2113" w:type="pct"/>
            <w:vAlign w:val="center"/>
          </w:tcPr>
          <w:p w14:paraId="224A1E34">
            <w:pPr>
              <w:pStyle w:val="2"/>
              <w:spacing w:after="0" w:line="240" w:lineRule="auto"/>
              <w:jc w:val="center"/>
              <w:rPr>
                <w:sz w:val="21"/>
                <w:szCs w:val="21"/>
                <w:highlight w:val="none"/>
              </w:rPr>
            </w:pPr>
            <w:r>
              <w:rPr>
                <w:sz w:val="21"/>
                <w:szCs w:val="21"/>
                <w:highlight w:val="none"/>
              </w:rPr>
              <w:t>经营生产、销售水泥包装袋及其他包装制品</w:t>
            </w:r>
          </w:p>
        </w:tc>
      </w:tr>
      <w:tr w14:paraId="7081A6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20C4864C">
            <w:pPr>
              <w:pStyle w:val="2"/>
              <w:spacing w:after="0" w:line="240" w:lineRule="auto"/>
              <w:jc w:val="center"/>
              <w:rPr>
                <w:sz w:val="21"/>
                <w:szCs w:val="21"/>
                <w:highlight w:val="none"/>
              </w:rPr>
            </w:pPr>
            <w:r>
              <w:rPr>
                <w:sz w:val="21"/>
                <w:szCs w:val="21"/>
                <w:highlight w:val="none"/>
              </w:rPr>
              <w:t>20</w:t>
            </w:r>
          </w:p>
        </w:tc>
        <w:tc>
          <w:tcPr>
            <w:tcW w:w="1362" w:type="pct"/>
            <w:vAlign w:val="center"/>
          </w:tcPr>
          <w:p w14:paraId="04E9CCFA">
            <w:pPr>
              <w:pStyle w:val="2"/>
              <w:spacing w:after="0" w:line="240" w:lineRule="auto"/>
              <w:jc w:val="center"/>
              <w:rPr>
                <w:sz w:val="21"/>
                <w:szCs w:val="21"/>
                <w:highlight w:val="none"/>
              </w:rPr>
            </w:pPr>
            <w:r>
              <w:rPr>
                <w:sz w:val="21"/>
                <w:szCs w:val="21"/>
                <w:highlight w:val="none"/>
              </w:rPr>
              <w:t>鄂州市新洲建材有限公司</w:t>
            </w:r>
          </w:p>
        </w:tc>
        <w:tc>
          <w:tcPr>
            <w:tcW w:w="1181" w:type="pct"/>
            <w:vAlign w:val="center"/>
          </w:tcPr>
          <w:p w14:paraId="72C14069">
            <w:pPr>
              <w:pStyle w:val="2"/>
              <w:spacing w:after="0" w:line="240" w:lineRule="auto"/>
              <w:jc w:val="center"/>
              <w:rPr>
                <w:sz w:val="21"/>
                <w:szCs w:val="21"/>
                <w:highlight w:val="none"/>
              </w:rPr>
            </w:pPr>
            <w:r>
              <w:rPr>
                <w:sz w:val="21"/>
                <w:szCs w:val="21"/>
                <w:highlight w:val="none"/>
              </w:rPr>
              <w:t>鄂州市花湖镇滨港路3号</w:t>
            </w:r>
          </w:p>
        </w:tc>
        <w:tc>
          <w:tcPr>
            <w:tcW w:w="2113" w:type="pct"/>
            <w:vAlign w:val="center"/>
          </w:tcPr>
          <w:p w14:paraId="26013982">
            <w:pPr>
              <w:pStyle w:val="2"/>
              <w:spacing w:after="0" w:line="240" w:lineRule="auto"/>
              <w:jc w:val="center"/>
              <w:rPr>
                <w:sz w:val="21"/>
                <w:szCs w:val="21"/>
                <w:highlight w:val="none"/>
              </w:rPr>
            </w:pPr>
            <w:r>
              <w:rPr>
                <w:sz w:val="21"/>
                <w:szCs w:val="21"/>
                <w:highlight w:val="none"/>
              </w:rPr>
              <w:t>生产、销售：水泥硅钙板、玻璃钢制品、涂塑钢管、MPP钢塑复合管；加工、销售：塑料制品</w:t>
            </w:r>
          </w:p>
        </w:tc>
      </w:tr>
      <w:tr w14:paraId="401216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2053E49C">
            <w:pPr>
              <w:pStyle w:val="2"/>
              <w:spacing w:after="0" w:line="240" w:lineRule="auto"/>
              <w:jc w:val="center"/>
              <w:rPr>
                <w:sz w:val="21"/>
                <w:szCs w:val="21"/>
                <w:highlight w:val="none"/>
              </w:rPr>
            </w:pPr>
            <w:r>
              <w:rPr>
                <w:sz w:val="21"/>
                <w:szCs w:val="21"/>
                <w:highlight w:val="none"/>
              </w:rPr>
              <w:t>21</w:t>
            </w:r>
          </w:p>
        </w:tc>
        <w:tc>
          <w:tcPr>
            <w:tcW w:w="1362" w:type="pct"/>
            <w:vAlign w:val="center"/>
          </w:tcPr>
          <w:p w14:paraId="1F369A31">
            <w:pPr>
              <w:pStyle w:val="2"/>
              <w:spacing w:after="0" w:line="240" w:lineRule="auto"/>
              <w:jc w:val="center"/>
              <w:rPr>
                <w:sz w:val="21"/>
                <w:szCs w:val="21"/>
                <w:highlight w:val="none"/>
              </w:rPr>
            </w:pPr>
            <w:r>
              <w:rPr>
                <w:sz w:val="21"/>
                <w:szCs w:val="21"/>
                <w:highlight w:val="none"/>
              </w:rPr>
              <w:t>鄂州恒升数控机械有限公司</w:t>
            </w:r>
          </w:p>
        </w:tc>
        <w:tc>
          <w:tcPr>
            <w:tcW w:w="1181" w:type="pct"/>
            <w:vAlign w:val="center"/>
          </w:tcPr>
          <w:p w14:paraId="38674DC7">
            <w:pPr>
              <w:pStyle w:val="2"/>
              <w:spacing w:after="0" w:line="240" w:lineRule="auto"/>
              <w:jc w:val="center"/>
              <w:rPr>
                <w:sz w:val="21"/>
                <w:szCs w:val="21"/>
                <w:highlight w:val="none"/>
              </w:rPr>
            </w:pPr>
            <w:r>
              <w:rPr>
                <w:sz w:val="21"/>
                <w:szCs w:val="21"/>
                <w:highlight w:val="none"/>
              </w:rPr>
              <w:t>鄂州市花湖开发区</w:t>
            </w:r>
          </w:p>
        </w:tc>
        <w:tc>
          <w:tcPr>
            <w:tcW w:w="2113" w:type="pct"/>
            <w:vAlign w:val="center"/>
          </w:tcPr>
          <w:p w14:paraId="5C91B0E0">
            <w:pPr>
              <w:pStyle w:val="2"/>
              <w:spacing w:after="0" w:line="240" w:lineRule="auto"/>
              <w:jc w:val="center"/>
              <w:rPr>
                <w:sz w:val="21"/>
                <w:szCs w:val="21"/>
                <w:highlight w:val="none"/>
              </w:rPr>
            </w:pPr>
            <w:r>
              <w:rPr>
                <w:sz w:val="21"/>
                <w:szCs w:val="21"/>
                <w:highlight w:val="none"/>
              </w:rPr>
              <w:t>加工、销售：数控机械、智能检测设备、精密冲压件、汽车零部件</w:t>
            </w:r>
          </w:p>
        </w:tc>
      </w:tr>
      <w:tr w14:paraId="0B347C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shd w:val="clear" w:color="auto" w:fill="D7D7D7" w:themeFill="background1" w:themeFillShade="D8"/>
            <w:vAlign w:val="center"/>
          </w:tcPr>
          <w:p w14:paraId="75928967">
            <w:pPr>
              <w:pStyle w:val="2"/>
              <w:spacing w:after="0" w:line="240" w:lineRule="auto"/>
              <w:jc w:val="center"/>
              <w:rPr>
                <w:sz w:val="21"/>
                <w:szCs w:val="21"/>
                <w:highlight w:val="none"/>
              </w:rPr>
            </w:pPr>
            <w:r>
              <w:rPr>
                <w:sz w:val="21"/>
                <w:szCs w:val="21"/>
                <w:highlight w:val="none"/>
              </w:rPr>
              <w:t>22</w:t>
            </w:r>
          </w:p>
        </w:tc>
        <w:tc>
          <w:tcPr>
            <w:tcW w:w="1362" w:type="pct"/>
            <w:shd w:val="clear" w:color="auto" w:fill="D7D7D7" w:themeFill="background1" w:themeFillShade="D8"/>
            <w:vAlign w:val="center"/>
          </w:tcPr>
          <w:p w14:paraId="04043CEB">
            <w:pPr>
              <w:pStyle w:val="2"/>
              <w:spacing w:after="0" w:line="240" w:lineRule="auto"/>
              <w:jc w:val="center"/>
              <w:rPr>
                <w:sz w:val="21"/>
                <w:szCs w:val="21"/>
                <w:highlight w:val="none"/>
              </w:rPr>
            </w:pPr>
            <w:r>
              <w:rPr>
                <w:sz w:val="21"/>
                <w:szCs w:val="21"/>
                <w:highlight w:val="none"/>
              </w:rPr>
              <w:t>鄂州市金诚橡塑制品有限公司</w:t>
            </w:r>
          </w:p>
        </w:tc>
        <w:tc>
          <w:tcPr>
            <w:tcW w:w="1181" w:type="pct"/>
            <w:shd w:val="clear" w:color="auto" w:fill="D7D7D7" w:themeFill="background1" w:themeFillShade="D8"/>
            <w:vAlign w:val="center"/>
          </w:tcPr>
          <w:p w14:paraId="0836CE4C">
            <w:pPr>
              <w:pStyle w:val="2"/>
              <w:spacing w:after="0" w:line="240" w:lineRule="auto"/>
              <w:jc w:val="center"/>
              <w:rPr>
                <w:sz w:val="21"/>
                <w:szCs w:val="21"/>
                <w:highlight w:val="none"/>
              </w:rPr>
            </w:pPr>
            <w:r>
              <w:rPr>
                <w:sz w:val="21"/>
                <w:szCs w:val="21"/>
                <w:highlight w:val="none"/>
              </w:rPr>
              <w:t>鄂州市花湖开发区</w:t>
            </w:r>
          </w:p>
        </w:tc>
        <w:tc>
          <w:tcPr>
            <w:tcW w:w="2113" w:type="pct"/>
            <w:shd w:val="clear" w:color="auto" w:fill="D7D7D7" w:themeFill="background1" w:themeFillShade="D8"/>
            <w:vAlign w:val="center"/>
          </w:tcPr>
          <w:p w14:paraId="1A53F746">
            <w:pPr>
              <w:pStyle w:val="2"/>
              <w:spacing w:after="0" w:line="240" w:lineRule="auto"/>
              <w:jc w:val="center"/>
              <w:rPr>
                <w:sz w:val="21"/>
                <w:szCs w:val="21"/>
                <w:highlight w:val="none"/>
              </w:rPr>
            </w:pPr>
            <w:r>
              <w:rPr>
                <w:sz w:val="21"/>
                <w:szCs w:val="21"/>
                <w:highlight w:val="none"/>
              </w:rPr>
              <w:t>加工、销售：鞋及鞋材制品、保温材料、包装材料、塑料制品、橡胶制品</w:t>
            </w:r>
          </w:p>
        </w:tc>
      </w:tr>
      <w:tr w14:paraId="7D68EA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343" w:type="pct"/>
            <w:vAlign w:val="center"/>
          </w:tcPr>
          <w:p w14:paraId="116388FB">
            <w:pPr>
              <w:pStyle w:val="2"/>
              <w:spacing w:after="0" w:line="240" w:lineRule="auto"/>
              <w:jc w:val="center"/>
              <w:rPr>
                <w:b/>
                <w:bCs/>
                <w:sz w:val="21"/>
                <w:szCs w:val="21"/>
                <w:highlight w:val="none"/>
              </w:rPr>
            </w:pPr>
            <w:r>
              <w:rPr>
                <w:b/>
                <w:bCs/>
                <w:sz w:val="21"/>
                <w:szCs w:val="21"/>
                <w:highlight w:val="none"/>
              </w:rPr>
              <w:t>23</w:t>
            </w:r>
          </w:p>
        </w:tc>
        <w:tc>
          <w:tcPr>
            <w:tcW w:w="1362" w:type="pct"/>
            <w:vAlign w:val="center"/>
          </w:tcPr>
          <w:p w14:paraId="43A23C73">
            <w:pPr>
              <w:pStyle w:val="2"/>
              <w:spacing w:after="0" w:line="240" w:lineRule="auto"/>
              <w:jc w:val="center"/>
              <w:rPr>
                <w:sz w:val="21"/>
                <w:szCs w:val="21"/>
                <w:highlight w:val="none"/>
              </w:rPr>
            </w:pPr>
            <w:r>
              <w:rPr>
                <w:sz w:val="21"/>
                <w:szCs w:val="21"/>
                <w:highlight w:val="none"/>
              </w:rPr>
              <w:t>湖北正天洋热处理有限公司</w:t>
            </w:r>
          </w:p>
        </w:tc>
        <w:tc>
          <w:tcPr>
            <w:tcW w:w="1181" w:type="pct"/>
            <w:vAlign w:val="center"/>
          </w:tcPr>
          <w:p w14:paraId="3BC811E1">
            <w:pPr>
              <w:pStyle w:val="2"/>
              <w:spacing w:after="0" w:line="240" w:lineRule="auto"/>
              <w:jc w:val="center"/>
              <w:rPr>
                <w:sz w:val="21"/>
                <w:szCs w:val="21"/>
                <w:highlight w:val="none"/>
              </w:rPr>
            </w:pPr>
            <w:r>
              <w:rPr>
                <w:sz w:val="21"/>
                <w:szCs w:val="21"/>
                <w:highlight w:val="none"/>
              </w:rPr>
              <w:t>湖北省鄂州市鄂城区花湖开发区鄂城大道</w:t>
            </w:r>
          </w:p>
        </w:tc>
        <w:tc>
          <w:tcPr>
            <w:tcW w:w="2113" w:type="pct"/>
            <w:vAlign w:val="center"/>
          </w:tcPr>
          <w:p w14:paraId="5CD3A1BA">
            <w:pPr>
              <w:pStyle w:val="2"/>
              <w:spacing w:after="0" w:line="240" w:lineRule="auto"/>
              <w:jc w:val="center"/>
              <w:rPr>
                <w:sz w:val="21"/>
                <w:szCs w:val="21"/>
                <w:highlight w:val="none"/>
              </w:rPr>
            </w:pPr>
            <w:r>
              <w:rPr>
                <w:sz w:val="21"/>
                <w:szCs w:val="21"/>
                <w:highlight w:val="none"/>
              </w:rPr>
              <w:t>加工、销售：石油、工矿、矿山、普通机械；金属材料热处理及深加工</w:t>
            </w:r>
          </w:p>
        </w:tc>
      </w:tr>
      <w:tr w14:paraId="35928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37A4DCE2">
            <w:pPr>
              <w:pStyle w:val="2"/>
              <w:spacing w:after="0" w:line="240" w:lineRule="auto"/>
              <w:jc w:val="center"/>
              <w:rPr>
                <w:sz w:val="21"/>
                <w:szCs w:val="21"/>
                <w:highlight w:val="none"/>
              </w:rPr>
            </w:pPr>
            <w:r>
              <w:rPr>
                <w:rFonts w:hint="eastAsia"/>
                <w:sz w:val="21"/>
                <w:szCs w:val="21"/>
                <w:highlight w:val="none"/>
              </w:rPr>
              <w:t>24</w:t>
            </w:r>
          </w:p>
        </w:tc>
        <w:tc>
          <w:tcPr>
            <w:tcW w:w="1362" w:type="pct"/>
            <w:vAlign w:val="center"/>
          </w:tcPr>
          <w:p w14:paraId="2068F93D">
            <w:pPr>
              <w:pStyle w:val="2"/>
              <w:spacing w:after="0" w:line="240" w:lineRule="auto"/>
              <w:jc w:val="center"/>
              <w:rPr>
                <w:sz w:val="21"/>
                <w:szCs w:val="21"/>
                <w:highlight w:val="none"/>
              </w:rPr>
            </w:pPr>
            <w:r>
              <w:rPr>
                <w:sz w:val="21"/>
                <w:szCs w:val="21"/>
                <w:highlight w:val="none"/>
              </w:rPr>
              <w:t>鄂州市腾华工贸有限公司</w:t>
            </w:r>
          </w:p>
          <w:p w14:paraId="5A4FDBD2">
            <w:pPr>
              <w:pStyle w:val="2"/>
              <w:spacing w:after="0" w:line="240" w:lineRule="auto"/>
              <w:jc w:val="center"/>
              <w:rPr>
                <w:sz w:val="21"/>
                <w:szCs w:val="21"/>
                <w:highlight w:val="none"/>
              </w:rPr>
            </w:pPr>
            <w:r>
              <w:rPr>
                <w:sz w:val="21"/>
                <w:szCs w:val="21"/>
                <w:highlight w:val="none"/>
              </w:rPr>
              <w:t>华山工业园</w:t>
            </w:r>
          </w:p>
        </w:tc>
        <w:tc>
          <w:tcPr>
            <w:tcW w:w="1181" w:type="pct"/>
            <w:vAlign w:val="center"/>
          </w:tcPr>
          <w:p w14:paraId="667BEF5E">
            <w:pPr>
              <w:pStyle w:val="2"/>
              <w:spacing w:after="0" w:line="240" w:lineRule="auto"/>
              <w:jc w:val="center"/>
              <w:rPr>
                <w:sz w:val="21"/>
                <w:szCs w:val="21"/>
                <w:highlight w:val="none"/>
              </w:rPr>
            </w:pPr>
            <w:r>
              <w:rPr>
                <w:sz w:val="21"/>
                <w:szCs w:val="21"/>
                <w:highlight w:val="none"/>
              </w:rPr>
              <w:t>鄂州市鄂城区花湖开发区华山工业园15-16号</w:t>
            </w:r>
          </w:p>
        </w:tc>
        <w:tc>
          <w:tcPr>
            <w:tcW w:w="2113" w:type="pct"/>
            <w:vAlign w:val="center"/>
          </w:tcPr>
          <w:p w14:paraId="7CFFAB24">
            <w:pPr>
              <w:pStyle w:val="2"/>
              <w:spacing w:after="0" w:line="240" w:lineRule="auto"/>
              <w:jc w:val="center"/>
              <w:rPr>
                <w:sz w:val="21"/>
                <w:szCs w:val="21"/>
                <w:highlight w:val="none"/>
              </w:rPr>
            </w:pPr>
            <w:r>
              <w:rPr>
                <w:sz w:val="21"/>
                <w:szCs w:val="21"/>
                <w:highlight w:val="none"/>
              </w:rPr>
              <w:t>EPS泡沫、保温材料生产、销售；CZ型钢弯曲；彩钢瓦、夹芯板加工、销售</w:t>
            </w:r>
          </w:p>
        </w:tc>
      </w:tr>
      <w:tr w14:paraId="7A51D7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7158E93C">
            <w:pPr>
              <w:pStyle w:val="2"/>
              <w:spacing w:after="0" w:line="240" w:lineRule="auto"/>
              <w:jc w:val="center"/>
              <w:rPr>
                <w:sz w:val="21"/>
                <w:szCs w:val="21"/>
                <w:highlight w:val="none"/>
              </w:rPr>
            </w:pPr>
            <w:r>
              <w:rPr>
                <w:sz w:val="21"/>
                <w:szCs w:val="21"/>
                <w:highlight w:val="none"/>
              </w:rPr>
              <w:t>25</w:t>
            </w:r>
          </w:p>
        </w:tc>
        <w:tc>
          <w:tcPr>
            <w:tcW w:w="1362" w:type="pct"/>
            <w:vAlign w:val="center"/>
          </w:tcPr>
          <w:p w14:paraId="5FFE74B6">
            <w:pPr>
              <w:pStyle w:val="2"/>
              <w:spacing w:after="0" w:line="240" w:lineRule="auto"/>
              <w:jc w:val="center"/>
              <w:rPr>
                <w:sz w:val="21"/>
                <w:szCs w:val="21"/>
                <w:highlight w:val="none"/>
              </w:rPr>
            </w:pPr>
            <w:r>
              <w:rPr>
                <w:sz w:val="21"/>
                <w:szCs w:val="21"/>
                <w:highlight w:val="none"/>
              </w:rPr>
              <w:t>湖北恒颖超科技有限公司</w:t>
            </w:r>
          </w:p>
        </w:tc>
        <w:tc>
          <w:tcPr>
            <w:tcW w:w="1181" w:type="pct"/>
            <w:vAlign w:val="center"/>
          </w:tcPr>
          <w:p w14:paraId="2A52D030">
            <w:pPr>
              <w:pStyle w:val="2"/>
              <w:spacing w:after="0" w:line="240" w:lineRule="auto"/>
              <w:jc w:val="center"/>
              <w:rPr>
                <w:sz w:val="21"/>
                <w:szCs w:val="21"/>
                <w:highlight w:val="none"/>
              </w:rPr>
            </w:pPr>
            <w:r>
              <w:rPr>
                <w:sz w:val="21"/>
                <w:szCs w:val="21"/>
                <w:highlight w:val="none"/>
              </w:rPr>
              <w:t>鄂州市花湖开发区滨港东路以北</w:t>
            </w:r>
          </w:p>
        </w:tc>
        <w:tc>
          <w:tcPr>
            <w:tcW w:w="2113" w:type="pct"/>
            <w:vAlign w:val="center"/>
          </w:tcPr>
          <w:p w14:paraId="150DC90E">
            <w:pPr>
              <w:pStyle w:val="2"/>
              <w:spacing w:after="0" w:line="240" w:lineRule="auto"/>
              <w:jc w:val="center"/>
              <w:rPr>
                <w:sz w:val="21"/>
                <w:szCs w:val="21"/>
                <w:highlight w:val="none"/>
              </w:rPr>
            </w:pPr>
            <w:r>
              <w:rPr>
                <w:sz w:val="21"/>
                <w:szCs w:val="21"/>
                <w:highlight w:val="none"/>
              </w:rPr>
              <w:t>电子科技产品的设计、研发及制造；光通讯设备研发、生产及销售；五金件、金属构件加工、销售</w:t>
            </w:r>
          </w:p>
        </w:tc>
      </w:tr>
      <w:tr w14:paraId="51C8D5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shd w:val="clear" w:color="auto" w:fill="D7D7D7" w:themeFill="background1" w:themeFillShade="D8"/>
            <w:vAlign w:val="center"/>
          </w:tcPr>
          <w:p w14:paraId="1FF19D9A">
            <w:pPr>
              <w:pStyle w:val="2"/>
              <w:spacing w:after="0" w:line="240" w:lineRule="auto"/>
              <w:jc w:val="center"/>
              <w:rPr>
                <w:sz w:val="21"/>
                <w:szCs w:val="21"/>
                <w:highlight w:val="none"/>
              </w:rPr>
            </w:pPr>
            <w:r>
              <w:rPr>
                <w:b/>
                <w:bCs/>
                <w:sz w:val="21"/>
                <w:szCs w:val="21"/>
                <w:highlight w:val="none"/>
              </w:rPr>
              <w:t>26</w:t>
            </w:r>
          </w:p>
        </w:tc>
        <w:tc>
          <w:tcPr>
            <w:tcW w:w="1362" w:type="pct"/>
            <w:shd w:val="clear" w:color="auto" w:fill="D7D7D7" w:themeFill="background1" w:themeFillShade="D8"/>
            <w:vAlign w:val="center"/>
          </w:tcPr>
          <w:p w14:paraId="7E79A59C">
            <w:pPr>
              <w:pStyle w:val="2"/>
              <w:spacing w:after="0" w:line="240" w:lineRule="auto"/>
              <w:jc w:val="center"/>
              <w:rPr>
                <w:b/>
                <w:bCs/>
                <w:sz w:val="21"/>
                <w:szCs w:val="21"/>
                <w:highlight w:val="none"/>
              </w:rPr>
            </w:pPr>
            <w:r>
              <w:rPr>
                <w:b/>
                <w:bCs/>
                <w:sz w:val="21"/>
                <w:szCs w:val="21"/>
                <w:highlight w:val="none"/>
              </w:rPr>
              <w:t>湖北方正模具材料有限公司（湖北方振轧辊机械制造有限公司）</w:t>
            </w:r>
          </w:p>
        </w:tc>
        <w:tc>
          <w:tcPr>
            <w:tcW w:w="1181" w:type="pct"/>
            <w:shd w:val="clear" w:color="auto" w:fill="D7D7D7" w:themeFill="background1" w:themeFillShade="D8"/>
            <w:vAlign w:val="center"/>
          </w:tcPr>
          <w:p w14:paraId="41AA5B77">
            <w:pPr>
              <w:spacing w:line="240" w:lineRule="auto"/>
              <w:jc w:val="center"/>
              <w:rPr>
                <w:b/>
                <w:bCs/>
                <w:sz w:val="21"/>
                <w:szCs w:val="21"/>
                <w:highlight w:val="none"/>
              </w:rPr>
            </w:pPr>
            <w:r>
              <w:rPr>
                <w:b/>
                <w:bCs/>
                <w:sz w:val="21"/>
                <w:szCs w:val="21"/>
                <w:highlight w:val="none"/>
              </w:rPr>
              <w:t>鄂州市杨叶镇</w:t>
            </w:r>
          </w:p>
        </w:tc>
        <w:tc>
          <w:tcPr>
            <w:tcW w:w="2113" w:type="pct"/>
            <w:shd w:val="clear" w:color="auto" w:fill="D7D7D7" w:themeFill="background1" w:themeFillShade="D8"/>
            <w:vAlign w:val="center"/>
          </w:tcPr>
          <w:p w14:paraId="6F91186E">
            <w:pPr>
              <w:pStyle w:val="2"/>
              <w:spacing w:after="0" w:line="240" w:lineRule="auto"/>
              <w:jc w:val="center"/>
              <w:rPr>
                <w:b/>
                <w:bCs/>
                <w:sz w:val="21"/>
                <w:szCs w:val="21"/>
                <w:highlight w:val="none"/>
              </w:rPr>
            </w:pPr>
            <w:r>
              <w:rPr>
                <w:b/>
                <w:bCs/>
                <w:sz w:val="21"/>
                <w:szCs w:val="21"/>
                <w:highlight w:val="none"/>
              </w:rPr>
              <w:t>生产、销售：轧辊、滚丝轮、铸件、刀片、模胚、模具材料、普通机械产品及部件；加工：金属结构件、机械设备</w:t>
            </w:r>
          </w:p>
        </w:tc>
      </w:tr>
      <w:tr w14:paraId="524142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42515168">
            <w:pPr>
              <w:pStyle w:val="2"/>
              <w:spacing w:after="0" w:line="240" w:lineRule="auto"/>
              <w:jc w:val="center"/>
              <w:rPr>
                <w:b/>
                <w:bCs/>
                <w:sz w:val="21"/>
                <w:szCs w:val="21"/>
                <w:highlight w:val="none"/>
              </w:rPr>
            </w:pPr>
            <w:r>
              <w:rPr>
                <w:b/>
                <w:bCs/>
                <w:sz w:val="21"/>
                <w:szCs w:val="21"/>
                <w:highlight w:val="none"/>
              </w:rPr>
              <w:t>27</w:t>
            </w:r>
          </w:p>
        </w:tc>
        <w:tc>
          <w:tcPr>
            <w:tcW w:w="1362" w:type="pct"/>
            <w:vAlign w:val="center"/>
          </w:tcPr>
          <w:p w14:paraId="461C561F">
            <w:pPr>
              <w:pStyle w:val="2"/>
              <w:spacing w:after="0" w:line="240" w:lineRule="auto"/>
              <w:jc w:val="center"/>
              <w:rPr>
                <w:b/>
                <w:bCs/>
                <w:sz w:val="21"/>
                <w:szCs w:val="21"/>
                <w:highlight w:val="none"/>
              </w:rPr>
            </w:pPr>
            <w:r>
              <w:rPr>
                <w:b/>
                <w:bCs/>
                <w:sz w:val="21"/>
                <w:szCs w:val="21"/>
                <w:highlight w:val="none"/>
              </w:rPr>
              <w:t>湖北金龄高合金钢有限公司</w:t>
            </w:r>
          </w:p>
        </w:tc>
        <w:tc>
          <w:tcPr>
            <w:tcW w:w="1181" w:type="pct"/>
            <w:vAlign w:val="center"/>
          </w:tcPr>
          <w:p w14:paraId="6CDA5793">
            <w:pPr>
              <w:spacing w:line="240" w:lineRule="auto"/>
              <w:jc w:val="center"/>
              <w:rPr>
                <w:b/>
                <w:bCs/>
                <w:sz w:val="21"/>
                <w:szCs w:val="21"/>
                <w:highlight w:val="none"/>
              </w:rPr>
            </w:pPr>
            <w:r>
              <w:rPr>
                <w:b/>
                <w:bCs/>
                <w:sz w:val="21"/>
                <w:szCs w:val="21"/>
                <w:highlight w:val="none"/>
              </w:rPr>
              <w:t>湖北省鄂州市鄂城区杨叶镇杨叶大道</w:t>
            </w:r>
          </w:p>
        </w:tc>
        <w:tc>
          <w:tcPr>
            <w:tcW w:w="2113" w:type="pct"/>
            <w:vAlign w:val="center"/>
          </w:tcPr>
          <w:p w14:paraId="4C9E9397">
            <w:pPr>
              <w:pStyle w:val="2"/>
              <w:spacing w:after="0" w:line="240" w:lineRule="auto"/>
              <w:jc w:val="center"/>
              <w:rPr>
                <w:b/>
                <w:bCs/>
                <w:sz w:val="21"/>
                <w:szCs w:val="21"/>
                <w:highlight w:val="none"/>
              </w:rPr>
            </w:pPr>
            <w:r>
              <w:rPr>
                <w:b/>
                <w:bCs/>
                <w:sz w:val="21"/>
                <w:szCs w:val="21"/>
                <w:highlight w:val="none"/>
              </w:rPr>
              <w:t>加工、锻造：工业模具钢、高合金钢</w:t>
            </w:r>
          </w:p>
        </w:tc>
      </w:tr>
      <w:tr w14:paraId="726E88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661B05E3">
            <w:pPr>
              <w:pStyle w:val="2"/>
              <w:spacing w:after="0" w:line="240" w:lineRule="auto"/>
              <w:jc w:val="center"/>
              <w:rPr>
                <w:b/>
                <w:bCs/>
                <w:sz w:val="21"/>
                <w:szCs w:val="21"/>
                <w:highlight w:val="none"/>
              </w:rPr>
            </w:pPr>
            <w:r>
              <w:rPr>
                <w:sz w:val="21"/>
                <w:szCs w:val="21"/>
                <w:highlight w:val="none"/>
              </w:rPr>
              <w:t>28</w:t>
            </w:r>
          </w:p>
        </w:tc>
        <w:tc>
          <w:tcPr>
            <w:tcW w:w="1362" w:type="pct"/>
            <w:vAlign w:val="center"/>
          </w:tcPr>
          <w:p w14:paraId="0B2FE7DF">
            <w:pPr>
              <w:pStyle w:val="2"/>
              <w:spacing w:after="0" w:line="240" w:lineRule="auto"/>
              <w:jc w:val="center"/>
              <w:rPr>
                <w:sz w:val="21"/>
                <w:szCs w:val="21"/>
                <w:highlight w:val="none"/>
              </w:rPr>
            </w:pPr>
            <w:r>
              <w:rPr>
                <w:sz w:val="21"/>
                <w:szCs w:val="21"/>
                <w:highlight w:val="none"/>
              </w:rPr>
              <w:t>鄂州安得物流有限公司</w:t>
            </w:r>
          </w:p>
        </w:tc>
        <w:tc>
          <w:tcPr>
            <w:tcW w:w="1181" w:type="pct"/>
            <w:vAlign w:val="center"/>
          </w:tcPr>
          <w:p w14:paraId="6D4E80DA">
            <w:pPr>
              <w:spacing w:line="240" w:lineRule="auto"/>
              <w:jc w:val="center"/>
              <w:rPr>
                <w:sz w:val="21"/>
                <w:szCs w:val="21"/>
                <w:highlight w:val="none"/>
              </w:rPr>
            </w:pPr>
            <w:r>
              <w:rPr>
                <w:sz w:val="21"/>
                <w:szCs w:val="21"/>
                <w:highlight w:val="none"/>
              </w:rPr>
              <w:t>鄂州市花湖开发区</w:t>
            </w:r>
          </w:p>
        </w:tc>
        <w:tc>
          <w:tcPr>
            <w:tcW w:w="2113" w:type="pct"/>
            <w:vAlign w:val="center"/>
          </w:tcPr>
          <w:p w14:paraId="0991816A">
            <w:pPr>
              <w:pStyle w:val="2"/>
              <w:spacing w:after="0" w:line="240" w:lineRule="auto"/>
              <w:jc w:val="center"/>
              <w:rPr>
                <w:sz w:val="21"/>
                <w:szCs w:val="21"/>
                <w:highlight w:val="none"/>
              </w:rPr>
            </w:pPr>
            <w:r>
              <w:rPr>
                <w:sz w:val="21"/>
                <w:szCs w:val="21"/>
                <w:highlight w:val="none"/>
              </w:rPr>
              <w:t>普通货运；货运代理；仓储服务</w:t>
            </w:r>
          </w:p>
        </w:tc>
      </w:tr>
      <w:tr w14:paraId="71E4A6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4BF49E91">
            <w:pPr>
              <w:pStyle w:val="2"/>
              <w:spacing w:after="0" w:line="240" w:lineRule="auto"/>
              <w:jc w:val="center"/>
              <w:rPr>
                <w:sz w:val="21"/>
                <w:szCs w:val="21"/>
                <w:highlight w:val="none"/>
              </w:rPr>
            </w:pPr>
            <w:r>
              <w:rPr>
                <w:sz w:val="21"/>
                <w:szCs w:val="21"/>
                <w:highlight w:val="none"/>
              </w:rPr>
              <w:t>29</w:t>
            </w:r>
          </w:p>
        </w:tc>
        <w:tc>
          <w:tcPr>
            <w:tcW w:w="1362" w:type="pct"/>
            <w:vAlign w:val="center"/>
          </w:tcPr>
          <w:p w14:paraId="59F63760">
            <w:pPr>
              <w:pStyle w:val="2"/>
              <w:spacing w:after="0" w:line="240" w:lineRule="auto"/>
              <w:jc w:val="center"/>
              <w:rPr>
                <w:sz w:val="21"/>
                <w:szCs w:val="21"/>
                <w:highlight w:val="none"/>
              </w:rPr>
            </w:pPr>
            <w:r>
              <w:rPr>
                <w:sz w:val="21"/>
                <w:szCs w:val="21"/>
                <w:highlight w:val="none"/>
              </w:rPr>
              <w:t>鄂州市北汇橡塑制品厂</w:t>
            </w:r>
          </w:p>
        </w:tc>
        <w:tc>
          <w:tcPr>
            <w:tcW w:w="1181" w:type="pct"/>
            <w:vAlign w:val="center"/>
          </w:tcPr>
          <w:p w14:paraId="13468FFC">
            <w:pPr>
              <w:spacing w:line="240" w:lineRule="auto"/>
              <w:jc w:val="center"/>
              <w:rPr>
                <w:sz w:val="21"/>
                <w:szCs w:val="21"/>
                <w:highlight w:val="none"/>
              </w:rPr>
            </w:pPr>
            <w:r>
              <w:rPr>
                <w:sz w:val="21"/>
                <w:szCs w:val="21"/>
                <w:highlight w:val="none"/>
              </w:rPr>
              <w:t>鄂州市花湖经济开发区金鸡桥</w:t>
            </w:r>
          </w:p>
        </w:tc>
        <w:tc>
          <w:tcPr>
            <w:tcW w:w="2113" w:type="pct"/>
            <w:vAlign w:val="center"/>
          </w:tcPr>
          <w:p w14:paraId="4035D4E8">
            <w:pPr>
              <w:pStyle w:val="2"/>
              <w:spacing w:after="0" w:line="240" w:lineRule="auto"/>
              <w:jc w:val="center"/>
              <w:rPr>
                <w:sz w:val="21"/>
                <w:szCs w:val="21"/>
                <w:highlight w:val="none"/>
              </w:rPr>
            </w:pPr>
            <w:r>
              <w:rPr>
                <w:sz w:val="21"/>
                <w:szCs w:val="21"/>
                <w:highlight w:val="none"/>
              </w:rPr>
              <w:t>生产销售：橡塑制品、通用机械设备、五金工具</w:t>
            </w:r>
          </w:p>
        </w:tc>
      </w:tr>
      <w:tr w14:paraId="5F3E33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319F9A56">
            <w:pPr>
              <w:pStyle w:val="2"/>
              <w:spacing w:after="0" w:line="240" w:lineRule="auto"/>
              <w:jc w:val="center"/>
              <w:rPr>
                <w:sz w:val="21"/>
                <w:szCs w:val="21"/>
                <w:highlight w:val="none"/>
              </w:rPr>
            </w:pPr>
            <w:r>
              <w:rPr>
                <w:sz w:val="21"/>
                <w:szCs w:val="21"/>
                <w:highlight w:val="none"/>
              </w:rPr>
              <w:t>30</w:t>
            </w:r>
          </w:p>
        </w:tc>
        <w:tc>
          <w:tcPr>
            <w:tcW w:w="1362" w:type="pct"/>
            <w:vAlign w:val="center"/>
          </w:tcPr>
          <w:p w14:paraId="58DD3EEC">
            <w:pPr>
              <w:pStyle w:val="2"/>
              <w:spacing w:after="0" w:line="240" w:lineRule="auto"/>
              <w:jc w:val="center"/>
              <w:rPr>
                <w:sz w:val="21"/>
                <w:szCs w:val="21"/>
                <w:highlight w:val="none"/>
              </w:rPr>
            </w:pPr>
            <w:r>
              <w:rPr>
                <w:sz w:val="21"/>
                <w:szCs w:val="21"/>
                <w:highlight w:val="none"/>
              </w:rPr>
              <w:t>湖北中都集团混凝土有限公司鄂州分公司</w:t>
            </w:r>
          </w:p>
        </w:tc>
        <w:tc>
          <w:tcPr>
            <w:tcW w:w="1181" w:type="pct"/>
            <w:vAlign w:val="center"/>
          </w:tcPr>
          <w:p w14:paraId="711E4422">
            <w:pPr>
              <w:spacing w:line="240" w:lineRule="auto"/>
              <w:jc w:val="center"/>
              <w:rPr>
                <w:sz w:val="21"/>
                <w:szCs w:val="21"/>
                <w:highlight w:val="none"/>
              </w:rPr>
            </w:pPr>
            <w:r>
              <w:rPr>
                <w:sz w:val="21"/>
                <w:szCs w:val="21"/>
                <w:highlight w:val="none"/>
              </w:rPr>
              <w:t>鄂州市花湖镇华山村</w:t>
            </w:r>
          </w:p>
        </w:tc>
        <w:tc>
          <w:tcPr>
            <w:tcW w:w="2113" w:type="pct"/>
            <w:vAlign w:val="center"/>
          </w:tcPr>
          <w:p w14:paraId="4EF86730">
            <w:pPr>
              <w:pStyle w:val="2"/>
              <w:spacing w:after="0" w:line="240" w:lineRule="auto"/>
              <w:jc w:val="center"/>
              <w:rPr>
                <w:sz w:val="21"/>
                <w:szCs w:val="21"/>
                <w:highlight w:val="none"/>
              </w:rPr>
            </w:pPr>
            <w:r>
              <w:rPr>
                <w:sz w:val="21"/>
                <w:szCs w:val="21"/>
                <w:highlight w:val="none"/>
              </w:rPr>
              <w:t>预拌、构件制作、商品混凝土加工，汽车普通货运</w:t>
            </w:r>
          </w:p>
        </w:tc>
      </w:tr>
      <w:tr w14:paraId="5A9DA8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479C8C4A">
            <w:pPr>
              <w:pStyle w:val="2"/>
              <w:spacing w:after="0" w:line="240" w:lineRule="auto"/>
              <w:jc w:val="center"/>
              <w:rPr>
                <w:sz w:val="21"/>
                <w:szCs w:val="21"/>
                <w:highlight w:val="none"/>
              </w:rPr>
            </w:pPr>
            <w:r>
              <w:rPr>
                <w:sz w:val="21"/>
                <w:szCs w:val="21"/>
                <w:highlight w:val="none"/>
              </w:rPr>
              <w:t>31</w:t>
            </w:r>
          </w:p>
        </w:tc>
        <w:tc>
          <w:tcPr>
            <w:tcW w:w="1362" w:type="pct"/>
            <w:vAlign w:val="center"/>
          </w:tcPr>
          <w:p w14:paraId="7EB1BF38">
            <w:pPr>
              <w:pStyle w:val="2"/>
              <w:spacing w:after="0" w:line="240" w:lineRule="auto"/>
              <w:jc w:val="center"/>
              <w:rPr>
                <w:sz w:val="21"/>
                <w:szCs w:val="21"/>
                <w:highlight w:val="none"/>
              </w:rPr>
            </w:pPr>
            <w:r>
              <w:rPr>
                <w:sz w:val="21"/>
                <w:szCs w:val="21"/>
                <w:highlight w:val="none"/>
              </w:rPr>
              <w:t>鄂州大远模具有限公司</w:t>
            </w:r>
          </w:p>
        </w:tc>
        <w:tc>
          <w:tcPr>
            <w:tcW w:w="1181" w:type="pct"/>
            <w:vAlign w:val="center"/>
          </w:tcPr>
          <w:p w14:paraId="5A3E34BB">
            <w:pPr>
              <w:spacing w:line="240" w:lineRule="auto"/>
              <w:jc w:val="center"/>
              <w:rPr>
                <w:sz w:val="21"/>
                <w:szCs w:val="21"/>
                <w:highlight w:val="none"/>
              </w:rPr>
            </w:pPr>
            <w:r>
              <w:rPr>
                <w:sz w:val="21"/>
                <w:szCs w:val="21"/>
                <w:highlight w:val="none"/>
              </w:rPr>
              <w:t>鄂州市花湖镇华山村</w:t>
            </w:r>
          </w:p>
        </w:tc>
        <w:tc>
          <w:tcPr>
            <w:tcW w:w="2113" w:type="pct"/>
            <w:vAlign w:val="center"/>
          </w:tcPr>
          <w:p w14:paraId="2919908F">
            <w:pPr>
              <w:pStyle w:val="2"/>
              <w:spacing w:after="0" w:line="240" w:lineRule="auto"/>
              <w:jc w:val="center"/>
              <w:rPr>
                <w:sz w:val="21"/>
                <w:szCs w:val="21"/>
                <w:highlight w:val="none"/>
              </w:rPr>
            </w:pPr>
            <w:r>
              <w:rPr>
                <w:sz w:val="21"/>
                <w:szCs w:val="21"/>
                <w:highlight w:val="none"/>
              </w:rPr>
              <w:t>销售：模具、钢材及配件、塑料型材</w:t>
            </w:r>
          </w:p>
        </w:tc>
      </w:tr>
      <w:tr w14:paraId="79BCD7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11F26C85">
            <w:pPr>
              <w:pStyle w:val="2"/>
              <w:spacing w:after="0" w:line="240" w:lineRule="auto"/>
              <w:jc w:val="center"/>
              <w:rPr>
                <w:sz w:val="21"/>
                <w:szCs w:val="21"/>
                <w:highlight w:val="none"/>
              </w:rPr>
            </w:pPr>
            <w:r>
              <w:rPr>
                <w:sz w:val="21"/>
                <w:szCs w:val="21"/>
                <w:highlight w:val="none"/>
              </w:rPr>
              <w:t>32</w:t>
            </w:r>
          </w:p>
        </w:tc>
        <w:tc>
          <w:tcPr>
            <w:tcW w:w="1362" w:type="pct"/>
            <w:vAlign w:val="center"/>
          </w:tcPr>
          <w:p w14:paraId="73F7DDF2">
            <w:pPr>
              <w:pStyle w:val="2"/>
              <w:spacing w:after="0" w:line="240" w:lineRule="auto"/>
              <w:jc w:val="center"/>
              <w:rPr>
                <w:sz w:val="21"/>
                <w:szCs w:val="21"/>
                <w:highlight w:val="none"/>
              </w:rPr>
            </w:pPr>
            <w:r>
              <w:rPr>
                <w:sz w:val="21"/>
                <w:szCs w:val="21"/>
                <w:highlight w:val="none"/>
              </w:rPr>
              <w:t>鄂州市跃辉工贸有限公司</w:t>
            </w:r>
          </w:p>
        </w:tc>
        <w:tc>
          <w:tcPr>
            <w:tcW w:w="1181" w:type="pct"/>
            <w:vAlign w:val="center"/>
          </w:tcPr>
          <w:p w14:paraId="68E8A478">
            <w:pPr>
              <w:spacing w:line="240" w:lineRule="auto"/>
              <w:jc w:val="center"/>
              <w:rPr>
                <w:sz w:val="21"/>
                <w:szCs w:val="21"/>
                <w:highlight w:val="none"/>
              </w:rPr>
            </w:pPr>
            <w:r>
              <w:rPr>
                <w:sz w:val="21"/>
                <w:szCs w:val="21"/>
                <w:highlight w:val="none"/>
              </w:rPr>
              <w:t>鄂州市花湖开发区海洲工业园3号</w:t>
            </w:r>
          </w:p>
        </w:tc>
        <w:tc>
          <w:tcPr>
            <w:tcW w:w="2113" w:type="pct"/>
            <w:vAlign w:val="center"/>
          </w:tcPr>
          <w:p w14:paraId="19F1A805">
            <w:pPr>
              <w:pStyle w:val="2"/>
              <w:spacing w:after="0" w:line="240" w:lineRule="auto"/>
              <w:jc w:val="center"/>
              <w:rPr>
                <w:sz w:val="21"/>
                <w:szCs w:val="21"/>
                <w:highlight w:val="none"/>
              </w:rPr>
            </w:pPr>
            <w:r>
              <w:rPr>
                <w:sz w:val="21"/>
                <w:szCs w:val="21"/>
                <w:highlight w:val="none"/>
              </w:rPr>
              <w:t>金属热处理加工、销售；钢材校直、物理变形、销售；模具销售</w:t>
            </w:r>
          </w:p>
        </w:tc>
      </w:tr>
      <w:tr w14:paraId="7FEC19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shd w:val="clear" w:color="auto" w:fill="D7D7D7" w:themeFill="background1" w:themeFillShade="D8"/>
            <w:vAlign w:val="center"/>
          </w:tcPr>
          <w:p w14:paraId="7DD7EA41">
            <w:pPr>
              <w:pStyle w:val="2"/>
              <w:spacing w:after="0" w:line="240" w:lineRule="auto"/>
              <w:jc w:val="center"/>
              <w:rPr>
                <w:sz w:val="21"/>
                <w:szCs w:val="21"/>
                <w:highlight w:val="none"/>
              </w:rPr>
            </w:pPr>
            <w:r>
              <w:rPr>
                <w:sz w:val="21"/>
                <w:szCs w:val="21"/>
                <w:highlight w:val="none"/>
              </w:rPr>
              <w:t>33</w:t>
            </w:r>
          </w:p>
        </w:tc>
        <w:tc>
          <w:tcPr>
            <w:tcW w:w="1362" w:type="pct"/>
            <w:shd w:val="clear" w:color="auto" w:fill="D7D7D7" w:themeFill="background1" w:themeFillShade="D8"/>
            <w:vAlign w:val="center"/>
          </w:tcPr>
          <w:p w14:paraId="3F9A6DC1">
            <w:pPr>
              <w:pStyle w:val="2"/>
              <w:spacing w:after="0" w:line="240" w:lineRule="auto"/>
              <w:jc w:val="center"/>
              <w:rPr>
                <w:sz w:val="21"/>
                <w:szCs w:val="21"/>
                <w:highlight w:val="none"/>
              </w:rPr>
            </w:pPr>
            <w:r>
              <w:rPr>
                <w:sz w:val="21"/>
                <w:szCs w:val="21"/>
                <w:highlight w:val="none"/>
              </w:rPr>
              <w:t>鄂州市花湖华金石材厂</w:t>
            </w:r>
          </w:p>
        </w:tc>
        <w:tc>
          <w:tcPr>
            <w:tcW w:w="1181" w:type="pct"/>
            <w:shd w:val="clear" w:color="auto" w:fill="D7D7D7" w:themeFill="background1" w:themeFillShade="D8"/>
            <w:vAlign w:val="center"/>
          </w:tcPr>
          <w:p w14:paraId="05DB4861">
            <w:pPr>
              <w:spacing w:line="240" w:lineRule="auto"/>
              <w:jc w:val="center"/>
              <w:rPr>
                <w:sz w:val="21"/>
                <w:szCs w:val="21"/>
                <w:highlight w:val="none"/>
              </w:rPr>
            </w:pPr>
            <w:r>
              <w:rPr>
                <w:sz w:val="21"/>
                <w:szCs w:val="21"/>
                <w:highlight w:val="none"/>
              </w:rPr>
              <w:t>花湖镇华山村</w:t>
            </w:r>
          </w:p>
        </w:tc>
        <w:tc>
          <w:tcPr>
            <w:tcW w:w="2113" w:type="pct"/>
            <w:shd w:val="clear" w:color="auto" w:fill="D7D7D7" w:themeFill="background1" w:themeFillShade="D8"/>
            <w:vAlign w:val="center"/>
          </w:tcPr>
          <w:p w14:paraId="61C18BE5">
            <w:pPr>
              <w:pStyle w:val="2"/>
              <w:spacing w:after="0" w:line="240" w:lineRule="auto"/>
              <w:jc w:val="center"/>
              <w:rPr>
                <w:sz w:val="21"/>
                <w:szCs w:val="21"/>
                <w:highlight w:val="none"/>
              </w:rPr>
            </w:pPr>
            <w:r>
              <w:rPr>
                <w:sz w:val="21"/>
                <w:szCs w:val="21"/>
                <w:highlight w:val="none"/>
              </w:rPr>
              <w:t>石材加工及销售</w:t>
            </w:r>
          </w:p>
        </w:tc>
      </w:tr>
      <w:tr w14:paraId="24E553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shd w:val="clear" w:color="auto" w:fill="D7D7D7" w:themeFill="background1" w:themeFillShade="D8"/>
            <w:vAlign w:val="center"/>
          </w:tcPr>
          <w:p w14:paraId="4739CEB9">
            <w:pPr>
              <w:pStyle w:val="2"/>
              <w:spacing w:after="0" w:line="240" w:lineRule="auto"/>
              <w:jc w:val="center"/>
              <w:rPr>
                <w:sz w:val="21"/>
                <w:szCs w:val="21"/>
                <w:highlight w:val="none"/>
              </w:rPr>
            </w:pPr>
            <w:r>
              <w:rPr>
                <w:sz w:val="21"/>
                <w:szCs w:val="21"/>
                <w:highlight w:val="none"/>
              </w:rPr>
              <w:t>34</w:t>
            </w:r>
          </w:p>
        </w:tc>
        <w:tc>
          <w:tcPr>
            <w:tcW w:w="1362" w:type="pct"/>
            <w:shd w:val="clear" w:color="auto" w:fill="D7D7D7" w:themeFill="background1" w:themeFillShade="D8"/>
            <w:vAlign w:val="center"/>
          </w:tcPr>
          <w:p w14:paraId="1D008DB4">
            <w:pPr>
              <w:pStyle w:val="2"/>
              <w:spacing w:after="0" w:line="240" w:lineRule="auto"/>
              <w:jc w:val="center"/>
              <w:rPr>
                <w:sz w:val="21"/>
                <w:szCs w:val="21"/>
                <w:highlight w:val="none"/>
              </w:rPr>
            </w:pPr>
            <w:r>
              <w:rPr>
                <w:sz w:val="21"/>
                <w:szCs w:val="21"/>
                <w:highlight w:val="none"/>
              </w:rPr>
              <w:t>鄂州市花湖开发区靖新石材厂</w:t>
            </w:r>
          </w:p>
        </w:tc>
        <w:tc>
          <w:tcPr>
            <w:tcW w:w="1181" w:type="pct"/>
            <w:shd w:val="clear" w:color="auto" w:fill="D7D7D7" w:themeFill="background1" w:themeFillShade="D8"/>
            <w:vAlign w:val="center"/>
          </w:tcPr>
          <w:p w14:paraId="34090C6F">
            <w:pPr>
              <w:spacing w:line="240" w:lineRule="auto"/>
              <w:jc w:val="center"/>
              <w:rPr>
                <w:sz w:val="21"/>
                <w:szCs w:val="21"/>
                <w:highlight w:val="none"/>
              </w:rPr>
            </w:pPr>
            <w:r>
              <w:rPr>
                <w:sz w:val="21"/>
                <w:szCs w:val="21"/>
                <w:highlight w:val="none"/>
              </w:rPr>
              <w:t>花湖开发区</w:t>
            </w:r>
          </w:p>
        </w:tc>
        <w:tc>
          <w:tcPr>
            <w:tcW w:w="2113" w:type="pct"/>
            <w:shd w:val="clear" w:color="auto" w:fill="D7D7D7" w:themeFill="background1" w:themeFillShade="D8"/>
            <w:vAlign w:val="center"/>
          </w:tcPr>
          <w:p w14:paraId="212A575B">
            <w:pPr>
              <w:pStyle w:val="2"/>
              <w:spacing w:after="0" w:line="240" w:lineRule="auto"/>
              <w:jc w:val="center"/>
              <w:rPr>
                <w:sz w:val="21"/>
                <w:szCs w:val="21"/>
                <w:highlight w:val="none"/>
              </w:rPr>
            </w:pPr>
            <w:r>
              <w:rPr>
                <w:sz w:val="21"/>
                <w:szCs w:val="21"/>
                <w:highlight w:val="none"/>
              </w:rPr>
              <w:t>石材加工、销售</w:t>
            </w:r>
          </w:p>
        </w:tc>
      </w:tr>
      <w:tr w14:paraId="4585DC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5A0FC4DD">
            <w:pPr>
              <w:pStyle w:val="2"/>
              <w:spacing w:after="0" w:line="240" w:lineRule="auto"/>
              <w:jc w:val="center"/>
              <w:rPr>
                <w:sz w:val="21"/>
                <w:szCs w:val="21"/>
                <w:highlight w:val="none"/>
              </w:rPr>
            </w:pPr>
            <w:r>
              <w:rPr>
                <w:sz w:val="21"/>
                <w:szCs w:val="21"/>
                <w:highlight w:val="none"/>
              </w:rPr>
              <w:t>35</w:t>
            </w:r>
          </w:p>
        </w:tc>
        <w:tc>
          <w:tcPr>
            <w:tcW w:w="1362" w:type="pct"/>
            <w:vAlign w:val="center"/>
          </w:tcPr>
          <w:p w14:paraId="0E88EE58">
            <w:pPr>
              <w:pStyle w:val="2"/>
              <w:spacing w:after="0" w:line="240" w:lineRule="auto"/>
              <w:jc w:val="center"/>
              <w:rPr>
                <w:sz w:val="21"/>
                <w:szCs w:val="21"/>
                <w:highlight w:val="none"/>
              </w:rPr>
            </w:pPr>
            <w:r>
              <w:rPr>
                <w:sz w:val="21"/>
                <w:szCs w:val="21"/>
                <w:highlight w:val="none"/>
              </w:rPr>
              <w:t>湖北楚东机动车检测有限公司</w:t>
            </w:r>
          </w:p>
        </w:tc>
        <w:tc>
          <w:tcPr>
            <w:tcW w:w="1181" w:type="pct"/>
            <w:vAlign w:val="center"/>
          </w:tcPr>
          <w:p w14:paraId="421B873D">
            <w:pPr>
              <w:spacing w:line="240" w:lineRule="auto"/>
              <w:jc w:val="center"/>
              <w:rPr>
                <w:sz w:val="21"/>
                <w:szCs w:val="21"/>
                <w:highlight w:val="none"/>
              </w:rPr>
            </w:pPr>
            <w:r>
              <w:rPr>
                <w:sz w:val="21"/>
                <w:szCs w:val="21"/>
                <w:highlight w:val="none"/>
              </w:rPr>
              <w:t>鄂州市花湖经济开发区滨港路</w:t>
            </w:r>
          </w:p>
        </w:tc>
        <w:tc>
          <w:tcPr>
            <w:tcW w:w="2113" w:type="pct"/>
            <w:vAlign w:val="center"/>
          </w:tcPr>
          <w:p w14:paraId="65212B15">
            <w:pPr>
              <w:pStyle w:val="2"/>
              <w:spacing w:after="0" w:line="240" w:lineRule="auto"/>
              <w:jc w:val="center"/>
              <w:rPr>
                <w:sz w:val="21"/>
                <w:szCs w:val="21"/>
                <w:highlight w:val="none"/>
              </w:rPr>
            </w:pPr>
            <w:r>
              <w:rPr>
                <w:sz w:val="21"/>
                <w:szCs w:val="21"/>
                <w:highlight w:val="none"/>
              </w:rPr>
              <w:t>机动车安全检测；机动车环保检测；机动车综合性能检测</w:t>
            </w:r>
          </w:p>
        </w:tc>
      </w:tr>
      <w:tr w14:paraId="672BDB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3" w:type="pct"/>
            <w:shd w:val="clear" w:color="auto" w:fill="D7D7D7" w:themeFill="background1" w:themeFillShade="D8"/>
            <w:vAlign w:val="center"/>
          </w:tcPr>
          <w:p w14:paraId="074D47BE">
            <w:pPr>
              <w:pStyle w:val="2"/>
              <w:spacing w:after="0" w:line="240" w:lineRule="auto"/>
              <w:jc w:val="center"/>
              <w:rPr>
                <w:sz w:val="21"/>
                <w:szCs w:val="21"/>
                <w:highlight w:val="none"/>
              </w:rPr>
            </w:pPr>
            <w:r>
              <w:rPr>
                <w:sz w:val="21"/>
                <w:szCs w:val="21"/>
                <w:highlight w:val="none"/>
              </w:rPr>
              <w:t>36</w:t>
            </w:r>
          </w:p>
        </w:tc>
        <w:tc>
          <w:tcPr>
            <w:tcW w:w="1362" w:type="pct"/>
            <w:shd w:val="clear" w:color="auto" w:fill="D7D7D7" w:themeFill="background1" w:themeFillShade="D8"/>
            <w:vAlign w:val="center"/>
          </w:tcPr>
          <w:p w14:paraId="65E60E4C">
            <w:pPr>
              <w:pStyle w:val="2"/>
              <w:spacing w:after="0" w:line="240" w:lineRule="auto"/>
              <w:jc w:val="center"/>
              <w:rPr>
                <w:sz w:val="21"/>
                <w:szCs w:val="21"/>
                <w:highlight w:val="none"/>
              </w:rPr>
            </w:pPr>
            <w:r>
              <w:rPr>
                <w:sz w:val="21"/>
                <w:szCs w:val="21"/>
                <w:highlight w:val="none"/>
              </w:rPr>
              <w:t>湖北鸿志置业有限公司</w:t>
            </w:r>
          </w:p>
        </w:tc>
        <w:tc>
          <w:tcPr>
            <w:tcW w:w="1181" w:type="pct"/>
            <w:shd w:val="clear" w:color="auto" w:fill="D7D7D7" w:themeFill="background1" w:themeFillShade="D8"/>
            <w:vAlign w:val="center"/>
          </w:tcPr>
          <w:p w14:paraId="423245A2">
            <w:pPr>
              <w:spacing w:line="240" w:lineRule="auto"/>
              <w:jc w:val="center"/>
              <w:rPr>
                <w:sz w:val="21"/>
                <w:szCs w:val="21"/>
                <w:highlight w:val="none"/>
              </w:rPr>
            </w:pPr>
            <w:r>
              <w:rPr>
                <w:sz w:val="21"/>
                <w:szCs w:val="21"/>
                <w:highlight w:val="none"/>
              </w:rPr>
              <w:t>鄂州市花湖开发区</w:t>
            </w:r>
          </w:p>
        </w:tc>
        <w:tc>
          <w:tcPr>
            <w:tcW w:w="2113" w:type="pct"/>
            <w:shd w:val="clear" w:color="auto" w:fill="D7D7D7" w:themeFill="background1" w:themeFillShade="D8"/>
            <w:vAlign w:val="center"/>
          </w:tcPr>
          <w:p w14:paraId="01B54AB9">
            <w:pPr>
              <w:pStyle w:val="2"/>
              <w:spacing w:after="0" w:line="240" w:lineRule="auto"/>
              <w:jc w:val="center"/>
              <w:rPr>
                <w:sz w:val="21"/>
                <w:szCs w:val="21"/>
                <w:highlight w:val="none"/>
              </w:rPr>
            </w:pPr>
            <w:r>
              <w:rPr>
                <w:sz w:val="21"/>
                <w:szCs w:val="21"/>
                <w:highlight w:val="none"/>
              </w:rPr>
              <w:t>金属结构件制作</w:t>
            </w:r>
          </w:p>
        </w:tc>
      </w:tr>
      <w:bookmarkEnd w:id="13"/>
    </w:tbl>
    <w:p w14:paraId="35CD03C0">
      <w:pPr>
        <w:keepNext/>
        <w:keepLines/>
        <w:tabs>
          <w:tab w:val="left" w:pos="425"/>
        </w:tabs>
        <w:spacing w:line="240" w:lineRule="auto"/>
        <w:rPr>
          <w:b/>
          <w:bCs/>
          <w:color w:val="000000" w:themeColor="text1"/>
          <w:sz w:val="18"/>
          <w:szCs w:val="18"/>
          <w:highlight w:val="none"/>
          <w14:textFill>
            <w14:solidFill>
              <w14:schemeClr w14:val="tx1"/>
            </w14:solidFill>
          </w14:textFill>
        </w:rPr>
      </w:pPr>
      <w:r>
        <w:rPr>
          <w:b/>
          <w:bCs/>
          <w:color w:val="000000" w:themeColor="text1"/>
          <w:sz w:val="18"/>
          <w:szCs w:val="18"/>
          <w:highlight w:val="none"/>
          <w14:textFill>
            <w14:solidFill>
              <w14:schemeClr w14:val="tx1"/>
            </w14:solidFill>
          </w14:textFill>
        </w:rPr>
        <w:t>注：</w:t>
      </w:r>
      <w:r>
        <w:rPr>
          <w:rFonts w:hint="eastAsia"/>
          <w:b/>
          <w:bCs/>
          <w:color w:val="000000" w:themeColor="text1"/>
          <w:sz w:val="18"/>
          <w:szCs w:val="18"/>
          <w:highlight w:val="none"/>
          <w14:textFill>
            <w14:solidFill>
              <w14:schemeClr w14:val="tx1"/>
            </w14:solidFill>
          </w14:textFill>
        </w:rPr>
        <w:t>①</w:t>
      </w:r>
      <w:r>
        <w:rPr>
          <w:b/>
          <w:bCs/>
          <w:color w:val="000000" w:themeColor="text1"/>
          <w:sz w:val="18"/>
          <w:szCs w:val="18"/>
          <w:highlight w:val="none"/>
          <w14:textFill>
            <w14:solidFill>
              <w14:schemeClr w14:val="tx1"/>
            </w14:solidFill>
          </w14:textFill>
        </w:rPr>
        <w:t>企业位置和主要经营范围</w:t>
      </w:r>
      <w:r>
        <w:rPr>
          <w:rFonts w:hint="eastAsia"/>
          <w:b/>
          <w:bCs/>
          <w:color w:val="000000" w:themeColor="text1"/>
          <w:sz w:val="18"/>
          <w:szCs w:val="18"/>
          <w:highlight w:val="none"/>
          <w14:textFill>
            <w14:solidFill>
              <w14:schemeClr w14:val="tx1"/>
            </w14:solidFill>
          </w14:textFill>
        </w:rPr>
        <w:t>结合现场踏勘情况及</w:t>
      </w:r>
      <w:r>
        <w:rPr>
          <w:b/>
          <w:bCs/>
          <w:color w:val="000000" w:themeColor="text1"/>
          <w:sz w:val="18"/>
          <w:szCs w:val="18"/>
          <w:highlight w:val="none"/>
          <w14:textFill>
            <w14:solidFill>
              <w14:schemeClr w14:val="tx1"/>
            </w14:solidFill>
          </w14:textFill>
        </w:rPr>
        <w:t>国家企业信用信息系统</w:t>
      </w:r>
      <w:r>
        <w:rPr>
          <w:rFonts w:hint="eastAsia"/>
          <w:b/>
          <w:bCs/>
          <w:color w:val="000000" w:themeColor="text1"/>
          <w:sz w:val="18"/>
          <w:szCs w:val="18"/>
          <w:highlight w:val="none"/>
          <w14:textFill>
            <w14:solidFill>
              <w14:schemeClr w14:val="tx1"/>
            </w14:solidFill>
          </w14:textFill>
        </w:rPr>
        <w:t>（http://www.gsxt.gov.cn/index.html）</w:t>
      </w:r>
      <w:r>
        <w:rPr>
          <w:b/>
          <w:bCs/>
          <w:color w:val="000000" w:themeColor="text1"/>
          <w:sz w:val="18"/>
          <w:szCs w:val="18"/>
          <w:highlight w:val="none"/>
          <w14:textFill>
            <w14:solidFill>
              <w14:schemeClr w14:val="tx1"/>
            </w14:solidFill>
          </w14:textFill>
        </w:rPr>
        <w:t>查询得到；</w:t>
      </w:r>
    </w:p>
    <w:p w14:paraId="4334DDEE">
      <w:pPr>
        <w:keepNext/>
        <w:keepLines/>
        <w:tabs>
          <w:tab w:val="left" w:pos="425"/>
        </w:tabs>
        <w:spacing w:line="240" w:lineRule="auto"/>
        <w:ind w:firstLine="361" w:firstLineChars="200"/>
        <w:rPr>
          <w:b/>
          <w:bCs/>
          <w:color w:val="000000" w:themeColor="text1"/>
          <w:sz w:val="18"/>
          <w:szCs w:val="18"/>
          <w:highlight w:val="none"/>
          <w14:textFill>
            <w14:solidFill>
              <w14:schemeClr w14:val="tx1"/>
            </w14:solidFill>
          </w14:textFill>
        </w:rPr>
      </w:pPr>
      <w:r>
        <w:rPr>
          <w:rFonts w:hint="eastAsia"/>
          <w:b/>
          <w:bCs/>
          <w:color w:val="000000" w:themeColor="text1"/>
          <w:sz w:val="18"/>
          <w:szCs w:val="18"/>
          <w:highlight w:val="none"/>
          <w14:textFill>
            <w14:solidFill>
              <w14:schemeClr w14:val="tx1"/>
            </w14:solidFill>
          </w14:textFill>
        </w:rPr>
        <w:t>②</w:t>
      </w:r>
      <w:r>
        <w:rPr>
          <w:b/>
          <w:bCs/>
          <w:color w:val="000000" w:themeColor="text1"/>
          <w:sz w:val="18"/>
          <w:szCs w:val="18"/>
          <w:highlight w:val="none"/>
          <w14:textFill>
            <w14:solidFill>
              <w14:schemeClr w14:val="tx1"/>
            </w14:solidFill>
          </w14:textFill>
        </w:rPr>
        <w:t>加粗企业为土壤污染重点行业类别及土壤污染重点企业</w:t>
      </w:r>
      <w:r>
        <w:rPr>
          <w:rFonts w:hint="eastAsia"/>
          <w:b/>
          <w:bCs/>
          <w:color w:val="000000" w:themeColor="text1"/>
          <w:sz w:val="18"/>
          <w:szCs w:val="18"/>
          <w:highlight w:val="none"/>
          <w14:textFill>
            <w14:solidFill>
              <w14:schemeClr w14:val="tx1"/>
            </w14:solidFill>
          </w14:textFill>
        </w:rPr>
        <w:t>（简称“重点行业企业”）</w:t>
      </w:r>
      <w:r>
        <w:rPr>
          <w:b/>
          <w:bCs/>
          <w:color w:val="000000" w:themeColor="text1"/>
          <w:sz w:val="18"/>
          <w:szCs w:val="18"/>
          <w:highlight w:val="none"/>
          <w14:textFill>
            <w14:solidFill>
              <w14:schemeClr w14:val="tx1"/>
            </w14:solidFill>
          </w14:textFill>
        </w:rPr>
        <w:t>，基本信息来源于重点行业企业用地调查信息管理系统</w:t>
      </w:r>
      <w:r>
        <w:rPr>
          <w:rFonts w:hint="eastAsia"/>
          <w:b/>
          <w:bCs/>
          <w:color w:val="000000" w:themeColor="text1"/>
          <w:sz w:val="18"/>
          <w:szCs w:val="18"/>
          <w:highlight w:val="none"/>
          <w14:textFill>
            <w14:solidFill>
              <w14:schemeClr w14:val="tx1"/>
            </w14:solidFill>
          </w14:textFill>
        </w:rPr>
        <w:t>；</w:t>
      </w:r>
    </w:p>
    <w:p w14:paraId="5EC40D23">
      <w:pPr>
        <w:keepNext/>
        <w:keepLines/>
        <w:tabs>
          <w:tab w:val="left" w:pos="425"/>
        </w:tabs>
        <w:spacing w:line="240" w:lineRule="auto"/>
        <w:ind w:firstLine="361" w:firstLineChars="200"/>
        <w:rPr>
          <w:b/>
          <w:bCs/>
          <w:color w:val="000000" w:themeColor="text1"/>
          <w:sz w:val="18"/>
          <w:szCs w:val="18"/>
          <w:highlight w:val="none"/>
          <w14:textFill>
            <w14:solidFill>
              <w14:schemeClr w14:val="tx1"/>
            </w14:solidFill>
          </w14:textFill>
        </w:rPr>
      </w:pPr>
      <w:r>
        <w:rPr>
          <w:rFonts w:hint="eastAsia"/>
          <w:b/>
          <w:bCs/>
          <w:color w:val="000000" w:themeColor="text1"/>
          <w:sz w:val="18"/>
          <w:szCs w:val="18"/>
          <w:highlight w:val="none"/>
          <w14:textFill>
            <w14:solidFill>
              <w14:schemeClr w14:val="tx1"/>
            </w14:solidFill>
          </w14:textFill>
        </w:rPr>
        <w:t>③阴影企业为已取得排污许可证企业（</w:t>
      </w:r>
      <w:r>
        <w:rPr>
          <w:rFonts w:hint="eastAsia"/>
          <w:b/>
          <w:bCs/>
          <w:color w:val="000000" w:themeColor="text1"/>
          <w:sz w:val="18"/>
          <w:szCs w:val="18"/>
          <w:highlight w:val="none"/>
          <w:lang w:eastAsia="zh-CN"/>
          <w14:textFill>
            <w14:solidFill>
              <w14:schemeClr w14:val="tx1"/>
            </w14:solidFill>
          </w14:textFill>
        </w:rPr>
        <w:t>截至</w:t>
      </w:r>
      <w:r>
        <w:rPr>
          <w:rFonts w:hint="eastAsia"/>
          <w:b/>
          <w:bCs/>
          <w:color w:val="000000" w:themeColor="text1"/>
          <w:sz w:val="18"/>
          <w:szCs w:val="18"/>
          <w:highlight w:val="none"/>
          <w14:textFill>
            <w14:solidFill>
              <w14:schemeClr w14:val="tx1"/>
            </w14:solidFill>
          </w14:textFill>
        </w:rPr>
        <w:t>2020年12月），基本信息来源于全国排污许可证管理信息平台 公开端（http://permit.mee.gov.cn/）。</w:t>
      </w:r>
    </w:p>
    <w:p w14:paraId="567AF836">
      <w:pPr>
        <w:ind w:firstLine="480" w:firstLineChars="200"/>
        <w:rPr>
          <w:b/>
          <w:bCs/>
          <w:highlight w:val="none"/>
        </w:rPr>
      </w:pPr>
      <w:r>
        <w:rPr>
          <w:rFonts w:hint="eastAsia"/>
          <w:color w:val="000000" w:themeColor="text1"/>
          <w:kern w:val="0"/>
          <w:highlight w:val="none"/>
          <w14:textFill>
            <w14:solidFill>
              <w14:schemeClr w14:val="tx1"/>
            </w14:solidFill>
          </w14:textFill>
        </w:rPr>
        <w:t>园区内</w:t>
      </w:r>
      <w:r>
        <w:rPr>
          <w:color w:val="000000" w:themeColor="text1"/>
          <w:kern w:val="0"/>
          <w:highlight w:val="none"/>
          <w14:textFill>
            <w14:solidFill>
              <w14:schemeClr w14:val="tx1"/>
            </w14:solidFill>
          </w14:textFill>
        </w:rPr>
        <w:t>主要</w:t>
      </w:r>
      <w:r>
        <w:rPr>
          <w:rFonts w:hint="eastAsia"/>
          <w:color w:val="000000" w:themeColor="text1"/>
          <w:kern w:val="0"/>
          <w:highlight w:val="none"/>
          <w14:textFill>
            <w14:solidFill>
              <w14:schemeClr w14:val="tx1"/>
            </w14:solidFill>
          </w14:textFill>
        </w:rPr>
        <w:t>已建成</w:t>
      </w:r>
      <w:r>
        <w:rPr>
          <w:color w:val="000000" w:themeColor="text1"/>
          <w:kern w:val="0"/>
          <w:highlight w:val="none"/>
          <w14:textFill>
            <w14:solidFill>
              <w14:schemeClr w14:val="tx1"/>
            </w14:solidFill>
          </w14:textFill>
        </w:rPr>
        <w:t>企业</w:t>
      </w:r>
      <w:r>
        <w:rPr>
          <w:rFonts w:hint="eastAsia"/>
          <w:color w:val="000000" w:themeColor="text1"/>
          <w:kern w:val="0"/>
          <w:highlight w:val="none"/>
          <w14:textFill>
            <w14:solidFill>
              <w14:schemeClr w14:val="tx1"/>
            </w14:solidFill>
          </w14:textFill>
        </w:rPr>
        <w:t>经营范围</w:t>
      </w:r>
      <w:r>
        <w:rPr>
          <w:rFonts w:hint="eastAsia"/>
          <w:color w:val="000000" w:themeColor="text1"/>
          <w:kern w:val="0"/>
          <w:highlight w:val="none"/>
          <w:lang w:val="en-US" w:eastAsia="zh-CN"/>
          <w14:textFill>
            <w14:solidFill>
              <w14:schemeClr w14:val="tx1"/>
            </w14:solidFill>
          </w14:textFill>
        </w:rPr>
        <w:t>如表2-2-2，</w:t>
      </w:r>
      <w:r>
        <w:rPr>
          <w:rFonts w:hint="eastAsia"/>
          <w:color w:val="000000" w:themeColor="text1"/>
          <w:kern w:val="0"/>
          <w:highlight w:val="none"/>
          <w14:textFill>
            <w14:solidFill>
              <w14:schemeClr w14:val="tx1"/>
            </w14:solidFill>
          </w14:textFill>
        </w:rPr>
        <w:t>其中重点行业企业6家，分别为湖北钢华特种钢材锻造有限公司</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鄂州市海成工贸有限公司、湖北上大模具材料科技股份有限公司、湖北正天洋热处理有限公司、湖北方正模具材料有限公司（湖北方振轧辊机械制造有限公司）、湖北金龄高合金钢有限公司；已取得排污许可证企业8家，分别为鄂州市诚德塑业有限公司</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鄂州市海成工贸有限公司、湖北上大模具材料科技股份有限公司、鄂州市金诚橡塑制品有限公司、湖北方正模具材料有限公司（湖北方振轧辊机械制造有限公司）、鄂州市花湖华金石材厂、鄂州市花湖开发区靖新石材厂、湖北鸿志置业有限公司</w:t>
      </w:r>
      <w:r>
        <w:rPr>
          <w:color w:val="000000" w:themeColor="text1"/>
          <w:kern w:val="0"/>
          <w:highlight w:val="none"/>
          <w14:textFill>
            <w14:solidFill>
              <w14:schemeClr w14:val="tx1"/>
            </w14:solidFill>
          </w14:textFill>
        </w:rPr>
        <w:t>。</w:t>
      </w:r>
    </w:p>
    <w:p w14:paraId="182F70A8">
      <w:pPr>
        <w:pStyle w:val="4"/>
        <w:tabs>
          <w:tab w:val="clear" w:pos="567"/>
        </w:tabs>
        <w:rPr>
          <w:color w:val="000000" w:themeColor="text1"/>
          <w:highlight w:val="none"/>
          <w14:textFill>
            <w14:solidFill>
              <w14:schemeClr w14:val="tx1"/>
            </w14:solidFill>
          </w14:textFill>
        </w:rPr>
      </w:pPr>
      <w:bookmarkStart w:id="14" w:name="_Toc31391"/>
      <w:r>
        <w:rPr>
          <w:color w:val="000000" w:themeColor="text1"/>
          <w:highlight w:val="none"/>
          <w14:textFill>
            <w14:solidFill>
              <w14:schemeClr w14:val="tx1"/>
            </w14:solidFill>
          </w14:textFill>
        </w:rPr>
        <w:t>园区污染源分析</w:t>
      </w:r>
      <w:bookmarkEnd w:id="14"/>
    </w:p>
    <w:p w14:paraId="118F2FBB">
      <w:pPr>
        <w:ind w:firstLine="480" w:firstLineChars="200"/>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考虑到园区现状情况及未来规划，</w:t>
      </w:r>
      <w:r>
        <w:rPr>
          <w:color w:val="000000" w:themeColor="text1"/>
          <w:kern w:val="0"/>
          <w:highlight w:val="none"/>
          <w14:textFill>
            <w14:solidFill>
              <w14:schemeClr w14:val="tx1"/>
            </w14:solidFill>
          </w14:textFill>
        </w:rPr>
        <w:t>园区特征</w:t>
      </w:r>
      <w:r>
        <w:rPr>
          <w:rFonts w:hint="eastAsia"/>
          <w:color w:val="000000" w:themeColor="text1"/>
          <w:kern w:val="0"/>
          <w:highlight w:val="none"/>
          <w14:textFill>
            <w14:solidFill>
              <w14:schemeClr w14:val="tx1"/>
            </w14:solidFill>
          </w14:textFill>
        </w:rPr>
        <w:t>污染</w:t>
      </w:r>
      <w:r>
        <w:rPr>
          <w:rFonts w:hint="eastAsia"/>
          <w:color w:val="000000" w:themeColor="text1"/>
          <w:kern w:val="0"/>
          <w:highlight w:val="none"/>
          <w:lang w:eastAsia="zh-CN"/>
          <w14:textFill>
            <w14:solidFill>
              <w14:schemeClr w14:val="tx1"/>
            </w14:solidFill>
          </w14:textFill>
        </w:rPr>
        <w:t>物的</w:t>
      </w:r>
      <w:r>
        <w:rPr>
          <w:rFonts w:hint="eastAsia"/>
          <w:color w:val="000000" w:themeColor="text1"/>
          <w:kern w:val="0"/>
          <w:highlight w:val="none"/>
          <w14:textFill>
            <w14:solidFill>
              <w14:schemeClr w14:val="tx1"/>
            </w14:solidFill>
          </w14:textFill>
        </w:rPr>
        <w:t>识别</w:t>
      </w:r>
      <w:r>
        <w:rPr>
          <w:color w:val="000000" w:themeColor="text1"/>
          <w:kern w:val="0"/>
          <w:highlight w:val="none"/>
          <w14:textFill>
            <w14:solidFill>
              <w14:schemeClr w14:val="tx1"/>
            </w14:solidFill>
          </w14:textFill>
        </w:rPr>
        <w:t>主要依据园区规划产业定位确定，并根据重点行业企业用地调查信息管理系统、全国排污许可证管理信息平台公开端补充典型企业污染因子</w:t>
      </w:r>
      <w:r>
        <w:rPr>
          <w:rFonts w:hint="eastAsia"/>
          <w:color w:val="000000" w:themeColor="text1"/>
          <w:kern w:val="0"/>
          <w:highlight w:val="none"/>
          <w14:textFill>
            <w14:solidFill>
              <w14:schemeClr w14:val="tx1"/>
            </w14:solidFill>
          </w14:textFill>
        </w:rPr>
        <w:t>。</w:t>
      </w:r>
    </w:p>
    <w:p w14:paraId="21C13270">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根据《鄂州市城乡总体规划》（2011-2020），</w:t>
      </w:r>
      <w:r>
        <w:rPr>
          <w:highlight w:val="none"/>
        </w:rPr>
        <w:t>花湖开发区</w:t>
      </w:r>
      <w:r>
        <w:rPr>
          <w:color w:val="000000" w:themeColor="text1"/>
          <w:kern w:val="0"/>
          <w:highlight w:val="none"/>
          <w14:textFill>
            <w14:solidFill>
              <w14:schemeClr w14:val="tx1"/>
            </w14:solidFill>
          </w14:textFill>
        </w:rPr>
        <w:t>重点发展</w:t>
      </w:r>
      <w:r>
        <w:rPr>
          <w:rFonts w:hint="eastAsia" w:ascii="宋体" w:hAnsi="宋体"/>
          <w:szCs w:val="21"/>
          <w:highlight w:val="none"/>
        </w:rPr>
        <w:t>五金制品、汽车配件、服装食品</w:t>
      </w:r>
      <w:r>
        <w:rPr>
          <w:rFonts w:hint="eastAsia"/>
          <w:highlight w:val="none"/>
        </w:rPr>
        <w:t>。</w:t>
      </w:r>
    </w:p>
    <w:p w14:paraId="6F9FB9BB">
      <w:pPr>
        <w:ind w:firstLine="482" w:firstLineChars="200"/>
        <w:rPr>
          <w:rFonts w:ascii="宋体" w:hAnsi="宋体"/>
          <w:szCs w:val="21"/>
          <w:highlight w:val="none"/>
        </w:rPr>
      </w:pPr>
      <w:r>
        <w:rPr>
          <w:rFonts w:hint="eastAsia" w:ascii="宋体" w:hAnsi="宋体"/>
          <w:b/>
          <w:bCs/>
          <w:szCs w:val="21"/>
          <w:highlight w:val="none"/>
        </w:rPr>
        <w:t>五金制造：</w:t>
      </w:r>
      <w:r>
        <w:rPr>
          <w:rFonts w:hint="eastAsia" w:ascii="宋体" w:hAnsi="宋体"/>
          <w:szCs w:val="21"/>
          <w:highlight w:val="none"/>
        </w:rPr>
        <w:t>主要污染环节包括机加工、打磨、攻丝等环节产生的废气污染物；除尘吸附生产废水；金属废渣、废包装材料、废润滑油、废切削液、废乳化液等固废。</w:t>
      </w:r>
    </w:p>
    <w:p w14:paraId="4BB45A60">
      <w:pPr>
        <w:ind w:firstLine="482" w:firstLineChars="200"/>
        <w:rPr>
          <w:rFonts w:hint="eastAsia"/>
          <w:color w:val="000000" w:themeColor="text1"/>
          <w:kern w:val="0"/>
          <w:highlight w:val="none"/>
          <w14:textFill>
            <w14:solidFill>
              <w14:schemeClr w14:val="tx1"/>
            </w14:solidFill>
          </w14:textFill>
        </w:rPr>
      </w:pPr>
      <w:r>
        <w:rPr>
          <w:rFonts w:hint="eastAsia"/>
          <w:b/>
          <w:bCs/>
          <w:color w:val="000000" w:themeColor="text1"/>
          <w:kern w:val="0"/>
          <w:highlight w:val="none"/>
          <w14:textFill>
            <w14:solidFill>
              <w14:schemeClr w14:val="tx1"/>
            </w14:solidFill>
          </w14:textFill>
        </w:rPr>
        <w:t>汽车配件：</w:t>
      </w:r>
      <w:r>
        <w:rPr>
          <w:rFonts w:hint="eastAsia"/>
          <w:color w:val="000000" w:themeColor="text1"/>
          <w:kern w:val="0"/>
          <w:highlight w:val="none"/>
          <w14:textFill>
            <w14:solidFill>
              <w14:schemeClr w14:val="tx1"/>
            </w14:solidFill>
          </w14:textFill>
        </w:rPr>
        <w:t>主要为焊接、抛光、抛丸、烘干、喷粉等环节产生的粉尘废气；研磨、超声清洗等环节产生的废水；下料、机加工、研磨清洗、包装入库等环节产生的金属边角料、废包装材料、废原料桶、废切削液、废润滑油等固废。</w:t>
      </w:r>
    </w:p>
    <w:p w14:paraId="77F4B0D7">
      <w:pPr>
        <w:ind w:firstLine="482" w:firstLineChars="200"/>
        <w:rPr>
          <w:rFonts w:hint="default" w:eastAsia="宋体"/>
          <w:highlight w:val="none"/>
          <w:lang w:val="en-US" w:eastAsia="zh-CN"/>
        </w:rPr>
      </w:pPr>
      <w:r>
        <w:rPr>
          <w:rFonts w:hint="eastAsia"/>
          <w:b/>
          <w:bCs/>
          <w:highlight w:val="none"/>
          <w:lang w:val="en-US" w:eastAsia="zh-CN"/>
        </w:rPr>
        <w:t>服装食品：</w:t>
      </w:r>
      <w:r>
        <w:rPr>
          <w:rFonts w:hint="eastAsia"/>
          <w:highlight w:val="none"/>
          <w:lang w:val="en-US" w:eastAsia="zh-CN"/>
        </w:rPr>
        <w:t>主要为剪裁、缝制、检验包装产生的废面料、废线头、边角面料、废包装材料以及熨烫工序配套设施产生的天然气燃烧废气等；食品加工行业主要为原料清洗、设备清洗、厂房清洗废水，厨房、锅炉房等产生的油烟废气及锅炉废气，精选、包装等食品加工工序产生的废食物残渣及锅炉炉渣等。</w:t>
      </w:r>
    </w:p>
    <w:p w14:paraId="0FFBE243">
      <w:pPr>
        <w:ind w:firstLine="480" w:firstLineChars="200"/>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其中，</w:t>
      </w:r>
      <w:r>
        <w:rPr>
          <w:rFonts w:hint="default" w:ascii="Times New Roman" w:hAnsi="Times New Roman" w:cs="Times New Roman"/>
          <w:color w:val="auto"/>
          <w:kern w:val="0"/>
          <w:highlight w:val="none"/>
        </w:rPr>
        <w:t>园区内典型企业包括重点行业企业和已取得排污许可证企业等</w:t>
      </w:r>
      <w:r>
        <w:rPr>
          <w:rFonts w:hint="eastAsia"/>
          <w:color w:val="000000" w:themeColor="text1"/>
          <w:kern w:val="0"/>
          <w:highlight w:val="none"/>
          <w14:textFill>
            <w14:solidFill>
              <w14:schemeClr w14:val="tx1"/>
            </w14:solidFill>
          </w14:textFill>
        </w:rPr>
        <w:t>，涉及的主要污染因子如下表：</w:t>
      </w:r>
    </w:p>
    <w:p w14:paraId="79D2B346">
      <w:pPr>
        <w:jc w:val="center"/>
        <w:rPr>
          <w:rFonts w:eastAsia="黑体"/>
          <w:b/>
          <w:highlight w:val="none"/>
        </w:rPr>
      </w:pPr>
      <w:r>
        <w:rPr>
          <w:rFonts w:eastAsia="黑体"/>
          <w:b/>
          <w:highlight w:val="none"/>
        </w:rPr>
        <w:t xml:space="preserve">表2-2-3 </w:t>
      </w:r>
      <w:r>
        <w:rPr>
          <w:rFonts w:hint="eastAsia" w:eastAsia="黑体"/>
          <w:b/>
          <w:highlight w:val="none"/>
        </w:rPr>
        <w:t>园区内典型企业</w:t>
      </w:r>
      <w:r>
        <w:rPr>
          <w:rFonts w:eastAsia="黑体"/>
          <w:b/>
          <w:highlight w:val="none"/>
        </w:rPr>
        <w:t>污染因子及影响途径</w:t>
      </w:r>
    </w:p>
    <w:tbl>
      <w:tblPr>
        <w:tblStyle w:val="22"/>
        <w:tblW w:w="981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116"/>
        <w:gridCol w:w="1383"/>
        <w:gridCol w:w="2255"/>
        <w:gridCol w:w="3208"/>
        <w:gridCol w:w="1197"/>
      </w:tblGrid>
      <w:tr w14:paraId="1704EB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0" w:type="dxa"/>
            <w:tcBorders>
              <w:bottom w:val="single" w:color="auto" w:sz="12" w:space="0"/>
            </w:tcBorders>
            <w:vAlign w:val="center"/>
          </w:tcPr>
          <w:p w14:paraId="2EE8F056">
            <w:pPr>
              <w:pStyle w:val="2"/>
              <w:spacing w:after="0" w:line="240" w:lineRule="auto"/>
              <w:jc w:val="center"/>
              <w:rPr>
                <w:rFonts w:ascii="Times New Roman" w:hAnsi="Times New Roman" w:eastAsia="宋体" w:cs="Times New Roman"/>
                <w:b/>
                <w:bCs/>
                <w:kern w:val="2"/>
                <w:sz w:val="21"/>
                <w:szCs w:val="21"/>
                <w:highlight w:val="none"/>
                <w:lang w:val="en-US" w:eastAsia="zh-CN" w:bidi="ar-SA"/>
              </w:rPr>
            </w:pPr>
            <w:r>
              <w:rPr>
                <w:b/>
                <w:bCs/>
                <w:sz w:val="21"/>
                <w:szCs w:val="21"/>
                <w:highlight w:val="none"/>
              </w:rPr>
              <w:t>编号</w:t>
            </w:r>
          </w:p>
        </w:tc>
        <w:tc>
          <w:tcPr>
            <w:tcW w:w="1116" w:type="dxa"/>
            <w:tcBorders>
              <w:bottom w:val="single" w:color="auto" w:sz="12" w:space="0"/>
            </w:tcBorders>
            <w:vAlign w:val="center"/>
          </w:tcPr>
          <w:p w14:paraId="6F81E9AC">
            <w:pPr>
              <w:pStyle w:val="2"/>
              <w:spacing w:after="0" w:line="240" w:lineRule="auto"/>
              <w:jc w:val="center"/>
              <w:rPr>
                <w:rFonts w:ascii="Times New Roman" w:hAnsi="Times New Roman" w:eastAsia="宋体" w:cs="Times New Roman"/>
                <w:b/>
                <w:bCs/>
                <w:kern w:val="2"/>
                <w:sz w:val="21"/>
                <w:szCs w:val="21"/>
                <w:highlight w:val="none"/>
                <w:lang w:val="en-US" w:eastAsia="zh-CN" w:bidi="ar-SA"/>
              </w:rPr>
            </w:pPr>
            <w:r>
              <w:rPr>
                <w:rFonts w:hint="eastAsia"/>
                <w:b/>
                <w:bCs/>
                <w:sz w:val="21"/>
                <w:szCs w:val="21"/>
                <w:highlight w:val="none"/>
              </w:rPr>
              <w:t>典型企业</w:t>
            </w:r>
          </w:p>
        </w:tc>
        <w:tc>
          <w:tcPr>
            <w:tcW w:w="1383" w:type="dxa"/>
            <w:tcBorders>
              <w:bottom w:val="single" w:color="auto" w:sz="12" w:space="0"/>
            </w:tcBorders>
            <w:vAlign w:val="center"/>
          </w:tcPr>
          <w:p w14:paraId="136AACED">
            <w:pPr>
              <w:pStyle w:val="2"/>
              <w:spacing w:after="0" w:line="240" w:lineRule="auto"/>
              <w:jc w:val="center"/>
              <w:rPr>
                <w:rFonts w:hint="eastAsia"/>
                <w:b/>
                <w:bCs/>
                <w:sz w:val="21"/>
                <w:szCs w:val="21"/>
                <w:highlight w:val="none"/>
              </w:rPr>
            </w:pPr>
            <w:r>
              <w:rPr>
                <w:rFonts w:hint="eastAsia"/>
                <w:b/>
                <w:bCs/>
                <w:sz w:val="21"/>
                <w:szCs w:val="21"/>
                <w:highlight w:val="none"/>
              </w:rPr>
              <w:t>主要行业</w:t>
            </w:r>
          </w:p>
          <w:p w14:paraId="57433DFB">
            <w:pPr>
              <w:pStyle w:val="2"/>
              <w:spacing w:after="0" w:line="240" w:lineRule="auto"/>
              <w:jc w:val="center"/>
              <w:rPr>
                <w:rFonts w:ascii="Times New Roman" w:hAnsi="Times New Roman" w:eastAsia="宋体" w:cs="Times New Roman"/>
                <w:b/>
                <w:bCs/>
                <w:kern w:val="2"/>
                <w:sz w:val="21"/>
                <w:szCs w:val="21"/>
                <w:highlight w:val="none"/>
                <w:lang w:val="en-US" w:eastAsia="zh-CN" w:bidi="ar-SA"/>
              </w:rPr>
            </w:pPr>
            <w:r>
              <w:rPr>
                <w:rFonts w:hint="eastAsia"/>
                <w:b/>
                <w:bCs/>
                <w:sz w:val="21"/>
                <w:szCs w:val="21"/>
                <w:highlight w:val="none"/>
              </w:rPr>
              <w:t>类别</w:t>
            </w:r>
          </w:p>
        </w:tc>
        <w:tc>
          <w:tcPr>
            <w:tcW w:w="2255" w:type="dxa"/>
            <w:tcBorders>
              <w:bottom w:val="single" w:color="auto" w:sz="12" w:space="0"/>
            </w:tcBorders>
            <w:vAlign w:val="center"/>
          </w:tcPr>
          <w:p w14:paraId="65B7C8AE">
            <w:pPr>
              <w:pStyle w:val="2"/>
              <w:spacing w:after="0" w:line="240" w:lineRule="auto"/>
              <w:jc w:val="center"/>
              <w:rPr>
                <w:rFonts w:ascii="Times New Roman" w:hAnsi="Times New Roman" w:eastAsia="宋体" w:cs="Times New Roman"/>
                <w:b/>
                <w:bCs/>
                <w:kern w:val="2"/>
                <w:sz w:val="21"/>
                <w:szCs w:val="21"/>
                <w:highlight w:val="none"/>
                <w:lang w:val="en-US" w:eastAsia="zh-CN" w:bidi="ar-SA"/>
              </w:rPr>
            </w:pPr>
            <w:r>
              <w:rPr>
                <w:b/>
                <w:bCs/>
                <w:sz w:val="21"/>
                <w:szCs w:val="21"/>
                <w:highlight w:val="none"/>
              </w:rPr>
              <w:t>主要污染因子</w:t>
            </w:r>
          </w:p>
        </w:tc>
        <w:tc>
          <w:tcPr>
            <w:tcW w:w="3208" w:type="dxa"/>
            <w:tcBorders>
              <w:bottom w:val="single" w:color="auto" w:sz="12" w:space="0"/>
            </w:tcBorders>
            <w:vAlign w:val="center"/>
          </w:tcPr>
          <w:p w14:paraId="35D53846">
            <w:pPr>
              <w:pStyle w:val="2"/>
              <w:spacing w:after="0" w:line="240" w:lineRule="auto"/>
              <w:jc w:val="center"/>
              <w:rPr>
                <w:rFonts w:ascii="Times New Roman" w:hAnsi="Times New Roman" w:eastAsia="宋体" w:cs="Times New Roman"/>
                <w:b/>
                <w:bCs/>
                <w:kern w:val="2"/>
                <w:sz w:val="21"/>
                <w:szCs w:val="21"/>
                <w:highlight w:val="none"/>
                <w:lang w:val="en-US" w:eastAsia="zh-CN" w:bidi="ar-SA"/>
              </w:rPr>
            </w:pPr>
            <w:r>
              <w:rPr>
                <w:b/>
                <w:bCs/>
                <w:sz w:val="21"/>
                <w:szCs w:val="21"/>
                <w:highlight w:val="none"/>
              </w:rPr>
              <w:t>影响环节</w:t>
            </w:r>
          </w:p>
        </w:tc>
        <w:tc>
          <w:tcPr>
            <w:tcW w:w="1197" w:type="dxa"/>
            <w:tcBorders>
              <w:bottom w:val="single" w:color="auto" w:sz="12" w:space="0"/>
            </w:tcBorders>
            <w:vAlign w:val="center"/>
          </w:tcPr>
          <w:p w14:paraId="0323EE90">
            <w:pPr>
              <w:pStyle w:val="2"/>
              <w:spacing w:after="0" w:line="240" w:lineRule="auto"/>
              <w:jc w:val="center"/>
              <w:rPr>
                <w:rFonts w:ascii="Times New Roman" w:hAnsi="Times New Roman" w:eastAsia="宋体" w:cs="Times New Roman"/>
                <w:b/>
                <w:bCs/>
                <w:kern w:val="2"/>
                <w:sz w:val="21"/>
                <w:szCs w:val="21"/>
                <w:highlight w:val="none"/>
                <w:lang w:val="en-US" w:eastAsia="zh-CN" w:bidi="ar-SA"/>
              </w:rPr>
            </w:pPr>
            <w:r>
              <w:rPr>
                <w:rFonts w:hint="eastAsia"/>
                <w:b/>
                <w:bCs/>
                <w:sz w:val="21"/>
                <w:szCs w:val="21"/>
                <w:highlight w:val="none"/>
              </w:rPr>
              <w:t>备注</w:t>
            </w:r>
          </w:p>
        </w:tc>
      </w:tr>
      <w:tr w14:paraId="5E542C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12" w:space="0"/>
              <w:tl2br w:val="nil"/>
              <w:tr2bl w:val="nil"/>
            </w:tcBorders>
            <w:vAlign w:val="center"/>
          </w:tcPr>
          <w:p w14:paraId="3CD64623">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1</w:t>
            </w:r>
          </w:p>
        </w:tc>
        <w:tc>
          <w:tcPr>
            <w:tcW w:w="1116" w:type="dxa"/>
            <w:tcBorders>
              <w:top w:val="single" w:color="auto" w:sz="12" w:space="0"/>
              <w:tl2br w:val="nil"/>
              <w:tr2bl w:val="nil"/>
            </w:tcBorders>
            <w:vAlign w:val="center"/>
          </w:tcPr>
          <w:p w14:paraId="4D13FEF7">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湖北钢华特种钢材锻造有限公司</w:t>
            </w:r>
          </w:p>
        </w:tc>
        <w:tc>
          <w:tcPr>
            <w:tcW w:w="1383" w:type="dxa"/>
            <w:tcBorders>
              <w:top w:val="single" w:color="auto" w:sz="12" w:space="0"/>
              <w:tl2br w:val="nil"/>
              <w:tr2bl w:val="nil"/>
            </w:tcBorders>
            <w:vAlign w:val="center"/>
          </w:tcPr>
          <w:p w14:paraId="54B6BBAC">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3140钢压延加工</w:t>
            </w:r>
          </w:p>
        </w:tc>
        <w:tc>
          <w:tcPr>
            <w:tcW w:w="2255" w:type="dxa"/>
            <w:tcBorders>
              <w:top w:val="single" w:color="auto" w:sz="12" w:space="0"/>
              <w:tl2br w:val="nil"/>
              <w:tr2bl w:val="nil"/>
            </w:tcBorders>
            <w:vAlign w:val="center"/>
          </w:tcPr>
          <w:p w14:paraId="32913D96">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石油烃、氟化物、铬、汞</w:t>
            </w:r>
            <w:r>
              <w:rPr>
                <w:rFonts w:hint="eastAsia"/>
                <w:sz w:val="21"/>
                <w:szCs w:val="21"/>
                <w:highlight w:val="none"/>
              </w:rPr>
              <w:t>、</w:t>
            </w:r>
            <w:r>
              <w:rPr>
                <w:sz w:val="21"/>
                <w:szCs w:val="21"/>
                <w:highlight w:val="none"/>
              </w:rPr>
              <w:t>苯并[a]蒽、苯并[a]芘、苯并[b]荧蒽、苯并[k]荧蒽、䓛、二苯并[a,h]蒽、茚并[1,2,3-cd]芘、萘</w:t>
            </w:r>
          </w:p>
        </w:tc>
        <w:tc>
          <w:tcPr>
            <w:tcW w:w="3208" w:type="dxa"/>
            <w:tcBorders>
              <w:top w:val="single" w:color="auto" w:sz="12" w:space="0"/>
              <w:tl2br w:val="nil"/>
              <w:tr2bl w:val="nil"/>
            </w:tcBorders>
            <w:vAlign w:val="center"/>
          </w:tcPr>
          <w:p w14:paraId="3FEF3A8B">
            <w:pPr>
              <w:pStyle w:val="2"/>
              <w:spacing w:after="0" w:line="240" w:lineRule="auto"/>
              <w:jc w:val="center"/>
              <w:rPr>
                <w:sz w:val="21"/>
                <w:szCs w:val="21"/>
                <w:highlight w:val="none"/>
              </w:rPr>
            </w:pPr>
            <w:r>
              <w:rPr>
                <w:sz w:val="21"/>
                <w:szCs w:val="21"/>
                <w:highlight w:val="none"/>
              </w:rPr>
              <w:t>废水：</w:t>
            </w:r>
            <w:r>
              <w:rPr>
                <w:rFonts w:hint="eastAsia"/>
                <w:sz w:val="21"/>
                <w:szCs w:val="21"/>
                <w:highlight w:val="none"/>
              </w:rPr>
              <w:t>生活废水</w:t>
            </w:r>
          </w:p>
          <w:p w14:paraId="00A26B78">
            <w:pPr>
              <w:pStyle w:val="2"/>
              <w:spacing w:after="0" w:line="240" w:lineRule="auto"/>
              <w:jc w:val="center"/>
              <w:rPr>
                <w:sz w:val="21"/>
                <w:szCs w:val="21"/>
                <w:highlight w:val="none"/>
              </w:rPr>
            </w:pPr>
            <w:r>
              <w:rPr>
                <w:sz w:val="21"/>
                <w:szCs w:val="21"/>
                <w:highlight w:val="none"/>
              </w:rPr>
              <w:t>废气：</w:t>
            </w:r>
            <w:r>
              <w:rPr>
                <w:rFonts w:hint="eastAsia"/>
                <w:sz w:val="21"/>
                <w:szCs w:val="21"/>
                <w:highlight w:val="none"/>
              </w:rPr>
              <w:t>加热炉、退火炉烟气等</w:t>
            </w:r>
          </w:p>
          <w:p w14:paraId="17A0F89B">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rFonts w:hint="eastAsia"/>
                <w:sz w:val="21"/>
                <w:szCs w:val="21"/>
                <w:highlight w:val="none"/>
              </w:rPr>
              <w:t>固废：边角料、煤渣、除尘灰、含油抹布等</w:t>
            </w:r>
          </w:p>
        </w:tc>
        <w:tc>
          <w:tcPr>
            <w:tcW w:w="1197" w:type="dxa"/>
            <w:tcBorders>
              <w:top w:val="single" w:color="auto" w:sz="12" w:space="0"/>
              <w:tl2br w:val="nil"/>
              <w:tr2bl w:val="nil"/>
            </w:tcBorders>
            <w:vAlign w:val="center"/>
          </w:tcPr>
          <w:p w14:paraId="15E745BF">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重点行业企业</w:t>
            </w:r>
          </w:p>
        </w:tc>
      </w:tr>
      <w:tr w14:paraId="2DBCC9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l2br w:val="nil"/>
              <w:tr2bl w:val="nil"/>
            </w:tcBorders>
            <w:vAlign w:val="center"/>
          </w:tcPr>
          <w:p w14:paraId="17394F69">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2</w:t>
            </w:r>
          </w:p>
        </w:tc>
        <w:tc>
          <w:tcPr>
            <w:tcW w:w="1116" w:type="dxa"/>
            <w:tcBorders>
              <w:tl2br w:val="nil"/>
              <w:tr2bl w:val="nil"/>
            </w:tcBorders>
            <w:vAlign w:val="center"/>
          </w:tcPr>
          <w:p w14:paraId="1A76540A">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鄂州市海成工贸有限公司</w:t>
            </w:r>
          </w:p>
        </w:tc>
        <w:tc>
          <w:tcPr>
            <w:tcW w:w="1383" w:type="dxa"/>
            <w:tcBorders>
              <w:tl2br w:val="nil"/>
              <w:tr2bl w:val="nil"/>
            </w:tcBorders>
            <w:vAlign w:val="center"/>
          </w:tcPr>
          <w:p w14:paraId="63781463">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3140钢压延加工</w:t>
            </w:r>
          </w:p>
        </w:tc>
        <w:tc>
          <w:tcPr>
            <w:tcW w:w="2255" w:type="dxa"/>
            <w:tcBorders>
              <w:tl2br w:val="nil"/>
              <w:tr2bl w:val="nil"/>
            </w:tcBorders>
            <w:vAlign w:val="center"/>
          </w:tcPr>
          <w:p w14:paraId="55034218">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石油烃、氟化物、铬、汞</w:t>
            </w:r>
            <w:r>
              <w:rPr>
                <w:rFonts w:hint="eastAsia"/>
                <w:sz w:val="21"/>
                <w:szCs w:val="21"/>
                <w:highlight w:val="none"/>
              </w:rPr>
              <w:t>、</w:t>
            </w:r>
            <w:r>
              <w:rPr>
                <w:sz w:val="21"/>
                <w:szCs w:val="21"/>
                <w:highlight w:val="none"/>
              </w:rPr>
              <w:t>苯并[a]蒽、苯并[a]芘、苯并[b]荧蒽、苯并[k]荧蒽、䓛、二苯并[a,h]蒽、茚并[1,2,3-cd]芘、萘</w:t>
            </w:r>
          </w:p>
        </w:tc>
        <w:tc>
          <w:tcPr>
            <w:tcW w:w="3208" w:type="dxa"/>
            <w:tcBorders>
              <w:tl2br w:val="nil"/>
              <w:tr2bl w:val="nil"/>
            </w:tcBorders>
            <w:vAlign w:val="center"/>
          </w:tcPr>
          <w:p w14:paraId="10CF89B3">
            <w:pPr>
              <w:pStyle w:val="2"/>
              <w:spacing w:after="0" w:line="240" w:lineRule="auto"/>
              <w:jc w:val="center"/>
              <w:rPr>
                <w:sz w:val="21"/>
                <w:szCs w:val="21"/>
                <w:highlight w:val="none"/>
              </w:rPr>
            </w:pPr>
            <w:r>
              <w:rPr>
                <w:sz w:val="21"/>
                <w:szCs w:val="21"/>
                <w:highlight w:val="none"/>
              </w:rPr>
              <w:t>废水：</w:t>
            </w:r>
            <w:r>
              <w:rPr>
                <w:rFonts w:hint="eastAsia"/>
                <w:sz w:val="21"/>
                <w:szCs w:val="21"/>
                <w:highlight w:val="none"/>
              </w:rPr>
              <w:t>循环水池</w:t>
            </w:r>
          </w:p>
          <w:p w14:paraId="0F427E65">
            <w:pPr>
              <w:pStyle w:val="2"/>
              <w:spacing w:after="0" w:line="240" w:lineRule="auto"/>
              <w:jc w:val="center"/>
              <w:rPr>
                <w:sz w:val="21"/>
                <w:szCs w:val="21"/>
                <w:highlight w:val="none"/>
              </w:rPr>
            </w:pPr>
            <w:r>
              <w:rPr>
                <w:sz w:val="21"/>
                <w:szCs w:val="21"/>
                <w:highlight w:val="none"/>
              </w:rPr>
              <w:t>废气：</w:t>
            </w:r>
            <w:r>
              <w:rPr>
                <w:rFonts w:hint="eastAsia"/>
                <w:sz w:val="21"/>
                <w:szCs w:val="21"/>
                <w:highlight w:val="none"/>
              </w:rPr>
              <w:t>煤气发生炉、加热炉废气等</w:t>
            </w:r>
          </w:p>
          <w:p w14:paraId="6ED281FD">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rFonts w:hint="eastAsia"/>
                <w:sz w:val="21"/>
                <w:szCs w:val="21"/>
                <w:highlight w:val="none"/>
              </w:rPr>
              <w:t>固废：煤灰渣、焦油渣、炉渣、钢渣</w:t>
            </w:r>
          </w:p>
        </w:tc>
        <w:tc>
          <w:tcPr>
            <w:tcW w:w="1197" w:type="dxa"/>
            <w:tcBorders>
              <w:tl2br w:val="nil"/>
              <w:tr2bl w:val="nil"/>
            </w:tcBorders>
            <w:vAlign w:val="center"/>
          </w:tcPr>
          <w:p w14:paraId="49D6E6D2">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重点行业企业</w:t>
            </w:r>
            <w:r>
              <w:rPr>
                <w:rFonts w:hint="eastAsia"/>
                <w:sz w:val="21"/>
                <w:szCs w:val="21"/>
                <w:highlight w:val="none"/>
              </w:rPr>
              <w:t>、</w:t>
            </w:r>
            <w:r>
              <w:rPr>
                <w:sz w:val="21"/>
                <w:szCs w:val="21"/>
                <w:highlight w:val="none"/>
              </w:rPr>
              <w:t>已取得排污许可证企业</w:t>
            </w:r>
          </w:p>
        </w:tc>
      </w:tr>
      <w:tr w14:paraId="32E0D9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l2br w:val="nil"/>
              <w:tr2bl w:val="nil"/>
            </w:tcBorders>
            <w:vAlign w:val="center"/>
          </w:tcPr>
          <w:p w14:paraId="5F808273">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3</w:t>
            </w:r>
          </w:p>
        </w:tc>
        <w:tc>
          <w:tcPr>
            <w:tcW w:w="1116" w:type="dxa"/>
            <w:tcBorders>
              <w:tl2br w:val="nil"/>
              <w:tr2bl w:val="nil"/>
            </w:tcBorders>
            <w:vAlign w:val="center"/>
          </w:tcPr>
          <w:p w14:paraId="2CC94A00">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湖北上大模具材料科技股份有限公司</w:t>
            </w:r>
          </w:p>
        </w:tc>
        <w:tc>
          <w:tcPr>
            <w:tcW w:w="1383" w:type="dxa"/>
            <w:tcBorders>
              <w:tl2br w:val="nil"/>
              <w:tr2bl w:val="nil"/>
            </w:tcBorders>
            <w:vAlign w:val="center"/>
          </w:tcPr>
          <w:p w14:paraId="3F5381C7">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3525模具制造</w:t>
            </w:r>
          </w:p>
        </w:tc>
        <w:tc>
          <w:tcPr>
            <w:tcW w:w="2255" w:type="dxa"/>
            <w:tcBorders>
              <w:tl2br w:val="nil"/>
              <w:tr2bl w:val="nil"/>
            </w:tcBorders>
            <w:vAlign w:val="center"/>
          </w:tcPr>
          <w:p w14:paraId="372E2C46">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汞、氟化物、石油烃</w:t>
            </w:r>
          </w:p>
        </w:tc>
        <w:tc>
          <w:tcPr>
            <w:tcW w:w="3208" w:type="dxa"/>
            <w:tcBorders>
              <w:tl2br w:val="nil"/>
              <w:tr2bl w:val="nil"/>
            </w:tcBorders>
            <w:vAlign w:val="center"/>
          </w:tcPr>
          <w:p w14:paraId="1F63005F">
            <w:pPr>
              <w:pStyle w:val="2"/>
              <w:spacing w:after="0" w:line="240" w:lineRule="auto"/>
              <w:jc w:val="center"/>
              <w:rPr>
                <w:sz w:val="21"/>
                <w:szCs w:val="21"/>
                <w:highlight w:val="none"/>
              </w:rPr>
            </w:pPr>
            <w:r>
              <w:rPr>
                <w:rFonts w:hint="eastAsia"/>
                <w:sz w:val="21"/>
                <w:szCs w:val="21"/>
                <w:highlight w:val="none"/>
              </w:rPr>
              <w:t>废水：循环水池</w:t>
            </w:r>
          </w:p>
          <w:p w14:paraId="60AD3E9A">
            <w:pPr>
              <w:pStyle w:val="2"/>
              <w:spacing w:after="0" w:line="240" w:lineRule="auto"/>
              <w:jc w:val="center"/>
              <w:rPr>
                <w:sz w:val="21"/>
                <w:szCs w:val="21"/>
                <w:highlight w:val="none"/>
              </w:rPr>
            </w:pPr>
            <w:r>
              <w:rPr>
                <w:rFonts w:hint="eastAsia"/>
                <w:sz w:val="21"/>
                <w:szCs w:val="21"/>
                <w:highlight w:val="none"/>
              </w:rPr>
              <w:t>废气：熔炼、电渣炉、中频炉、浇铸、退火炉、金加工废气等</w:t>
            </w:r>
          </w:p>
          <w:p w14:paraId="19E498CB">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rFonts w:hint="eastAsia"/>
                <w:sz w:val="21"/>
                <w:szCs w:val="21"/>
                <w:highlight w:val="none"/>
              </w:rPr>
              <w:t>固废：炉渣、除尘灰、废钢屑等</w:t>
            </w:r>
          </w:p>
        </w:tc>
        <w:tc>
          <w:tcPr>
            <w:tcW w:w="1197" w:type="dxa"/>
            <w:tcBorders>
              <w:tl2br w:val="nil"/>
              <w:tr2bl w:val="nil"/>
            </w:tcBorders>
            <w:vAlign w:val="center"/>
          </w:tcPr>
          <w:p w14:paraId="0A3B676B">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重点行业企业</w:t>
            </w:r>
            <w:r>
              <w:rPr>
                <w:rFonts w:hint="eastAsia"/>
                <w:sz w:val="21"/>
                <w:szCs w:val="21"/>
                <w:highlight w:val="none"/>
              </w:rPr>
              <w:t>、</w:t>
            </w:r>
            <w:r>
              <w:rPr>
                <w:sz w:val="21"/>
                <w:szCs w:val="21"/>
                <w:highlight w:val="none"/>
              </w:rPr>
              <w:t>已取得排污许可证企业</w:t>
            </w:r>
          </w:p>
        </w:tc>
      </w:tr>
      <w:tr w14:paraId="2B4328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l2br w:val="nil"/>
              <w:tr2bl w:val="nil"/>
            </w:tcBorders>
            <w:vAlign w:val="center"/>
          </w:tcPr>
          <w:p w14:paraId="23E5898B">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4</w:t>
            </w:r>
          </w:p>
        </w:tc>
        <w:tc>
          <w:tcPr>
            <w:tcW w:w="1116" w:type="dxa"/>
            <w:tcBorders>
              <w:tl2br w:val="nil"/>
              <w:tr2bl w:val="nil"/>
            </w:tcBorders>
            <w:vAlign w:val="center"/>
          </w:tcPr>
          <w:p w14:paraId="11280124">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湖北正天洋热处理有限公司</w:t>
            </w:r>
          </w:p>
        </w:tc>
        <w:tc>
          <w:tcPr>
            <w:tcW w:w="1383" w:type="dxa"/>
            <w:tcBorders>
              <w:tl2br w:val="nil"/>
              <w:tr2bl w:val="nil"/>
            </w:tcBorders>
            <w:vAlign w:val="center"/>
          </w:tcPr>
          <w:p w14:paraId="19B23380">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3360金属表面处理及热处理加工</w:t>
            </w:r>
          </w:p>
        </w:tc>
        <w:tc>
          <w:tcPr>
            <w:tcW w:w="2255" w:type="dxa"/>
            <w:tcBorders>
              <w:tl2br w:val="nil"/>
              <w:tr2bl w:val="nil"/>
            </w:tcBorders>
            <w:vAlign w:val="center"/>
          </w:tcPr>
          <w:p w14:paraId="011FEAD5">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铬、铅、镉、铜、锌、汞、砷、锰、锑</w:t>
            </w:r>
          </w:p>
        </w:tc>
        <w:tc>
          <w:tcPr>
            <w:tcW w:w="3208" w:type="dxa"/>
            <w:tcBorders>
              <w:tl2br w:val="nil"/>
              <w:tr2bl w:val="nil"/>
            </w:tcBorders>
            <w:vAlign w:val="center"/>
          </w:tcPr>
          <w:p w14:paraId="33E1FE96">
            <w:pPr>
              <w:pStyle w:val="2"/>
              <w:spacing w:after="0" w:line="240" w:lineRule="auto"/>
              <w:jc w:val="center"/>
              <w:rPr>
                <w:sz w:val="21"/>
                <w:szCs w:val="21"/>
                <w:highlight w:val="none"/>
              </w:rPr>
            </w:pPr>
            <w:r>
              <w:rPr>
                <w:sz w:val="21"/>
                <w:szCs w:val="21"/>
                <w:highlight w:val="none"/>
              </w:rPr>
              <w:t>废水：</w:t>
            </w:r>
            <w:r>
              <w:rPr>
                <w:rFonts w:hint="eastAsia"/>
                <w:sz w:val="21"/>
                <w:szCs w:val="21"/>
                <w:highlight w:val="none"/>
              </w:rPr>
              <w:t>退火、正火、猝火、回火、调质等</w:t>
            </w:r>
          </w:p>
          <w:p w14:paraId="15FE98BF">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废气：</w:t>
            </w:r>
            <w:r>
              <w:rPr>
                <w:rFonts w:hint="eastAsia"/>
                <w:sz w:val="21"/>
                <w:szCs w:val="21"/>
                <w:highlight w:val="none"/>
              </w:rPr>
              <w:t>退火、正火、猝火、回火等</w:t>
            </w:r>
          </w:p>
        </w:tc>
        <w:tc>
          <w:tcPr>
            <w:tcW w:w="1197" w:type="dxa"/>
            <w:tcBorders>
              <w:tl2br w:val="nil"/>
              <w:tr2bl w:val="nil"/>
            </w:tcBorders>
            <w:vAlign w:val="center"/>
          </w:tcPr>
          <w:p w14:paraId="1972B973">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重点行业企业</w:t>
            </w:r>
          </w:p>
        </w:tc>
      </w:tr>
      <w:tr w14:paraId="3C377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l2br w:val="nil"/>
              <w:tr2bl w:val="nil"/>
            </w:tcBorders>
            <w:vAlign w:val="center"/>
          </w:tcPr>
          <w:p w14:paraId="2365B6FD">
            <w:pPr>
              <w:pStyle w:val="2"/>
              <w:spacing w:after="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sz w:val="21"/>
                <w:szCs w:val="21"/>
                <w:highlight w:val="none"/>
                <w:lang w:val="en-US" w:eastAsia="zh-CN"/>
              </w:rPr>
              <w:t>5</w:t>
            </w:r>
          </w:p>
        </w:tc>
        <w:tc>
          <w:tcPr>
            <w:tcW w:w="1116" w:type="dxa"/>
            <w:tcBorders>
              <w:tl2br w:val="nil"/>
              <w:tr2bl w:val="nil"/>
            </w:tcBorders>
            <w:vAlign w:val="center"/>
          </w:tcPr>
          <w:p w14:paraId="47DF9E73">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湖北金龄高合金钢有限公司</w:t>
            </w:r>
          </w:p>
        </w:tc>
        <w:tc>
          <w:tcPr>
            <w:tcW w:w="1383" w:type="dxa"/>
            <w:tcBorders>
              <w:tl2br w:val="nil"/>
              <w:tr2bl w:val="nil"/>
            </w:tcBorders>
            <w:vAlign w:val="center"/>
          </w:tcPr>
          <w:p w14:paraId="549BA0F5">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3120炼钢</w:t>
            </w:r>
          </w:p>
        </w:tc>
        <w:tc>
          <w:tcPr>
            <w:tcW w:w="2255" w:type="dxa"/>
            <w:tcBorders>
              <w:tl2br w:val="nil"/>
              <w:tr2bl w:val="nil"/>
            </w:tcBorders>
            <w:vAlign w:val="center"/>
          </w:tcPr>
          <w:p w14:paraId="42BAC9FD">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镉、铅、铬、铜、锌、镍、汞、砷、锰、锑、</w:t>
            </w:r>
            <w:r>
              <w:rPr>
                <w:rFonts w:hint="eastAsia"/>
                <w:sz w:val="21"/>
                <w:szCs w:val="21"/>
                <w:highlight w:val="none"/>
              </w:rPr>
              <w:t>氟化物、</w:t>
            </w:r>
            <w:r>
              <w:rPr>
                <w:sz w:val="21"/>
                <w:szCs w:val="21"/>
                <w:highlight w:val="none"/>
              </w:rPr>
              <w:t>石油烃</w:t>
            </w:r>
            <w:r>
              <w:rPr>
                <w:rFonts w:hint="eastAsia"/>
                <w:sz w:val="21"/>
                <w:szCs w:val="21"/>
                <w:highlight w:val="none"/>
              </w:rPr>
              <w:t>、</w:t>
            </w:r>
            <w:r>
              <w:rPr>
                <w:sz w:val="21"/>
                <w:szCs w:val="21"/>
                <w:highlight w:val="none"/>
              </w:rPr>
              <w:t>苯并[a]蒽、苯并[a]芘、苯并[b]荧蒽、苯并[k]荧蒽、䓛、二苯并[a,h]蒽、茚并[1,2,3-cd]芘、萘</w:t>
            </w:r>
          </w:p>
        </w:tc>
        <w:tc>
          <w:tcPr>
            <w:tcW w:w="3208" w:type="dxa"/>
            <w:tcBorders>
              <w:tl2br w:val="nil"/>
              <w:tr2bl w:val="nil"/>
            </w:tcBorders>
            <w:vAlign w:val="center"/>
          </w:tcPr>
          <w:p w14:paraId="44D38573">
            <w:pPr>
              <w:pStyle w:val="2"/>
              <w:spacing w:after="0" w:line="240" w:lineRule="auto"/>
              <w:jc w:val="center"/>
              <w:rPr>
                <w:sz w:val="21"/>
                <w:szCs w:val="21"/>
                <w:highlight w:val="none"/>
              </w:rPr>
            </w:pPr>
            <w:r>
              <w:rPr>
                <w:sz w:val="21"/>
                <w:szCs w:val="21"/>
                <w:highlight w:val="none"/>
              </w:rPr>
              <w:t>废水：</w:t>
            </w:r>
            <w:r>
              <w:rPr>
                <w:rFonts w:hint="eastAsia"/>
                <w:sz w:val="21"/>
                <w:szCs w:val="21"/>
                <w:highlight w:val="none"/>
              </w:rPr>
              <w:t>循环水池</w:t>
            </w:r>
          </w:p>
          <w:p w14:paraId="1E0CFE5E">
            <w:pPr>
              <w:pStyle w:val="2"/>
              <w:spacing w:after="0" w:line="240" w:lineRule="auto"/>
              <w:jc w:val="center"/>
              <w:rPr>
                <w:sz w:val="21"/>
                <w:szCs w:val="21"/>
                <w:highlight w:val="none"/>
              </w:rPr>
            </w:pPr>
            <w:r>
              <w:rPr>
                <w:sz w:val="21"/>
                <w:szCs w:val="21"/>
                <w:highlight w:val="none"/>
              </w:rPr>
              <w:t>废气：</w:t>
            </w:r>
            <w:r>
              <w:rPr>
                <w:rFonts w:hint="eastAsia"/>
                <w:sz w:val="21"/>
                <w:szCs w:val="21"/>
                <w:highlight w:val="none"/>
              </w:rPr>
              <w:t>电弧炉、冶炼炉、模铸、锻钢生产、膜材热处理、钢锭退火、精整、金加工等</w:t>
            </w:r>
          </w:p>
          <w:p w14:paraId="31092BF6">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rFonts w:hint="eastAsia"/>
                <w:sz w:val="21"/>
                <w:szCs w:val="21"/>
                <w:highlight w:val="none"/>
              </w:rPr>
              <w:t>固废：煤灰、炉渣、煤焦油渣</w:t>
            </w:r>
          </w:p>
        </w:tc>
        <w:tc>
          <w:tcPr>
            <w:tcW w:w="1197" w:type="dxa"/>
            <w:tcBorders>
              <w:tl2br w:val="nil"/>
              <w:tr2bl w:val="nil"/>
            </w:tcBorders>
            <w:vAlign w:val="center"/>
          </w:tcPr>
          <w:p w14:paraId="6A097EFC">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重点行业企业</w:t>
            </w:r>
          </w:p>
        </w:tc>
      </w:tr>
      <w:tr w14:paraId="61F57C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l2br w:val="nil"/>
              <w:tr2bl w:val="nil"/>
            </w:tcBorders>
            <w:vAlign w:val="center"/>
          </w:tcPr>
          <w:p w14:paraId="18629463">
            <w:pPr>
              <w:pStyle w:val="2"/>
              <w:spacing w:after="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sz w:val="21"/>
                <w:szCs w:val="21"/>
                <w:highlight w:val="none"/>
                <w:lang w:val="en-US" w:eastAsia="zh-CN"/>
              </w:rPr>
              <w:t>6</w:t>
            </w:r>
          </w:p>
        </w:tc>
        <w:tc>
          <w:tcPr>
            <w:tcW w:w="1116" w:type="dxa"/>
            <w:tcBorders>
              <w:tl2br w:val="nil"/>
              <w:tr2bl w:val="nil"/>
            </w:tcBorders>
            <w:vAlign w:val="center"/>
          </w:tcPr>
          <w:p w14:paraId="261B0AA7">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鄂州市金诚橡塑制品有限公司</w:t>
            </w:r>
          </w:p>
        </w:tc>
        <w:tc>
          <w:tcPr>
            <w:tcW w:w="1383" w:type="dxa"/>
            <w:tcBorders>
              <w:tl2br w:val="nil"/>
              <w:tr2bl w:val="nil"/>
            </w:tcBorders>
            <w:vAlign w:val="center"/>
          </w:tcPr>
          <w:p w14:paraId="23FE0931">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rFonts w:hint="eastAsia"/>
                <w:sz w:val="21"/>
                <w:szCs w:val="21"/>
                <w:highlight w:val="none"/>
              </w:rPr>
              <w:t>195</w:t>
            </w:r>
            <w:r>
              <w:rPr>
                <w:sz w:val="21"/>
                <w:szCs w:val="21"/>
                <w:highlight w:val="none"/>
              </w:rPr>
              <w:t>制鞋业</w:t>
            </w:r>
          </w:p>
        </w:tc>
        <w:tc>
          <w:tcPr>
            <w:tcW w:w="2255" w:type="dxa"/>
            <w:tcBorders>
              <w:tl2br w:val="nil"/>
              <w:tr2bl w:val="nil"/>
            </w:tcBorders>
            <w:vAlign w:val="center"/>
          </w:tcPr>
          <w:p w14:paraId="03CC4082">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rFonts w:hint="eastAsia"/>
                <w:sz w:val="21"/>
                <w:szCs w:val="21"/>
                <w:highlight w:val="none"/>
              </w:rPr>
              <w:t>苯、甲苯、二甲苯、汞</w:t>
            </w:r>
          </w:p>
        </w:tc>
        <w:tc>
          <w:tcPr>
            <w:tcW w:w="3208" w:type="dxa"/>
            <w:tcBorders>
              <w:tl2br w:val="nil"/>
              <w:tr2bl w:val="nil"/>
            </w:tcBorders>
            <w:vAlign w:val="center"/>
          </w:tcPr>
          <w:p w14:paraId="3B6F53BF">
            <w:pPr>
              <w:pStyle w:val="2"/>
              <w:spacing w:after="0" w:line="240" w:lineRule="auto"/>
              <w:jc w:val="center"/>
              <w:rPr>
                <w:sz w:val="21"/>
                <w:szCs w:val="21"/>
                <w:highlight w:val="none"/>
              </w:rPr>
            </w:pPr>
            <w:r>
              <w:rPr>
                <w:sz w:val="21"/>
                <w:szCs w:val="21"/>
                <w:highlight w:val="none"/>
              </w:rPr>
              <w:t>废水：</w:t>
            </w:r>
            <w:r>
              <w:rPr>
                <w:rFonts w:hint="eastAsia"/>
                <w:sz w:val="21"/>
                <w:szCs w:val="21"/>
                <w:highlight w:val="none"/>
              </w:rPr>
              <w:t>炼胶、炼塑循环水池</w:t>
            </w:r>
          </w:p>
          <w:p w14:paraId="396BA91B">
            <w:pPr>
              <w:pStyle w:val="2"/>
              <w:spacing w:after="0" w:line="240" w:lineRule="auto"/>
              <w:jc w:val="center"/>
              <w:rPr>
                <w:sz w:val="21"/>
                <w:szCs w:val="21"/>
                <w:highlight w:val="none"/>
              </w:rPr>
            </w:pPr>
            <w:r>
              <w:rPr>
                <w:sz w:val="21"/>
                <w:szCs w:val="21"/>
                <w:highlight w:val="none"/>
              </w:rPr>
              <w:t>废气：</w:t>
            </w:r>
            <w:r>
              <w:rPr>
                <w:rFonts w:hint="eastAsia"/>
                <w:sz w:val="21"/>
                <w:szCs w:val="21"/>
                <w:highlight w:val="none"/>
              </w:rPr>
              <w:t>密炼工序、成鞋工序、上胶、硫化、油压工序、锅炉废气</w:t>
            </w:r>
          </w:p>
          <w:p w14:paraId="44852DC6">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rFonts w:hint="eastAsia"/>
                <w:sz w:val="21"/>
                <w:szCs w:val="21"/>
                <w:highlight w:val="none"/>
              </w:rPr>
              <w:t>固废：边角料、白乳胶桶、废矿物油、废活性炭、树脂胶桶、废包装材料</w:t>
            </w:r>
          </w:p>
        </w:tc>
        <w:tc>
          <w:tcPr>
            <w:tcW w:w="1197" w:type="dxa"/>
            <w:tcBorders>
              <w:tl2br w:val="nil"/>
              <w:tr2bl w:val="nil"/>
            </w:tcBorders>
            <w:vAlign w:val="center"/>
          </w:tcPr>
          <w:p w14:paraId="124BB385">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已取得排污许可证企业</w:t>
            </w:r>
          </w:p>
        </w:tc>
      </w:tr>
      <w:tr w14:paraId="7F624D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l2br w:val="nil"/>
              <w:tr2bl w:val="nil"/>
            </w:tcBorders>
            <w:vAlign w:val="center"/>
          </w:tcPr>
          <w:p w14:paraId="31D3A94A">
            <w:pPr>
              <w:pStyle w:val="2"/>
              <w:spacing w:after="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sz w:val="21"/>
                <w:szCs w:val="21"/>
                <w:highlight w:val="none"/>
                <w:lang w:val="en-US" w:eastAsia="zh-CN"/>
              </w:rPr>
              <w:t>7</w:t>
            </w:r>
          </w:p>
        </w:tc>
        <w:tc>
          <w:tcPr>
            <w:tcW w:w="1116" w:type="dxa"/>
            <w:tcBorders>
              <w:tl2br w:val="nil"/>
              <w:tr2bl w:val="nil"/>
            </w:tcBorders>
            <w:vAlign w:val="center"/>
          </w:tcPr>
          <w:p w14:paraId="25C8FFFA">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湖北方正模具材料有限公司（湖北方振轧辊机械制造有限公司）</w:t>
            </w:r>
          </w:p>
        </w:tc>
        <w:tc>
          <w:tcPr>
            <w:tcW w:w="1383" w:type="dxa"/>
            <w:tcBorders>
              <w:tl2br w:val="nil"/>
              <w:tr2bl w:val="nil"/>
            </w:tcBorders>
            <w:vAlign w:val="center"/>
          </w:tcPr>
          <w:p w14:paraId="28F757AF">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rFonts w:hint="eastAsia"/>
                <w:sz w:val="21"/>
                <w:szCs w:val="21"/>
                <w:highlight w:val="none"/>
              </w:rPr>
              <w:t>3391</w:t>
            </w:r>
            <w:r>
              <w:rPr>
                <w:sz w:val="21"/>
                <w:szCs w:val="21"/>
                <w:highlight w:val="none"/>
              </w:rPr>
              <w:t>黑色金属铸造</w:t>
            </w:r>
          </w:p>
        </w:tc>
        <w:tc>
          <w:tcPr>
            <w:tcW w:w="2255" w:type="dxa"/>
            <w:tcBorders>
              <w:tl2br w:val="nil"/>
              <w:tr2bl w:val="nil"/>
            </w:tcBorders>
            <w:vAlign w:val="center"/>
          </w:tcPr>
          <w:p w14:paraId="141BE462">
            <w:pPr>
              <w:pStyle w:val="2"/>
              <w:spacing w:after="0" w:line="240" w:lineRule="auto"/>
              <w:jc w:val="center"/>
              <w:rPr>
                <w:sz w:val="21"/>
                <w:szCs w:val="21"/>
                <w:highlight w:val="none"/>
              </w:rPr>
            </w:pPr>
            <w:r>
              <w:rPr>
                <w:rFonts w:hint="eastAsia"/>
                <w:sz w:val="21"/>
                <w:szCs w:val="21"/>
                <w:highlight w:val="none"/>
              </w:rPr>
              <w:t>铅、砷、镉、铬、</w:t>
            </w:r>
          </w:p>
          <w:p w14:paraId="607AAEDB">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rFonts w:hint="eastAsia"/>
                <w:sz w:val="21"/>
                <w:szCs w:val="21"/>
                <w:highlight w:val="none"/>
              </w:rPr>
              <w:t>汞、镍</w:t>
            </w:r>
          </w:p>
        </w:tc>
        <w:tc>
          <w:tcPr>
            <w:tcW w:w="3208" w:type="dxa"/>
            <w:tcBorders>
              <w:tl2br w:val="nil"/>
              <w:tr2bl w:val="nil"/>
            </w:tcBorders>
            <w:vAlign w:val="center"/>
          </w:tcPr>
          <w:p w14:paraId="3DAC6A6A">
            <w:pPr>
              <w:pStyle w:val="2"/>
              <w:spacing w:after="0" w:line="240" w:lineRule="auto"/>
              <w:jc w:val="center"/>
              <w:rPr>
                <w:sz w:val="21"/>
                <w:szCs w:val="21"/>
                <w:highlight w:val="none"/>
              </w:rPr>
            </w:pPr>
            <w:r>
              <w:rPr>
                <w:sz w:val="21"/>
                <w:szCs w:val="21"/>
                <w:highlight w:val="none"/>
              </w:rPr>
              <w:t>废水：</w:t>
            </w:r>
            <w:r>
              <w:rPr>
                <w:rFonts w:hint="eastAsia"/>
                <w:sz w:val="21"/>
                <w:szCs w:val="21"/>
                <w:highlight w:val="none"/>
              </w:rPr>
              <w:t>循环水池</w:t>
            </w:r>
          </w:p>
          <w:p w14:paraId="4F0A4ADB">
            <w:pPr>
              <w:pStyle w:val="2"/>
              <w:spacing w:after="0" w:line="240" w:lineRule="auto"/>
              <w:jc w:val="center"/>
              <w:rPr>
                <w:sz w:val="21"/>
                <w:szCs w:val="21"/>
                <w:highlight w:val="none"/>
              </w:rPr>
            </w:pPr>
            <w:r>
              <w:rPr>
                <w:sz w:val="21"/>
                <w:szCs w:val="21"/>
                <w:highlight w:val="none"/>
              </w:rPr>
              <w:t>废气：</w:t>
            </w:r>
            <w:r>
              <w:rPr>
                <w:rFonts w:hint="eastAsia"/>
                <w:sz w:val="21"/>
                <w:szCs w:val="21"/>
                <w:highlight w:val="none"/>
              </w:rPr>
              <w:t>金属熔炼、磨具钢铸造、退火处理、切割、精整、煤气发生炉；</w:t>
            </w:r>
          </w:p>
          <w:p w14:paraId="7CE623AC">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rFonts w:hint="eastAsia"/>
                <w:sz w:val="21"/>
                <w:szCs w:val="21"/>
                <w:highlight w:val="none"/>
              </w:rPr>
              <w:t>固废：钢渣、氧化铁皮、切头、残次品、除尘灰、煤焦油、炉渣</w:t>
            </w:r>
          </w:p>
        </w:tc>
        <w:tc>
          <w:tcPr>
            <w:tcW w:w="1197" w:type="dxa"/>
            <w:tcBorders>
              <w:tl2br w:val="nil"/>
              <w:tr2bl w:val="nil"/>
            </w:tcBorders>
            <w:vAlign w:val="center"/>
          </w:tcPr>
          <w:p w14:paraId="729CA865">
            <w:pPr>
              <w:pStyle w:val="2"/>
              <w:spacing w:after="0" w:line="240" w:lineRule="auto"/>
              <w:jc w:val="center"/>
              <w:rPr>
                <w:rFonts w:ascii="Times New Roman" w:hAnsi="Times New Roman" w:eastAsia="宋体" w:cs="Times New Roman"/>
                <w:kern w:val="2"/>
                <w:sz w:val="21"/>
                <w:szCs w:val="21"/>
                <w:highlight w:val="none"/>
                <w:lang w:val="en-US" w:eastAsia="zh-CN" w:bidi="ar-SA"/>
              </w:rPr>
            </w:pPr>
            <w:r>
              <w:rPr>
                <w:sz w:val="21"/>
                <w:szCs w:val="21"/>
                <w:highlight w:val="none"/>
              </w:rPr>
              <w:t>重点行业企业</w:t>
            </w:r>
            <w:r>
              <w:rPr>
                <w:rFonts w:hint="eastAsia"/>
                <w:sz w:val="21"/>
                <w:szCs w:val="21"/>
                <w:highlight w:val="none"/>
              </w:rPr>
              <w:t>、</w:t>
            </w:r>
            <w:r>
              <w:rPr>
                <w:sz w:val="21"/>
                <w:szCs w:val="21"/>
                <w:highlight w:val="none"/>
              </w:rPr>
              <w:t>已取得排污许可证企业</w:t>
            </w:r>
          </w:p>
        </w:tc>
      </w:tr>
    </w:tbl>
    <w:p w14:paraId="26FF572D">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综上，参考</w:t>
      </w:r>
      <w:r>
        <w:rPr>
          <w:rFonts w:hint="eastAsia"/>
          <w:color w:val="000000"/>
          <w:highlight w:val="none"/>
          <w:lang w:bidi="ar"/>
        </w:rPr>
        <w:t>《省级土壤污染状况详查实施方案编制指南》（环办土壤函[2017]1023号）附件</w:t>
      </w:r>
      <w:r>
        <w:rPr>
          <w:color w:val="000000" w:themeColor="text1"/>
          <w:kern w:val="0"/>
          <w:highlight w:val="none"/>
          <w14:textFill>
            <w14:solidFill>
              <w14:schemeClr w14:val="tx1"/>
            </w14:solidFill>
          </w14:textFill>
        </w:rPr>
        <w:t>《</w:t>
      </w:r>
      <w:r>
        <w:rPr>
          <w:highlight w:val="none"/>
        </w:rPr>
        <w:t>全国土壤污染状况详查分析测试项目</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根据园区产业定位，主要</w:t>
      </w:r>
      <w:r>
        <w:rPr>
          <w:color w:val="000000" w:themeColor="text1"/>
          <w:kern w:val="0"/>
          <w:highlight w:val="none"/>
          <w14:textFill>
            <w14:solidFill>
              <w14:schemeClr w14:val="tx1"/>
            </w14:solidFill>
          </w14:textFill>
        </w:rPr>
        <w:t>涉及重金属（铅、砷、镉、铬、汞、镍、</w:t>
      </w:r>
      <w:r>
        <w:rPr>
          <w:rFonts w:hint="eastAsia"/>
          <w:color w:val="000000" w:themeColor="text1"/>
          <w:kern w:val="0"/>
          <w:highlight w:val="none"/>
          <w14:textFill>
            <w14:solidFill>
              <w14:schemeClr w14:val="tx1"/>
            </w14:solidFill>
          </w14:textFill>
        </w:rPr>
        <w:t>锑</w:t>
      </w:r>
      <w:r>
        <w:rPr>
          <w:color w:val="000000" w:themeColor="text1"/>
          <w:kern w:val="0"/>
          <w:highlight w:val="none"/>
          <w14:textFill>
            <w14:solidFill>
              <w14:schemeClr w14:val="tx1"/>
            </w14:solidFill>
          </w14:textFill>
        </w:rPr>
        <w:t>）、</w:t>
      </w:r>
      <w:r>
        <w:rPr>
          <w:rFonts w:hint="eastAsia"/>
          <w:color w:val="000000" w:themeColor="text1"/>
          <w:kern w:val="0"/>
          <w:highlight w:val="none"/>
          <w:lang w:eastAsia="zh-CN"/>
          <w14:textFill>
            <w14:solidFill>
              <w14:schemeClr w14:val="tx1"/>
            </w14:solidFill>
          </w14:textFill>
        </w:rPr>
        <w:t>石油烃</w:t>
      </w:r>
      <w:r>
        <w:rPr>
          <w:color w:val="000000" w:themeColor="text1"/>
          <w:kern w:val="0"/>
          <w:highlight w:val="none"/>
          <w14:textFill>
            <w14:solidFill>
              <w14:schemeClr w14:val="tx1"/>
            </w14:solidFill>
          </w14:textFill>
        </w:rPr>
        <w:t>等</w:t>
      </w:r>
      <w:r>
        <w:rPr>
          <w:rFonts w:hint="eastAsia"/>
          <w:color w:val="000000" w:themeColor="text1"/>
          <w:kern w:val="0"/>
          <w:highlight w:val="none"/>
          <w14:textFill>
            <w14:solidFill>
              <w14:schemeClr w14:val="tx1"/>
            </w14:solidFill>
          </w14:textFill>
        </w:rPr>
        <w:t>污染物。部分典型企业涉及的污染因子</w:t>
      </w:r>
      <w:r>
        <w:rPr>
          <w:rFonts w:hint="eastAsia"/>
          <w:color w:val="000000" w:themeColor="text1"/>
          <w:kern w:val="0"/>
          <w:highlight w:val="none"/>
          <w:lang w:eastAsia="zh-CN"/>
          <w14:textFill>
            <w14:solidFill>
              <w14:schemeClr w14:val="tx1"/>
            </w14:solidFill>
          </w14:textFill>
        </w:rPr>
        <w:t>除基本项目外</w:t>
      </w:r>
      <w:r>
        <w:rPr>
          <w:rFonts w:hint="eastAsia"/>
          <w:color w:val="000000" w:themeColor="text1"/>
          <w:kern w:val="0"/>
          <w:highlight w:val="none"/>
          <w14:textFill>
            <w14:solidFill>
              <w14:schemeClr w14:val="tx1"/>
            </w14:solidFill>
          </w14:textFill>
        </w:rPr>
        <w:t>还包括：苯、甲苯、二甲苯、</w:t>
      </w:r>
      <w:r>
        <w:rPr>
          <w:rFonts w:hint="eastAsia"/>
          <w:color w:val="000000" w:themeColor="text1"/>
          <w:kern w:val="0"/>
          <w:highlight w:val="none"/>
          <w:lang w:eastAsia="zh-CN"/>
          <w14:textFill>
            <w14:solidFill>
              <w14:schemeClr w14:val="tx1"/>
            </w14:solidFill>
          </w14:textFill>
        </w:rPr>
        <w:t>多环芳烃、</w:t>
      </w:r>
      <w:r>
        <w:rPr>
          <w:rFonts w:hint="eastAsia"/>
          <w:color w:val="000000" w:themeColor="text1"/>
          <w:kern w:val="0"/>
          <w:highlight w:val="none"/>
          <w14:textFill>
            <w14:solidFill>
              <w14:schemeClr w14:val="tx1"/>
            </w14:solidFill>
          </w14:textFill>
        </w:rPr>
        <w:t>氟化物</w:t>
      </w:r>
      <w:r>
        <w:rPr>
          <w:rFonts w:hint="eastAsia"/>
          <w:color w:val="000000" w:themeColor="text1"/>
          <w:kern w:val="0"/>
          <w:highlight w:val="none"/>
          <w:lang w:eastAsia="zh-CN"/>
          <w14:textFill>
            <w14:solidFill>
              <w14:schemeClr w14:val="tx1"/>
            </w14:solidFill>
          </w14:textFill>
        </w:rPr>
        <w:t>等</w:t>
      </w:r>
      <w:r>
        <w:rPr>
          <w:rFonts w:hint="eastAsia"/>
          <w:color w:val="000000" w:themeColor="text1"/>
          <w:kern w:val="0"/>
          <w:highlight w:val="none"/>
          <w14:textFill>
            <w14:solidFill>
              <w14:schemeClr w14:val="tx1"/>
            </w14:solidFill>
          </w14:textFill>
        </w:rPr>
        <w:t>。</w:t>
      </w:r>
    </w:p>
    <w:p w14:paraId="282733C0">
      <w:pPr>
        <w:ind w:firstLine="480" w:firstLineChars="200"/>
        <w:rPr>
          <w:color w:val="000000" w:themeColor="text1"/>
          <w:kern w:val="0"/>
          <w:highlight w:val="none"/>
          <w14:textFill>
            <w14:solidFill>
              <w14:schemeClr w14:val="tx1"/>
            </w14:solidFill>
          </w14:textFill>
        </w:rPr>
      </w:pPr>
    </w:p>
    <w:p w14:paraId="767E9A6C">
      <w:pPr>
        <w:rPr>
          <w:highlight w:val="none"/>
        </w:rPr>
        <w:sectPr>
          <w:headerReference r:id="rId11" w:type="default"/>
          <w:pgSz w:w="11906" w:h="16838"/>
          <w:pgMar w:top="1134" w:right="1134" w:bottom="1134"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70256491">
      <w:pPr>
        <w:pStyle w:val="3"/>
        <w:numPr>
          <w:ilvl w:val="0"/>
          <w:numId w:val="1"/>
        </w:numPr>
        <w:tabs>
          <w:tab w:val="clear" w:pos="425"/>
        </w:tabs>
        <w:rPr>
          <w:highlight w:val="none"/>
        </w:rPr>
      </w:pPr>
      <w:bookmarkStart w:id="15" w:name="_Toc12706"/>
      <w:r>
        <w:rPr>
          <w:highlight w:val="none"/>
        </w:rPr>
        <w:t>调查工作方案</w:t>
      </w:r>
      <w:bookmarkEnd w:id="15"/>
    </w:p>
    <w:p w14:paraId="6A009227">
      <w:pPr>
        <w:pStyle w:val="4"/>
        <w:tabs>
          <w:tab w:val="clear" w:pos="425"/>
        </w:tabs>
        <w:rPr>
          <w:highlight w:val="none"/>
        </w:rPr>
      </w:pPr>
      <w:bookmarkStart w:id="16" w:name="_Toc4151"/>
      <w:bookmarkStart w:id="17" w:name="_Toc55399870"/>
      <w:r>
        <w:rPr>
          <w:highlight w:val="none"/>
        </w:rPr>
        <w:t>土壤布点方案</w:t>
      </w:r>
      <w:bookmarkEnd w:id="16"/>
      <w:bookmarkEnd w:id="17"/>
    </w:p>
    <w:p w14:paraId="3BDA28FA">
      <w:pPr>
        <w:pStyle w:val="5"/>
        <w:tabs>
          <w:tab w:val="left" w:pos="425"/>
        </w:tabs>
        <w:rPr>
          <w:highlight w:val="none"/>
        </w:rPr>
      </w:pPr>
      <w:r>
        <w:rPr>
          <w:highlight w:val="none"/>
        </w:rPr>
        <w:t>布点原则</w:t>
      </w:r>
    </w:p>
    <w:p w14:paraId="282810C3">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园区布点工作参考《关于开展重点区域土壤环境质量监测风险点位布设工作的通知》附件一《重点区域土壤环境质量监测风险点位布设方法》（环办监测函（2016）1号）和《四川省土壤污染重点监管单位和工业园区周边土壤环境监督性监测工作方案》</w:t>
      </w:r>
      <w:r>
        <w:rPr>
          <w:color w:val="333333"/>
          <w:highlight w:val="none"/>
          <w:shd w:val="clear" w:color="auto" w:fill="FFFFFF"/>
        </w:rPr>
        <w:t>（川环办函〔2018〕547号）</w:t>
      </w:r>
      <w:r>
        <w:rPr>
          <w:color w:val="000000" w:themeColor="text1"/>
          <w:kern w:val="0"/>
          <w:highlight w:val="none"/>
          <w14:textFill>
            <w14:solidFill>
              <w14:schemeClr w14:val="tx1"/>
            </w14:solidFill>
          </w14:textFill>
        </w:rPr>
        <w:t>，根据《建设用地土壤污染状况调查技术导则》（HJ 25.1-2019）、《建设用地土壤环境调查评估技术指南》（环保部公告2017年第72号）、《建设用地土壤污染风险管控和修复监测技术导则》（HJ 25.2-2019）等相关技术规范，具体布点原则如下：</w:t>
      </w:r>
    </w:p>
    <w:p w14:paraId="42D11DAB">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（1）园区周边点位布设：</w:t>
      </w:r>
      <w:r>
        <w:rPr>
          <w:rFonts w:hint="eastAsia"/>
          <w:highlight w:val="none"/>
        </w:rPr>
        <w:t>在园区主导风向的下风向（园区南侧、西侧）距园区边界区75m、200m、400m三处裸露土壤布设监测点，并于园区主导风向上风向（园区北侧、东侧）至少设置一个点位</w:t>
      </w:r>
      <w:r>
        <w:rPr>
          <w:rFonts w:hint="eastAsia"/>
          <w:color w:val="000000" w:themeColor="text1"/>
          <w:kern w:val="0"/>
          <w:highlight w:val="none"/>
          <w:lang w:eastAsia="zh-CN"/>
          <w14:textFill>
            <w14:solidFill>
              <w14:schemeClr w14:val="tx1"/>
            </w14:solidFill>
          </w14:textFill>
        </w:rPr>
        <w:t>；</w:t>
      </w:r>
      <w:r>
        <w:rPr>
          <w:rFonts w:hint="eastAsia"/>
          <w:color w:val="000000" w:themeColor="text1"/>
          <w:kern w:val="0"/>
          <w:highlight w:val="none"/>
          <w14:textFill>
            <w14:solidFill>
              <w14:schemeClr w14:val="tx1"/>
            </w14:solidFill>
          </w14:textFill>
        </w:rPr>
        <w:t>对于上风向临江的园区，临江点位设置于江边。</w:t>
      </w:r>
    </w:p>
    <w:p w14:paraId="0B681773">
      <w:pPr>
        <w:ind w:firstLine="480" w:firstLineChars="200"/>
        <w:rPr>
          <w:color w:val="000000" w:themeColor="text1"/>
          <w:kern w:val="0"/>
          <w:highlight w:val="none"/>
          <w14:textFill>
            <w14:solidFill>
              <w14:schemeClr w14:val="tx1"/>
            </w14:solidFill>
          </w14:textFill>
        </w:rPr>
      </w:pPr>
      <w:r>
        <w:rPr>
          <w:rFonts w:hint="default" w:ascii="Times New Roman" w:hAnsi="Times New Roman" w:cs="Times New Roman"/>
          <w:color w:val="auto"/>
          <w:kern w:val="0"/>
          <w:sz w:val="24"/>
          <w:highlight w:val="none"/>
          <w:lang w:val="en-US" w:eastAsia="zh-CN"/>
        </w:rPr>
        <w:t>（2）园区内已建成企业聚集区点位布设</w:t>
      </w:r>
      <w:r>
        <w:rPr>
          <w:rFonts w:hint="eastAsia" w:cs="Times New Roman"/>
          <w:color w:val="auto"/>
          <w:kern w:val="0"/>
          <w:sz w:val="24"/>
          <w:highlight w:val="none"/>
          <w:lang w:val="en-US" w:eastAsia="zh-CN"/>
        </w:rPr>
        <w:t>：</w:t>
      </w:r>
      <w:r>
        <w:rPr>
          <w:rFonts w:hint="default" w:ascii="Times New Roman" w:hAnsi="Times New Roman" w:cs="Times New Roman"/>
          <w:color w:val="auto"/>
          <w:kern w:val="0"/>
          <w:sz w:val="24"/>
          <w:highlight w:val="none"/>
          <w:lang w:val="en-US" w:eastAsia="zh-CN"/>
        </w:rPr>
        <w:t>在已建成企业聚集区域边界外的裸露土壤处布设监测点，于聚集区外每隔3公里布设一个点位</w:t>
      </w:r>
      <w:r>
        <w:rPr>
          <w:rFonts w:hint="default" w:cs="Times New Roman"/>
          <w:color w:val="auto"/>
          <w:kern w:val="0"/>
          <w:sz w:val="24"/>
          <w:highlight w:val="none"/>
          <w:lang w:eastAsia="zh-CN"/>
        </w:rPr>
        <w:t>；</w:t>
      </w:r>
      <w:r>
        <w:rPr>
          <w:rFonts w:hint="default" w:ascii="Times New Roman" w:hAnsi="Times New Roman" w:cs="Times New Roman"/>
          <w:color w:val="000000" w:themeColor="text1"/>
          <w:kern w:val="0"/>
          <w:highlight w:val="none"/>
          <w:lang w:val="en-US" w:eastAsia="zh-CN"/>
          <w14:textFill>
            <w14:solidFill>
              <w14:schemeClr w14:val="tx1"/>
            </w14:solidFill>
          </w14:textFill>
        </w:rPr>
        <w:t>对于临近园区边界的</w:t>
      </w:r>
      <w:r>
        <w:rPr>
          <w:rFonts w:hint="default" w:ascii="Times New Roman" w:hAnsi="Times New Roman" w:cs="Times New Roman"/>
          <w:color w:val="000000" w:themeColor="text1"/>
          <w:kern w:val="0"/>
          <w:highlight w:val="none"/>
          <w14:textFill>
            <w14:solidFill>
              <w14:schemeClr w14:val="tx1"/>
            </w14:solidFill>
          </w14:textFill>
        </w:rPr>
        <w:t>已建成企业聚集区</w:t>
      </w:r>
      <w:r>
        <w:rPr>
          <w:rFonts w:hint="default" w:ascii="Times New Roman" w:hAnsi="Times New Roman" w:cs="Times New Roman"/>
          <w:color w:val="000000" w:themeColor="text1"/>
          <w:kern w:val="0"/>
          <w:highlight w:val="none"/>
          <w:lang w:val="en-US" w:eastAsia="zh-CN"/>
          <w14:textFill>
            <w14:solidFill>
              <w14:schemeClr w14:val="tx1"/>
            </w14:solidFill>
          </w14:textFill>
        </w:rPr>
        <w:t>，既有园区周边点位附近不另设</w:t>
      </w:r>
      <w:r>
        <w:rPr>
          <w:rFonts w:hint="default" w:ascii="Times New Roman" w:hAnsi="Times New Roman" w:cs="Times New Roman"/>
          <w:color w:val="000000" w:themeColor="text1"/>
          <w:kern w:val="0"/>
          <w:highlight w:val="none"/>
          <w14:textFill>
            <w14:solidFill>
              <w14:schemeClr w14:val="tx1"/>
            </w14:solidFill>
          </w14:textFill>
        </w:rPr>
        <w:t>已建成企业聚集区</w:t>
      </w:r>
      <w:r>
        <w:rPr>
          <w:rFonts w:hint="default" w:ascii="Times New Roman" w:hAnsi="Times New Roman" w:cs="Times New Roman"/>
          <w:color w:val="000000" w:themeColor="text1"/>
          <w:kern w:val="0"/>
          <w:highlight w:val="none"/>
          <w:lang w:val="en-US" w:eastAsia="zh-CN"/>
          <w14:textFill>
            <w14:solidFill>
              <w14:schemeClr w14:val="tx1"/>
            </w14:solidFill>
          </w14:textFill>
        </w:rPr>
        <w:t>点位</w:t>
      </w:r>
      <w:r>
        <w:rPr>
          <w:rFonts w:hint="default" w:ascii="Times New Roman" w:hAnsi="Times New Roman" w:cs="Times New Roman"/>
          <w:color w:val="auto"/>
          <w:kern w:val="0"/>
          <w:sz w:val="24"/>
          <w:highlight w:val="none"/>
          <w:lang w:val="en-US" w:eastAsia="zh-CN"/>
        </w:rPr>
        <w:t>；</w:t>
      </w:r>
      <w:r>
        <w:rPr>
          <w:rFonts w:hint="eastAsia" w:cs="Times New Roman"/>
          <w:color w:val="auto"/>
          <w:kern w:val="0"/>
          <w:sz w:val="24"/>
          <w:highlight w:val="none"/>
          <w:lang w:val="en-US" w:eastAsia="zh-CN"/>
        </w:rPr>
        <w:t>若</w:t>
      </w:r>
      <w:r>
        <w:rPr>
          <w:rFonts w:hint="default" w:cs="Times New Roman"/>
          <w:color w:val="auto"/>
          <w:kern w:val="0"/>
          <w:sz w:val="24"/>
          <w:highlight w:val="none"/>
          <w:lang w:eastAsia="zh-CN"/>
        </w:rPr>
        <w:t>已建成企业聚集区</w:t>
      </w:r>
      <w:r>
        <w:rPr>
          <w:rFonts w:hint="default" w:ascii="Times New Roman" w:hAnsi="Times New Roman" w:cs="Times New Roman"/>
          <w:color w:val="auto"/>
          <w:kern w:val="0"/>
          <w:sz w:val="24"/>
          <w:highlight w:val="none"/>
          <w:lang w:val="en-US" w:eastAsia="zh-CN"/>
        </w:rPr>
        <w:t>边界</w:t>
      </w:r>
      <w:r>
        <w:rPr>
          <w:rFonts w:hint="eastAsia" w:cs="Times New Roman"/>
          <w:color w:val="auto"/>
          <w:kern w:val="0"/>
          <w:sz w:val="24"/>
          <w:highlight w:val="none"/>
          <w:lang w:val="en-US" w:eastAsia="zh-CN"/>
        </w:rPr>
        <w:t>附近涉及典型企业</w:t>
      </w:r>
      <w:r>
        <w:rPr>
          <w:rFonts w:hint="default" w:cs="Times New Roman"/>
          <w:color w:val="auto"/>
          <w:kern w:val="0"/>
          <w:sz w:val="24"/>
          <w:highlight w:val="none"/>
          <w:lang w:eastAsia="zh-CN"/>
        </w:rPr>
        <w:t>，</w:t>
      </w:r>
      <w:r>
        <w:rPr>
          <w:rFonts w:hint="eastAsia" w:cs="Times New Roman"/>
          <w:color w:val="auto"/>
          <w:kern w:val="0"/>
          <w:sz w:val="24"/>
          <w:highlight w:val="none"/>
          <w:lang w:val="en-US" w:eastAsia="zh-CN"/>
        </w:rPr>
        <w:t>需调整监测点位于典型企业周边。</w:t>
      </w:r>
    </w:p>
    <w:p w14:paraId="5AF92F8B">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（3）每个点位均采集表层（0-0.5m）样品。</w:t>
      </w:r>
    </w:p>
    <w:p w14:paraId="251E995A">
      <w:pPr>
        <w:pStyle w:val="5"/>
        <w:tabs>
          <w:tab w:val="left" w:pos="425"/>
        </w:tabs>
        <w:rPr>
          <w:highlight w:val="none"/>
        </w:rPr>
      </w:pPr>
      <w:r>
        <w:rPr>
          <w:highlight w:val="none"/>
        </w:rPr>
        <w:t>监测项目</w:t>
      </w:r>
    </w:p>
    <w:p w14:paraId="3CAEA951">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测试项目主要包括基本项目和特征项目。监测项目的确定原则如下：</w:t>
      </w:r>
    </w:p>
    <w:p w14:paraId="3A4F5584">
      <w:pPr>
        <w:ind w:firstLine="480" w:firstLineChars="200"/>
        <w:rPr>
          <w:rFonts w:hint="default" w:ascii="Times New Roman" w:hAnsi="Times New Roman" w:cs="Times New Roman"/>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（1）基本项目包括：《土壤环境质量建设用地土壤污染风险管控标准（试行）》（GB36600-2018）（以下简称“GB366</w:t>
      </w:r>
      <w:r>
        <w:rPr>
          <w:rFonts w:hint="default" w:ascii="Times New Roman" w:hAnsi="Times New Roman" w:cs="Times New Roman"/>
          <w:color w:val="000000" w:themeColor="text1"/>
          <w:kern w:val="0"/>
          <w:highlight w:val="none"/>
          <w14:textFill>
            <w14:solidFill>
              <w14:schemeClr w14:val="tx1"/>
            </w14:solidFill>
          </w14:textFill>
        </w:rPr>
        <w:t>00-2018”）表1基本项目45项、《土壤环境质量 农用地土壤污染风险管控标准（试行）》（GB15618-2018）（以下简称“GB15618-2018”）表1基本项目8项和pH；</w:t>
      </w:r>
    </w:p>
    <w:p w14:paraId="7D68457B">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（2）根据</w:t>
      </w:r>
      <w:r>
        <w:rPr>
          <w:rFonts w:hint="eastAsia"/>
          <w:color w:val="000000" w:themeColor="text1"/>
          <w:kern w:val="0"/>
          <w:highlight w:val="none"/>
          <w14:textFill>
            <w14:solidFill>
              <w14:schemeClr w14:val="tx1"/>
            </w14:solidFill>
          </w14:textFill>
        </w:rPr>
        <w:t>园区产业定位</w:t>
      </w:r>
      <w:r>
        <w:rPr>
          <w:color w:val="000000" w:themeColor="text1"/>
          <w:kern w:val="0"/>
          <w:highlight w:val="none"/>
          <w14:textFill>
            <w14:solidFill>
              <w14:schemeClr w14:val="tx1"/>
            </w14:solidFill>
          </w14:textFill>
        </w:rPr>
        <w:t>，园区增测特征项目</w:t>
      </w:r>
      <w:r>
        <w:rPr>
          <w:rFonts w:hint="eastAsia"/>
          <w:color w:val="000000" w:themeColor="text1"/>
          <w:kern w:val="0"/>
          <w:highlight w:val="none"/>
          <w14:textFill>
            <w14:solidFill>
              <w14:schemeClr w14:val="tx1"/>
            </w14:solidFill>
          </w14:textFill>
        </w:rPr>
        <w:t>确定为</w:t>
      </w:r>
      <w:r>
        <w:rPr>
          <w:color w:val="000000" w:themeColor="text1"/>
          <w:kern w:val="0"/>
          <w:highlight w:val="none"/>
          <w14:textFill>
            <w14:solidFill>
              <w14:schemeClr w14:val="tx1"/>
            </w14:solidFill>
          </w14:textFill>
        </w:rPr>
        <w:t>：石油烃（C</w:t>
      </w:r>
      <w:r>
        <w:rPr>
          <w:color w:val="000000" w:themeColor="text1"/>
          <w:kern w:val="0"/>
          <w:highlight w:val="none"/>
          <w:vertAlign w:val="subscript"/>
          <w14:textFill>
            <w14:solidFill>
              <w14:schemeClr w14:val="tx1"/>
            </w14:solidFill>
          </w14:textFill>
        </w:rPr>
        <w:t>10</w:t>
      </w:r>
      <w:r>
        <w:rPr>
          <w:color w:val="000000" w:themeColor="text1"/>
          <w:kern w:val="0"/>
          <w:highlight w:val="none"/>
          <w14:textFill>
            <w14:solidFill>
              <w14:schemeClr w14:val="tx1"/>
            </w14:solidFill>
          </w14:textFill>
        </w:rPr>
        <w:t>-C</w:t>
      </w:r>
      <w:r>
        <w:rPr>
          <w:color w:val="000000" w:themeColor="text1"/>
          <w:kern w:val="0"/>
          <w:highlight w:val="none"/>
          <w:vertAlign w:val="subscript"/>
          <w14:textFill>
            <w14:solidFill>
              <w14:schemeClr w14:val="tx1"/>
            </w14:solidFill>
          </w14:textFill>
        </w:rPr>
        <w:t>40</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、锑</w:t>
      </w:r>
      <w:r>
        <w:rPr>
          <w:color w:val="000000" w:themeColor="text1"/>
          <w:kern w:val="0"/>
          <w:highlight w:val="none"/>
          <w14:textFill>
            <w14:solidFill>
              <w14:schemeClr w14:val="tx1"/>
            </w14:solidFill>
          </w14:textFill>
        </w:rPr>
        <w:t>；</w:t>
      </w:r>
    </w:p>
    <w:p w14:paraId="4BE9BB38">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（3）</w:t>
      </w:r>
      <w:r>
        <w:rPr>
          <w:rFonts w:hint="eastAsia"/>
          <w:color w:val="000000" w:themeColor="text1"/>
          <w:kern w:val="0"/>
          <w:highlight w:val="none"/>
          <w14:textFill>
            <w14:solidFill>
              <w14:schemeClr w14:val="tx1"/>
            </w14:solidFill>
          </w14:textFill>
        </w:rPr>
        <w:t>考虑到HH-1</w:t>
      </w:r>
      <w:r>
        <w:rPr>
          <w:rFonts w:hint="eastAsia"/>
          <w:color w:val="000000" w:themeColor="text1"/>
          <w:kern w:val="0"/>
          <w:highlight w:val="none"/>
          <w:lang w:eastAsia="zh-CN"/>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HH-JJ-3</w:t>
      </w:r>
      <w:r>
        <w:rPr>
          <w:rFonts w:hint="eastAsia"/>
          <w:color w:val="000000" w:themeColor="text1"/>
          <w:kern w:val="0"/>
          <w:highlight w:val="none"/>
          <w14:textFill>
            <w14:solidFill>
              <w14:schemeClr w14:val="tx1"/>
            </w14:solidFill>
          </w14:textFill>
        </w:rPr>
        <w:t>临近陶瓷加工、生产企业，根据《陶瓷工业污染物排放标准》（GB25464-2010），</w:t>
      </w:r>
      <w:r>
        <w:rPr>
          <w:color w:val="000000" w:themeColor="text1"/>
          <w:kern w:val="0"/>
          <w:highlight w:val="none"/>
          <w14:textFill>
            <w14:solidFill>
              <w14:schemeClr w14:val="tx1"/>
            </w14:solidFill>
          </w14:textFill>
        </w:rPr>
        <w:t>该企业周边</w:t>
      </w:r>
      <w:r>
        <w:rPr>
          <w:rFonts w:hint="eastAsia"/>
          <w:color w:val="000000" w:themeColor="text1"/>
          <w:kern w:val="0"/>
          <w:highlight w:val="none"/>
          <w14:textFill>
            <w14:solidFill>
              <w14:schemeClr w14:val="tx1"/>
            </w14:solidFill>
          </w14:textFill>
        </w:rPr>
        <w:t>邻近</w:t>
      </w:r>
      <w:r>
        <w:rPr>
          <w:color w:val="000000" w:themeColor="text1"/>
          <w:kern w:val="0"/>
          <w:highlight w:val="none"/>
          <w14:textFill>
            <w14:solidFill>
              <w14:schemeClr w14:val="tx1"/>
            </w14:solidFill>
          </w14:textFill>
        </w:rPr>
        <w:t>点位增测特征污染</w:t>
      </w:r>
      <w:r>
        <w:rPr>
          <w:rFonts w:hint="eastAsia"/>
          <w:color w:val="000000" w:themeColor="text1"/>
          <w:kern w:val="0"/>
          <w:highlight w:val="none"/>
          <w14:textFill>
            <w14:solidFill>
              <w14:schemeClr w14:val="tx1"/>
            </w14:solidFill>
          </w14:textFill>
        </w:rPr>
        <w:t>因子总氟化物。</w:t>
      </w:r>
    </w:p>
    <w:p w14:paraId="7462BC1A">
      <w:pPr>
        <w:ind w:firstLine="482" w:firstLineChars="200"/>
        <w:rPr>
          <w:color w:val="000000" w:themeColor="text1"/>
          <w:kern w:val="0"/>
          <w:highlight w:val="none"/>
          <w14:textFill>
            <w14:solidFill>
              <w14:schemeClr w14:val="tx1"/>
            </w14:solidFill>
          </w14:textFill>
        </w:rPr>
      </w:pPr>
      <w:r>
        <w:rPr>
          <w:b/>
          <w:bCs/>
          <w:color w:val="000000" w:themeColor="text1"/>
          <w:kern w:val="0"/>
          <w:highlight w:val="none"/>
          <w14:textFill>
            <w14:solidFill>
              <w14:schemeClr w14:val="tx1"/>
            </w14:solidFill>
          </w14:textFill>
        </w:rPr>
        <w:t>综上，污染物测试项目共</w:t>
      </w:r>
      <w:r>
        <w:rPr>
          <w:rFonts w:hint="eastAsia"/>
          <w:b/>
          <w:bCs/>
          <w:color w:val="000000" w:themeColor="text1"/>
          <w:kern w:val="0"/>
          <w:highlight w:val="none"/>
          <w14:textFill>
            <w14:solidFill>
              <w14:schemeClr w14:val="tx1"/>
            </w14:solidFill>
          </w14:textFill>
        </w:rPr>
        <w:t>51项</w:t>
      </w:r>
      <w:r>
        <w:rPr>
          <w:b/>
          <w:bCs/>
          <w:color w:val="000000" w:themeColor="text1"/>
          <w:kern w:val="0"/>
          <w:highlight w:val="none"/>
          <w14:textFill>
            <w14:solidFill>
              <w14:schemeClr w14:val="tx1"/>
            </w14:solidFill>
          </w14:textFill>
        </w:rPr>
        <w:t>，包括：基本项目48项、特征项目</w:t>
      </w:r>
      <w:r>
        <w:rPr>
          <w:rFonts w:hint="eastAsia"/>
          <w:b/>
          <w:bCs/>
          <w:color w:val="000000" w:themeColor="text1"/>
          <w:kern w:val="0"/>
          <w:highlight w:val="none"/>
          <w14:textFill>
            <w14:solidFill>
              <w14:schemeClr w14:val="tx1"/>
            </w14:solidFill>
          </w14:textFill>
        </w:rPr>
        <w:t>3</w:t>
      </w:r>
      <w:r>
        <w:rPr>
          <w:b/>
          <w:bCs/>
          <w:color w:val="000000" w:themeColor="text1"/>
          <w:kern w:val="0"/>
          <w:highlight w:val="none"/>
          <w14:textFill>
            <w14:solidFill>
              <w14:schemeClr w14:val="tx1"/>
            </w14:solidFill>
          </w14:textFill>
        </w:rPr>
        <w:t>项。具体污染物项目如下：</w:t>
      </w:r>
    </w:p>
    <w:p w14:paraId="43FF5AC8">
      <w:pPr>
        <w:ind w:firstLine="482" w:firstLineChars="200"/>
        <w:rPr>
          <w:b/>
          <w:bCs/>
          <w:color w:val="000000" w:themeColor="text1"/>
          <w:kern w:val="0"/>
          <w:highlight w:val="none"/>
          <w14:textFill>
            <w14:solidFill>
              <w14:schemeClr w14:val="tx1"/>
            </w14:solidFill>
          </w14:textFill>
        </w:rPr>
      </w:pPr>
      <w:r>
        <w:rPr>
          <w:b/>
          <w:bCs/>
          <w:color w:val="000000" w:themeColor="text1"/>
          <w:kern w:val="0"/>
          <w:highlight w:val="none"/>
          <w14:textFill>
            <w14:solidFill>
              <w14:schemeClr w14:val="tx1"/>
            </w14:solidFill>
          </w14:textFill>
        </w:rPr>
        <w:t>（1）基本项目（48项）：</w:t>
      </w:r>
    </w:p>
    <w:p w14:paraId="1C84722E">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①pH；</w:t>
      </w:r>
    </w:p>
    <w:p w14:paraId="000C8F72">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②重金属（9项）：砷、镉、铬、铬（六价）、铜、锌、铅、汞、镍；</w:t>
      </w:r>
    </w:p>
    <w:p w14:paraId="1C12A11B">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③挥发性有机物（27项）：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w:t>
      </w:r>
    </w:p>
    <w:p w14:paraId="5C6DAF8C">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④半挥发性有机物（11项）：硝基苯、苯胺、2-氯酚、苯并[a]蒽、苯并[a]芘、苯并[b]荧蒽、苯并[k]荧蒽、䓛、二苯并[a,h]蒽、茚并[1,2,3-cd]芘、萘。</w:t>
      </w:r>
    </w:p>
    <w:p w14:paraId="231A1D79">
      <w:pPr>
        <w:ind w:firstLine="482" w:firstLineChars="200"/>
        <w:rPr>
          <w:b/>
          <w:bCs/>
          <w:color w:val="000000" w:themeColor="text1"/>
          <w:kern w:val="0"/>
          <w:highlight w:val="none"/>
          <w14:textFill>
            <w14:solidFill>
              <w14:schemeClr w14:val="tx1"/>
            </w14:solidFill>
          </w14:textFill>
        </w:rPr>
      </w:pPr>
      <w:r>
        <w:rPr>
          <w:b/>
          <w:bCs/>
          <w:color w:val="000000" w:themeColor="text1"/>
          <w:kern w:val="0"/>
          <w:highlight w:val="none"/>
          <w14:textFill>
            <w14:solidFill>
              <w14:schemeClr w14:val="tx1"/>
            </w14:solidFill>
          </w14:textFill>
        </w:rPr>
        <w:t>（2）特征项目（</w:t>
      </w:r>
      <w:r>
        <w:rPr>
          <w:rFonts w:hint="eastAsia"/>
          <w:b/>
          <w:bCs/>
          <w:color w:val="000000" w:themeColor="text1"/>
          <w:kern w:val="0"/>
          <w:highlight w:val="none"/>
          <w14:textFill>
            <w14:solidFill>
              <w14:schemeClr w14:val="tx1"/>
            </w14:solidFill>
          </w14:textFill>
        </w:rPr>
        <w:t>3</w:t>
      </w:r>
      <w:r>
        <w:rPr>
          <w:b/>
          <w:bCs/>
          <w:color w:val="000000" w:themeColor="text1"/>
          <w:kern w:val="0"/>
          <w:highlight w:val="none"/>
          <w14:textFill>
            <w14:solidFill>
              <w14:schemeClr w14:val="tx1"/>
            </w14:solidFill>
          </w14:textFill>
        </w:rPr>
        <w:t>项）：</w:t>
      </w:r>
    </w:p>
    <w:p w14:paraId="1E973BA9">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①园区增测项目（</w:t>
      </w:r>
      <w:r>
        <w:rPr>
          <w:rFonts w:hint="eastAsia"/>
          <w:color w:val="000000" w:themeColor="text1"/>
          <w:kern w:val="0"/>
          <w:highlight w:val="none"/>
          <w14:textFill>
            <w14:solidFill>
              <w14:schemeClr w14:val="tx1"/>
            </w14:solidFill>
          </w14:textFill>
        </w:rPr>
        <w:t>2</w:t>
      </w:r>
      <w:r>
        <w:rPr>
          <w:color w:val="000000" w:themeColor="text1"/>
          <w:kern w:val="0"/>
          <w:highlight w:val="none"/>
          <w14:textFill>
            <w14:solidFill>
              <w14:schemeClr w14:val="tx1"/>
            </w14:solidFill>
          </w14:textFill>
        </w:rPr>
        <w:t>项）：石油烃（C</w:t>
      </w:r>
      <w:r>
        <w:rPr>
          <w:color w:val="000000" w:themeColor="text1"/>
          <w:kern w:val="0"/>
          <w:highlight w:val="none"/>
          <w:vertAlign w:val="subscript"/>
          <w14:textFill>
            <w14:solidFill>
              <w14:schemeClr w14:val="tx1"/>
            </w14:solidFill>
          </w14:textFill>
        </w:rPr>
        <w:t>10</w:t>
      </w:r>
      <w:r>
        <w:rPr>
          <w:color w:val="000000" w:themeColor="text1"/>
          <w:kern w:val="0"/>
          <w:highlight w:val="none"/>
          <w14:textFill>
            <w14:solidFill>
              <w14:schemeClr w14:val="tx1"/>
            </w14:solidFill>
          </w14:textFill>
        </w:rPr>
        <w:t>-C</w:t>
      </w:r>
      <w:r>
        <w:rPr>
          <w:color w:val="000000" w:themeColor="text1"/>
          <w:kern w:val="0"/>
          <w:highlight w:val="none"/>
          <w:vertAlign w:val="subscript"/>
          <w14:textFill>
            <w14:solidFill>
              <w14:schemeClr w14:val="tx1"/>
            </w14:solidFill>
          </w14:textFill>
        </w:rPr>
        <w:t>40</w:t>
      </w:r>
      <w:r>
        <w:rPr>
          <w:color w:val="000000" w:themeColor="text1"/>
          <w:kern w:val="0"/>
          <w:highlight w:val="none"/>
          <w14:textFill>
            <w14:solidFill>
              <w14:schemeClr w14:val="tx1"/>
            </w14:solidFill>
          </w14:textFill>
        </w:rPr>
        <w:t>）、锑；</w:t>
      </w:r>
    </w:p>
    <w:p w14:paraId="5C541257">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②</w:t>
      </w:r>
      <w:r>
        <w:rPr>
          <w:rFonts w:hint="eastAsia"/>
          <w:color w:val="000000" w:themeColor="text1"/>
          <w:kern w:val="0"/>
          <w:highlight w:val="none"/>
          <w:lang w:val="en-US" w:eastAsia="zh-CN"/>
          <w14:textFill>
            <w14:solidFill>
              <w14:schemeClr w14:val="tx1"/>
            </w14:solidFill>
          </w14:textFill>
        </w:rPr>
        <w:t>其它</w:t>
      </w:r>
      <w:r>
        <w:rPr>
          <w:rFonts w:hint="eastAsia"/>
          <w:color w:val="000000" w:themeColor="text1"/>
          <w:kern w:val="0"/>
          <w:highlight w:val="none"/>
          <w:lang w:eastAsia="zh-CN"/>
          <w14:textFill>
            <w14:solidFill>
              <w14:schemeClr w14:val="tx1"/>
            </w14:solidFill>
          </w14:textFill>
        </w:rPr>
        <w:t>增测项目</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1</w:t>
      </w:r>
      <w:r>
        <w:rPr>
          <w:color w:val="000000" w:themeColor="text1"/>
          <w:kern w:val="0"/>
          <w:highlight w:val="none"/>
          <w14:textFill>
            <w14:solidFill>
              <w14:schemeClr w14:val="tx1"/>
            </w14:solidFill>
          </w14:textFill>
        </w:rPr>
        <w:t>项）：</w:t>
      </w:r>
      <w:r>
        <w:rPr>
          <w:rFonts w:hint="eastAsia"/>
          <w:color w:val="000000" w:themeColor="text1"/>
          <w:kern w:val="0"/>
          <w:highlight w:val="none"/>
          <w14:textFill>
            <w14:solidFill>
              <w14:schemeClr w14:val="tx1"/>
            </w14:solidFill>
          </w14:textFill>
        </w:rPr>
        <w:t>总氟化物</w:t>
      </w:r>
      <w:r>
        <w:rPr>
          <w:color w:val="000000" w:themeColor="text1"/>
          <w:kern w:val="0"/>
          <w:highlight w:val="none"/>
          <w14:textFill>
            <w14:solidFill>
              <w14:schemeClr w14:val="tx1"/>
            </w14:solidFill>
          </w14:textFill>
        </w:rPr>
        <w:t>。</w:t>
      </w:r>
    </w:p>
    <w:p w14:paraId="731EED74">
      <w:pPr>
        <w:pStyle w:val="5"/>
        <w:tabs>
          <w:tab w:val="left" w:pos="425"/>
        </w:tabs>
        <w:rPr>
          <w:highlight w:val="none"/>
        </w:rPr>
      </w:pPr>
      <w:r>
        <w:rPr>
          <w:rFonts w:hint="eastAsia"/>
          <w:highlight w:val="none"/>
        </w:rPr>
        <w:t>布点方案</w:t>
      </w:r>
    </w:p>
    <w:p w14:paraId="60ACA7BA">
      <w:pPr>
        <w:ind w:firstLine="480" w:firstLineChars="200"/>
        <w:rPr>
          <w:color w:val="000000" w:themeColor="text1"/>
          <w:kern w:val="0"/>
          <w:highlight w:val="none"/>
          <w14:textFill>
            <w14:solidFill>
              <w14:schemeClr w14:val="tx1"/>
            </w14:solidFill>
          </w14:textFill>
        </w:rPr>
        <w:sectPr>
          <w:headerReference r:id="rId12" w:type="default"/>
          <w:footerReference r:id="rId13" w:type="default"/>
          <w:pgSz w:w="11850" w:h="16783"/>
          <w:pgMar w:top="1134" w:right="1134" w:bottom="1134"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color w:val="000000" w:themeColor="text1"/>
          <w:kern w:val="0"/>
          <w:highlight w:val="none"/>
          <w14:textFill>
            <w14:solidFill>
              <w14:schemeClr w14:val="tx1"/>
            </w14:solidFill>
          </w14:textFill>
        </w:rPr>
        <w:t>园区内</w:t>
      </w:r>
      <w:r>
        <w:rPr>
          <w:color w:val="000000" w:themeColor="text1"/>
          <w:kern w:val="0"/>
          <w:highlight w:val="none"/>
          <w14:textFill>
            <w14:solidFill>
              <w14:schemeClr w14:val="tx1"/>
            </w14:solidFill>
          </w14:textFill>
        </w:rPr>
        <w:t>拟布设</w:t>
      </w:r>
      <w:r>
        <w:rPr>
          <w:rFonts w:hint="eastAsia"/>
          <w:color w:val="000000" w:themeColor="text1"/>
          <w:kern w:val="0"/>
          <w:highlight w:val="none"/>
          <w14:textFill>
            <w14:solidFill>
              <w14:schemeClr w14:val="tx1"/>
            </w14:solidFill>
          </w14:textFill>
        </w:rPr>
        <w:t>11个</w:t>
      </w:r>
      <w:r>
        <w:rPr>
          <w:color w:val="000000" w:themeColor="text1"/>
          <w:kern w:val="0"/>
          <w:highlight w:val="none"/>
          <w14:textFill>
            <w14:solidFill>
              <w14:schemeClr w14:val="tx1"/>
            </w14:solidFill>
          </w14:textFill>
        </w:rPr>
        <w:t>点位，采集</w:t>
      </w:r>
      <w:r>
        <w:rPr>
          <w:rFonts w:hint="eastAsia"/>
          <w:color w:val="000000" w:themeColor="text1"/>
          <w:kern w:val="0"/>
          <w:highlight w:val="none"/>
          <w14:textFill>
            <w14:solidFill>
              <w14:schemeClr w14:val="tx1"/>
            </w14:solidFill>
          </w14:textFill>
        </w:rPr>
        <w:t>11个</w:t>
      </w:r>
      <w:r>
        <w:rPr>
          <w:color w:val="000000" w:themeColor="text1"/>
          <w:kern w:val="0"/>
          <w:highlight w:val="none"/>
          <w14:textFill>
            <w14:solidFill>
              <w14:schemeClr w14:val="tx1"/>
            </w14:solidFill>
          </w14:textFill>
        </w:rPr>
        <w:t>土壤表层（0-0.5m）样品</w:t>
      </w:r>
      <w:r>
        <w:rPr>
          <w:rFonts w:hint="eastAsia"/>
          <w:color w:val="000000" w:themeColor="text1"/>
          <w:kern w:val="0"/>
          <w:highlight w:val="none"/>
          <w14:textFill>
            <w14:solidFill>
              <w14:schemeClr w14:val="tx1"/>
            </w14:solidFill>
          </w14:textFill>
        </w:rPr>
        <w:t>，监测因子共计51项，</w:t>
      </w:r>
      <w:r>
        <w:rPr>
          <w:color w:val="000000" w:themeColor="text1"/>
          <w:kern w:val="0"/>
          <w:highlight w:val="none"/>
          <w14:textFill>
            <w14:solidFill>
              <w14:schemeClr w14:val="tx1"/>
            </w14:solidFill>
          </w14:textFill>
        </w:rPr>
        <w:t>土壤监测具体布点方案见表3-1-1及附图</w:t>
      </w:r>
      <w:r>
        <w:rPr>
          <w:rFonts w:hint="eastAsia"/>
          <w:color w:val="000000" w:themeColor="text1"/>
          <w:kern w:val="0"/>
          <w:highlight w:val="none"/>
          <w14:textFill>
            <w14:solidFill>
              <w14:schemeClr w14:val="tx1"/>
            </w14:solidFill>
          </w14:textFill>
        </w:rPr>
        <w:t>6</w:t>
      </w:r>
      <w:r>
        <w:rPr>
          <w:color w:val="000000" w:themeColor="text1"/>
          <w:kern w:val="0"/>
          <w:highlight w:val="none"/>
          <w14:textFill>
            <w14:solidFill>
              <w14:schemeClr w14:val="tx1"/>
            </w14:solidFill>
          </w14:textFill>
        </w:rPr>
        <w:t>。</w:t>
      </w:r>
    </w:p>
    <w:p w14:paraId="048F17D0">
      <w:pPr>
        <w:spacing w:before="165" w:beforeLines="50" w:line="240" w:lineRule="auto"/>
        <w:jc w:val="center"/>
        <w:rPr>
          <w:highlight w:val="none"/>
        </w:rPr>
      </w:pPr>
      <w:r>
        <w:rPr>
          <w:rFonts w:eastAsia="黑体"/>
          <w:b/>
          <w:color w:val="000000"/>
          <w:highlight w:val="none"/>
        </w:rPr>
        <w:t>表3-1-1  土壤布点方案一览表</w:t>
      </w:r>
    </w:p>
    <w:tbl>
      <w:tblPr>
        <w:tblStyle w:val="21"/>
        <w:tblW w:w="1483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35"/>
        <w:gridCol w:w="1229"/>
        <w:gridCol w:w="1169"/>
        <w:gridCol w:w="3151"/>
        <w:gridCol w:w="1373"/>
        <w:gridCol w:w="1280"/>
        <w:gridCol w:w="2038"/>
        <w:gridCol w:w="4159"/>
      </w:tblGrid>
      <w:tr w14:paraId="7EAEE8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8" w:hRule="atLeast"/>
          <w:tblHeader/>
          <w:jc w:val="center"/>
        </w:trPr>
        <w:tc>
          <w:tcPr>
            <w:tcW w:w="435" w:type="dxa"/>
            <w:vMerge w:val="restart"/>
            <w:tcBorders>
              <w:bottom w:val="single" w:color="auto" w:sz="4" w:space="0"/>
            </w:tcBorders>
            <w:shd w:val="clear" w:color="auto" w:fill="auto"/>
            <w:noWrap/>
            <w:tcMar>
              <w:top w:w="15" w:type="dxa"/>
              <w:left w:w="15" w:type="dxa"/>
              <w:right w:w="15" w:type="dxa"/>
            </w:tcMar>
            <w:vAlign w:val="center"/>
          </w:tcPr>
          <w:p w14:paraId="5C117428">
            <w:pPr>
              <w:spacing w:line="240" w:lineRule="auto"/>
              <w:jc w:val="center"/>
              <w:rPr>
                <w:b/>
                <w:bCs/>
                <w:sz w:val="21"/>
                <w:szCs w:val="21"/>
                <w:highlight w:val="none"/>
              </w:rPr>
            </w:pPr>
            <w:r>
              <w:rPr>
                <w:b/>
                <w:bCs/>
                <w:sz w:val="21"/>
                <w:szCs w:val="21"/>
                <w:highlight w:val="none"/>
              </w:rPr>
              <w:t>序号</w:t>
            </w:r>
          </w:p>
        </w:tc>
        <w:tc>
          <w:tcPr>
            <w:tcW w:w="1229" w:type="dxa"/>
            <w:vMerge w:val="restart"/>
            <w:tcBorders>
              <w:bottom w:val="single" w:color="auto" w:sz="4" w:space="0"/>
            </w:tcBorders>
            <w:shd w:val="clear" w:color="auto" w:fill="auto"/>
            <w:noWrap/>
            <w:tcMar>
              <w:top w:w="15" w:type="dxa"/>
              <w:left w:w="15" w:type="dxa"/>
              <w:right w:w="15" w:type="dxa"/>
            </w:tcMar>
            <w:vAlign w:val="center"/>
          </w:tcPr>
          <w:p w14:paraId="60D8D07F">
            <w:pPr>
              <w:spacing w:line="240" w:lineRule="auto"/>
              <w:jc w:val="center"/>
              <w:rPr>
                <w:b/>
                <w:bCs/>
                <w:sz w:val="21"/>
                <w:szCs w:val="21"/>
                <w:highlight w:val="none"/>
              </w:rPr>
            </w:pPr>
            <w:r>
              <w:rPr>
                <w:b/>
                <w:bCs/>
                <w:sz w:val="21"/>
                <w:szCs w:val="21"/>
                <w:highlight w:val="none"/>
              </w:rPr>
              <w:t>点位类型</w:t>
            </w:r>
          </w:p>
        </w:tc>
        <w:tc>
          <w:tcPr>
            <w:tcW w:w="1169" w:type="dxa"/>
            <w:vMerge w:val="restart"/>
            <w:tcBorders>
              <w:bottom w:val="single" w:color="auto" w:sz="4" w:space="0"/>
            </w:tcBorders>
            <w:shd w:val="clear" w:color="auto" w:fill="auto"/>
            <w:noWrap/>
            <w:tcMar>
              <w:top w:w="15" w:type="dxa"/>
              <w:left w:w="15" w:type="dxa"/>
              <w:right w:w="15" w:type="dxa"/>
            </w:tcMar>
            <w:vAlign w:val="center"/>
          </w:tcPr>
          <w:p w14:paraId="74485149">
            <w:pPr>
              <w:spacing w:line="240" w:lineRule="auto"/>
              <w:jc w:val="center"/>
              <w:rPr>
                <w:b/>
                <w:bCs/>
                <w:sz w:val="21"/>
                <w:szCs w:val="21"/>
                <w:highlight w:val="none"/>
              </w:rPr>
            </w:pPr>
            <w:r>
              <w:rPr>
                <w:b/>
                <w:bCs/>
                <w:sz w:val="21"/>
                <w:szCs w:val="21"/>
                <w:highlight w:val="none"/>
              </w:rPr>
              <w:t>检测点位</w:t>
            </w:r>
          </w:p>
        </w:tc>
        <w:tc>
          <w:tcPr>
            <w:tcW w:w="3151" w:type="dxa"/>
            <w:vMerge w:val="restart"/>
            <w:tcBorders>
              <w:bottom w:val="single" w:color="auto" w:sz="4" w:space="0"/>
            </w:tcBorders>
            <w:shd w:val="clear" w:color="auto" w:fill="auto"/>
            <w:noWrap/>
            <w:tcMar>
              <w:top w:w="15" w:type="dxa"/>
              <w:left w:w="15" w:type="dxa"/>
              <w:right w:w="15" w:type="dxa"/>
            </w:tcMar>
            <w:vAlign w:val="center"/>
          </w:tcPr>
          <w:p w14:paraId="2C804605">
            <w:pPr>
              <w:spacing w:line="240" w:lineRule="auto"/>
              <w:jc w:val="center"/>
              <w:rPr>
                <w:b/>
                <w:bCs/>
                <w:sz w:val="21"/>
                <w:szCs w:val="21"/>
                <w:highlight w:val="none"/>
              </w:rPr>
            </w:pPr>
            <w:r>
              <w:rPr>
                <w:b/>
                <w:bCs/>
                <w:sz w:val="21"/>
                <w:szCs w:val="21"/>
                <w:highlight w:val="none"/>
              </w:rPr>
              <w:t>点位位置</w:t>
            </w:r>
          </w:p>
        </w:tc>
        <w:tc>
          <w:tcPr>
            <w:tcW w:w="2653" w:type="dxa"/>
            <w:gridSpan w:val="2"/>
            <w:tcBorders>
              <w:bottom w:val="single" w:color="auto" w:sz="4" w:space="0"/>
            </w:tcBorders>
            <w:shd w:val="clear" w:color="auto" w:fill="auto"/>
            <w:noWrap/>
            <w:tcMar>
              <w:top w:w="15" w:type="dxa"/>
              <w:left w:w="15" w:type="dxa"/>
              <w:right w:w="15" w:type="dxa"/>
            </w:tcMar>
            <w:vAlign w:val="center"/>
          </w:tcPr>
          <w:p w14:paraId="70A8402A">
            <w:pPr>
              <w:spacing w:line="240" w:lineRule="auto"/>
              <w:jc w:val="center"/>
              <w:rPr>
                <w:b/>
                <w:bCs/>
                <w:sz w:val="21"/>
                <w:szCs w:val="21"/>
                <w:highlight w:val="none"/>
              </w:rPr>
            </w:pPr>
            <w:r>
              <w:rPr>
                <w:rFonts w:hint="eastAsia"/>
                <w:b/>
                <w:bCs/>
                <w:sz w:val="21"/>
                <w:szCs w:val="21"/>
                <w:highlight w:val="none"/>
              </w:rPr>
              <w:t>坐标</w:t>
            </w:r>
            <w:r>
              <w:rPr>
                <w:b/>
                <w:bCs/>
                <w:sz w:val="21"/>
                <w:szCs w:val="21"/>
                <w:highlight w:val="none"/>
                <w:vertAlign w:val="superscript"/>
              </w:rPr>
              <w:t>①</w:t>
            </w:r>
          </w:p>
        </w:tc>
        <w:tc>
          <w:tcPr>
            <w:tcW w:w="2038" w:type="dxa"/>
            <w:vMerge w:val="restart"/>
            <w:tcBorders>
              <w:bottom w:val="single" w:color="auto" w:sz="4" w:space="0"/>
            </w:tcBorders>
            <w:shd w:val="clear" w:color="auto" w:fill="auto"/>
            <w:noWrap/>
            <w:tcMar>
              <w:top w:w="15" w:type="dxa"/>
              <w:left w:w="15" w:type="dxa"/>
              <w:right w:w="15" w:type="dxa"/>
            </w:tcMar>
            <w:vAlign w:val="center"/>
          </w:tcPr>
          <w:p w14:paraId="0D4D7C49">
            <w:pPr>
              <w:spacing w:line="240" w:lineRule="auto"/>
              <w:jc w:val="center"/>
              <w:rPr>
                <w:b/>
                <w:bCs/>
                <w:sz w:val="21"/>
                <w:szCs w:val="21"/>
                <w:highlight w:val="none"/>
              </w:rPr>
            </w:pPr>
            <w:r>
              <w:rPr>
                <w:rFonts w:hint="eastAsia"/>
                <w:b/>
                <w:bCs/>
                <w:sz w:val="21"/>
                <w:szCs w:val="21"/>
                <w:highlight w:val="none"/>
              </w:rPr>
              <w:t>采样深度（m）</w:t>
            </w:r>
          </w:p>
        </w:tc>
        <w:tc>
          <w:tcPr>
            <w:tcW w:w="4159" w:type="dxa"/>
            <w:vMerge w:val="restart"/>
            <w:tcBorders>
              <w:bottom w:val="single" w:color="auto" w:sz="4" w:space="0"/>
            </w:tcBorders>
            <w:shd w:val="clear" w:color="auto" w:fill="auto"/>
            <w:noWrap/>
            <w:tcMar>
              <w:top w:w="15" w:type="dxa"/>
              <w:left w:w="15" w:type="dxa"/>
              <w:right w:w="15" w:type="dxa"/>
            </w:tcMar>
            <w:vAlign w:val="center"/>
          </w:tcPr>
          <w:p w14:paraId="425A99FA">
            <w:pPr>
              <w:spacing w:line="240" w:lineRule="auto"/>
              <w:jc w:val="center"/>
              <w:rPr>
                <w:b/>
                <w:bCs/>
                <w:sz w:val="21"/>
                <w:szCs w:val="21"/>
                <w:highlight w:val="none"/>
              </w:rPr>
            </w:pPr>
            <w:r>
              <w:rPr>
                <w:b/>
                <w:bCs/>
                <w:sz w:val="21"/>
                <w:szCs w:val="21"/>
                <w:highlight w:val="none"/>
              </w:rPr>
              <w:t>测试项目</w:t>
            </w:r>
          </w:p>
        </w:tc>
      </w:tr>
      <w:tr w14:paraId="5C560C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17" w:hRule="atLeast"/>
          <w:tblHeader/>
          <w:jc w:val="center"/>
        </w:trPr>
        <w:tc>
          <w:tcPr>
            <w:tcW w:w="435" w:type="dxa"/>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373C18D9">
            <w:pPr>
              <w:spacing w:line="240" w:lineRule="auto"/>
              <w:jc w:val="center"/>
              <w:rPr>
                <w:b/>
                <w:bCs/>
                <w:sz w:val="21"/>
                <w:szCs w:val="21"/>
                <w:highlight w:val="none"/>
              </w:rPr>
            </w:pPr>
          </w:p>
        </w:tc>
        <w:tc>
          <w:tcPr>
            <w:tcW w:w="1229" w:type="dxa"/>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0FDD558B">
            <w:pPr>
              <w:spacing w:line="240" w:lineRule="auto"/>
              <w:jc w:val="center"/>
              <w:rPr>
                <w:b/>
                <w:bCs/>
                <w:sz w:val="21"/>
                <w:szCs w:val="21"/>
                <w:highlight w:val="none"/>
              </w:rPr>
            </w:pPr>
          </w:p>
        </w:tc>
        <w:tc>
          <w:tcPr>
            <w:tcW w:w="1169" w:type="dxa"/>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78507F43">
            <w:pPr>
              <w:spacing w:line="240" w:lineRule="auto"/>
              <w:jc w:val="center"/>
              <w:rPr>
                <w:b/>
                <w:bCs/>
                <w:sz w:val="21"/>
                <w:szCs w:val="21"/>
                <w:highlight w:val="none"/>
              </w:rPr>
            </w:pPr>
          </w:p>
        </w:tc>
        <w:tc>
          <w:tcPr>
            <w:tcW w:w="3151" w:type="dxa"/>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2B477FB8">
            <w:pPr>
              <w:spacing w:line="240" w:lineRule="auto"/>
              <w:jc w:val="center"/>
              <w:rPr>
                <w:b/>
                <w:bCs/>
                <w:sz w:val="21"/>
                <w:szCs w:val="21"/>
                <w:highlight w:val="none"/>
              </w:rPr>
            </w:pPr>
          </w:p>
        </w:tc>
        <w:tc>
          <w:tcPr>
            <w:tcW w:w="1373" w:type="dxa"/>
            <w:tcBorders>
              <w:top w:val="single" w:color="auto" w:sz="4" w:space="0"/>
              <w:bottom w:val="single" w:color="auto" w:sz="12" w:space="0"/>
            </w:tcBorders>
            <w:shd w:val="clear" w:color="auto" w:fill="auto"/>
            <w:noWrap/>
            <w:tcMar>
              <w:top w:w="15" w:type="dxa"/>
              <w:left w:w="15" w:type="dxa"/>
              <w:right w:w="15" w:type="dxa"/>
            </w:tcMar>
            <w:vAlign w:val="center"/>
          </w:tcPr>
          <w:p w14:paraId="76E0F321">
            <w:pPr>
              <w:spacing w:line="240" w:lineRule="auto"/>
              <w:jc w:val="center"/>
              <w:rPr>
                <w:b/>
                <w:bCs/>
                <w:sz w:val="21"/>
                <w:szCs w:val="21"/>
                <w:highlight w:val="none"/>
              </w:rPr>
            </w:pPr>
            <w:r>
              <w:rPr>
                <w:b/>
                <w:bCs/>
                <w:sz w:val="21"/>
                <w:szCs w:val="21"/>
                <w:highlight w:val="none"/>
              </w:rPr>
              <w:t>经度（°）</w:t>
            </w:r>
          </w:p>
        </w:tc>
        <w:tc>
          <w:tcPr>
            <w:tcW w:w="1280" w:type="dxa"/>
            <w:tcBorders>
              <w:top w:val="single" w:color="auto" w:sz="4" w:space="0"/>
              <w:bottom w:val="single" w:color="auto" w:sz="12" w:space="0"/>
            </w:tcBorders>
            <w:shd w:val="clear" w:color="auto" w:fill="auto"/>
            <w:noWrap/>
            <w:tcMar>
              <w:top w:w="15" w:type="dxa"/>
              <w:left w:w="15" w:type="dxa"/>
              <w:right w:w="15" w:type="dxa"/>
            </w:tcMar>
            <w:vAlign w:val="center"/>
          </w:tcPr>
          <w:p w14:paraId="7D716E8C">
            <w:pPr>
              <w:spacing w:line="240" w:lineRule="auto"/>
              <w:jc w:val="center"/>
              <w:rPr>
                <w:b/>
                <w:bCs/>
                <w:sz w:val="21"/>
                <w:szCs w:val="21"/>
                <w:highlight w:val="none"/>
              </w:rPr>
            </w:pPr>
            <w:r>
              <w:rPr>
                <w:b/>
                <w:bCs/>
                <w:sz w:val="21"/>
                <w:szCs w:val="21"/>
                <w:highlight w:val="none"/>
              </w:rPr>
              <w:t>纬度（°）</w:t>
            </w:r>
          </w:p>
        </w:tc>
        <w:tc>
          <w:tcPr>
            <w:tcW w:w="2038" w:type="dxa"/>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12D1F93E">
            <w:pPr>
              <w:spacing w:line="240" w:lineRule="auto"/>
              <w:jc w:val="center"/>
              <w:rPr>
                <w:b/>
                <w:bCs/>
                <w:sz w:val="21"/>
                <w:szCs w:val="21"/>
                <w:highlight w:val="none"/>
              </w:rPr>
            </w:pPr>
          </w:p>
        </w:tc>
        <w:tc>
          <w:tcPr>
            <w:tcW w:w="4159" w:type="dxa"/>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3B18FBF0">
            <w:pPr>
              <w:spacing w:line="240" w:lineRule="auto"/>
              <w:jc w:val="center"/>
              <w:rPr>
                <w:b/>
                <w:bCs/>
                <w:sz w:val="21"/>
                <w:szCs w:val="21"/>
                <w:highlight w:val="none"/>
              </w:rPr>
            </w:pPr>
          </w:p>
        </w:tc>
      </w:tr>
      <w:tr w14:paraId="4A0144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35" w:type="dxa"/>
            <w:tcBorders>
              <w:top w:val="single" w:color="auto" w:sz="12" w:space="0"/>
              <w:tl2br w:val="nil"/>
              <w:tr2bl w:val="nil"/>
            </w:tcBorders>
            <w:shd w:val="clear" w:color="auto" w:fill="auto"/>
            <w:noWrap/>
            <w:tcMar>
              <w:top w:w="15" w:type="dxa"/>
              <w:left w:w="15" w:type="dxa"/>
              <w:right w:w="15" w:type="dxa"/>
            </w:tcMar>
            <w:vAlign w:val="center"/>
          </w:tcPr>
          <w:p w14:paraId="7CD9AE6E">
            <w:pPr>
              <w:widowControl/>
              <w:spacing w:line="240" w:lineRule="auto"/>
              <w:jc w:val="center"/>
              <w:textAlignment w:val="center"/>
              <w:rPr>
                <w:sz w:val="21"/>
                <w:szCs w:val="21"/>
                <w:highlight w:val="none"/>
              </w:rPr>
            </w:pPr>
            <w:r>
              <w:rPr>
                <w:color w:val="000000"/>
                <w:kern w:val="0"/>
                <w:sz w:val="21"/>
                <w:szCs w:val="21"/>
                <w:highlight w:val="none"/>
                <w:lang w:bidi="ar"/>
              </w:rPr>
              <w:t>1</w:t>
            </w:r>
          </w:p>
        </w:tc>
        <w:tc>
          <w:tcPr>
            <w:tcW w:w="1229" w:type="dxa"/>
            <w:vMerge w:val="restart"/>
            <w:tcBorders>
              <w:top w:val="single" w:color="auto" w:sz="12" w:space="0"/>
              <w:tl2br w:val="nil"/>
              <w:tr2bl w:val="nil"/>
            </w:tcBorders>
            <w:shd w:val="clear" w:color="auto" w:fill="auto"/>
            <w:noWrap/>
            <w:tcMar>
              <w:top w:w="15" w:type="dxa"/>
              <w:left w:w="15" w:type="dxa"/>
              <w:right w:w="15" w:type="dxa"/>
            </w:tcMar>
            <w:vAlign w:val="center"/>
          </w:tcPr>
          <w:p w14:paraId="25938397">
            <w:pPr>
              <w:spacing w:line="240" w:lineRule="auto"/>
              <w:jc w:val="center"/>
              <w:rPr>
                <w:sz w:val="21"/>
                <w:szCs w:val="21"/>
                <w:highlight w:val="none"/>
              </w:rPr>
            </w:pPr>
            <w:r>
              <w:rPr>
                <w:sz w:val="21"/>
                <w:szCs w:val="21"/>
                <w:highlight w:val="none"/>
              </w:rPr>
              <w:t>工业园周边点位</w:t>
            </w:r>
          </w:p>
        </w:tc>
        <w:tc>
          <w:tcPr>
            <w:tcW w:w="1169" w:type="dxa"/>
            <w:tcBorders>
              <w:top w:val="single" w:color="auto" w:sz="12" w:space="0"/>
              <w:tl2br w:val="nil"/>
              <w:tr2bl w:val="nil"/>
            </w:tcBorders>
            <w:shd w:val="clear" w:color="auto" w:fill="auto"/>
            <w:noWrap/>
            <w:tcMar>
              <w:top w:w="15" w:type="dxa"/>
              <w:left w:w="15" w:type="dxa"/>
              <w:right w:w="15" w:type="dxa"/>
            </w:tcMar>
            <w:vAlign w:val="center"/>
          </w:tcPr>
          <w:p w14:paraId="16D004DA">
            <w:pPr>
              <w:widowControl/>
              <w:spacing w:line="240" w:lineRule="auto"/>
              <w:jc w:val="center"/>
              <w:textAlignment w:val="center"/>
              <w:rPr>
                <w:sz w:val="21"/>
                <w:szCs w:val="21"/>
                <w:highlight w:val="none"/>
              </w:rPr>
            </w:pPr>
            <w:r>
              <w:rPr>
                <w:color w:val="000000"/>
                <w:sz w:val="21"/>
                <w:szCs w:val="21"/>
                <w:highlight w:val="none"/>
              </w:rPr>
              <w:t>HH-1-75</w:t>
            </w:r>
            <w:r>
              <w:rPr>
                <w:rFonts w:hint="eastAsia"/>
                <w:color w:val="000000"/>
                <w:sz w:val="21"/>
                <w:szCs w:val="21"/>
                <w:highlight w:val="none"/>
                <w:vertAlign w:val="superscript"/>
              </w:rPr>
              <w:t>②</w:t>
            </w:r>
          </w:p>
        </w:tc>
        <w:tc>
          <w:tcPr>
            <w:tcW w:w="3151" w:type="dxa"/>
            <w:tcBorders>
              <w:top w:val="single" w:color="auto" w:sz="12" w:space="0"/>
              <w:tl2br w:val="nil"/>
              <w:tr2bl w:val="nil"/>
            </w:tcBorders>
            <w:shd w:val="clear" w:color="auto" w:fill="auto"/>
            <w:noWrap/>
            <w:tcMar>
              <w:top w:w="15" w:type="dxa"/>
              <w:left w:w="15" w:type="dxa"/>
              <w:right w:w="15" w:type="dxa"/>
            </w:tcMar>
            <w:vAlign w:val="center"/>
          </w:tcPr>
          <w:p w14:paraId="2DB8A979">
            <w:pPr>
              <w:spacing w:line="240" w:lineRule="auto"/>
              <w:jc w:val="center"/>
              <w:rPr>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边界西侧下风向75m</w:t>
            </w:r>
          </w:p>
        </w:tc>
        <w:tc>
          <w:tcPr>
            <w:tcW w:w="1373" w:type="dxa"/>
            <w:tcBorders>
              <w:top w:val="single" w:color="auto" w:sz="12" w:space="0"/>
              <w:tl2br w:val="nil"/>
              <w:tr2bl w:val="nil"/>
            </w:tcBorders>
            <w:shd w:val="clear" w:color="auto" w:fill="auto"/>
            <w:noWrap/>
            <w:tcMar>
              <w:top w:w="15" w:type="dxa"/>
              <w:left w:w="15" w:type="dxa"/>
              <w:right w:w="15" w:type="dxa"/>
            </w:tcMar>
            <w:vAlign w:val="center"/>
          </w:tcPr>
          <w:p w14:paraId="503DF874">
            <w:pPr>
              <w:spacing w:line="240" w:lineRule="auto"/>
              <w:jc w:val="center"/>
              <w:rPr>
                <w:sz w:val="21"/>
                <w:szCs w:val="21"/>
                <w:highlight w:val="none"/>
              </w:rPr>
            </w:pPr>
            <w:r>
              <w:rPr>
                <w:rFonts w:hint="eastAsia"/>
                <w:sz w:val="21"/>
                <w:szCs w:val="21"/>
                <w:highlight w:val="none"/>
              </w:rPr>
              <w:t xml:space="preserve">115.036420 </w:t>
            </w:r>
          </w:p>
        </w:tc>
        <w:tc>
          <w:tcPr>
            <w:tcW w:w="1280" w:type="dxa"/>
            <w:tcBorders>
              <w:top w:val="single" w:color="auto" w:sz="12" w:space="0"/>
              <w:tl2br w:val="nil"/>
              <w:tr2bl w:val="nil"/>
            </w:tcBorders>
            <w:shd w:val="clear" w:color="auto" w:fill="auto"/>
            <w:noWrap/>
            <w:tcMar>
              <w:top w:w="15" w:type="dxa"/>
              <w:left w:w="15" w:type="dxa"/>
              <w:right w:w="15" w:type="dxa"/>
            </w:tcMar>
            <w:vAlign w:val="center"/>
          </w:tcPr>
          <w:p w14:paraId="1BDA8852">
            <w:pPr>
              <w:spacing w:line="240" w:lineRule="auto"/>
              <w:jc w:val="center"/>
              <w:rPr>
                <w:sz w:val="21"/>
                <w:szCs w:val="21"/>
                <w:highlight w:val="none"/>
              </w:rPr>
            </w:pPr>
            <w:r>
              <w:rPr>
                <w:rFonts w:hint="eastAsia"/>
                <w:sz w:val="21"/>
                <w:szCs w:val="21"/>
                <w:highlight w:val="none"/>
              </w:rPr>
              <w:t xml:space="preserve">30.262158 </w:t>
            </w:r>
          </w:p>
        </w:tc>
        <w:tc>
          <w:tcPr>
            <w:tcW w:w="2038" w:type="dxa"/>
            <w:vMerge w:val="restart"/>
            <w:tcBorders>
              <w:top w:val="single" w:color="auto" w:sz="12" w:space="0"/>
              <w:tl2br w:val="nil"/>
              <w:tr2bl w:val="nil"/>
            </w:tcBorders>
            <w:shd w:val="clear" w:color="auto" w:fill="auto"/>
            <w:noWrap/>
            <w:tcMar>
              <w:top w:w="15" w:type="dxa"/>
              <w:left w:w="15" w:type="dxa"/>
              <w:right w:w="15" w:type="dxa"/>
            </w:tcMar>
            <w:vAlign w:val="center"/>
          </w:tcPr>
          <w:p w14:paraId="73BF29B0">
            <w:pPr>
              <w:widowControl/>
              <w:spacing w:line="240" w:lineRule="auto"/>
              <w:jc w:val="center"/>
              <w:rPr>
                <w:sz w:val="21"/>
                <w:szCs w:val="21"/>
                <w:highlight w:val="none"/>
              </w:rPr>
            </w:pPr>
            <w:r>
              <w:rPr>
                <w:rFonts w:hint="eastAsia"/>
                <w:sz w:val="21"/>
                <w:szCs w:val="21"/>
                <w:highlight w:val="none"/>
              </w:rPr>
              <w:t>0-0.5</w:t>
            </w:r>
          </w:p>
        </w:tc>
        <w:tc>
          <w:tcPr>
            <w:tcW w:w="4159" w:type="dxa"/>
            <w:vMerge w:val="restart"/>
            <w:tcBorders>
              <w:top w:val="single" w:color="auto" w:sz="12" w:space="0"/>
              <w:tl2br w:val="nil"/>
              <w:tr2bl w:val="nil"/>
            </w:tcBorders>
            <w:shd w:val="clear" w:color="auto" w:fill="auto"/>
            <w:noWrap/>
            <w:tcMar>
              <w:top w:w="15" w:type="dxa"/>
              <w:left w:w="15" w:type="dxa"/>
              <w:right w:w="15" w:type="dxa"/>
            </w:tcMar>
            <w:vAlign w:val="center"/>
          </w:tcPr>
          <w:p w14:paraId="6F6C36EE">
            <w:pPr>
              <w:spacing w:line="240" w:lineRule="auto"/>
              <w:jc w:val="center"/>
              <w:rPr>
                <w:rFonts w:eastAsiaTheme="minorEastAsia"/>
                <w:sz w:val="21"/>
                <w:szCs w:val="21"/>
                <w:highlight w:val="none"/>
              </w:rPr>
            </w:pPr>
            <w:r>
              <w:rPr>
                <w:rFonts w:eastAsiaTheme="minorEastAsia"/>
                <w:kern w:val="0"/>
                <w:sz w:val="21"/>
                <w:szCs w:val="21"/>
                <w:highlight w:val="none"/>
              </w:rPr>
              <w:t>基本项目（48项）、园区增测项目（</w:t>
            </w:r>
            <w:r>
              <w:rPr>
                <w:rFonts w:hint="eastAsia" w:eastAsiaTheme="minorEastAsia"/>
                <w:kern w:val="0"/>
                <w:sz w:val="21"/>
                <w:szCs w:val="21"/>
                <w:highlight w:val="none"/>
              </w:rPr>
              <w:t>2</w:t>
            </w:r>
            <w:r>
              <w:rPr>
                <w:rFonts w:eastAsiaTheme="minorEastAsia"/>
                <w:kern w:val="0"/>
                <w:sz w:val="21"/>
                <w:szCs w:val="21"/>
                <w:highlight w:val="none"/>
              </w:rPr>
              <w:t>项）</w:t>
            </w:r>
            <w:r>
              <w:rPr>
                <w:rFonts w:hint="eastAsia" w:eastAsiaTheme="minorEastAsia"/>
                <w:kern w:val="0"/>
                <w:sz w:val="21"/>
                <w:szCs w:val="21"/>
                <w:highlight w:val="none"/>
              </w:rPr>
              <w:t>、</w:t>
            </w:r>
            <w:r>
              <w:rPr>
                <w:rFonts w:hint="eastAsia" w:eastAsiaTheme="minorEastAsia"/>
                <w:kern w:val="0"/>
                <w:sz w:val="21"/>
                <w:szCs w:val="21"/>
                <w:highlight w:val="none"/>
                <w:lang w:val="en-US" w:eastAsia="zh-CN"/>
              </w:rPr>
              <w:t>其它</w:t>
            </w:r>
            <w:r>
              <w:rPr>
                <w:rFonts w:hint="eastAsia" w:eastAsiaTheme="minorEastAsia"/>
                <w:kern w:val="0"/>
                <w:sz w:val="21"/>
                <w:szCs w:val="21"/>
                <w:highlight w:val="none"/>
                <w:lang w:eastAsia="zh-CN"/>
              </w:rPr>
              <w:t>增测项目</w:t>
            </w:r>
            <w:r>
              <w:rPr>
                <w:rFonts w:hint="eastAsia" w:eastAsiaTheme="minorEastAsia"/>
                <w:kern w:val="0"/>
                <w:sz w:val="21"/>
                <w:szCs w:val="21"/>
                <w:highlight w:val="none"/>
              </w:rPr>
              <w:t>（1项）</w:t>
            </w:r>
          </w:p>
        </w:tc>
      </w:tr>
      <w:tr w14:paraId="592864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35" w:type="dxa"/>
            <w:tcBorders>
              <w:tl2br w:val="nil"/>
              <w:tr2bl w:val="nil"/>
            </w:tcBorders>
            <w:shd w:val="clear" w:color="auto" w:fill="auto"/>
            <w:noWrap/>
            <w:tcMar>
              <w:top w:w="15" w:type="dxa"/>
              <w:left w:w="15" w:type="dxa"/>
              <w:right w:w="15" w:type="dxa"/>
            </w:tcMar>
            <w:vAlign w:val="center"/>
          </w:tcPr>
          <w:p w14:paraId="506099A3">
            <w:pPr>
              <w:widowControl/>
              <w:spacing w:line="240" w:lineRule="auto"/>
              <w:jc w:val="center"/>
              <w:textAlignment w:val="center"/>
              <w:rPr>
                <w:sz w:val="21"/>
                <w:szCs w:val="21"/>
                <w:highlight w:val="none"/>
              </w:rPr>
            </w:pPr>
            <w:r>
              <w:rPr>
                <w:color w:val="000000"/>
                <w:kern w:val="0"/>
                <w:sz w:val="21"/>
                <w:szCs w:val="21"/>
                <w:highlight w:val="none"/>
                <w:lang w:bidi="ar"/>
              </w:rPr>
              <w:t>2</w:t>
            </w:r>
          </w:p>
        </w:tc>
        <w:tc>
          <w:tcPr>
            <w:tcW w:w="1229" w:type="dxa"/>
            <w:vMerge w:val="continue"/>
            <w:tcBorders>
              <w:tl2br w:val="nil"/>
              <w:tr2bl w:val="nil"/>
            </w:tcBorders>
            <w:shd w:val="clear" w:color="auto" w:fill="auto"/>
            <w:noWrap/>
            <w:tcMar>
              <w:top w:w="15" w:type="dxa"/>
              <w:left w:w="15" w:type="dxa"/>
              <w:right w:w="15" w:type="dxa"/>
            </w:tcMar>
            <w:vAlign w:val="center"/>
          </w:tcPr>
          <w:p w14:paraId="2BD101D5">
            <w:pPr>
              <w:spacing w:line="240" w:lineRule="auto"/>
              <w:jc w:val="center"/>
              <w:rPr>
                <w:sz w:val="21"/>
                <w:szCs w:val="21"/>
                <w:highlight w:val="none"/>
              </w:rPr>
            </w:pPr>
          </w:p>
        </w:tc>
        <w:tc>
          <w:tcPr>
            <w:tcW w:w="1169" w:type="dxa"/>
            <w:tcBorders>
              <w:tl2br w:val="nil"/>
              <w:tr2bl w:val="nil"/>
            </w:tcBorders>
            <w:shd w:val="clear" w:color="auto" w:fill="auto"/>
            <w:noWrap/>
            <w:tcMar>
              <w:top w:w="15" w:type="dxa"/>
              <w:left w:w="15" w:type="dxa"/>
              <w:right w:w="15" w:type="dxa"/>
            </w:tcMar>
            <w:vAlign w:val="center"/>
          </w:tcPr>
          <w:p w14:paraId="5C011885">
            <w:pPr>
              <w:widowControl/>
              <w:spacing w:line="240" w:lineRule="auto"/>
              <w:jc w:val="center"/>
              <w:textAlignment w:val="center"/>
              <w:rPr>
                <w:sz w:val="21"/>
                <w:szCs w:val="21"/>
                <w:highlight w:val="none"/>
              </w:rPr>
            </w:pPr>
            <w:r>
              <w:rPr>
                <w:color w:val="000000"/>
                <w:sz w:val="21"/>
                <w:szCs w:val="21"/>
                <w:highlight w:val="none"/>
              </w:rPr>
              <w:t>HH-1-200</w:t>
            </w:r>
            <w:r>
              <w:rPr>
                <w:rFonts w:hint="eastAsia"/>
                <w:color w:val="000000"/>
                <w:sz w:val="21"/>
                <w:szCs w:val="21"/>
                <w:highlight w:val="none"/>
                <w:vertAlign w:val="superscript"/>
              </w:rPr>
              <w:t>②</w:t>
            </w:r>
          </w:p>
        </w:tc>
        <w:tc>
          <w:tcPr>
            <w:tcW w:w="3151" w:type="dxa"/>
            <w:tcBorders>
              <w:tl2br w:val="nil"/>
              <w:tr2bl w:val="nil"/>
            </w:tcBorders>
            <w:shd w:val="clear" w:color="auto" w:fill="auto"/>
            <w:noWrap/>
            <w:tcMar>
              <w:top w:w="15" w:type="dxa"/>
              <w:left w:w="15" w:type="dxa"/>
              <w:right w:w="15" w:type="dxa"/>
            </w:tcMar>
            <w:vAlign w:val="center"/>
          </w:tcPr>
          <w:p w14:paraId="23E0080A">
            <w:pPr>
              <w:spacing w:line="240" w:lineRule="auto"/>
              <w:jc w:val="center"/>
              <w:rPr>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边界西侧下风向200m</w:t>
            </w:r>
          </w:p>
        </w:tc>
        <w:tc>
          <w:tcPr>
            <w:tcW w:w="1373" w:type="dxa"/>
            <w:tcBorders>
              <w:tl2br w:val="nil"/>
              <w:tr2bl w:val="nil"/>
            </w:tcBorders>
            <w:shd w:val="clear" w:color="auto" w:fill="auto"/>
            <w:noWrap/>
            <w:tcMar>
              <w:top w:w="15" w:type="dxa"/>
              <w:left w:w="15" w:type="dxa"/>
              <w:right w:w="15" w:type="dxa"/>
            </w:tcMar>
            <w:vAlign w:val="center"/>
          </w:tcPr>
          <w:p w14:paraId="79D29209">
            <w:pPr>
              <w:spacing w:line="240" w:lineRule="auto"/>
              <w:jc w:val="center"/>
              <w:rPr>
                <w:sz w:val="21"/>
                <w:szCs w:val="21"/>
                <w:highlight w:val="none"/>
              </w:rPr>
            </w:pPr>
            <w:r>
              <w:rPr>
                <w:rFonts w:hint="eastAsia"/>
                <w:sz w:val="21"/>
                <w:szCs w:val="21"/>
                <w:highlight w:val="none"/>
              </w:rPr>
              <w:t xml:space="preserve">115.034827 </w:t>
            </w:r>
          </w:p>
        </w:tc>
        <w:tc>
          <w:tcPr>
            <w:tcW w:w="1280" w:type="dxa"/>
            <w:tcBorders>
              <w:tl2br w:val="nil"/>
              <w:tr2bl w:val="nil"/>
            </w:tcBorders>
            <w:shd w:val="clear" w:color="auto" w:fill="auto"/>
            <w:noWrap/>
            <w:tcMar>
              <w:top w:w="15" w:type="dxa"/>
              <w:left w:w="15" w:type="dxa"/>
              <w:right w:w="15" w:type="dxa"/>
            </w:tcMar>
            <w:vAlign w:val="center"/>
          </w:tcPr>
          <w:p w14:paraId="2CBBB61F">
            <w:pPr>
              <w:spacing w:line="240" w:lineRule="auto"/>
              <w:jc w:val="center"/>
              <w:rPr>
                <w:sz w:val="21"/>
                <w:szCs w:val="21"/>
                <w:highlight w:val="none"/>
              </w:rPr>
            </w:pPr>
            <w:r>
              <w:rPr>
                <w:rFonts w:hint="eastAsia"/>
                <w:sz w:val="21"/>
                <w:szCs w:val="21"/>
                <w:highlight w:val="none"/>
              </w:rPr>
              <w:t xml:space="preserve">30.262019 </w:t>
            </w:r>
          </w:p>
        </w:tc>
        <w:tc>
          <w:tcPr>
            <w:tcW w:w="2038" w:type="dxa"/>
            <w:vMerge w:val="continue"/>
            <w:tcBorders>
              <w:tl2br w:val="nil"/>
              <w:tr2bl w:val="nil"/>
            </w:tcBorders>
            <w:shd w:val="clear" w:color="auto" w:fill="auto"/>
            <w:noWrap/>
            <w:tcMar>
              <w:top w:w="15" w:type="dxa"/>
              <w:left w:w="15" w:type="dxa"/>
              <w:right w:w="15" w:type="dxa"/>
            </w:tcMar>
            <w:vAlign w:val="center"/>
          </w:tcPr>
          <w:p w14:paraId="20B7AD7A">
            <w:pPr>
              <w:spacing w:line="240" w:lineRule="auto"/>
              <w:jc w:val="center"/>
              <w:rPr>
                <w:sz w:val="21"/>
                <w:szCs w:val="21"/>
                <w:highlight w:val="none"/>
              </w:rPr>
            </w:pPr>
          </w:p>
        </w:tc>
        <w:tc>
          <w:tcPr>
            <w:tcW w:w="4159" w:type="dxa"/>
            <w:vMerge w:val="continue"/>
            <w:tcBorders>
              <w:tl2br w:val="nil"/>
              <w:tr2bl w:val="nil"/>
            </w:tcBorders>
            <w:shd w:val="clear" w:color="auto" w:fill="auto"/>
            <w:noWrap/>
            <w:tcMar>
              <w:top w:w="15" w:type="dxa"/>
              <w:left w:w="15" w:type="dxa"/>
              <w:right w:w="15" w:type="dxa"/>
            </w:tcMar>
            <w:vAlign w:val="center"/>
          </w:tcPr>
          <w:p w14:paraId="289B12C9">
            <w:pPr>
              <w:spacing w:line="240" w:lineRule="auto"/>
              <w:jc w:val="center"/>
              <w:rPr>
                <w:sz w:val="21"/>
                <w:szCs w:val="21"/>
                <w:highlight w:val="none"/>
              </w:rPr>
            </w:pPr>
          </w:p>
        </w:tc>
      </w:tr>
      <w:tr w14:paraId="164289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435" w:type="dxa"/>
            <w:tcBorders>
              <w:tl2br w:val="nil"/>
              <w:tr2bl w:val="nil"/>
            </w:tcBorders>
            <w:shd w:val="clear" w:color="auto" w:fill="auto"/>
            <w:noWrap/>
            <w:tcMar>
              <w:top w:w="15" w:type="dxa"/>
              <w:left w:w="15" w:type="dxa"/>
              <w:right w:w="15" w:type="dxa"/>
            </w:tcMar>
            <w:vAlign w:val="center"/>
          </w:tcPr>
          <w:p w14:paraId="6CDDD0AE">
            <w:pPr>
              <w:widowControl/>
              <w:spacing w:line="240" w:lineRule="auto"/>
              <w:jc w:val="center"/>
              <w:textAlignment w:val="center"/>
              <w:rPr>
                <w:sz w:val="21"/>
                <w:szCs w:val="21"/>
                <w:highlight w:val="none"/>
              </w:rPr>
            </w:pPr>
            <w:r>
              <w:rPr>
                <w:color w:val="000000"/>
                <w:kern w:val="0"/>
                <w:sz w:val="21"/>
                <w:szCs w:val="21"/>
                <w:highlight w:val="none"/>
                <w:lang w:bidi="ar"/>
              </w:rPr>
              <w:t>3</w:t>
            </w:r>
          </w:p>
        </w:tc>
        <w:tc>
          <w:tcPr>
            <w:tcW w:w="1229" w:type="dxa"/>
            <w:vMerge w:val="continue"/>
            <w:tcBorders>
              <w:tl2br w:val="nil"/>
              <w:tr2bl w:val="nil"/>
            </w:tcBorders>
            <w:shd w:val="clear" w:color="auto" w:fill="auto"/>
            <w:noWrap/>
            <w:tcMar>
              <w:top w:w="15" w:type="dxa"/>
              <w:left w:w="15" w:type="dxa"/>
              <w:right w:w="15" w:type="dxa"/>
            </w:tcMar>
            <w:vAlign w:val="center"/>
          </w:tcPr>
          <w:p w14:paraId="372E4583">
            <w:pPr>
              <w:spacing w:line="240" w:lineRule="auto"/>
              <w:jc w:val="center"/>
              <w:rPr>
                <w:sz w:val="21"/>
                <w:szCs w:val="21"/>
                <w:highlight w:val="none"/>
              </w:rPr>
            </w:pPr>
          </w:p>
        </w:tc>
        <w:tc>
          <w:tcPr>
            <w:tcW w:w="1169" w:type="dxa"/>
            <w:tcBorders>
              <w:tl2br w:val="nil"/>
              <w:tr2bl w:val="nil"/>
            </w:tcBorders>
            <w:shd w:val="clear" w:color="auto" w:fill="auto"/>
            <w:noWrap/>
            <w:tcMar>
              <w:top w:w="15" w:type="dxa"/>
              <w:left w:w="15" w:type="dxa"/>
              <w:right w:w="15" w:type="dxa"/>
            </w:tcMar>
            <w:vAlign w:val="center"/>
          </w:tcPr>
          <w:p w14:paraId="668EE1CB">
            <w:pPr>
              <w:widowControl/>
              <w:spacing w:line="240" w:lineRule="auto"/>
              <w:jc w:val="center"/>
              <w:textAlignment w:val="center"/>
              <w:rPr>
                <w:sz w:val="21"/>
                <w:szCs w:val="21"/>
                <w:highlight w:val="none"/>
              </w:rPr>
            </w:pPr>
            <w:r>
              <w:rPr>
                <w:color w:val="000000"/>
                <w:sz w:val="21"/>
                <w:szCs w:val="21"/>
                <w:highlight w:val="none"/>
              </w:rPr>
              <w:t>HH-1-400</w:t>
            </w:r>
            <w:r>
              <w:rPr>
                <w:rFonts w:hint="eastAsia"/>
                <w:color w:val="000000"/>
                <w:sz w:val="21"/>
                <w:szCs w:val="21"/>
                <w:highlight w:val="none"/>
                <w:vertAlign w:val="superscript"/>
              </w:rPr>
              <w:t>②</w:t>
            </w:r>
          </w:p>
        </w:tc>
        <w:tc>
          <w:tcPr>
            <w:tcW w:w="3151" w:type="dxa"/>
            <w:tcBorders>
              <w:tl2br w:val="nil"/>
              <w:tr2bl w:val="nil"/>
            </w:tcBorders>
            <w:shd w:val="clear" w:color="auto" w:fill="auto"/>
            <w:noWrap/>
            <w:tcMar>
              <w:top w:w="15" w:type="dxa"/>
              <w:left w:w="15" w:type="dxa"/>
              <w:right w:w="15" w:type="dxa"/>
            </w:tcMar>
            <w:vAlign w:val="center"/>
          </w:tcPr>
          <w:p w14:paraId="6924315E">
            <w:pPr>
              <w:spacing w:line="240" w:lineRule="auto"/>
              <w:jc w:val="center"/>
              <w:rPr>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边界西侧下风向400m</w:t>
            </w:r>
          </w:p>
        </w:tc>
        <w:tc>
          <w:tcPr>
            <w:tcW w:w="1373" w:type="dxa"/>
            <w:tcBorders>
              <w:tl2br w:val="nil"/>
              <w:tr2bl w:val="nil"/>
            </w:tcBorders>
            <w:shd w:val="clear" w:color="auto" w:fill="auto"/>
            <w:noWrap/>
            <w:tcMar>
              <w:top w:w="15" w:type="dxa"/>
              <w:left w:w="15" w:type="dxa"/>
              <w:right w:w="15" w:type="dxa"/>
            </w:tcMar>
            <w:vAlign w:val="center"/>
          </w:tcPr>
          <w:p w14:paraId="21BB305D">
            <w:pPr>
              <w:spacing w:line="240" w:lineRule="auto"/>
              <w:jc w:val="center"/>
              <w:rPr>
                <w:sz w:val="21"/>
                <w:szCs w:val="21"/>
                <w:highlight w:val="none"/>
              </w:rPr>
            </w:pPr>
            <w:r>
              <w:rPr>
                <w:rFonts w:hint="eastAsia"/>
                <w:sz w:val="21"/>
                <w:szCs w:val="21"/>
                <w:highlight w:val="none"/>
              </w:rPr>
              <w:t xml:space="preserve">115.032636 </w:t>
            </w:r>
          </w:p>
        </w:tc>
        <w:tc>
          <w:tcPr>
            <w:tcW w:w="1280" w:type="dxa"/>
            <w:tcBorders>
              <w:tl2br w:val="nil"/>
              <w:tr2bl w:val="nil"/>
            </w:tcBorders>
            <w:shd w:val="clear" w:color="auto" w:fill="auto"/>
            <w:noWrap/>
            <w:tcMar>
              <w:top w:w="15" w:type="dxa"/>
              <w:left w:w="15" w:type="dxa"/>
              <w:right w:w="15" w:type="dxa"/>
            </w:tcMar>
            <w:vAlign w:val="center"/>
          </w:tcPr>
          <w:p w14:paraId="1A6B747B">
            <w:pPr>
              <w:spacing w:line="240" w:lineRule="auto"/>
              <w:jc w:val="center"/>
              <w:rPr>
                <w:sz w:val="21"/>
                <w:szCs w:val="21"/>
                <w:highlight w:val="none"/>
              </w:rPr>
            </w:pPr>
            <w:r>
              <w:rPr>
                <w:rFonts w:hint="eastAsia"/>
                <w:sz w:val="21"/>
                <w:szCs w:val="21"/>
                <w:highlight w:val="none"/>
              </w:rPr>
              <w:t xml:space="preserve">30.262081 </w:t>
            </w:r>
          </w:p>
        </w:tc>
        <w:tc>
          <w:tcPr>
            <w:tcW w:w="2038" w:type="dxa"/>
            <w:vMerge w:val="continue"/>
            <w:tcBorders>
              <w:tl2br w:val="nil"/>
              <w:tr2bl w:val="nil"/>
            </w:tcBorders>
            <w:shd w:val="clear" w:color="auto" w:fill="auto"/>
            <w:noWrap/>
            <w:tcMar>
              <w:top w:w="15" w:type="dxa"/>
              <w:left w:w="15" w:type="dxa"/>
              <w:right w:w="15" w:type="dxa"/>
            </w:tcMar>
            <w:vAlign w:val="center"/>
          </w:tcPr>
          <w:p w14:paraId="24DDB831">
            <w:pPr>
              <w:spacing w:line="240" w:lineRule="auto"/>
              <w:jc w:val="center"/>
              <w:rPr>
                <w:sz w:val="21"/>
                <w:szCs w:val="21"/>
                <w:highlight w:val="none"/>
              </w:rPr>
            </w:pPr>
          </w:p>
        </w:tc>
        <w:tc>
          <w:tcPr>
            <w:tcW w:w="4159" w:type="dxa"/>
            <w:vMerge w:val="continue"/>
            <w:tcBorders>
              <w:tl2br w:val="nil"/>
              <w:tr2bl w:val="nil"/>
            </w:tcBorders>
            <w:shd w:val="clear" w:color="auto" w:fill="auto"/>
            <w:noWrap/>
            <w:tcMar>
              <w:top w:w="15" w:type="dxa"/>
              <w:left w:w="15" w:type="dxa"/>
              <w:right w:w="15" w:type="dxa"/>
            </w:tcMar>
            <w:vAlign w:val="center"/>
          </w:tcPr>
          <w:p w14:paraId="3423BF01">
            <w:pPr>
              <w:spacing w:line="240" w:lineRule="auto"/>
              <w:jc w:val="center"/>
              <w:rPr>
                <w:sz w:val="21"/>
                <w:szCs w:val="21"/>
                <w:highlight w:val="none"/>
              </w:rPr>
            </w:pPr>
          </w:p>
        </w:tc>
      </w:tr>
      <w:tr w14:paraId="7E9DD4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35" w:type="dxa"/>
            <w:tcBorders>
              <w:tl2br w:val="nil"/>
              <w:tr2bl w:val="nil"/>
            </w:tcBorders>
            <w:shd w:val="clear" w:color="auto" w:fill="auto"/>
            <w:noWrap/>
            <w:tcMar>
              <w:top w:w="15" w:type="dxa"/>
              <w:left w:w="15" w:type="dxa"/>
              <w:right w:w="15" w:type="dxa"/>
            </w:tcMar>
            <w:vAlign w:val="center"/>
          </w:tcPr>
          <w:p w14:paraId="6E5C7212">
            <w:pPr>
              <w:widowControl/>
              <w:spacing w:line="240" w:lineRule="auto"/>
              <w:jc w:val="center"/>
              <w:textAlignment w:val="center"/>
              <w:rPr>
                <w:sz w:val="21"/>
                <w:szCs w:val="21"/>
                <w:highlight w:val="none"/>
              </w:rPr>
            </w:pPr>
            <w:r>
              <w:rPr>
                <w:color w:val="000000"/>
                <w:kern w:val="0"/>
                <w:sz w:val="21"/>
                <w:szCs w:val="21"/>
                <w:highlight w:val="none"/>
                <w:lang w:bidi="ar"/>
              </w:rPr>
              <w:t>4</w:t>
            </w:r>
          </w:p>
        </w:tc>
        <w:tc>
          <w:tcPr>
            <w:tcW w:w="1229" w:type="dxa"/>
            <w:vMerge w:val="continue"/>
            <w:tcBorders>
              <w:tl2br w:val="nil"/>
              <w:tr2bl w:val="nil"/>
            </w:tcBorders>
            <w:shd w:val="clear" w:color="auto" w:fill="auto"/>
            <w:noWrap/>
            <w:tcMar>
              <w:top w:w="15" w:type="dxa"/>
              <w:left w:w="15" w:type="dxa"/>
              <w:right w:w="15" w:type="dxa"/>
            </w:tcMar>
            <w:vAlign w:val="center"/>
          </w:tcPr>
          <w:p w14:paraId="75335B5B">
            <w:pPr>
              <w:spacing w:line="240" w:lineRule="auto"/>
              <w:jc w:val="center"/>
              <w:rPr>
                <w:sz w:val="21"/>
                <w:szCs w:val="21"/>
                <w:highlight w:val="none"/>
              </w:rPr>
            </w:pPr>
          </w:p>
        </w:tc>
        <w:tc>
          <w:tcPr>
            <w:tcW w:w="1169" w:type="dxa"/>
            <w:tcBorders>
              <w:tl2br w:val="nil"/>
              <w:tr2bl w:val="nil"/>
            </w:tcBorders>
            <w:shd w:val="clear" w:color="auto" w:fill="auto"/>
            <w:noWrap/>
            <w:tcMar>
              <w:top w:w="15" w:type="dxa"/>
              <w:left w:w="15" w:type="dxa"/>
              <w:right w:w="15" w:type="dxa"/>
            </w:tcMar>
            <w:vAlign w:val="center"/>
          </w:tcPr>
          <w:p w14:paraId="36BF2490">
            <w:pPr>
              <w:widowControl/>
              <w:spacing w:line="240" w:lineRule="auto"/>
              <w:jc w:val="center"/>
              <w:textAlignment w:val="center"/>
              <w:rPr>
                <w:sz w:val="21"/>
                <w:szCs w:val="21"/>
                <w:highlight w:val="none"/>
              </w:rPr>
            </w:pPr>
            <w:r>
              <w:rPr>
                <w:color w:val="000000"/>
                <w:sz w:val="21"/>
                <w:szCs w:val="21"/>
                <w:highlight w:val="none"/>
              </w:rPr>
              <w:t>HH-2</w:t>
            </w:r>
          </w:p>
        </w:tc>
        <w:tc>
          <w:tcPr>
            <w:tcW w:w="3151" w:type="dxa"/>
            <w:tcBorders>
              <w:tl2br w:val="nil"/>
              <w:tr2bl w:val="nil"/>
            </w:tcBorders>
            <w:shd w:val="clear" w:color="auto" w:fill="auto"/>
            <w:noWrap/>
            <w:tcMar>
              <w:top w:w="15" w:type="dxa"/>
              <w:left w:w="15" w:type="dxa"/>
              <w:right w:w="15" w:type="dxa"/>
            </w:tcMar>
            <w:vAlign w:val="center"/>
          </w:tcPr>
          <w:p w14:paraId="08F1ECEF">
            <w:pPr>
              <w:spacing w:line="240" w:lineRule="auto"/>
              <w:jc w:val="center"/>
              <w:rPr>
                <w:sz w:val="21"/>
                <w:szCs w:val="21"/>
                <w:highlight w:val="none"/>
              </w:rPr>
            </w:pPr>
            <w:r>
              <w:rPr>
                <w:sz w:val="21"/>
                <w:szCs w:val="21"/>
                <w:highlight w:val="none"/>
              </w:rPr>
              <w:t>园区边界</w:t>
            </w:r>
            <w:r>
              <w:rPr>
                <w:rFonts w:hint="eastAsia"/>
                <w:sz w:val="21"/>
                <w:szCs w:val="21"/>
                <w:highlight w:val="none"/>
              </w:rPr>
              <w:t>东侧上</w:t>
            </w:r>
            <w:r>
              <w:rPr>
                <w:sz w:val="21"/>
                <w:szCs w:val="21"/>
                <w:highlight w:val="none"/>
              </w:rPr>
              <w:t>风向</w:t>
            </w:r>
            <w:r>
              <w:rPr>
                <w:rFonts w:hint="eastAsia"/>
                <w:sz w:val="21"/>
                <w:szCs w:val="21"/>
                <w:highlight w:val="none"/>
              </w:rPr>
              <w:t>20</w:t>
            </w:r>
            <w:r>
              <w:rPr>
                <w:sz w:val="21"/>
                <w:szCs w:val="21"/>
                <w:highlight w:val="none"/>
              </w:rPr>
              <w:t>m</w:t>
            </w:r>
            <w:r>
              <w:rPr>
                <w:rFonts w:hint="eastAsia"/>
                <w:sz w:val="21"/>
                <w:szCs w:val="21"/>
                <w:highlight w:val="none"/>
              </w:rPr>
              <w:t>以外</w:t>
            </w:r>
          </w:p>
        </w:tc>
        <w:tc>
          <w:tcPr>
            <w:tcW w:w="1373" w:type="dxa"/>
            <w:tcBorders>
              <w:tl2br w:val="nil"/>
              <w:tr2bl w:val="nil"/>
            </w:tcBorders>
            <w:shd w:val="clear" w:color="auto" w:fill="auto"/>
            <w:noWrap/>
            <w:tcMar>
              <w:top w:w="15" w:type="dxa"/>
              <w:left w:w="15" w:type="dxa"/>
              <w:right w:w="15" w:type="dxa"/>
            </w:tcMar>
            <w:vAlign w:val="center"/>
          </w:tcPr>
          <w:p w14:paraId="58BB20E4">
            <w:pPr>
              <w:spacing w:line="240" w:lineRule="auto"/>
              <w:jc w:val="center"/>
              <w:rPr>
                <w:sz w:val="21"/>
                <w:szCs w:val="21"/>
                <w:highlight w:val="none"/>
              </w:rPr>
            </w:pPr>
            <w:r>
              <w:rPr>
                <w:rFonts w:hint="eastAsia"/>
                <w:sz w:val="21"/>
                <w:szCs w:val="21"/>
                <w:highlight w:val="none"/>
              </w:rPr>
              <w:t xml:space="preserve">115.072367 </w:t>
            </w:r>
          </w:p>
        </w:tc>
        <w:tc>
          <w:tcPr>
            <w:tcW w:w="1280" w:type="dxa"/>
            <w:tcBorders>
              <w:tl2br w:val="nil"/>
              <w:tr2bl w:val="nil"/>
            </w:tcBorders>
            <w:shd w:val="clear" w:color="auto" w:fill="auto"/>
            <w:noWrap/>
            <w:tcMar>
              <w:top w:w="15" w:type="dxa"/>
              <w:left w:w="15" w:type="dxa"/>
              <w:right w:w="15" w:type="dxa"/>
            </w:tcMar>
            <w:vAlign w:val="center"/>
          </w:tcPr>
          <w:p w14:paraId="5FEB1721">
            <w:pPr>
              <w:spacing w:line="240" w:lineRule="auto"/>
              <w:jc w:val="center"/>
              <w:rPr>
                <w:sz w:val="21"/>
                <w:szCs w:val="21"/>
                <w:highlight w:val="none"/>
              </w:rPr>
            </w:pPr>
            <w:r>
              <w:rPr>
                <w:rFonts w:hint="eastAsia"/>
                <w:sz w:val="21"/>
                <w:szCs w:val="21"/>
                <w:highlight w:val="none"/>
              </w:rPr>
              <w:t xml:space="preserve">30.266684 </w:t>
            </w:r>
          </w:p>
        </w:tc>
        <w:tc>
          <w:tcPr>
            <w:tcW w:w="2038" w:type="dxa"/>
            <w:vMerge w:val="continue"/>
            <w:tcBorders>
              <w:tl2br w:val="nil"/>
              <w:tr2bl w:val="nil"/>
            </w:tcBorders>
            <w:shd w:val="clear" w:color="auto" w:fill="auto"/>
            <w:noWrap/>
            <w:tcMar>
              <w:top w:w="15" w:type="dxa"/>
              <w:left w:w="15" w:type="dxa"/>
              <w:right w:w="15" w:type="dxa"/>
            </w:tcMar>
            <w:vAlign w:val="center"/>
          </w:tcPr>
          <w:p w14:paraId="25D2C106">
            <w:pPr>
              <w:spacing w:line="240" w:lineRule="auto"/>
              <w:jc w:val="center"/>
              <w:rPr>
                <w:sz w:val="21"/>
                <w:szCs w:val="21"/>
                <w:highlight w:val="none"/>
              </w:rPr>
            </w:pPr>
          </w:p>
        </w:tc>
        <w:tc>
          <w:tcPr>
            <w:tcW w:w="4159" w:type="dxa"/>
            <w:vMerge w:val="restart"/>
            <w:tcBorders>
              <w:tl2br w:val="nil"/>
              <w:tr2bl w:val="nil"/>
            </w:tcBorders>
            <w:shd w:val="clear" w:color="auto" w:fill="auto"/>
            <w:noWrap/>
            <w:tcMar>
              <w:top w:w="15" w:type="dxa"/>
              <w:left w:w="15" w:type="dxa"/>
              <w:right w:w="15" w:type="dxa"/>
            </w:tcMar>
            <w:vAlign w:val="center"/>
          </w:tcPr>
          <w:p w14:paraId="60E3D143">
            <w:pPr>
              <w:spacing w:line="240" w:lineRule="auto"/>
              <w:jc w:val="center"/>
              <w:rPr>
                <w:sz w:val="21"/>
                <w:szCs w:val="21"/>
                <w:highlight w:val="none"/>
              </w:rPr>
            </w:pPr>
            <w:r>
              <w:rPr>
                <w:rFonts w:eastAsiaTheme="minorEastAsia"/>
                <w:kern w:val="0"/>
                <w:sz w:val="21"/>
                <w:szCs w:val="21"/>
                <w:highlight w:val="none"/>
              </w:rPr>
              <w:t>基本项目（48项）、园区增测项目（</w:t>
            </w:r>
            <w:r>
              <w:rPr>
                <w:rFonts w:hint="eastAsia" w:eastAsiaTheme="minorEastAsia"/>
                <w:kern w:val="0"/>
                <w:sz w:val="21"/>
                <w:szCs w:val="21"/>
                <w:highlight w:val="none"/>
              </w:rPr>
              <w:t>2</w:t>
            </w:r>
            <w:r>
              <w:rPr>
                <w:rFonts w:eastAsiaTheme="minorEastAsia"/>
                <w:kern w:val="0"/>
                <w:sz w:val="21"/>
                <w:szCs w:val="21"/>
                <w:highlight w:val="none"/>
              </w:rPr>
              <w:t>项）</w:t>
            </w:r>
          </w:p>
        </w:tc>
      </w:tr>
      <w:tr w14:paraId="31CA21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35" w:type="dxa"/>
            <w:tcBorders>
              <w:tl2br w:val="nil"/>
              <w:tr2bl w:val="nil"/>
            </w:tcBorders>
            <w:shd w:val="clear" w:color="auto" w:fill="auto"/>
            <w:noWrap/>
            <w:tcMar>
              <w:top w:w="15" w:type="dxa"/>
              <w:left w:w="15" w:type="dxa"/>
              <w:right w:w="15" w:type="dxa"/>
            </w:tcMar>
            <w:vAlign w:val="center"/>
          </w:tcPr>
          <w:p w14:paraId="0FFE9280">
            <w:pPr>
              <w:widowControl/>
              <w:spacing w:line="240" w:lineRule="auto"/>
              <w:jc w:val="center"/>
              <w:textAlignment w:val="center"/>
              <w:rPr>
                <w:sz w:val="21"/>
                <w:szCs w:val="21"/>
                <w:highlight w:val="none"/>
              </w:rPr>
            </w:pPr>
            <w:r>
              <w:rPr>
                <w:color w:val="000000"/>
                <w:kern w:val="0"/>
                <w:sz w:val="21"/>
                <w:szCs w:val="21"/>
                <w:highlight w:val="none"/>
                <w:lang w:bidi="ar"/>
              </w:rPr>
              <w:t>5</w:t>
            </w:r>
          </w:p>
        </w:tc>
        <w:tc>
          <w:tcPr>
            <w:tcW w:w="1229" w:type="dxa"/>
            <w:vMerge w:val="continue"/>
            <w:tcBorders>
              <w:tl2br w:val="nil"/>
              <w:tr2bl w:val="nil"/>
            </w:tcBorders>
            <w:shd w:val="clear" w:color="auto" w:fill="auto"/>
            <w:noWrap/>
            <w:tcMar>
              <w:top w:w="15" w:type="dxa"/>
              <w:left w:w="15" w:type="dxa"/>
              <w:right w:w="15" w:type="dxa"/>
            </w:tcMar>
            <w:vAlign w:val="center"/>
          </w:tcPr>
          <w:p w14:paraId="3ED6E347">
            <w:pPr>
              <w:spacing w:line="240" w:lineRule="auto"/>
              <w:jc w:val="center"/>
              <w:rPr>
                <w:sz w:val="21"/>
                <w:szCs w:val="21"/>
                <w:highlight w:val="none"/>
              </w:rPr>
            </w:pPr>
          </w:p>
        </w:tc>
        <w:tc>
          <w:tcPr>
            <w:tcW w:w="1169" w:type="dxa"/>
            <w:tcBorders>
              <w:tl2br w:val="nil"/>
              <w:tr2bl w:val="nil"/>
            </w:tcBorders>
            <w:shd w:val="clear" w:color="auto" w:fill="auto"/>
            <w:noWrap/>
            <w:tcMar>
              <w:top w:w="15" w:type="dxa"/>
              <w:left w:w="15" w:type="dxa"/>
              <w:right w:w="15" w:type="dxa"/>
            </w:tcMar>
            <w:vAlign w:val="center"/>
          </w:tcPr>
          <w:p w14:paraId="677720DF">
            <w:pPr>
              <w:widowControl/>
              <w:spacing w:line="240" w:lineRule="auto"/>
              <w:jc w:val="center"/>
              <w:textAlignment w:val="center"/>
              <w:rPr>
                <w:sz w:val="21"/>
                <w:szCs w:val="21"/>
                <w:highlight w:val="none"/>
              </w:rPr>
            </w:pPr>
            <w:r>
              <w:rPr>
                <w:color w:val="000000"/>
                <w:sz w:val="21"/>
                <w:szCs w:val="21"/>
                <w:highlight w:val="none"/>
              </w:rPr>
              <w:t>HH-3-75</w:t>
            </w:r>
            <w:r>
              <w:rPr>
                <w:rFonts w:hint="eastAsia"/>
                <w:color w:val="000000"/>
                <w:sz w:val="21"/>
                <w:szCs w:val="21"/>
                <w:highlight w:val="none"/>
                <w:vertAlign w:val="superscript"/>
              </w:rPr>
              <w:t>③</w:t>
            </w:r>
          </w:p>
        </w:tc>
        <w:tc>
          <w:tcPr>
            <w:tcW w:w="3151" w:type="dxa"/>
            <w:tcBorders>
              <w:tl2br w:val="nil"/>
              <w:tr2bl w:val="nil"/>
            </w:tcBorders>
            <w:shd w:val="clear" w:color="auto" w:fill="auto"/>
            <w:noWrap/>
            <w:tcMar>
              <w:top w:w="15" w:type="dxa"/>
              <w:left w:w="15" w:type="dxa"/>
              <w:right w:w="15" w:type="dxa"/>
            </w:tcMar>
            <w:vAlign w:val="center"/>
          </w:tcPr>
          <w:p w14:paraId="5F824E99">
            <w:pPr>
              <w:spacing w:line="240" w:lineRule="auto"/>
              <w:jc w:val="center"/>
              <w:rPr>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w:t>
            </w:r>
            <w:r>
              <w:rPr>
                <w:rFonts w:hint="eastAsia"/>
                <w:sz w:val="21"/>
                <w:szCs w:val="21"/>
                <w:highlight w:val="none"/>
              </w:rPr>
              <w:t>南侧</w:t>
            </w:r>
            <w:r>
              <w:rPr>
                <w:sz w:val="21"/>
                <w:szCs w:val="21"/>
                <w:highlight w:val="none"/>
              </w:rPr>
              <w:t>下风向</w:t>
            </w:r>
            <w:r>
              <w:rPr>
                <w:rFonts w:hint="eastAsia"/>
                <w:sz w:val="21"/>
                <w:szCs w:val="21"/>
                <w:highlight w:val="none"/>
              </w:rPr>
              <w:t>75</w:t>
            </w:r>
            <w:r>
              <w:rPr>
                <w:sz w:val="21"/>
                <w:szCs w:val="21"/>
                <w:highlight w:val="none"/>
              </w:rPr>
              <w:t>m</w:t>
            </w:r>
          </w:p>
        </w:tc>
        <w:tc>
          <w:tcPr>
            <w:tcW w:w="1373" w:type="dxa"/>
            <w:tcBorders>
              <w:tl2br w:val="nil"/>
              <w:tr2bl w:val="nil"/>
            </w:tcBorders>
            <w:shd w:val="clear" w:color="auto" w:fill="auto"/>
            <w:noWrap/>
            <w:tcMar>
              <w:top w:w="15" w:type="dxa"/>
              <w:left w:w="15" w:type="dxa"/>
              <w:right w:w="15" w:type="dxa"/>
            </w:tcMar>
            <w:vAlign w:val="center"/>
          </w:tcPr>
          <w:p w14:paraId="2850BE3B">
            <w:pPr>
              <w:spacing w:line="240" w:lineRule="auto"/>
              <w:jc w:val="center"/>
              <w:rPr>
                <w:sz w:val="21"/>
                <w:szCs w:val="21"/>
                <w:highlight w:val="none"/>
              </w:rPr>
            </w:pPr>
            <w:r>
              <w:rPr>
                <w:rFonts w:hint="eastAsia"/>
                <w:sz w:val="21"/>
                <w:szCs w:val="21"/>
                <w:highlight w:val="none"/>
              </w:rPr>
              <w:t xml:space="preserve">115.046715 </w:t>
            </w:r>
          </w:p>
        </w:tc>
        <w:tc>
          <w:tcPr>
            <w:tcW w:w="1280" w:type="dxa"/>
            <w:tcBorders>
              <w:tl2br w:val="nil"/>
              <w:tr2bl w:val="nil"/>
            </w:tcBorders>
            <w:shd w:val="clear" w:color="auto" w:fill="auto"/>
            <w:noWrap/>
            <w:tcMar>
              <w:top w:w="15" w:type="dxa"/>
              <w:left w:w="15" w:type="dxa"/>
              <w:right w:w="15" w:type="dxa"/>
            </w:tcMar>
            <w:vAlign w:val="center"/>
          </w:tcPr>
          <w:p w14:paraId="1B89433F">
            <w:pPr>
              <w:spacing w:line="240" w:lineRule="auto"/>
              <w:jc w:val="center"/>
              <w:rPr>
                <w:sz w:val="21"/>
                <w:szCs w:val="21"/>
                <w:highlight w:val="none"/>
              </w:rPr>
            </w:pPr>
            <w:r>
              <w:rPr>
                <w:rFonts w:hint="eastAsia"/>
                <w:sz w:val="21"/>
                <w:szCs w:val="21"/>
                <w:highlight w:val="none"/>
              </w:rPr>
              <w:t xml:space="preserve">30.256973 </w:t>
            </w:r>
          </w:p>
        </w:tc>
        <w:tc>
          <w:tcPr>
            <w:tcW w:w="2038" w:type="dxa"/>
            <w:vMerge w:val="continue"/>
            <w:tcBorders>
              <w:tl2br w:val="nil"/>
              <w:tr2bl w:val="nil"/>
            </w:tcBorders>
            <w:shd w:val="clear" w:color="auto" w:fill="auto"/>
            <w:noWrap/>
            <w:tcMar>
              <w:top w:w="15" w:type="dxa"/>
              <w:left w:w="15" w:type="dxa"/>
              <w:right w:w="15" w:type="dxa"/>
            </w:tcMar>
            <w:vAlign w:val="center"/>
          </w:tcPr>
          <w:p w14:paraId="342385C7">
            <w:pPr>
              <w:spacing w:line="240" w:lineRule="auto"/>
              <w:jc w:val="center"/>
              <w:rPr>
                <w:sz w:val="21"/>
                <w:szCs w:val="21"/>
                <w:highlight w:val="none"/>
              </w:rPr>
            </w:pPr>
          </w:p>
        </w:tc>
        <w:tc>
          <w:tcPr>
            <w:tcW w:w="4159" w:type="dxa"/>
            <w:vMerge w:val="continue"/>
            <w:tcBorders>
              <w:tl2br w:val="nil"/>
              <w:tr2bl w:val="nil"/>
            </w:tcBorders>
            <w:shd w:val="clear" w:color="auto" w:fill="auto"/>
            <w:noWrap/>
            <w:tcMar>
              <w:top w:w="15" w:type="dxa"/>
              <w:left w:w="15" w:type="dxa"/>
              <w:right w:w="15" w:type="dxa"/>
            </w:tcMar>
            <w:vAlign w:val="center"/>
          </w:tcPr>
          <w:p w14:paraId="782F90BB">
            <w:pPr>
              <w:spacing w:line="240" w:lineRule="auto"/>
              <w:jc w:val="center"/>
              <w:rPr>
                <w:sz w:val="21"/>
                <w:szCs w:val="21"/>
                <w:highlight w:val="none"/>
              </w:rPr>
            </w:pPr>
          </w:p>
        </w:tc>
      </w:tr>
      <w:tr w14:paraId="18DC05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26" w:hRule="atLeast"/>
          <w:jc w:val="center"/>
        </w:trPr>
        <w:tc>
          <w:tcPr>
            <w:tcW w:w="435" w:type="dxa"/>
            <w:tcBorders>
              <w:tl2br w:val="nil"/>
              <w:tr2bl w:val="nil"/>
            </w:tcBorders>
            <w:shd w:val="clear" w:color="auto" w:fill="auto"/>
            <w:noWrap/>
            <w:tcMar>
              <w:top w:w="15" w:type="dxa"/>
              <w:left w:w="15" w:type="dxa"/>
              <w:right w:w="15" w:type="dxa"/>
            </w:tcMar>
            <w:vAlign w:val="center"/>
          </w:tcPr>
          <w:p w14:paraId="7EC4018A">
            <w:pPr>
              <w:widowControl/>
              <w:spacing w:line="240" w:lineRule="auto"/>
              <w:jc w:val="center"/>
              <w:textAlignment w:val="center"/>
              <w:rPr>
                <w:sz w:val="21"/>
                <w:szCs w:val="21"/>
                <w:highlight w:val="none"/>
              </w:rPr>
            </w:pPr>
            <w:r>
              <w:rPr>
                <w:color w:val="000000"/>
                <w:kern w:val="0"/>
                <w:sz w:val="21"/>
                <w:szCs w:val="21"/>
                <w:highlight w:val="none"/>
                <w:lang w:bidi="ar"/>
              </w:rPr>
              <w:t>6</w:t>
            </w:r>
          </w:p>
        </w:tc>
        <w:tc>
          <w:tcPr>
            <w:tcW w:w="1229" w:type="dxa"/>
            <w:vMerge w:val="continue"/>
            <w:tcBorders>
              <w:tl2br w:val="nil"/>
              <w:tr2bl w:val="nil"/>
            </w:tcBorders>
            <w:shd w:val="clear" w:color="auto" w:fill="auto"/>
            <w:noWrap/>
            <w:tcMar>
              <w:top w:w="15" w:type="dxa"/>
              <w:left w:w="15" w:type="dxa"/>
              <w:right w:w="15" w:type="dxa"/>
            </w:tcMar>
            <w:vAlign w:val="center"/>
          </w:tcPr>
          <w:p w14:paraId="137B1C7B">
            <w:pPr>
              <w:spacing w:line="240" w:lineRule="auto"/>
              <w:jc w:val="center"/>
              <w:rPr>
                <w:sz w:val="21"/>
                <w:szCs w:val="21"/>
                <w:highlight w:val="none"/>
              </w:rPr>
            </w:pPr>
          </w:p>
        </w:tc>
        <w:tc>
          <w:tcPr>
            <w:tcW w:w="1169" w:type="dxa"/>
            <w:tcBorders>
              <w:tl2br w:val="nil"/>
              <w:tr2bl w:val="nil"/>
            </w:tcBorders>
            <w:shd w:val="clear" w:color="auto" w:fill="auto"/>
            <w:noWrap/>
            <w:tcMar>
              <w:top w:w="15" w:type="dxa"/>
              <w:left w:w="15" w:type="dxa"/>
              <w:right w:w="15" w:type="dxa"/>
            </w:tcMar>
            <w:vAlign w:val="center"/>
          </w:tcPr>
          <w:p w14:paraId="11602C5D">
            <w:pPr>
              <w:widowControl/>
              <w:spacing w:line="240" w:lineRule="auto"/>
              <w:jc w:val="center"/>
              <w:textAlignment w:val="center"/>
              <w:rPr>
                <w:sz w:val="21"/>
                <w:szCs w:val="21"/>
                <w:highlight w:val="none"/>
              </w:rPr>
            </w:pPr>
            <w:r>
              <w:rPr>
                <w:color w:val="000000"/>
                <w:sz w:val="21"/>
                <w:szCs w:val="21"/>
                <w:highlight w:val="none"/>
              </w:rPr>
              <w:t>HH-4</w:t>
            </w:r>
          </w:p>
        </w:tc>
        <w:tc>
          <w:tcPr>
            <w:tcW w:w="3151" w:type="dxa"/>
            <w:tcBorders>
              <w:tl2br w:val="nil"/>
              <w:tr2bl w:val="nil"/>
            </w:tcBorders>
            <w:shd w:val="clear" w:color="auto" w:fill="auto"/>
            <w:noWrap/>
            <w:tcMar>
              <w:top w:w="15" w:type="dxa"/>
              <w:left w:w="15" w:type="dxa"/>
              <w:right w:w="15" w:type="dxa"/>
            </w:tcMar>
            <w:vAlign w:val="center"/>
          </w:tcPr>
          <w:p w14:paraId="173AA609">
            <w:pPr>
              <w:spacing w:line="240" w:lineRule="auto"/>
              <w:jc w:val="center"/>
              <w:rPr>
                <w:sz w:val="21"/>
                <w:szCs w:val="21"/>
                <w:highlight w:val="none"/>
              </w:rPr>
            </w:pPr>
            <w:r>
              <w:rPr>
                <w:sz w:val="21"/>
                <w:szCs w:val="21"/>
                <w:highlight w:val="none"/>
              </w:rPr>
              <w:t>园区边界</w:t>
            </w:r>
            <w:r>
              <w:rPr>
                <w:rFonts w:hint="eastAsia"/>
                <w:sz w:val="21"/>
                <w:szCs w:val="21"/>
                <w:highlight w:val="none"/>
              </w:rPr>
              <w:t>北侧上</w:t>
            </w:r>
            <w:r>
              <w:rPr>
                <w:sz w:val="21"/>
                <w:szCs w:val="21"/>
                <w:highlight w:val="none"/>
              </w:rPr>
              <w:t>风向</w:t>
            </w:r>
            <w:r>
              <w:rPr>
                <w:rFonts w:hint="eastAsia"/>
                <w:sz w:val="21"/>
                <w:szCs w:val="21"/>
                <w:highlight w:val="none"/>
              </w:rPr>
              <w:t>2</w:t>
            </w:r>
            <w:r>
              <w:rPr>
                <w:sz w:val="21"/>
                <w:szCs w:val="21"/>
                <w:highlight w:val="none"/>
              </w:rPr>
              <w:t>0m</w:t>
            </w:r>
            <w:r>
              <w:rPr>
                <w:rFonts w:hint="eastAsia"/>
                <w:sz w:val="21"/>
                <w:szCs w:val="21"/>
                <w:highlight w:val="none"/>
              </w:rPr>
              <w:t>以外</w:t>
            </w:r>
          </w:p>
        </w:tc>
        <w:tc>
          <w:tcPr>
            <w:tcW w:w="1373" w:type="dxa"/>
            <w:tcBorders>
              <w:tl2br w:val="nil"/>
              <w:tr2bl w:val="nil"/>
            </w:tcBorders>
            <w:shd w:val="clear" w:color="auto" w:fill="auto"/>
            <w:noWrap/>
            <w:tcMar>
              <w:top w:w="15" w:type="dxa"/>
              <w:left w:w="15" w:type="dxa"/>
              <w:right w:w="15" w:type="dxa"/>
            </w:tcMar>
            <w:vAlign w:val="center"/>
          </w:tcPr>
          <w:p w14:paraId="5E981E21">
            <w:pPr>
              <w:spacing w:line="240" w:lineRule="auto"/>
              <w:jc w:val="center"/>
              <w:rPr>
                <w:sz w:val="21"/>
                <w:szCs w:val="21"/>
                <w:highlight w:val="none"/>
              </w:rPr>
            </w:pPr>
            <w:r>
              <w:rPr>
                <w:rFonts w:hint="eastAsia"/>
                <w:sz w:val="21"/>
                <w:szCs w:val="21"/>
                <w:highlight w:val="none"/>
              </w:rPr>
              <w:t xml:space="preserve">115.024098 </w:t>
            </w:r>
          </w:p>
        </w:tc>
        <w:tc>
          <w:tcPr>
            <w:tcW w:w="1280" w:type="dxa"/>
            <w:tcBorders>
              <w:tl2br w:val="nil"/>
              <w:tr2bl w:val="nil"/>
            </w:tcBorders>
            <w:shd w:val="clear" w:color="auto" w:fill="auto"/>
            <w:noWrap/>
            <w:tcMar>
              <w:top w:w="15" w:type="dxa"/>
              <w:left w:w="15" w:type="dxa"/>
              <w:right w:w="15" w:type="dxa"/>
            </w:tcMar>
            <w:vAlign w:val="center"/>
          </w:tcPr>
          <w:p w14:paraId="5AA080B9">
            <w:pPr>
              <w:spacing w:line="240" w:lineRule="auto"/>
              <w:jc w:val="center"/>
              <w:rPr>
                <w:sz w:val="21"/>
                <w:szCs w:val="21"/>
                <w:highlight w:val="none"/>
              </w:rPr>
            </w:pPr>
            <w:r>
              <w:rPr>
                <w:rFonts w:hint="eastAsia"/>
                <w:sz w:val="21"/>
                <w:szCs w:val="21"/>
                <w:highlight w:val="none"/>
              </w:rPr>
              <w:t xml:space="preserve">30.282241 </w:t>
            </w:r>
          </w:p>
        </w:tc>
        <w:tc>
          <w:tcPr>
            <w:tcW w:w="2038" w:type="dxa"/>
            <w:vMerge w:val="continue"/>
            <w:tcBorders>
              <w:tl2br w:val="nil"/>
              <w:tr2bl w:val="nil"/>
            </w:tcBorders>
            <w:shd w:val="clear" w:color="auto" w:fill="auto"/>
            <w:noWrap/>
            <w:tcMar>
              <w:top w:w="15" w:type="dxa"/>
              <w:left w:w="15" w:type="dxa"/>
              <w:right w:w="15" w:type="dxa"/>
            </w:tcMar>
            <w:vAlign w:val="center"/>
          </w:tcPr>
          <w:p w14:paraId="7A1F7A14">
            <w:pPr>
              <w:spacing w:line="240" w:lineRule="auto"/>
              <w:jc w:val="center"/>
              <w:rPr>
                <w:sz w:val="21"/>
                <w:szCs w:val="21"/>
                <w:highlight w:val="none"/>
              </w:rPr>
            </w:pPr>
          </w:p>
        </w:tc>
        <w:tc>
          <w:tcPr>
            <w:tcW w:w="4159" w:type="dxa"/>
            <w:vMerge w:val="continue"/>
            <w:tcBorders>
              <w:tl2br w:val="nil"/>
              <w:tr2bl w:val="nil"/>
            </w:tcBorders>
            <w:shd w:val="clear" w:color="auto" w:fill="auto"/>
            <w:noWrap/>
            <w:tcMar>
              <w:top w:w="15" w:type="dxa"/>
              <w:left w:w="15" w:type="dxa"/>
              <w:right w:w="15" w:type="dxa"/>
            </w:tcMar>
            <w:vAlign w:val="center"/>
          </w:tcPr>
          <w:p w14:paraId="3551A55E">
            <w:pPr>
              <w:spacing w:line="240" w:lineRule="auto"/>
              <w:jc w:val="center"/>
              <w:rPr>
                <w:sz w:val="21"/>
                <w:szCs w:val="21"/>
                <w:highlight w:val="none"/>
              </w:rPr>
            </w:pPr>
          </w:p>
        </w:tc>
      </w:tr>
      <w:tr w14:paraId="27590F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35" w:type="dxa"/>
            <w:tcBorders>
              <w:tl2br w:val="nil"/>
              <w:tr2bl w:val="nil"/>
            </w:tcBorders>
            <w:shd w:val="clear" w:color="auto" w:fill="auto"/>
            <w:noWrap/>
            <w:tcMar>
              <w:top w:w="15" w:type="dxa"/>
              <w:left w:w="15" w:type="dxa"/>
              <w:right w:w="15" w:type="dxa"/>
            </w:tcMar>
            <w:vAlign w:val="center"/>
          </w:tcPr>
          <w:p w14:paraId="558AE054">
            <w:pPr>
              <w:widowControl/>
              <w:spacing w:line="240" w:lineRule="auto"/>
              <w:jc w:val="center"/>
              <w:textAlignment w:val="center"/>
              <w:rPr>
                <w:sz w:val="21"/>
                <w:szCs w:val="21"/>
                <w:highlight w:val="none"/>
              </w:rPr>
            </w:pPr>
            <w:r>
              <w:rPr>
                <w:rFonts w:hint="eastAsia"/>
                <w:sz w:val="21"/>
                <w:szCs w:val="21"/>
                <w:highlight w:val="none"/>
              </w:rPr>
              <w:t>7</w:t>
            </w:r>
          </w:p>
        </w:tc>
        <w:tc>
          <w:tcPr>
            <w:tcW w:w="1229" w:type="dxa"/>
            <w:vMerge w:val="restart"/>
            <w:tcBorders>
              <w:tl2br w:val="nil"/>
              <w:tr2bl w:val="nil"/>
            </w:tcBorders>
            <w:shd w:val="clear" w:color="auto" w:fill="auto"/>
            <w:noWrap/>
            <w:tcMar>
              <w:top w:w="15" w:type="dxa"/>
              <w:left w:w="15" w:type="dxa"/>
              <w:right w:w="15" w:type="dxa"/>
            </w:tcMar>
            <w:vAlign w:val="center"/>
          </w:tcPr>
          <w:p w14:paraId="68365BF3">
            <w:pPr>
              <w:spacing w:line="240" w:lineRule="auto"/>
              <w:jc w:val="center"/>
              <w:rPr>
                <w:sz w:val="21"/>
                <w:szCs w:val="21"/>
                <w:highlight w:val="none"/>
              </w:rPr>
            </w:pPr>
            <w:r>
              <w:rPr>
                <w:sz w:val="21"/>
                <w:szCs w:val="21"/>
                <w:highlight w:val="none"/>
              </w:rPr>
              <w:t>企业聚集区周边</w:t>
            </w:r>
          </w:p>
        </w:tc>
        <w:tc>
          <w:tcPr>
            <w:tcW w:w="1169" w:type="dxa"/>
            <w:tcBorders>
              <w:tl2br w:val="nil"/>
              <w:tr2bl w:val="nil"/>
            </w:tcBorders>
            <w:shd w:val="clear" w:color="auto" w:fill="auto"/>
            <w:noWrap/>
            <w:tcMar>
              <w:top w:w="15" w:type="dxa"/>
              <w:left w:w="15" w:type="dxa"/>
              <w:right w:w="15" w:type="dxa"/>
            </w:tcMar>
            <w:vAlign w:val="center"/>
          </w:tcPr>
          <w:p w14:paraId="727EC027">
            <w:pPr>
              <w:widowControl/>
              <w:spacing w:line="240" w:lineRule="auto"/>
              <w:jc w:val="center"/>
              <w:textAlignment w:val="center"/>
              <w:rPr>
                <w:sz w:val="21"/>
                <w:szCs w:val="21"/>
                <w:highlight w:val="none"/>
              </w:rPr>
            </w:pPr>
            <w:r>
              <w:rPr>
                <w:color w:val="000000"/>
                <w:sz w:val="21"/>
                <w:szCs w:val="21"/>
                <w:highlight w:val="none"/>
              </w:rPr>
              <w:t>HH-JJ-1</w:t>
            </w:r>
          </w:p>
        </w:tc>
        <w:tc>
          <w:tcPr>
            <w:tcW w:w="3151" w:type="dxa"/>
            <w:tcBorders>
              <w:tl2br w:val="nil"/>
              <w:tr2bl w:val="nil"/>
            </w:tcBorders>
            <w:shd w:val="clear" w:color="auto" w:fill="auto"/>
            <w:noWrap/>
            <w:tcMar>
              <w:top w:w="15" w:type="dxa"/>
              <w:left w:w="15" w:type="dxa"/>
              <w:right w:w="15" w:type="dxa"/>
            </w:tcMar>
            <w:vAlign w:val="center"/>
          </w:tcPr>
          <w:p w14:paraId="128E3098">
            <w:pPr>
              <w:spacing w:line="240" w:lineRule="auto"/>
              <w:jc w:val="center"/>
              <w:rPr>
                <w:sz w:val="21"/>
                <w:szCs w:val="21"/>
                <w:highlight w:val="none"/>
              </w:rPr>
            </w:pPr>
            <w:r>
              <w:rPr>
                <w:sz w:val="21"/>
                <w:szCs w:val="21"/>
                <w:highlight w:val="none"/>
              </w:rPr>
              <w:t>企业聚集区</w:t>
            </w:r>
            <w:r>
              <w:rPr>
                <w:rFonts w:hint="eastAsia"/>
                <w:sz w:val="21"/>
                <w:szCs w:val="21"/>
                <w:highlight w:val="none"/>
                <w:lang w:val="en-US" w:eastAsia="zh-CN"/>
              </w:rPr>
              <w:t>南侧</w:t>
            </w:r>
          </w:p>
        </w:tc>
        <w:tc>
          <w:tcPr>
            <w:tcW w:w="1373" w:type="dxa"/>
            <w:tcBorders>
              <w:tl2br w:val="nil"/>
              <w:tr2bl w:val="nil"/>
            </w:tcBorders>
            <w:shd w:val="clear" w:color="auto" w:fill="auto"/>
            <w:noWrap/>
            <w:tcMar>
              <w:top w:w="15" w:type="dxa"/>
              <w:left w:w="15" w:type="dxa"/>
              <w:right w:w="15" w:type="dxa"/>
            </w:tcMar>
            <w:vAlign w:val="center"/>
          </w:tcPr>
          <w:p w14:paraId="1D1DA876">
            <w:pPr>
              <w:spacing w:line="240" w:lineRule="auto"/>
              <w:jc w:val="center"/>
              <w:rPr>
                <w:sz w:val="21"/>
                <w:szCs w:val="21"/>
                <w:highlight w:val="none"/>
              </w:rPr>
            </w:pPr>
            <w:r>
              <w:rPr>
                <w:rFonts w:hint="eastAsia"/>
                <w:sz w:val="21"/>
                <w:szCs w:val="21"/>
                <w:highlight w:val="none"/>
              </w:rPr>
              <w:t xml:space="preserve">115.032402 </w:t>
            </w:r>
          </w:p>
        </w:tc>
        <w:tc>
          <w:tcPr>
            <w:tcW w:w="1280" w:type="dxa"/>
            <w:tcBorders>
              <w:tl2br w:val="nil"/>
              <w:tr2bl w:val="nil"/>
            </w:tcBorders>
            <w:shd w:val="clear" w:color="auto" w:fill="auto"/>
            <w:noWrap/>
            <w:tcMar>
              <w:top w:w="15" w:type="dxa"/>
              <w:left w:w="15" w:type="dxa"/>
              <w:right w:w="15" w:type="dxa"/>
            </w:tcMar>
            <w:vAlign w:val="center"/>
          </w:tcPr>
          <w:p w14:paraId="23DAB6A7">
            <w:pPr>
              <w:spacing w:line="240" w:lineRule="auto"/>
              <w:jc w:val="center"/>
              <w:rPr>
                <w:sz w:val="21"/>
                <w:szCs w:val="21"/>
                <w:highlight w:val="none"/>
              </w:rPr>
            </w:pPr>
            <w:r>
              <w:rPr>
                <w:rFonts w:hint="eastAsia"/>
                <w:sz w:val="21"/>
                <w:szCs w:val="21"/>
                <w:highlight w:val="none"/>
              </w:rPr>
              <w:t xml:space="preserve">30.275830 </w:t>
            </w:r>
          </w:p>
        </w:tc>
        <w:tc>
          <w:tcPr>
            <w:tcW w:w="2038" w:type="dxa"/>
            <w:vMerge w:val="continue"/>
            <w:tcBorders>
              <w:tl2br w:val="nil"/>
              <w:tr2bl w:val="nil"/>
            </w:tcBorders>
            <w:shd w:val="clear" w:color="auto" w:fill="auto"/>
            <w:noWrap/>
            <w:tcMar>
              <w:top w:w="15" w:type="dxa"/>
              <w:left w:w="15" w:type="dxa"/>
              <w:right w:w="15" w:type="dxa"/>
            </w:tcMar>
            <w:vAlign w:val="center"/>
          </w:tcPr>
          <w:p w14:paraId="21B8FB7F">
            <w:pPr>
              <w:spacing w:line="240" w:lineRule="auto"/>
              <w:jc w:val="center"/>
              <w:rPr>
                <w:sz w:val="21"/>
                <w:szCs w:val="21"/>
                <w:highlight w:val="none"/>
              </w:rPr>
            </w:pPr>
          </w:p>
        </w:tc>
        <w:tc>
          <w:tcPr>
            <w:tcW w:w="4159" w:type="dxa"/>
            <w:vMerge w:val="continue"/>
            <w:tcBorders>
              <w:tl2br w:val="nil"/>
              <w:tr2bl w:val="nil"/>
            </w:tcBorders>
            <w:shd w:val="clear" w:color="auto" w:fill="auto"/>
            <w:noWrap/>
            <w:tcMar>
              <w:top w:w="15" w:type="dxa"/>
              <w:left w:w="15" w:type="dxa"/>
              <w:right w:w="15" w:type="dxa"/>
            </w:tcMar>
            <w:vAlign w:val="center"/>
          </w:tcPr>
          <w:p w14:paraId="5AD73FB8">
            <w:pPr>
              <w:spacing w:line="240" w:lineRule="auto"/>
              <w:jc w:val="center"/>
              <w:rPr>
                <w:sz w:val="21"/>
                <w:szCs w:val="21"/>
                <w:highlight w:val="none"/>
              </w:rPr>
            </w:pPr>
          </w:p>
        </w:tc>
      </w:tr>
      <w:tr w14:paraId="60F40F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35" w:type="dxa"/>
            <w:tcBorders>
              <w:tl2br w:val="nil"/>
              <w:tr2bl w:val="nil"/>
            </w:tcBorders>
            <w:shd w:val="clear" w:color="auto" w:fill="auto"/>
            <w:noWrap/>
            <w:tcMar>
              <w:top w:w="15" w:type="dxa"/>
              <w:left w:w="15" w:type="dxa"/>
              <w:right w:w="15" w:type="dxa"/>
            </w:tcMar>
            <w:vAlign w:val="center"/>
          </w:tcPr>
          <w:p w14:paraId="0741C982">
            <w:pPr>
              <w:widowControl/>
              <w:spacing w:line="240" w:lineRule="auto"/>
              <w:jc w:val="center"/>
              <w:textAlignment w:val="center"/>
              <w:rPr>
                <w:sz w:val="21"/>
                <w:szCs w:val="21"/>
                <w:highlight w:val="none"/>
              </w:rPr>
            </w:pPr>
            <w:r>
              <w:rPr>
                <w:rFonts w:hint="eastAsia"/>
                <w:sz w:val="21"/>
                <w:szCs w:val="21"/>
                <w:highlight w:val="none"/>
              </w:rPr>
              <w:t>8</w:t>
            </w:r>
          </w:p>
        </w:tc>
        <w:tc>
          <w:tcPr>
            <w:tcW w:w="1229" w:type="dxa"/>
            <w:vMerge w:val="continue"/>
            <w:tcBorders>
              <w:tl2br w:val="nil"/>
              <w:tr2bl w:val="nil"/>
            </w:tcBorders>
            <w:shd w:val="clear" w:color="auto" w:fill="auto"/>
            <w:noWrap/>
            <w:tcMar>
              <w:top w:w="15" w:type="dxa"/>
              <w:left w:w="15" w:type="dxa"/>
              <w:right w:w="15" w:type="dxa"/>
            </w:tcMar>
            <w:vAlign w:val="center"/>
          </w:tcPr>
          <w:p w14:paraId="4CDF32FA">
            <w:pPr>
              <w:spacing w:line="240" w:lineRule="auto"/>
              <w:jc w:val="center"/>
              <w:rPr>
                <w:sz w:val="21"/>
                <w:szCs w:val="21"/>
                <w:highlight w:val="none"/>
              </w:rPr>
            </w:pPr>
          </w:p>
        </w:tc>
        <w:tc>
          <w:tcPr>
            <w:tcW w:w="1169" w:type="dxa"/>
            <w:tcBorders>
              <w:tl2br w:val="nil"/>
              <w:tr2bl w:val="nil"/>
            </w:tcBorders>
            <w:shd w:val="clear" w:color="auto" w:fill="auto"/>
            <w:noWrap/>
            <w:tcMar>
              <w:top w:w="15" w:type="dxa"/>
              <w:left w:w="15" w:type="dxa"/>
              <w:right w:w="15" w:type="dxa"/>
            </w:tcMar>
            <w:vAlign w:val="center"/>
          </w:tcPr>
          <w:p w14:paraId="1FB2CFBE">
            <w:pPr>
              <w:widowControl/>
              <w:spacing w:line="240" w:lineRule="auto"/>
              <w:jc w:val="center"/>
              <w:textAlignment w:val="center"/>
              <w:rPr>
                <w:sz w:val="21"/>
                <w:szCs w:val="21"/>
                <w:highlight w:val="none"/>
              </w:rPr>
            </w:pPr>
            <w:r>
              <w:rPr>
                <w:color w:val="000000"/>
                <w:sz w:val="21"/>
                <w:szCs w:val="21"/>
                <w:highlight w:val="none"/>
              </w:rPr>
              <w:t>HH-JJ-2</w:t>
            </w:r>
          </w:p>
        </w:tc>
        <w:tc>
          <w:tcPr>
            <w:tcW w:w="3151" w:type="dxa"/>
            <w:tcBorders>
              <w:tl2br w:val="nil"/>
              <w:tr2bl w:val="nil"/>
            </w:tcBorders>
            <w:shd w:val="clear" w:color="auto" w:fill="auto"/>
            <w:noWrap/>
            <w:tcMar>
              <w:top w:w="15" w:type="dxa"/>
              <w:left w:w="15" w:type="dxa"/>
              <w:right w:w="15" w:type="dxa"/>
            </w:tcMar>
            <w:vAlign w:val="center"/>
          </w:tcPr>
          <w:p w14:paraId="17C5F0F1">
            <w:pPr>
              <w:spacing w:line="240" w:lineRule="auto"/>
              <w:jc w:val="center"/>
              <w:rPr>
                <w:sz w:val="21"/>
                <w:szCs w:val="21"/>
                <w:highlight w:val="none"/>
              </w:rPr>
            </w:pPr>
            <w:r>
              <w:rPr>
                <w:sz w:val="21"/>
                <w:szCs w:val="21"/>
                <w:highlight w:val="none"/>
              </w:rPr>
              <w:t>企业聚集区</w:t>
            </w:r>
            <w:r>
              <w:rPr>
                <w:rFonts w:hint="eastAsia"/>
                <w:sz w:val="21"/>
                <w:szCs w:val="21"/>
                <w:highlight w:val="none"/>
              </w:rPr>
              <w:t>北</w:t>
            </w:r>
            <w:r>
              <w:rPr>
                <w:sz w:val="21"/>
                <w:szCs w:val="21"/>
                <w:highlight w:val="none"/>
              </w:rPr>
              <w:t>侧</w:t>
            </w:r>
          </w:p>
        </w:tc>
        <w:tc>
          <w:tcPr>
            <w:tcW w:w="1373" w:type="dxa"/>
            <w:tcBorders>
              <w:tl2br w:val="nil"/>
              <w:tr2bl w:val="nil"/>
            </w:tcBorders>
            <w:shd w:val="clear" w:color="auto" w:fill="auto"/>
            <w:noWrap/>
            <w:tcMar>
              <w:top w:w="15" w:type="dxa"/>
              <w:left w:w="15" w:type="dxa"/>
              <w:right w:w="15" w:type="dxa"/>
            </w:tcMar>
            <w:vAlign w:val="center"/>
          </w:tcPr>
          <w:p w14:paraId="75BF6976">
            <w:pPr>
              <w:spacing w:line="240" w:lineRule="auto"/>
              <w:jc w:val="center"/>
              <w:rPr>
                <w:sz w:val="21"/>
                <w:szCs w:val="21"/>
                <w:highlight w:val="none"/>
              </w:rPr>
            </w:pPr>
            <w:r>
              <w:rPr>
                <w:rFonts w:hint="eastAsia"/>
                <w:sz w:val="21"/>
                <w:szCs w:val="21"/>
                <w:highlight w:val="none"/>
              </w:rPr>
              <w:t xml:space="preserve">115.046104 </w:t>
            </w:r>
          </w:p>
        </w:tc>
        <w:tc>
          <w:tcPr>
            <w:tcW w:w="1280" w:type="dxa"/>
            <w:tcBorders>
              <w:tl2br w:val="nil"/>
              <w:tr2bl w:val="nil"/>
            </w:tcBorders>
            <w:shd w:val="clear" w:color="auto" w:fill="auto"/>
            <w:noWrap/>
            <w:tcMar>
              <w:top w:w="15" w:type="dxa"/>
              <w:left w:w="15" w:type="dxa"/>
              <w:right w:w="15" w:type="dxa"/>
            </w:tcMar>
            <w:vAlign w:val="center"/>
          </w:tcPr>
          <w:p w14:paraId="13A1BBE8">
            <w:pPr>
              <w:spacing w:line="240" w:lineRule="auto"/>
              <w:jc w:val="center"/>
              <w:rPr>
                <w:sz w:val="21"/>
                <w:szCs w:val="21"/>
                <w:highlight w:val="none"/>
              </w:rPr>
            </w:pPr>
            <w:r>
              <w:rPr>
                <w:rFonts w:hint="eastAsia"/>
                <w:sz w:val="21"/>
                <w:szCs w:val="21"/>
                <w:highlight w:val="none"/>
              </w:rPr>
              <w:t xml:space="preserve">30.266007 </w:t>
            </w:r>
          </w:p>
        </w:tc>
        <w:tc>
          <w:tcPr>
            <w:tcW w:w="2038" w:type="dxa"/>
            <w:vMerge w:val="continue"/>
            <w:tcBorders>
              <w:tl2br w:val="nil"/>
              <w:tr2bl w:val="nil"/>
            </w:tcBorders>
            <w:shd w:val="clear" w:color="auto" w:fill="auto"/>
            <w:noWrap/>
            <w:tcMar>
              <w:top w:w="15" w:type="dxa"/>
              <w:left w:w="15" w:type="dxa"/>
              <w:right w:w="15" w:type="dxa"/>
            </w:tcMar>
            <w:vAlign w:val="center"/>
          </w:tcPr>
          <w:p w14:paraId="309C1C6F">
            <w:pPr>
              <w:spacing w:line="240" w:lineRule="auto"/>
              <w:jc w:val="center"/>
              <w:rPr>
                <w:sz w:val="21"/>
                <w:szCs w:val="21"/>
                <w:highlight w:val="none"/>
              </w:rPr>
            </w:pPr>
          </w:p>
        </w:tc>
        <w:tc>
          <w:tcPr>
            <w:tcW w:w="4159" w:type="dxa"/>
            <w:vMerge w:val="continue"/>
            <w:tcBorders>
              <w:tl2br w:val="nil"/>
              <w:tr2bl w:val="nil"/>
            </w:tcBorders>
            <w:shd w:val="clear" w:color="auto" w:fill="auto"/>
            <w:noWrap/>
            <w:tcMar>
              <w:top w:w="15" w:type="dxa"/>
              <w:left w:w="15" w:type="dxa"/>
              <w:right w:w="15" w:type="dxa"/>
            </w:tcMar>
            <w:vAlign w:val="center"/>
          </w:tcPr>
          <w:p w14:paraId="1AE5D2E0">
            <w:pPr>
              <w:spacing w:line="240" w:lineRule="auto"/>
              <w:jc w:val="center"/>
              <w:rPr>
                <w:sz w:val="21"/>
                <w:szCs w:val="21"/>
                <w:highlight w:val="none"/>
              </w:rPr>
            </w:pPr>
          </w:p>
        </w:tc>
      </w:tr>
      <w:tr w14:paraId="316A34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675" w:hRule="atLeast"/>
          <w:jc w:val="center"/>
        </w:trPr>
        <w:tc>
          <w:tcPr>
            <w:tcW w:w="435" w:type="dxa"/>
            <w:tcBorders>
              <w:tl2br w:val="nil"/>
              <w:tr2bl w:val="nil"/>
            </w:tcBorders>
            <w:shd w:val="clear" w:color="auto" w:fill="auto"/>
            <w:noWrap/>
            <w:tcMar>
              <w:top w:w="15" w:type="dxa"/>
              <w:left w:w="15" w:type="dxa"/>
              <w:right w:w="15" w:type="dxa"/>
            </w:tcMar>
            <w:vAlign w:val="center"/>
          </w:tcPr>
          <w:p w14:paraId="597E4F13">
            <w:pPr>
              <w:widowControl/>
              <w:spacing w:line="240" w:lineRule="auto"/>
              <w:jc w:val="center"/>
              <w:textAlignment w:val="center"/>
              <w:rPr>
                <w:sz w:val="21"/>
                <w:szCs w:val="21"/>
                <w:highlight w:val="none"/>
              </w:rPr>
            </w:pPr>
            <w:r>
              <w:rPr>
                <w:rFonts w:hint="eastAsia"/>
                <w:sz w:val="21"/>
                <w:szCs w:val="21"/>
                <w:highlight w:val="none"/>
              </w:rPr>
              <w:t>9</w:t>
            </w:r>
          </w:p>
        </w:tc>
        <w:tc>
          <w:tcPr>
            <w:tcW w:w="1229" w:type="dxa"/>
            <w:vMerge w:val="continue"/>
            <w:tcBorders>
              <w:tl2br w:val="nil"/>
              <w:tr2bl w:val="nil"/>
            </w:tcBorders>
            <w:shd w:val="clear" w:color="auto" w:fill="auto"/>
            <w:noWrap/>
            <w:tcMar>
              <w:top w:w="15" w:type="dxa"/>
              <w:left w:w="15" w:type="dxa"/>
              <w:right w:w="15" w:type="dxa"/>
            </w:tcMar>
            <w:vAlign w:val="center"/>
          </w:tcPr>
          <w:p w14:paraId="34A1A410">
            <w:pPr>
              <w:spacing w:line="240" w:lineRule="auto"/>
              <w:jc w:val="center"/>
              <w:rPr>
                <w:sz w:val="21"/>
                <w:szCs w:val="21"/>
                <w:highlight w:val="none"/>
              </w:rPr>
            </w:pPr>
          </w:p>
        </w:tc>
        <w:tc>
          <w:tcPr>
            <w:tcW w:w="1169" w:type="dxa"/>
            <w:tcBorders>
              <w:tl2br w:val="nil"/>
              <w:tr2bl w:val="nil"/>
            </w:tcBorders>
            <w:shd w:val="clear" w:color="auto" w:fill="auto"/>
            <w:noWrap/>
            <w:tcMar>
              <w:top w:w="15" w:type="dxa"/>
              <w:left w:w="15" w:type="dxa"/>
              <w:right w:w="15" w:type="dxa"/>
            </w:tcMar>
            <w:vAlign w:val="center"/>
          </w:tcPr>
          <w:p w14:paraId="00ED8CE4">
            <w:pPr>
              <w:widowControl/>
              <w:spacing w:line="240" w:lineRule="auto"/>
              <w:jc w:val="center"/>
              <w:textAlignment w:val="center"/>
              <w:rPr>
                <w:sz w:val="21"/>
                <w:szCs w:val="21"/>
                <w:highlight w:val="none"/>
              </w:rPr>
            </w:pPr>
            <w:r>
              <w:rPr>
                <w:color w:val="000000"/>
                <w:sz w:val="21"/>
                <w:szCs w:val="21"/>
                <w:highlight w:val="none"/>
              </w:rPr>
              <w:t>HH-JJ-3</w:t>
            </w:r>
          </w:p>
        </w:tc>
        <w:tc>
          <w:tcPr>
            <w:tcW w:w="3151" w:type="dxa"/>
            <w:tcBorders>
              <w:tl2br w:val="nil"/>
              <w:tr2bl w:val="nil"/>
            </w:tcBorders>
            <w:shd w:val="clear" w:color="auto" w:fill="auto"/>
            <w:noWrap/>
            <w:tcMar>
              <w:top w:w="15" w:type="dxa"/>
              <w:left w:w="15" w:type="dxa"/>
              <w:right w:w="15" w:type="dxa"/>
            </w:tcMar>
            <w:vAlign w:val="center"/>
          </w:tcPr>
          <w:p w14:paraId="7A0081C0">
            <w:pPr>
              <w:spacing w:line="240" w:lineRule="auto"/>
              <w:jc w:val="center"/>
              <w:rPr>
                <w:sz w:val="21"/>
                <w:szCs w:val="21"/>
                <w:highlight w:val="none"/>
              </w:rPr>
            </w:pPr>
            <w:r>
              <w:rPr>
                <w:sz w:val="21"/>
                <w:szCs w:val="21"/>
                <w:highlight w:val="none"/>
              </w:rPr>
              <w:t>企业聚集区</w:t>
            </w:r>
            <w:r>
              <w:rPr>
                <w:rFonts w:hint="eastAsia"/>
                <w:sz w:val="21"/>
                <w:szCs w:val="21"/>
                <w:highlight w:val="none"/>
              </w:rPr>
              <w:t>西侧</w:t>
            </w:r>
          </w:p>
        </w:tc>
        <w:tc>
          <w:tcPr>
            <w:tcW w:w="1373" w:type="dxa"/>
            <w:tcBorders>
              <w:tl2br w:val="nil"/>
              <w:tr2bl w:val="nil"/>
            </w:tcBorders>
            <w:shd w:val="clear" w:color="auto" w:fill="auto"/>
            <w:noWrap/>
            <w:tcMar>
              <w:top w:w="15" w:type="dxa"/>
              <w:left w:w="15" w:type="dxa"/>
              <w:right w:w="15" w:type="dxa"/>
            </w:tcMar>
            <w:vAlign w:val="center"/>
          </w:tcPr>
          <w:p w14:paraId="3259EAFA">
            <w:pPr>
              <w:spacing w:line="240" w:lineRule="auto"/>
              <w:jc w:val="center"/>
              <w:rPr>
                <w:sz w:val="21"/>
                <w:szCs w:val="21"/>
                <w:highlight w:val="none"/>
              </w:rPr>
            </w:pPr>
            <w:r>
              <w:rPr>
                <w:rFonts w:hint="eastAsia"/>
                <w:sz w:val="21"/>
                <w:szCs w:val="21"/>
                <w:highlight w:val="none"/>
              </w:rPr>
              <w:t xml:space="preserve">115.037374 </w:t>
            </w:r>
          </w:p>
        </w:tc>
        <w:tc>
          <w:tcPr>
            <w:tcW w:w="1280" w:type="dxa"/>
            <w:tcBorders>
              <w:tl2br w:val="nil"/>
              <w:tr2bl w:val="nil"/>
            </w:tcBorders>
            <w:shd w:val="clear" w:color="auto" w:fill="auto"/>
            <w:noWrap/>
            <w:tcMar>
              <w:top w:w="15" w:type="dxa"/>
              <w:left w:w="15" w:type="dxa"/>
              <w:right w:w="15" w:type="dxa"/>
            </w:tcMar>
            <w:vAlign w:val="center"/>
          </w:tcPr>
          <w:p w14:paraId="02A743F2">
            <w:pPr>
              <w:spacing w:line="240" w:lineRule="auto"/>
              <w:jc w:val="center"/>
              <w:rPr>
                <w:sz w:val="21"/>
                <w:szCs w:val="21"/>
                <w:highlight w:val="none"/>
              </w:rPr>
            </w:pPr>
            <w:r>
              <w:rPr>
                <w:rFonts w:hint="eastAsia"/>
                <w:sz w:val="21"/>
                <w:szCs w:val="21"/>
                <w:highlight w:val="none"/>
              </w:rPr>
              <w:t xml:space="preserve">30.260620 </w:t>
            </w:r>
          </w:p>
        </w:tc>
        <w:tc>
          <w:tcPr>
            <w:tcW w:w="2038" w:type="dxa"/>
            <w:vMerge w:val="continue"/>
            <w:tcBorders>
              <w:tl2br w:val="nil"/>
              <w:tr2bl w:val="nil"/>
            </w:tcBorders>
            <w:shd w:val="clear" w:color="auto" w:fill="auto"/>
            <w:noWrap/>
            <w:tcMar>
              <w:top w:w="15" w:type="dxa"/>
              <w:left w:w="15" w:type="dxa"/>
              <w:right w:w="15" w:type="dxa"/>
            </w:tcMar>
            <w:vAlign w:val="center"/>
          </w:tcPr>
          <w:p w14:paraId="0AD7CD55">
            <w:pPr>
              <w:spacing w:line="240" w:lineRule="auto"/>
              <w:jc w:val="center"/>
              <w:rPr>
                <w:sz w:val="21"/>
                <w:szCs w:val="21"/>
                <w:highlight w:val="none"/>
              </w:rPr>
            </w:pPr>
          </w:p>
        </w:tc>
        <w:tc>
          <w:tcPr>
            <w:tcW w:w="4159" w:type="dxa"/>
            <w:tcBorders>
              <w:tl2br w:val="nil"/>
              <w:tr2bl w:val="nil"/>
            </w:tcBorders>
            <w:shd w:val="clear" w:color="auto" w:fill="auto"/>
            <w:noWrap/>
            <w:tcMar>
              <w:top w:w="15" w:type="dxa"/>
              <w:left w:w="15" w:type="dxa"/>
              <w:right w:w="15" w:type="dxa"/>
            </w:tcMar>
            <w:vAlign w:val="center"/>
          </w:tcPr>
          <w:p w14:paraId="61A2173C">
            <w:pPr>
              <w:spacing w:line="240" w:lineRule="auto"/>
              <w:jc w:val="center"/>
              <w:rPr>
                <w:rFonts w:hint="eastAsia" w:eastAsiaTheme="minorEastAsia"/>
                <w:sz w:val="21"/>
                <w:szCs w:val="21"/>
                <w:highlight w:val="none"/>
                <w:lang w:eastAsia="zh-CN"/>
              </w:rPr>
            </w:pPr>
            <w:r>
              <w:rPr>
                <w:rFonts w:eastAsiaTheme="minorEastAsia"/>
                <w:kern w:val="0"/>
                <w:sz w:val="21"/>
                <w:szCs w:val="21"/>
                <w:highlight w:val="none"/>
              </w:rPr>
              <w:t>基本项目（48项）、园区增测项目（</w:t>
            </w:r>
            <w:r>
              <w:rPr>
                <w:rFonts w:hint="eastAsia" w:eastAsiaTheme="minorEastAsia"/>
                <w:kern w:val="0"/>
                <w:sz w:val="21"/>
                <w:szCs w:val="21"/>
                <w:highlight w:val="none"/>
              </w:rPr>
              <w:t>2</w:t>
            </w:r>
            <w:r>
              <w:rPr>
                <w:rFonts w:eastAsiaTheme="minorEastAsia"/>
                <w:kern w:val="0"/>
                <w:sz w:val="21"/>
                <w:szCs w:val="21"/>
                <w:highlight w:val="none"/>
              </w:rPr>
              <w:t>项）</w:t>
            </w:r>
            <w:r>
              <w:rPr>
                <w:rFonts w:hint="eastAsia" w:eastAsiaTheme="minorEastAsia"/>
                <w:kern w:val="0"/>
                <w:sz w:val="21"/>
                <w:szCs w:val="21"/>
                <w:highlight w:val="none"/>
                <w:lang w:eastAsia="zh-CN"/>
              </w:rPr>
              <w:t>、</w:t>
            </w:r>
            <w:r>
              <w:rPr>
                <w:rFonts w:hint="eastAsia" w:eastAsiaTheme="minorEastAsia"/>
                <w:kern w:val="0"/>
                <w:sz w:val="21"/>
                <w:szCs w:val="21"/>
                <w:highlight w:val="none"/>
                <w:lang w:val="en-US" w:eastAsia="zh-CN"/>
              </w:rPr>
              <w:t>其它</w:t>
            </w:r>
            <w:r>
              <w:rPr>
                <w:rFonts w:hint="eastAsia" w:eastAsiaTheme="minorEastAsia"/>
                <w:kern w:val="0"/>
                <w:sz w:val="21"/>
                <w:szCs w:val="21"/>
                <w:highlight w:val="none"/>
                <w:lang w:eastAsia="zh-CN"/>
              </w:rPr>
              <w:t>增测项目</w:t>
            </w:r>
            <w:r>
              <w:rPr>
                <w:rFonts w:hint="eastAsia" w:eastAsiaTheme="minorEastAsia"/>
                <w:kern w:val="0"/>
                <w:sz w:val="21"/>
                <w:szCs w:val="21"/>
                <w:highlight w:val="none"/>
              </w:rPr>
              <w:t>（1项）</w:t>
            </w:r>
          </w:p>
        </w:tc>
      </w:tr>
      <w:tr w14:paraId="2FA182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35" w:type="dxa"/>
            <w:tcBorders>
              <w:tl2br w:val="nil"/>
              <w:tr2bl w:val="nil"/>
            </w:tcBorders>
            <w:shd w:val="clear" w:color="auto" w:fill="auto"/>
            <w:noWrap/>
            <w:tcMar>
              <w:top w:w="15" w:type="dxa"/>
              <w:left w:w="15" w:type="dxa"/>
              <w:right w:w="15" w:type="dxa"/>
            </w:tcMar>
            <w:vAlign w:val="center"/>
          </w:tcPr>
          <w:p w14:paraId="5B5AEFC2">
            <w:pPr>
              <w:widowControl/>
              <w:spacing w:line="240" w:lineRule="auto"/>
              <w:jc w:val="center"/>
              <w:textAlignment w:val="center"/>
              <w:rPr>
                <w:sz w:val="21"/>
                <w:szCs w:val="21"/>
                <w:highlight w:val="none"/>
              </w:rPr>
            </w:pPr>
            <w:r>
              <w:rPr>
                <w:rFonts w:hint="eastAsia"/>
                <w:sz w:val="21"/>
                <w:szCs w:val="21"/>
                <w:highlight w:val="none"/>
              </w:rPr>
              <w:t>10</w:t>
            </w:r>
          </w:p>
        </w:tc>
        <w:tc>
          <w:tcPr>
            <w:tcW w:w="1229" w:type="dxa"/>
            <w:vMerge w:val="continue"/>
            <w:tcBorders>
              <w:tl2br w:val="nil"/>
              <w:tr2bl w:val="nil"/>
            </w:tcBorders>
            <w:shd w:val="clear" w:color="auto" w:fill="auto"/>
            <w:noWrap/>
            <w:tcMar>
              <w:top w:w="15" w:type="dxa"/>
              <w:left w:w="15" w:type="dxa"/>
              <w:right w:w="15" w:type="dxa"/>
            </w:tcMar>
            <w:vAlign w:val="center"/>
          </w:tcPr>
          <w:p w14:paraId="002E6C33">
            <w:pPr>
              <w:spacing w:line="240" w:lineRule="auto"/>
              <w:jc w:val="center"/>
              <w:rPr>
                <w:sz w:val="21"/>
                <w:szCs w:val="21"/>
                <w:highlight w:val="none"/>
              </w:rPr>
            </w:pPr>
          </w:p>
        </w:tc>
        <w:tc>
          <w:tcPr>
            <w:tcW w:w="1169" w:type="dxa"/>
            <w:tcBorders>
              <w:tl2br w:val="nil"/>
              <w:tr2bl w:val="nil"/>
            </w:tcBorders>
            <w:shd w:val="clear" w:color="auto" w:fill="auto"/>
            <w:noWrap/>
            <w:tcMar>
              <w:top w:w="15" w:type="dxa"/>
              <w:left w:w="15" w:type="dxa"/>
              <w:right w:w="15" w:type="dxa"/>
            </w:tcMar>
            <w:vAlign w:val="center"/>
          </w:tcPr>
          <w:p w14:paraId="34B6F764">
            <w:pPr>
              <w:widowControl/>
              <w:spacing w:line="240" w:lineRule="auto"/>
              <w:jc w:val="center"/>
              <w:textAlignment w:val="center"/>
              <w:rPr>
                <w:sz w:val="21"/>
                <w:szCs w:val="21"/>
                <w:highlight w:val="none"/>
              </w:rPr>
            </w:pPr>
            <w:r>
              <w:rPr>
                <w:color w:val="000000"/>
                <w:sz w:val="21"/>
                <w:szCs w:val="21"/>
                <w:highlight w:val="none"/>
              </w:rPr>
              <w:t>HH-JJ-4</w:t>
            </w:r>
          </w:p>
        </w:tc>
        <w:tc>
          <w:tcPr>
            <w:tcW w:w="3151" w:type="dxa"/>
            <w:tcBorders>
              <w:tl2br w:val="nil"/>
              <w:tr2bl w:val="nil"/>
            </w:tcBorders>
            <w:shd w:val="clear" w:color="auto" w:fill="auto"/>
            <w:noWrap/>
            <w:tcMar>
              <w:top w:w="15" w:type="dxa"/>
              <w:left w:w="15" w:type="dxa"/>
              <w:right w:w="15" w:type="dxa"/>
            </w:tcMar>
            <w:vAlign w:val="center"/>
          </w:tcPr>
          <w:p w14:paraId="7E30837C">
            <w:pPr>
              <w:spacing w:line="240" w:lineRule="auto"/>
              <w:jc w:val="center"/>
              <w:rPr>
                <w:sz w:val="21"/>
                <w:szCs w:val="21"/>
                <w:highlight w:val="none"/>
              </w:rPr>
            </w:pPr>
            <w:r>
              <w:rPr>
                <w:sz w:val="21"/>
                <w:szCs w:val="21"/>
                <w:highlight w:val="none"/>
              </w:rPr>
              <w:t>企业聚集区</w:t>
            </w:r>
            <w:r>
              <w:rPr>
                <w:rFonts w:hint="eastAsia"/>
                <w:sz w:val="21"/>
                <w:szCs w:val="21"/>
                <w:highlight w:val="none"/>
              </w:rPr>
              <w:t>西</w:t>
            </w:r>
            <w:r>
              <w:rPr>
                <w:sz w:val="21"/>
                <w:szCs w:val="21"/>
                <w:highlight w:val="none"/>
              </w:rPr>
              <w:t>侧</w:t>
            </w:r>
          </w:p>
        </w:tc>
        <w:tc>
          <w:tcPr>
            <w:tcW w:w="1373" w:type="dxa"/>
            <w:tcBorders>
              <w:tl2br w:val="nil"/>
              <w:tr2bl w:val="nil"/>
            </w:tcBorders>
            <w:shd w:val="clear" w:color="auto" w:fill="auto"/>
            <w:noWrap/>
            <w:tcMar>
              <w:top w:w="15" w:type="dxa"/>
              <w:left w:w="15" w:type="dxa"/>
              <w:right w:w="15" w:type="dxa"/>
            </w:tcMar>
            <w:vAlign w:val="center"/>
          </w:tcPr>
          <w:p w14:paraId="78406037">
            <w:pPr>
              <w:spacing w:line="240" w:lineRule="auto"/>
              <w:jc w:val="center"/>
              <w:rPr>
                <w:sz w:val="21"/>
                <w:szCs w:val="21"/>
                <w:highlight w:val="none"/>
              </w:rPr>
            </w:pPr>
            <w:r>
              <w:rPr>
                <w:rFonts w:hint="eastAsia"/>
                <w:sz w:val="21"/>
                <w:szCs w:val="21"/>
                <w:highlight w:val="none"/>
              </w:rPr>
              <w:t xml:space="preserve">115.020214 </w:t>
            </w:r>
          </w:p>
        </w:tc>
        <w:tc>
          <w:tcPr>
            <w:tcW w:w="1280" w:type="dxa"/>
            <w:tcBorders>
              <w:tl2br w:val="nil"/>
              <w:tr2bl w:val="nil"/>
            </w:tcBorders>
            <w:shd w:val="clear" w:color="auto" w:fill="auto"/>
            <w:noWrap/>
            <w:tcMar>
              <w:top w:w="15" w:type="dxa"/>
              <w:left w:w="15" w:type="dxa"/>
              <w:right w:w="15" w:type="dxa"/>
            </w:tcMar>
            <w:vAlign w:val="center"/>
          </w:tcPr>
          <w:p w14:paraId="4CE7EB75">
            <w:pPr>
              <w:spacing w:line="240" w:lineRule="auto"/>
              <w:jc w:val="center"/>
              <w:rPr>
                <w:sz w:val="21"/>
                <w:szCs w:val="21"/>
                <w:highlight w:val="none"/>
              </w:rPr>
            </w:pPr>
            <w:r>
              <w:rPr>
                <w:rFonts w:hint="eastAsia"/>
                <w:sz w:val="21"/>
                <w:szCs w:val="21"/>
                <w:highlight w:val="none"/>
              </w:rPr>
              <w:t xml:space="preserve">30.279064 </w:t>
            </w:r>
          </w:p>
        </w:tc>
        <w:tc>
          <w:tcPr>
            <w:tcW w:w="2038" w:type="dxa"/>
            <w:vMerge w:val="continue"/>
            <w:tcBorders>
              <w:tl2br w:val="nil"/>
              <w:tr2bl w:val="nil"/>
            </w:tcBorders>
            <w:shd w:val="clear" w:color="auto" w:fill="auto"/>
            <w:noWrap/>
            <w:tcMar>
              <w:top w:w="15" w:type="dxa"/>
              <w:left w:w="15" w:type="dxa"/>
              <w:right w:w="15" w:type="dxa"/>
            </w:tcMar>
            <w:vAlign w:val="center"/>
          </w:tcPr>
          <w:p w14:paraId="79AF147B">
            <w:pPr>
              <w:spacing w:line="240" w:lineRule="auto"/>
              <w:jc w:val="center"/>
              <w:rPr>
                <w:rFonts w:eastAsiaTheme="minorEastAsia"/>
                <w:kern w:val="0"/>
                <w:sz w:val="21"/>
                <w:szCs w:val="21"/>
                <w:highlight w:val="none"/>
              </w:rPr>
            </w:pPr>
          </w:p>
        </w:tc>
        <w:tc>
          <w:tcPr>
            <w:tcW w:w="4159" w:type="dxa"/>
            <w:vMerge w:val="restart"/>
            <w:tcBorders>
              <w:tl2br w:val="nil"/>
              <w:tr2bl w:val="nil"/>
            </w:tcBorders>
            <w:shd w:val="clear" w:color="auto" w:fill="auto"/>
            <w:noWrap/>
            <w:tcMar>
              <w:top w:w="15" w:type="dxa"/>
              <w:left w:w="15" w:type="dxa"/>
              <w:right w:w="15" w:type="dxa"/>
            </w:tcMar>
            <w:vAlign w:val="center"/>
          </w:tcPr>
          <w:p w14:paraId="4A26F0AC">
            <w:pPr>
              <w:spacing w:line="240" w:lineRule="auto"/>
              <w:jc w:val="center"/>
              <w:rPr>
                <w:sz w:val="21"/>
                <w:szCs w:val="21"/>
                <w:highlight w:val="none"/>
              </w:rPr>
            </w:pPr>
            <w:r>
              <w:rPr>
                <w:rFonts w:eastAsiaTheme="minorEastAsia"/>
                <w:kern w:val="0"/>
                <w:sz w:val="21"/>
                <w:szCs w:val="21"/>
                <w:highlight w:val="none"/>
              </w:rPr>
              <w:t>基本项目（48项）、园区增测项目（</w:t>
            </w:r>
            <w:r>
              <w:rPr>
                <w:rFonts w:hint="eastAsia" w:eastAsiaTheme="minorEastAsia"/>
                <w:kern w:val="0"/>
                <w:sz w:val="21"/>
                <w:szCs w:val="21"/>
                <w:highlight w:val="none"/>
              </w:rPr>
              <w:t>2</w:t>
            </w:r>
            <w:r>
              <w:rPr>
                <w:rFonts w:eastAsiaTheme="minorEastAsia"/>
                <w:kern w:val="0"/>
                <w:sz w:val="21"/>
                <w:szCs w:val="21"/>
                <w:highlight w:val="none"/>
              </w:rPr>
              <w:t>项）</w:t>
            </w:r>
          </w:p>
        </w:tc>
      </w:tr>
      <w:tr w14:paraId="2833D8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35" w:type="dxa"/>
            <w:tcBorders>
              <w:tl2br w:val="nil"/>
              <w:tr2bl w:val="nil"/>
            </w:tcBorders>
            <w:shd w:val="clear" w:color="auto" w:fill="auto"/>
            <w:noWrap/>
            <w:tcMar>
              <w:top w:w="15" w:type="dxa"/>
              <w:left w:w="15" w:type="dxa"/>
              <w:right w:w="15" w:type="dxa"/>
            </w:tcMar>
            <w:vAlign w:val="center"/>
          </w:tcPr>
          <w:p w14:paraId="7A7B9538">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11</w:t>
            </w:r>
          </w:p>
        </w:tc>
        <w:tc>
          <w:tcPr>
            <w:tcW w:w="1229" w:type="dxa"/>
            <w:vMerge w:val="continue"/>
            <w:tcBorders>
              <w:tl2br w:val="nil"/>
              <w:tr2bl w:val="nil"/>
            </w:tcBorders>
            <w:shd w:val="clear" w:color="auto" w:fill="auto"/>
            <w:noWrap/>
            <w:tcMar>
              <w:top w:w="15" w:type="dxa"/>
              <w:left w:w="15" w:type="dxa"/>
              <w:right w:w="15" w:type="dxa"/>
            </w:tcMar>
            <w:vAlign w:val="center"/>
          </w:tcPr>
          <w:p w14:paraId="3FBCD24A">
            <w:pPr>
              <w:spacing w:line="240" w:lineRule="auto"/>
              <w:jc w:val="center"/>
              <w:rPr>
                <w:sz w:val="21"/>
                <w:szCs w:val="21"/>
                <w:highlight w:val="none"/>
              </w:rPr>
            </w:pPr>
          </w:p>
        </w:tc>
        <w:tc>
          <w:tcPr>
            <w:tcW w:w="1169" w:type="dxa"/>
            <w:tcBorders>
              <w:tl2br w:val="nil"/>
              <w:tr2bl w:val="nil"/>
            </w:tcBorders>
            <w:shd w:val="clear" w:color="auto" w:fill="auto"/>
            <w:noWrap/>
            <w:tcMar>
              <w:top w:w="15" w:type="dxa"/>
              <w:left w:w="15" w:type="dxa"/>
              <w:right w:w="15" w:type="dxa"/>
            </w:tcMar>
            <w:vAlign w:val="center"/>
          </w:tcPr>
          <w:p w14:paraId="1E404462">
            <w:pPr>
              <w:widowControl/>
              <w:spacing w:line="240" w:lineRule="auto"/>
              <w:jc w:val="center"/>
              <w:textAlignment w:val="center"/>
              <w:rPr>
                <w:sz w:val="21"/>
                <w:szCs w:val="21"/>
                <w:highlight w:val="none"/>
              </w:rPr>
            </w:pPr>
            <w:r>
              <w:rPr>
                <w:color w:val="000000"/>
                <w:sz w:val="21"/>
                <w:szCs w:val="21"/>
                <w:highlight w:val="none"/>
              </w:rPr>
              <w:t>HH-JJ-5</w:t>
            </w:r>
          </w:p>
        </w:tc>
        <w:tc>
          <w:tcPr>
            <w:tcW w:w="3151" w:type="dxa"/>
            <w:tcBorders>
              <w:tl2br w:val="nil"/>
              <w:tr2bl w:val="nil"/>
            </w:tcBorders>
            <w:shd w:val="clear" w:color="auto" w:fill="auto"/>
            <w:noWrap/>
            <w:tcMar>
              <w:top w:w="15" w:type="dxa"/>
              <w:left w:w="15" w:type="dxa"/>
              <w:right w:w="15" w:type="dxa"/>
            </w:tcMar>
            <w:vAlign w:val="center"/>
          </w:tcPr>
          <w:p w14:paraId="6AFA7C60">
            <w:pPr>
              <w:spacing w:line="240" w:lineRule="auto"/>
              <w:jc w:val="center"/>
              <w:rPr>
                <w:sz w:val="21"/>
                <w:szCs w:val="21"/>
                <w:highlight w:val="none"/>
              </w:rPr>
            </w:pPr>
            <w:r>
              <w:rPr>
                <w:sz w:val="21"/>
                <w:szCs w:val="21"/>
                <w:highlight w:val="none"/>
              </w:rPr>
              <w:t>企业聚集区</w:t>
            </w:r>
            <w:r>
              <w:rPr>
                <w:rFonts w:hint="eastAsia"/>
                <w:sz w:val="21"/>
                <w:szCs w:val="21"/>
                <w:highlight w:val="none"/>
              </w:rPr>
              <w:t>东</w:t>
            </w:r>
            <w:r>
              <w:rPr>
                <w:sz w:val="21"/>
                <w:szCs w:val="21"/>
                <w:highlight w:val="none"/>
              </w:rPr>
              <w:t>侧</w:t>
            </w:r>
          </w:p>
        </w:tc>
        <w:tc>
          <w:tcPr>
            <w:tcW w:w="1373" w:type="dxa"/>
            <w:tcBorders>
              <w:tl2br w:val="nil"/>
              <w:tr2bl w:val="nil"/>
            </w:tcBorders>
            <w:shd w:val="clear" w:color="auto" w:fill="auto"/>
            <w:noWrap/>
            <w:tcMar>
              <w:top w:w="15" w:type="dxa"/>
              <w:left w:w="15" w:type="dxa"/>
              <w:right w:w="15" w:type="dxa"/>
            </w:tcMar>
            <w:vAlign w:val="center"/>
          </w:tcPr>
          <w:p w14:paraId="29C6019D">
            <w:pPr>
              <w:spacing w:line="240" w:lineRule="auto"/>
              <w:jc w:val="center"/>
              <w:rPr>
                <w:sz w:val="21"/>
                <w:szCs w:val="21"/>
                <w:highlight w:val="none"/>
              </w:rPr>
            </w:pPr>
            <w:r>
              <w:rPr>
                <w:rFonts w:hint="eastAsia"/>
                <w:sz w:val="21"/>
                <w:szCs w:val="21"/>
                <w:highlight w:val="none"/>
              </w:rPr>
              <w:t xml:space="preserve">115.053027 </w:t>
            </w:r>
          </w:p>
        </w:tc>
        <w:tc>
          <w:tcPr>
            <w:tcW w:w="1280" w:type="dxa"/>
            <w:tcBorders>
              <w:tl2br w:val="nil"/>
              <w:tr2bl w:val="nil"/>
            </w:tcBorders>
            <w:shd w:val="clear" w:color="auto" w:fill="auto"/>
            <w:noWrap/>
            <w:tcMar>
              <w:top w:w="15" w:type="dxa"/>
              <w:left w:w="15" w:type="dxa"/>
              <w:right w:w="15" w:type="dxa"/>
            </w:tcMar>
            <w:vAlign w:val="center"/>
          </w:tcPr>
          <w:p w14:paraId="2DD7EFD8">
            <w:pPr>
              <w:spacing w:line="240" w:lineRule="auto"/>
              <w:jc w:val="center"/>
              <w:rPr>
                <w:sz w:val="21"/>
                <w:szCs w:val="21"/>
                <w:highlight w:val="none"/>
              </w:rPr>
            </w:pPr>
            <w:r>
              <w:rPr>
                <w:rFonts w:hint="eastAsia"/>
                <w:sz w:val="21"/>
                <w:szCs w:val="21"/>
                <w:highlight w:val="none"/>
              </w:rPr>
              <w:t xml:space="preserve">30.261916 </w:t>
            </w:r>
          </w:p>
        </w:tc>
        <w:tc>
          <w:tcPr>
            <w:tcW w:w="2038" w:type="dxa"/>
            <w:vMerge w:val="continue"/>
            <w:tcBorders>
              <w:tl2br w:val="nil"/>
              <w:tr2bl w:val="nil"/>
            </w:tcBorders>
            <w:shd w:val="clear" w:color="auto" w:fill="auto"/>
            <w:noWrap/>
            <w:tcMar>
              <w:top w:w="15" w:type="dxa"/>
              <w:left w:w="15" w:type="dxa"/>
              <w:right w:w="15" w:type="dxa"/>
            </w:tcMar>
            <w:vAlign w:val="center"/>
          </w:tcPr>
          <w:p w14:paraId="7A91F215">
            <w:pPr>
              <w:spacing w:line="240" w:lineRule="auto"/>
              <w:jc w:val="center"/>
              <w:rPr>
                <w:rFonts w:eastAsiaTheme="minorEastAsia"/>
                <w:kern w:val="0"/>
                <w:sz w:val="21"/>
                <w:szCs w:val="21"/>
                <w:highlight w:val="none"/>
              </w:rPr>
            </w:pPr>
          </w:p>
        </w:tc>
        <w:tc>
          <w:tcPr>
            <w:tcW w:w="4159" w:type="dxa"/>
            <w:vMerge w:val="continue"/>
            <w:tcBorders>
              <w:tl2br w:val="nil"/>
              <w:tr2bl w:val="nil"/>
            </w:tcBorders>
            <w:shd w:val="clear" w:color="auto" w:fill="auto"/>
            <w:noWrap/>
            <w:tcMar>
              <w:top w:w="15" w:type="dxa"/>
              <w:left w:w="15" w:type="dxa"/>
              <w:right w:w="15" w:type="dxa"/>
            </w:tcMar>
            <w:vAlign w:val="center"/>
          </w:tcPr>
          <w:p w14:paraId="1E926E31">
            <w:pPr>
              <w:spacing w:line="240" w:lineRule="auto"/>
              <w:jc w:val="center"/>
              <w:rPr>
                <w:rFonts w:eastAsiaTheme="minorEastAsia"/>
                <w:kern w:val="0"/>
                <w:sz w:val="21"/>
                <w:szCs w:val="21"/>
                <w:highlight w:val="none"/>
              </w:rPr>
            </w:pPr>
          </w:p>
        </w:tc>
      </w:tr>
    </w:tbl>
    <w:p w14:paraId="350F9639">
      <w:pPr>
        <w:spacing w:line="240" w:lineRule="auto"/>
        <w:rPr>
          <w:b/>
          <w:bCs/>
          <w:sz w:val="18"/>
          <w:szCs w:val="18"/>
          <w:highlight w:val="none"/>
        </w:rPr>
      </w:pPr>
      <w:r>
        <w:rPr>
          <w:b/>
          <w:bCs/>
          <w:sz w:val="18"/>
          <w:szCs w:val="18"/>
          <w:highlight w:val="none"/>
        </w:rPr>
        <w:t>注：①经纬度均使用国测局坐标系 (GCJ-02)</w:t>
      </w:r>
      <w:r>
        <w:rPr>
          <w:rFonts w:hint="eastAsia"/>
          <w:b/>
          <w:bCs/>
          <w:sz w:val="18"/>
          <w:szCs w:val="18"/>
          <w:highlight w:val="none"/>
        </w:rPr>
        <w:t>；</w:t>
      </w:r>
    </w:p>
    <w:p w14:paraId="3F966FBC">
      <w:pPr>
        <w:spacing w:line="240" w:lineRule="auto"/>
        <w:ind w:firstLine="361" w:firstLineChars="200"/>
        <w:rPr>
          <w:b/>
          <w:bCs/>
          <w:sz w:val="18"/>
          <w:szCs w:val="18"/>
          <w:highlight w:val="none"/>
        </w:rPr>
      </w:pPr>
      <w:r>
        <w:rPr>
          <w:rFonts w:hint="eastAsia"/>
          <w:b/>
          <w:bCs/>
          <w:sz w:val="18"/>
          <w:szCs w:val="18"/>
          <w:highlight w:val="none"/>
        </w:rPr>
        <w:t>②园区西南部大部分区域均为未开发利用区域，</w:t>
      </w:r>
      <w:r>
        <w:rPr>
          <w:rFonts w:hint="eastAsia"/>
          <w:b/>
          <w:bCs/>
          <w:sz w:val="18"/>
          <w:szCs w:val="18"/>
          <w:highlight w:val="none"/>
          <w:lang w:val="en-US" w:eastAsia="zh-CN"/>
        </w:rPr>
        <w:t>考虑到点位布设的代表性，</w:t>
      </w:r>
      <w:r>
        <w:rPr>
          <w:rFonts w:hint="eastAsia"/>
          <w:b/>
          <w:bCs/>
          <w:sz w:val="18"/>
          <w:szCs w:val="18"/>
          <w:highlight w:val="none"/>
        </w:rPr>
        <w:t>因此将园区周边点位布设于受园区内既有企业影响较大的已建成企业聚集区的西侧</w:t>
      </w:r>
      <w:r>
        <w:rPr>
          <w:rFonts w:hint="eastAsia"/>
          <w:b/>
          <w:bCs/>
          <w:sz w:val="18"/>
          <w:szCs w:val="18"/>
          <w:highlight w:val="none"/>
          <w:lang w:val="en-US" w:eastAsia="zh-CN"/>
        </w:rPr>
        <w:t>附近</w:t>
      </w:r>
      <w:r>
        <w:rPr>
          <w:rFonts w:hint="eastAsia"/>
          <w:b/>
          <w:bCs/>
          <w:sz w:val="18"/>
          <w:szCs w:val="18"/>
          <w:highlight w:val="none"/>
        </w:rPr>
        <w:t>；</w:t>
      </w:r>
    </w:p>
    <w:p w14:paraId="6CBA1BE9">
      <w:pPr>
        <w:spacing w:line="240" w:lineRule="auto"/>
        <w:ind w:firstLine="361" w:firstLineChars="200"/>
        <w:rPr>
          <w:rFonts w:hint="eastAsia"/>
          <w:b/>
          <w:bCs/>
          <w:sz w:val="18"/>
          <w:szCs w:val="18"/>
          <w:highlight w:val="none"/>
          <w:lang w:eastAsia="zh-CN"/>
        </w:rPr>
      </w:pPr>
      <w:r>
        <w:rPr>
          <w:rFonts w:hint="eastAsia"/>
          <w:b/>
          <w:bCs/>
          <w:sz w:val="18"/>
          <w:szCs w:val="18"/>
          <w:highlight w:val="none"/>
        </w:rPr>
        <w:t>③由于园区南侧边界与黄石接壤，因此南侧园区周边点位设置于临近南侧边界内，由于南侧企业分布较聚集，受布点条件的限制，仅于裸露土壤布设一个监测点</w:t>
      </w:r>
      <w:r>
        <w:rPr>
          <w:rFonts w:hint="eastAsia"/>
          <w:b/>
          <w:bCs/>
          <w:sz w:val="18"/>
          <w:szCs w:val="18"/>
          <w:highlight w:val="none"/>
          <w:lang w:eastAsia="zh-CN"/>
        </w:rPr>
        <w:t>；</w:t>
      </w:r>
    </w:p>
    <w:p w14:paraId="2B665DD5">
      <w:pPr>
        <w:spacing w:line="240" w:lineRule="auto"/>
        <w:ind w:firstLine="361" w:firstLineChars="200"/>
        <w:rPr>
          <w:b/>
          <w:bCs/>
          <w:sz w:val="18"/>
          <w:szCs w:val="18"/>
          <w:highlight w:val="none"/>
        </w:rPr>
        <w:sectPr>
          <w:headerReference r:id="rId14" w:type="default"/>
          <w:pgSz w:w="16781" w:h="11849" w:orient="landscape"/>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r>
        <w:rPr>
          <w:rFonts w:hint="eastAsia"/>
          <w:b/>
          <w:bCs/>
          <w:sz w:val="18"/>
          <w:szCs w:val="18"/>
          <w:highlight w:val="none"/>
          <w:lang w:val="en-US" w:eastAsia="zh-CN"/>
        </w:rPr>
        <w:t>④</w:t>
      </w:r>
      <w:r>
        <w:rPr>
          <w:rFonts w:hint="default" w:ascii="Times New Roman" w:hAnsi="Times New Roman" w:cs="Times New Roman"/>
          <w:b/>
          <w:bCs/>
          <w:color w:val="auto"/>
          <w:sz w:val="18"/>
          <w:szCs w:val="18"/>
          <w:highlight w:val="none"/>
          <w:lang w:val="en-US" w:eastAsia="zh-CN"/>
        </w:rPr>
        <w:t>湖北浩然化工有限公司（鄂州轩瑞科技有限公司）</w:t>
      </w:r>
      <w:r>
        <w:rPr>
          <w:rFonts w:hint="eastAsia" w:ascii="Times New Roman" w:hAnsi="Times New Roman" w:cs="Times New Roman"/>
          <w:b/>
          <w:bCs/>
          <w:color w:val="auto"/>
          <w:sz w:val="18"/>
          <w:szCs w:val="18"/>
          <w:highlight w:val="none"/>
          <w:lang w:val="en-US" w:eastAsia="zh-CN"/>
        </w:rPr>
        <w:t>位于已建成企业聚集区边界附近，周边布设点位为HH-JJ-5</w:t>
      </w:r>
      <w:r>
        <w:rPr>
          <w:rFonts w:hint="eastAsia" w:cs="Times New Roman"/>
          <w:b/>
          <w:bCs/>
          <w:color w:val="auto"/>
          <w:sz w:val="18"/>
          <w:szCs w:val="18"/>
          <w:highlight w:val="none"/>
          <w:lang w:val="en-US" w:eastAsia="zh-CN"/>
        </w:rPr>
        <w:t>，各点位监测因子分别包括了对应的典型企业特征污染因子</w:t>
      </w:r>
      <w:r>
        <w:rPr>
          <w:rFonts w:hint="eastAsia"/>
          <w:b/>
          <w:bCs/>
          <w:sz w:val="18"/>
          <w:szCs w:val="18"/>
          <w:highlight w:val="none"/>
        </w:rPr>
        <w:t>。</w:t>
      </w:r>
    </w:p>
    <w:p w14:paraId="2C897D1E">
      <w:pPr>
        <w:pStyle w:val="4"/>
        <w:tabs>
          <w:tab w:val="clear" w:pos="425"/>
        </w:tabs>
        <w:rPr>
          <w:highlight w:val="none"/>
        </w:rPr>
      </w:pPr>
      <w:bookmarkStart w:id="18" w:name="_Toc27019"/>
      <w:r>
        <w:rPr>
          <w:highlight w:val="none"/>
        </w:rPr>
        <w:t>地下水布点方案</w:t>
      </w:r>
      <w:bookmarkEnd w:id="18"/>
    </w:p>
    <w:p w14:paraId="319CB6E4">
      <w:pPr>
        <w:ind w:firstLine="480" w:firstLineChars="20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为了解</w:t>
      </w:r>
      <w:r>
        <w:rPr>
          <w:rFonts w:hint="eastAsia"/>
          <w:color w:val="000000" w:themeColor="text1"/>
          <w:kern w:val="0"/>
          <w:highlight w:val="none"/>
          <w14:textFill>
            <w14:solidFill>
              <w14:schemeClr w14:val="tx1"/>
            </w14:solidFill>
          </w14:textFill>
        </w:rPr>
        <w:t>花湖开发区</w:t>
      </w:r>
      <w:r>
        <w:rPr>
          <w:color w:val="000000" w:themeColor="text1"/>
          <w:kern w:val="0"/>
          <w:highlight w:val="none"/>
          <w14:textFill>
            <w14:solidFill>
              <w14:schemeClr w14:val="tx1"/>
            </w14:solidFill>
          </w14:textFill>
        </w:rPr>
        <w:t>工业园周边地下水环境质量现状，拟于工业园周边设置2个地下水监测点位，分别</w:t>
      </w:r>
      <w:r>
        <w:rPr>
          <w:rFonts w:hint="eastAsia"/>
          <w:color w:val="000000" w:themeColor="text1"/>
          <w:kern w:val="0"/>
          <w:highlight w:val="none"/>
          <w14:textFill>
            <w14:solidFill>
              <w14:schemeClr w14:val="tx1"/>
            </w14:solidFill>
          </w14:textFill>
        </w:rPr>
        <w:t>位于</w:t>
      </w:r>
      <w:r>
        <w:rPr>
          <w:color w:val="000000" w:themeColor="text1"/>
          <w:kern w:val="0"/>
          <w:highlight w:val="none"/>
          <w14:textFill>
            <w14:solidFill>
              <w14:schemeClr w14:val="tx1"/>
            </w14:solidFill>
          </w14:textFill>
        </w:rPr>
        <w:t>园区的</w:t>
      </w:r>
      <w:r>
        <w:rPr>
          <w:rFonts w:hint="eastAsia"/>
          <w:color w:val="000000" w:themeColor="text1"/>
          <w:kern w:val="0"/>
          <w:highlight w:val="none"/>
          <w14:textFill>
            <w14:solidFill>
              <w14:schemeClr w14:val="tx1"/>
            </w14:solidFill>
          </w14:textFill>
        </w:rPr>
        <w:t>西侧</w:t>
      </w:r>
      <w:r>
        <w:rPr>
          <w:color w:val="000000" w:themeColor="text1"/>
          <w:kern w:val="0"/>
          <w:highlight w:val="none"/>
          <w14:textFill>
            <w14:solidFill>
              <w14:schemeClr w14:val="tx1"/>
            </w14:solidFill>
          </w14:textFill>
        </w:rPr>
        <w:t>和</w:t>
      </w:r>
      <w:r>
        <w:rPr>
          <w:rFonts w:hint="eastAsia"/>
          <w:color w:val="000000" w:themeColor="text1"/>
          <w:kern w:val="0"/>
          <w:highlight w:val="none"/>
          <w14:textFill>
            <w14:solidFill>
              <w14:schemeClr w14:val="tx1"/>
            </w14:solidFill>
          </w14:textFill>
        </w:rPr>
        <w:t>东</w:t>
      </w:r>
      <w:r>
        <w:rPr>
          <w:color w:val="000000" w:themeColor="text1"/>
          <w:kern w:val="0"/>
          <w:highlight w:val="none"/>
          <w14:textFill>
            <w14:solidFill>
              <w14:schemeClr w14:val="tx1"/>
            </w14:solidFill>
          </w14:textFill>
        </w:rPr>
        <w:t>侧。调查范围内地下水布点方案见表3-2-1和附图</w:t>
      </w:r>
      <w:r>
        <w:rPr>
          <w:rFonts w:hint="eastAsia"/>
          <w:color w:val="000000" w:themeColor="text1"/>
          <w:kern w:val="0"/>
          <w:highlight w:val="none"/>
          <w:lang w:val="en-US" w:eastAsia="zh-CN"/>
          <w14:textFill>
            <w14:solidFill>
              <w14:schemeClr w14:val="tx1"/>
            </w14:solidFill>
          </w14:textFill>
        </w:rPr>
        <w:t>6</w:t>
      </w:r>
      <w:r>
        <w:rPr>
          <w:color w:val="000000" w:themeColor="text1"/>
          <w:kern w:val="0"/>
          <w:highlight w:val="none"/>
          <w14:textFill>
            <w14:solidFill>
              <w14:schemeClr w14:val="tx1"/>
            </w14:solidFill>
          </w14:textFill>
        </w:rPr>
        <w:t>。</w:t>
      </w:r>
    </w:p>
    <w:p w14:paraId="7D079870">
      <w:pPr>
        <w:spacing w:line="240" w:lineRule="auto"/>
        <w:jc w:val="center"/>
        <w:rPr>
          <w:rFonts w:eastAsia="黑体"/>
          <w:b/>
          <w:color w:val="000000"/>
          <w:highlight w:val="none"/>
        </w:rPr>
      </w:pPr>
      <w:r>
        <w:rPr>
          <w:rFonts w:eastAsia="黑体"/>
          <w:b/>
          <w:color w:val="000000"/>
          <w:highlight w:val="none"/>
        </w:rPr>
        <w:t>表3-2-1  地下水布点方案一览表</w:t>
      </w:r>
    </w:p>
    <w:tbl>
      <w:tblPr>
        <w:tblStyle w:val="21"/>
        <w:tblpPr w:leftFromText="180" w:rightFromText="180" w:vertAnchor="text" w:horzAnchor="page" w:tblpX="1060" w:tblpY="96"/>
        <w:tblOverlap w:val="never"/>
        <w:tblW w:w="961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800"/>
        <w:gridCol w:w="2515"/>
        <w:gridCol w:w="2677"/>
        <w:gridCol w:w="2620"/>
      </w:tblGrid>
      <w:tr w14:paraId="4FC07D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90" w:hRule="atLeast"/>
        </w:trPr>
        <w:tc>
          <w:tcPr>
            <w:tcW w:w="1800" w:type="dxa"/>
            <w:vMerge w:val="restart"/>
            <w:shd w:val="clear" w:color="auto" w:fill="auto"/>
            <w:noWrap/>
            <w:tcMar>
              <w:top w:w="15" w:type="dxa"/>
              <w:left w:w="15" w:type="dxa"/>
              <w:right w:w="15" w:type="dxa"/>
            </w:tcMar>
            <w:vAlign w:val="center"/>
          </w:tcPr>
          <w:p w14:paraId="379A2771">
            <w:pPr>
              <w:spacing w:line="240" w:lineRule="auto"/>
              <w:jc w:val="center"/>
              <w:rPr>
                <w:b/>
                <w:bCs/>
                <w:sz w:val="21"/>
                <w:szCs w:val="21"/>
                <w:highlight w:val="none"/>
              </w:rPr>
            </w:pPr>
            <w:r>
              <w:rPr>
                <w:b/>
                <w:bCs/>
                <w:sz w:val="21"/>
                <w:szCs w:val="21"/>
                <w:highlight w:val="none"/>
              </w:rPr>
              <w:t>监测点位</w:t>
            </w:r>
          </w:p>
        </w:tc>
        <w:tc>
          <w:tcPr>
            <w:tcW w:w="2515" w:type="dxa"/>
            <w:vMerge w:val="restart"/>
            <w:shd w:val="clear" w:color="auto" w:fill="auto"/>
            <w:noWrap/>
            <w:tcMar>
              <w:top w:w="15" w:type="dxa"/>
              <w:left w:w="15" w:type="dxa"/>
              <w:right w:w="15" w:type="dxa"/>
            </w:tcMar>
            <w:vAlign w:val="center"/>
          </w:tcPr>
          <w:p w14:paraId="06010475">
            <w:pPr>
              <w:widowControl/>
              <w:spacing w:line="240" w:lineRule="auto"/>
              <w:jc w:val="center"/>
              <w:textAlignment w:val="center"/>
              <w:rPr>
                <w:b/>
                <w:bCs/>
                <w:sz w:val="21"/>
                <w:szCs w:val="21"/>
                <w:highlight w:val="none"/>
              </w:rPr>
            </w:pPr>
            <w:r>
              <w:rPr>
                <w:b/>
                <w:bCs/>
                <w:color w:val="000000"/>
                <w:kern w:val="0"/>
                <w:sz w:val="21"/>
                <w:szCs w:val="21"/>
                <w:highlight w:val="none"/>
                <w:lang w:bidi="ar"/>
              </w:rPr>
              <w:t>对应土壤点位</w:t>
            </w:r>
          </w:p>
        </w:tc>
        <w:tc>
          <w:tcPr>
            <w:tcW w:w="5297" w:type="dxa"/>
            <w:gridSpan w:val="2"/>
            <w:tcBorders>
              <w:bottom w:val="single" w:color="auto" w:sz="4" w:space="0"/>
            </w:tcBorders>
            <w:shd w:val="clear" w:color="auto" w:fill="auto"/>
            <w:noWrap/>
            <w:tcMar>
              <w:top w:w="15" w:type="dxa"/>
              <w:left w:w="15" w:type="dxa"/>
              <w:right w:w="15" w:type="dxa"/>
            </w:tcMar>
            <w:vAlign w:val="center"/>
          </w:tcPr>
          <w:p w14:paraId="157772B1">
            <w:pPr>
              <w:spacing w:line="240" w:lineRule="auto"/>
              <w:jc w:val="center"/>
              <w:rPr>
                <w:b/>
                <w:bCs/>
                <w:sz w:val="21"/>
                <w:szCs w:val="21"/>
                <w:highlight w:val="none"/>
              </w:rPr>
            </w:pPr>
            <w:r>
              <w:rPr>
                <w:rFonts w:hint="eastAsia"/>
                <w:b/>
                <w:bCs/>
                <w:sz w:val="21"/>
                <w:szCs w:val="21"/>
                <w:highlight w:val="none"/>
              </w:rPr>
              <w:t>坐标</w:t>
            </w:r>
            <w:r>
              <w:rPr>
                <w:b/>
                <w:bCs/>
                <w:sz w:val="21"/>
                <w:szCs w:val="21"/>
                <w:highlight w:val="none"/>
                <w:vertAlign w:val="superscript"/>
              </w:rPr>
              <w:t>①</w:t>
            </w:r>
          </w:p>
        </w:tc>
      </w:tr>
      <w:tr w14:paraId="58BEEC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1800" w:type="dxa"/>
            <w:vMerge w:val="continue"/>
            <w:tcBorders>
              <w:bottom w:val="single" w:color="auto" w:sz="12" w:space="0"/>
            </w:tcBorders>
            <w:shd w:val="clear" w:color="auto" w:fill="auto"/>
            <w:noWrap/>
            <w:tcMar>
              <w:top w:w="15" w:type="dxa"/>
              <w:left w:w="15" w:type="dxa"/>
              <w:right w:w="15" w:type="dxa"/>
            </w:tcMar>
            <w:vAlign w:val="center"/>
          </w:tcPr>
          <w:p w14:paraId="3F44B46C">
            <w:pPr>
              <w:spacing w:line="240" w:lineRule="auto"/>
              <w:jc w:val="center"/>
              <w:rPr>
                <w:b/>
                <w:bCs/>
                <w:sz w:val="21"/>
                <w:szCs w:val="21"/>
                <w:highlight w:val="none"/>
              </w:rPr>
            </w:pPr>
          </w:p>
        </w:tc>
        <w:tc>
          <w:tcPr>
            <w:tcW w:w="2515" w:type="dxa"/>
            <w:vMerge w:val="continue"/>
            <w:tcBorders>
              <w:bottom w:val="single" w:color="auto" w:sz="12" w:space="0"/>
            </w:tcBorders>
            <w:shd w:val="clear" w:color="auto" w:fill="auto"/>
            <w:noWrap/>
            <w:tcMar>
              <w:top w:w="15" w:type="dxa"/>
              <w:left w:w="15" w:type="dxa"/>
              <w:right w:w="15" w:type="dxa"/>
            </w:tcMar>
            <w:vAlign w:val="center"/>
          </w:tcPr>
          <w:p w14:paraId="286A3212">
            <w:pPr>
              <w:widowControl/>
              <w:spacing w:line="240" w:lineRule="auto"/>
              <w:jc w:val="center"/>
              <w:textAlignment w:val="center"/>
              <w:rPr>
                <w:b/>
                <w:bCs/>
                <w:color w:val="000000"/>
                <w:kern w:val="0"/>
                <w:sz w:val="21"/>
                <w:szCs w:val="21"/>
                <w:highlight w:val="none"/>
                <w:lang w:bidi="ar"/>
              </w:rPr>
            </w:pPr>
          </w:p>
        </w:tc>
        <w:tc>
          <w:tcPr>
            <w:tcW w:w="2677" w:type="dxa"/>
            <w:tcBorders>
              <w:bottom w:val="single" w:color="auto" w:sz="12" w:space="0"/>
            </w:tcBorders>
            <w:shd w:val="clear" w:color="auto" w:fill="auto"/>
            <w:noWrap/>
            <w:tcMar>
              <w:top w:w="15" w:type="dxa"/>
              <w:left w:w="15" w:type="dxa"/>
              <w:right w:w="15" w:type="dxa"/>
            </w:tcMar>
            <w:vAlign w:val="center"/>
          </w:tcPr>
          <w:p w14:paraId="07CD42B5">
            <w:pPr>
              <w:spacing w:line="240" w:lineRule="auto"/>
              <w:jc w:val="center"/>
              <w:rPr>
                <w:b/>
                <w:bCs/>
                <w:sz w:val="21"/>
                <w:szCs w:val="21"/>
                <w:highlight w:val="none"/>
              </w:rPr>
            </w:pPr>
            <w:r>
              <w:rPr>
                <w:b/>
                <w:bCs/>
                <w:sz w:val="21"/>
                <w:szCs w:val="21"/>
                <w:highlight w:val="none"/>
              </w:rPr>
              <w:t>经度（°）</w:t>
            </w:r>
          </w:p>
        </w:tc>
        <w:tc>
          <w:tcPr>
            <w:tcW w:w="2620" w:type="dxa"/>
            <w:tcBorders>
              <w:bottom w:val="single" w:color="auto" w:sz="12" w:space="0"/>
            </w:tcBorders>
            <w:shd w:val="clear" w:color="auto" w:fill="auto"/>
            <w:noWrap/>
            <w:tcMar>
              <w:top w:w="15" w:type="dxa"/>
              <w:left w:w="15" w:type="dxa"/>
              <w:right w:w="15" w:type="dxa"/>
            </w:tcMar>
            <w:vAlign w:val="center"/>
          </w:tcPr>
          <w:p w14:paraId="38E99F12">
            <w:pPr>
              <w:spacing w:line="240" w:lineRule="auto"/>
              <w:jc w:val="center"/>
              <w:rPr>
                <w:b/>
                <w:bCs/>
                <w:sz w:val="21"/>
                <w:szCs w:val="21"/>
                <w:highlight w:val="none"/>
              </w:rPr>
            </w:pPr>
            <w:r>
              <w:rPr>
                <w:b/>
                <w:bCs/>
                <w:sz w:val="21"/>
                <w:szCs w:val="21"/>
                <w:highlight w:val="none"/>
              </w:rPr>
              <w:t>纬度（°）</w:t>
            </w:r>
          </w:p>
        </w:tc>
      </w:tr>
      <w:tr w14:paraId="1D03D6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800" w:type="dxa"/>
            <w:tcBorders>
              <w:top w:val="single" w:color="auto" w:sz="12" w:space="0"/>
              <w:tl2br w:val="nil"/>
              <w:tr2bl w:val="nil"/>
            </w:tcBorders>
            <w:shd w:val="clear" w:color="auto" w:fill="auto"/>
            <w:noWrap/>
            <w:tcMar>
              <w:top w:w="15" w:type="dxa"/>
              <w:left w:w="15" w:type="dxa"/>
              <w:right w:w="15" w:type="dxa"/>
            </w:tcMar>
            <w:vAlign w:val="center"/>
          </w:tcPr>
          <w:p w14:paraId="6B54BECB">
            <w:pPr>
              <w:spacing w:line="240" w:lineRule="auto"/>
              <w:jc w:val="center"/>
              <w:rPr>
                <w:sz w:val="21"/>
                <w:szCs w:val="21"/>
                <w:highlight w:val="none"/>
              </w:rPr>
            </w:pPr>
            <w:r>
              <w:rPr>
                <w:rFonts w:hint="eastAsia"/>
                <w:sz w:val="21"/>
                <w:szCs w:val="21"/>
                <w:highlight w:val="none"/>
              </w:rPr>
              <w:t>HH</w:t>
            </w:r>
            <w:r>
              <w:rPr>
                <w:sz w:val="21"/>
                <w:szCs w:val="21"/>
                <w:highlight w:val="none"/>
              </w:rPr>
              <w:t>-W1</w:t>
            </w:r>
          </w:p>
        </w:tc>
        <w:tc>
          <w:tcPr>
            <w:tcW w:w="2515" w:type="dxa"/>
            <w:tcBorders>
              <w:top w:val="single" w:color="auto" w:sz="12" w:space="0"/>
              <w:tl2br w:val="nil"/>
              <w:tr2bl w:val="nil"/>
            </w:tcBorders>
            <w:shd w:val="clear" w:color="auto" w:fill="auto"/>
            <w:noWrap/>
            <w:tcMar>
              <w:top w:w="15" w:type="dxa"/>
              <w:left w:w="15" w:type="dxa"/>
              <w:right w:w="15" w:type="dxa"/>
            </w:tcMar>
            <w:vAlign w:val="center"/>
          </w:tcPr>
          <w:p w14:paraId="186C7963">
            <w:pPr>
              <w:spacing w:line="240" w:lineRule="auto"/>
              <w:jc w:val="center"/>
              <w:rPr>
                <w:sz w:val="21"/>
                <w:szCs w:val="21"/>
                <w:highlight w:val="none"/>
              </w:rPr>
            </w:pPr>
            <w:r>
              <w:rPr>
                <w:rFonts w:hint="eastAsia"/>
                <w:sz w:val="21"/>
                <w:szCs w:val="21"/>
                <w:highlight w:val="none"/>
              </w:rPr>
              <w:t>/</w:t>
            </w:r>
          </w:p>
        </w:tc>
        <w:tc>
          <w:tcPr>
            <w:tcW w:w="2677" w:type="dxa"/>
            <w:tcBorders>
              <w:top w:val="single" w:color="auto" w:sz="12" w:space="0"/>
              <w:tl2br w:val="nil"/>
              <w:tr2bl w:val="nil"/>
            </w:tcBorders>
            <w:shd w:val="clear" w:color="auto" w:fill="auto"/>
            <w:noWrap/>
            <w:tcMar>
              <w:top w:w="15" w:type="dxa"/>
              <w:left w:w="15" w:type="dxa"/>
              <w:right w:w="15" w:type="dxa"/>
            </w:tcMar>
            <w:vAlign w:val="center"/>
          </w:tcPr>
          <w:p w14:paraId="7ADD00F7">
            <w:pPr>
              <w:spacing w:line="240" w:lineRule="auto"/>
              <w:jc w:val="center"/>
              <w:rPr>
                <w:sz w:val="21"/>
                <w:szCs w:val="21"/>
                <w:highlight w:val="none"/>
              </w:rPr>
            </w:pPr>
            <w:r>
              <w:rPr>
                <w:rFonts w:hint="eastAsia"/>
                <w:sz w:val="21"/>
                <w:szCs w:val="21"/>
                <w:highlight w:val="none"/>
              </w:rPr>
              <w:t xml:space="preserve">115.053361 </w:t>
            </w:r>
          </w:p>
        </w:tc>
        <w:tc>
          <w:tcPr>
            <w:tcW w:w="2620" w:type="dxa"/>
            <w:tcBorders>
              <w:top w:val="single" w:color="auto" w:sz="12" w:space="0"/>
              <w:tl2br w:val="nil"/>
              <w:tr2bl w:val="nil"/>
            </w:tcBorders>
            <w:shd w:val="clear" w:color="auto" w:fill="auto"/>
            <w:noWrap/>
            <w:tcMar>
              <w:top w:w="15" w:type="dxa"/>
              <w:left w:w="15" w:type="dxa"/>
              <w:right w:w="15" w:type="dxa"/>
            </w:tcMar>
            <w:vAlign w:val="center"/>
          </w:tcPr>
          <w:p w14:paraId="25DB500D">
            <w:pPr>
              <w:spacing w:line="240" w:lineRule="auto"/>
              <w:jc w:val="center"/>
              <w:rPr>
                <w:sz w:val="21"/>
                <w:szCs w:val="21"/>
                <w:highlight w:val="none"/>
              </w:rPr>
            </w:pPr>
            <w:r>
              <w:rPr>
                <w:rFonts w:hint="eastAsia"/>
                <w:sz w:val="21"/>
                <w:szCs w:val="21"/>
                <w:highlight w:val="none"/>
              </w:rPr>
              <w:t xml:space="preserve">30.255393 </w:t>
            </w:r>
          </w:p>
        </w:tc>
      </w:tr>
      <w:tr w14:paraId="3A6B2D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90" w:hRule="atLeast"/>
        </w:trPr>
        <w:tc>
          <w:tcPr>
            <w:tcW w:w="1800" w:type="dxa"/>
            <w:shd w:val="clear" w:color="auto" w:fill="auto"/>
            <w:vAlign w:val="center"/>
          </w:tcPr>
          <w:p w14:paraId="10FB6383">
            <w:pPr>
              <w:spacing w:line="240" w:lineRule="auto"/>
              <w:jc w:val="center"/>
              <w:rPr>
                <w:sz w:val="21"/>
                <w:szCs w:val="21"/>
                <w:highlight w:val="none"/>
              </w:rPr>
            </w:pPr>
            <w:r>
              <w:rPr>
                <w:rFonts w:hint="eastAsia"/>
                <w:sz w:val="21"/>
                <w:szCs w:val="21"/>
                <w:highlight w:val="none"/>
              </w:rPr>
              <w:t>HH</w:t>
            </w:r>
            <w:r>
              <w:rPr>
                <w:sz w:val="21"/>
                <w:szCs w:val="21"/>
                <w:highlight w:val="none"/>
              </w:rPr>
              <w:t xml:space="preserve"> -W2</w:t>
            </w:r>
          </w:p>
        </w:tc>
        <w:tc>
          <w:tcPr>
            <w:tcW w:w="2515" w:type="dxa"/>
            <w:shd w:val="clear" w:color="auto" w:fill="auto"/>
            <w:vAlign w:val="center"/>
          </w:tcPr>
          <w:p w14:paraId="7CF205A2">
            <w:pPr>
              <w:spacing w:line="240" w:lineRule="auto"/>
              <w:jc w:val="center"/>
              <w:rPr>
                <w:sz w:val="21"/>
                <w:szCs w:val="21"/>
                <w:highlight w:val="none"/>
              </w:rPr>
            </w:pPr>
            <w:r>
              <w:rPr>
                <w:rFonts w:hint="eastAsia"/>
                <w:sz w:val="21"/>
                <w:szCs w:val="21"/>
                <w:highlight w:val="none"/>
              </w:rPr>
              <w:t>HH-JJ-1</w:t>
            </w:r>
          </w:p>
        </w:tc>
        <w:tc>
          <w:tcPr>
            <w:tcW w:w="2677" w:type="dxa"/>
            <w:shd w:val="clear" w:color="auto" w:fill="auto"/>
            <w:vAlign w:val="center"/>
          </w:tcPr>
          <w:p w14:paraId="1F2F91A5">
            <w:pPr>
              <w:spacing w:line="240" w:lineRule="auto"/>
              <w:jc w:val="center"/>
              <w:rPr>
                <w:sz w:val="21"/>
                <w:szCs w:val="21"/>
                <w:highlight w:val="none"/>
              </w:rPr>
            </w:pPr>
            <w:r>
              <w:rPr>
                <w:rFonts w:hint="eastAsia"/>
                <w:sz w:val="21"/>
                <w:szCs w:val="21"/>
                <w:highlight w:val="none"/>
              </w:rPr>
              <w:t xml:space="preserve">115.032402 </w:t>
            </w:r>
          </w:p>
        </w:tc>
        <w:tc>
          <w:tcPr>
            <w:tcW w:w="2620" w:type="dxa"/>
            <w:shd w:val="clear" w:color="auto" w:fill="auto"/>
            <w:vAlign w:val="center"/>
          </w:tcPr>
          <w:p w14:paraId="22C2B919">
            <w:pPr>
              <w:spacing w:line="240" w:lineRule="auto"/>
              <w:jc w:val="center"/>
              <w:rPr>
                <w:sz w:val="21"/>
                <w:szCs w:val="21"/>
                <w:highlight w:val="none"/>
              </w:rPr>
            </w:pPr>
            <w:r>
              <w:rPr>
                <w:rFonts w:hint="eastAsia"/>
                <w:sz w:val="21"/>
                <w:szCs w:val="21"/>
                <w:highlight w:val="none"/>
              </w:rPr>
              <w:t xml:space="preserve">30.275830 </w:t>
            </w:r>
          </w:p>
        </w:tc>
      </w:tr>
    </w:tbl>
    <w:p w14:paraId="4BD151C5">
      <w:pPr>
        <w:spacing w:line="240" w:lineRule="auto"/>
        <w:rPr>
          <w:b/>
          <w:bCs/>
          <w:sz w:val="18"/>
          <w:szCs w:val="18"/>
          <w:highlight w:val="none"/>
        </w:rPr>
      </w:pPr>
      <w:r>
        <w:rPr>
          <w:b/>
          <w:bCs/>
          <w:sz w:val="18"/>
          <w:szCs w:val="18"/>
          <w:highlight w:val="none"/>
        </w:rPr>
        <w:t>注：①经纬度均使用国测局坐标系 (GCJ-02)</w:t>
      </w:r>
    </w:p>
    <w:p w14:paraId="709D0AE9">
      <w:pPr>
        <w:ind w:left="1"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参考</w:t>
      </w:r>
      <w:r>
        <w:rPr>
          <w:color w:val="000000" w:themeColor="text1"/>
          <w:highlight w:val="none"/>
          <w14:textFill>
            <w14:solidFill>
              <w14:schemeClr w14:val="tx1"/>
            </w14:solidFill>
          </w14:textFill>
        </w:rPr>
        <w:t>《地下水质量标准》（GB/T 14848-2017），地下水监测指标包括无机项目（14项）、金属类（13项）、有机物类（5项）等共32项：</w:t>
      </w:r>
    </w:p>
    <w:p w14:paraId="76A0A31E">
      <w:pPr>
        <w:ind w:firstLine="482" w:firstLineChars="200"/>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（1）无机项目（14项）</w:t>
      </w:r>
      <w:r>
        <w:rPr>
          <w:color w:val="000000" w:themeColor="text1"/>
          <w:highlight w:val="none"/>
          <w14:textFill>
            <w14:solidFill>
              <w14:schemeClr w14:val="tx1"/>
            </w14:solidFill>
          </w14:textFill>
        </w:rPr>
        <w:t>：pH、总硬度、溶解性总固体、耗氧量、硫酸盐、硝酸盐、氯化物、</w:t>
      </w:r>
      <w:r>
        <w:rPr>
          <w:rFonts w:hint="eastAsia"/>
          <w:color w:val="000000" w:themeColor="text1"/>
          <w:highlight w:val="none"/>
          <w14:textFill>
            <w14:solidFill>
              <w14:schemeClr w14:val="tx1"/>
            </w14:solidFill>
          </w14:textFill>
        </w:rPr>
        <w:t>总氟化物</w:t>
      </w:r>
      <w:r>
        <w:rPr>
          <w:color w:val="000000" w:themeColor="text1"/>
          <w:highlight w:val="none"/>
          <w14:textFill>
            <w14:solidFill>
              <w14:schemeClr w14:val="tx1"/>
            </w14:solidFill>
          </w14:textFill>
        </w:rPr>
        <w:t>、挥发酚、阴离子表面活性剂、氨氮、硫化物、亚硝酸盐、氰化物；</w:t>
      </w:r>
    </w:p>
    <w:p w14:paraId="2A9EA938">
      <w:pPr>
        <w:ind w:firstLine="482" w:firstLineChars="200"/>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（2）金属类（13项）</w:t>
      </w:r>
      <w:r>
        <w:rPr>
          <w:color w:val="000000" w:themeColor="text1"/>
          <w:highlight w:val="none"/>
          <w14:textFill>
            <w14:solidFill>
              <w14:schemeClr w14:val="tx1"/>
            </w14:solidFill>
          </w14:textFill>
        </w:rPr>
        <w:t>：铁、锰、铜、铝、钠、锌、铬、汞、砷、硒、镉、铬（六价）、铅；</w:t>
      </w:r>
    </w:p>
    <w:p w14:paraId="5C1337C9">
      <w:pPr>
        <w:ind w:firstLine="482" w:firstLineChars="200"/>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（3）有机物类（5项）</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氯仿</w:t>
      </w:r>
      <w:r>
        <w:rPr>
          <w:color w:val="000000" w:themeColor="text1"/>
          <w:highlight w:val="none"/>
          <w14:textFill>
            <w14:solidFill>
              <w14:schemeClr w14:val="tx1"/>
            </w14:solidFill>
          </w14:textFill>
        </w:rPr>
        <w:t>、四氯化碳、苯、甲苯、石油类。</w:t>
      </w:r>
    </w:p>
    <w:p w14:paraId="58606792">
      <w:pPr>
        <w:pStyle w:val="4"/>
        <w:tabs>
          <w:tab w:val="clear" w:pos="425"/>
        </w:tabs>
        <w:rPr>
          <w:highlight w:val="none"/>
        </w:rPr>
      </w:pPr>
      <w:bookmarkStart w:id="19" w:name="_Toc16007"/>
      <w:r>
        <w:rPr>
          <w:highlight w:val="none"/>
        </w:rPr>
        <w:t>采样方案</w:t>
      </w:r>
      <w:bookmarkEnd w:id="19"/>
    </w:p>
    <w:p w14:paraId="35707EEB">
      <w:pPr>
        <w:pStyle w:val="5"/>
        <w:tabs>
          <w:tab w:val="left" w:pos="425"/>
        </w:tabs>
        <w:rPr>
          <w:highlight w:val="none"/>
        </w:rPr>
      </w:pPr>
      <w:r>
        <w:rPr>
          <w:highlight w:val="none"/>
        </w:rPr>
        <w:t>采样设备及材料</w:t>
      </w:r>
    </w:p>
    <w:p w14:paraId="7732CAD0">
      <w:pPr>
        <w:ind w:firstLine="480" w:firstLineChars="200"/>
        <w:rPr>
          <w:color w:val="000000"/>
          <w:highlight w:val="none"/>
        </w:rPr>
      </w:pPr>
      <w:r>
        <w:rPr>
          <w:color w:val="000000"/>
          <w:highlight w:val="none"/>
        </w:rPr>
        <w:t>园区样品采集过程及样品保存需使用的设备及材料见表3-</w:t>
      </w:r>
      <w:r>
        <w:rPr>
          <w:rFonts w:hint="eastAsia"/>
          <w:color w:val="000000"/>
          <w:highlight w:val="none"/>
        </w:rPr>
        <w:t>3</w:t>
      </w:r>
      <w:r>
        <w:rPr>
          <w:color w:val="000000"/>
          <w:highlight w:val="none"/>
        </w:rPr>
        <w:t>-1。</w:t>
      </w:r>
      <w:r>
        <w:rPr>
          <w:color w:val="000000" w:themeColor="text1"/>
          <w:highlight w:val="none"/>
          <w14:textFill>
            <w14:solidFill>
              <w14:schemeClr w14:val="tx1"/>
            </w14:solidFill>
          </w14:textFill>
        </w:rPr>
        <w:t>根据现场考察和信息资料调研结果，本园区调查采样种类包括土壤及地下水样品。</w:t>
      </w:r>
    </w:p>
    <w:p w14:paraId="7F0FB28B">
      <w:pPr>
        <w:pStyle w:val="30"/>
        <w:spacing w:before="66" w:beforeLines="20" w:after="0" w:line="240" w:lineRule="auto"/>
        <w:ind w:firstLine="0" w:firstLineChars="0"/>
        <w:jc w:val="center"/>
        <w:rPr>
          <w:rFonts w:eastAsia="黑体"/>
          <w:b/>
          <w:szCs w:val="24"/>
          <w:highlight w:val="none"/>
        </w:rPr>
      </w:pPr>
      <w:r>
        <w:rPr>
          <w:rFonts w:eastAsia="黑体"/>
          <w:b/>
          <w:szCs w:val="24"/>
          <w:highlight w:val="none"/>
        </w:rPr>
        <w:t>表3-3-1  园区调查采样及样品保存所需设备及材料</w:t>
      </w:r>
    </w:p>
    <w:tbl>
      <w:tblPr>
        <w:tblStyle w:val="21"/>
        <w:tblW w:w="97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7687"/>
      </w:tblGrid>
      <w:tr w14:paraId="650758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111" w:type="dxa"/>
            <w:tcBorders>
              <w:bottom w:val="single" w:color="auto" w:sz="12" w:space="0"/>
            </w:tcBorders>
            <w:vAlign w:val="center"/>
          </w:tcPr>
          <w:p w14:paraId="2AC7C0B6">
            <w:pPr>
              <w:adjustRightInd w:val="0"/>
              <w:snapToGrid w:val="0"/>
              <w:spacing w:line="240" w:lineRule="auto"/>
              <w:jc w:val="center"/>
              <w:rPr>
                <w:b/>
                <w:bCs w:val="0"/>
                <w:color w:val="000000"/>
                <w:sz w:val="21"/>
                <w:szCs w:val="21"/>
                <w:highlight w:val="none"/>
              </w:rPr>
            </w:pPr>
            <w:r>
              <w:rPr>
                <w:b/>
                <w:bCs w:val="0"/>
                <w:color w:val="000000"/>
                <w:sz w:val="21"/>
                <w:szCs w:val="21"/>
                <w:highlight w:val="none"/>
              </w:rPr>
              <w:t>类型</w:t>
            </w:r>
          </w:p>
        </w:tc>
        <w:tc>
          <w:tcPr>
            <w:tcW w:w="7687" w:type="dxa"/>
            <w:tcBorders>
              <w:bottom w:val="single" w:color="auto" w:sz="12" w:space="0"/>
            </w:tcBorders>
            <w:vAlign w:val="center"/>
          </w:tcPr>
          <w:p w14:paraId="5410032A">
            <w:pPr>
              <w:adjustRightInd w:val="0"/>
              <w:snapToGrid w:val="0"/>
              <w:spacing w:line="240" w:lineRule="auto"/>
              <w:jc w:val="center"/>
              <w:rPr>
                <w:b/>
                <w:bCs w:val="0"/>
                <w:color w:val="000000"/>
                <w:sz w:val="21"/>
                <w:szCs w:val="21"/>
                <w:highlight w:val="none"/>
              </w:rPr>
            </w:pPr>
            <w:r>
              <w:rPr>
                <w:b/>
                <w:bCs w:val="0"/>
                <w:color w:val="000000"/>
                <w:sz w:val="21"/>
                <w:szCs w:val="21"/>
                <w:highlight w:val="none"/>
              </w:rPr>
              <w:t>设备及材料</w:t>
            </w:r>
          </w:p>
        </w:tc>
      </w:tr>
      <w:tr w14:paraId="564D2C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111" w:type="dxa"/>
            <w:tcBorders>
              <w:top w:val="single" w:color="auto" w:sz="12" w:space="0"/>
              <w:tl2br w:val="nil"/>
              <w:tr2bl w:val="nil"/>
            </w:tcBorders>
            <w:vAlign w:val="center"/>
          </w:tcPr>
          <w:p w14:paraId="48ECCF63">
            <w:pPr>
              <w:adjustRightInd w:val="0"/>
              <w:snapToGrid w:val="0"/>
              <w:spacing w:line="240" w:lineRule="auto"/>
              <w:jc w:val="center"/>
              <w:rPr>
                <w:color w:val="000000"/>
                <w:sz w:val="21"/>
                <w:szCs w:val="21"/>
                <w:highlight w:val="none"/>
              </w:rPr>
            </w:pPr>
            <w:r>
              <w:rPr>
                <w:color w:val="000000"/>
                <w:sz w:val="21"/>
                <w:szCs w:val="21"/>
                <w:highlight w:val="none"/>
              </w:rPr>
              <w:t>土壤样品采集</w:t>
            </w:r>
          </w:p>
        </w:tc>
        <w:tc>
          <w:tcPr>
            <w:tcW w:w="7687" w:type="dxa"/>
            <w:tcBorders>
              <w:top w:val="single" w:color="auto" w:sz="12" w:space="0"/>
              <w:tl2br w:val="nil"/>
              <w:tr2bl w:val="nil"/>
            </w:tcBorders>
            <w:vAlign w:val="center"/>
          </w:tcPr>
          <w:p w14:paraId="4D068FBB">
            <w:pPr>
              <w:adjustRightInd w:val="0"/>
              <w:snapToGrid w:val="0"/>
              <w:spacing w:line="240" w:lineRule="auto"/>
              <w:jc w:val="left"/>
              <w:rPr>
                <w:color w:val="000000"/>
                <w:sz w:val="21"/>
                <w:szCs w:val="21"/>
                <w:highlight w:val="none"/>
              </w:rPr>
            </w:pPr>
            <w:r>
              <w:rPr>
                <w:rFonts w:hint="eastAsia"/>
                <w:color w:val="000000"/>
                <w:sz w:val="21"/>
                <w:szCs w:val="21"/>
                <w:highlight w:val="none"/>
              </w:rPr>
              <w:t>手工铲</w:t>
            </w:r>
            <w:r>
              <w:rPr>
                <w:color w:val="000000"/>
                <w:sz w:val="21"/>
                <w:szCs w:val="21"/>
                <w:highlight w:val="none"/>
              </w:rPr>
              <w:t>，</w:t>
            </w:r>
            <w:r>
              <w:rPr>
                <w:bCs/>
                <w:color w:val="000000" w:themeColor="text1"/>
                <w:sz w:val="21"/>
                <w:szCs w:val="21"/>
                <w:highlight w:val="none"/>
                <w14:textFill>
                  <w14:solidFill>
                    <w14:schemeClr w14:val="tx1"/>
                  </w14:solidFill>
                </w14:textFill>
              </w:rPr>
              <w:t>封口袋，一次性无菌手套，土样瓶，无扰动采样器等</w:t>
            </w:r>
          </w:p>
        </w:tc>
      </w:tr>
      <w:tr w14:paraId="330C99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111" w:type="dxa"/>
            <w:tcBorders>
              <w:tl2br w:val="nil"/>
              <w:tr2bl w:val="nil"/>
            </w:tcBorders>
            <w:vAlign w:val="center"/>
          </w:tcPr>
          <w:p w14:paraId="0B7D7FD1">
            <w:pPr>
              <w:adjustRightInd w:val="0"/>
              <w:snapToGrid w:val="0"/>
              <w:spacing w:line="240" w:lineRule="auto"/>
              <w:jc w:val="center"/>
              <w:rPr>
                <w:color w:val="000000"/>
                <w:sz w:val="21"/>
                <w:szCs w:val="21"/>
                <w:highlight w:val="none"/>
              </w:rPr>
            </w:pPr>
            <w:r>
              <w:rPr>
                <w:color w:val="000000"/>
                <w:sz w:val="21"/>
                <w:szCs w:val="21"/>
                <w:highlight w:val="none"/>
              </w:rPr>
              <w:t>地下水样品采集</w:t>
            </w:r>
          </w:p>
        </w:tc>
        <w:tc>
          <w:tcPr>
            <w:tcW w:w="7687" w:type="dxa"/>
            <w:tcBorders>
              <w:tl2br w:val="nil"/>
              <w:tr2bl w:val="nil"/>
            </w:tcBorders>
            <w:vAlign w:val="center"/>
          </w:tcPr>
          <w:p w14:paraId="3CAA037E">
            <w:pPr>
              <w:adjustRightInd w:val="0"/>
              <w:snapToGrid w:val="0"/>
              <w:spacing w:line="240" w:lineRule="auto"/>
              <w:jc w:val="left"/>
              <w:rPr>
                <w:color w:val="000000"/>
                <w:sz w:val="21"/>
                <w:szCs w:val="21"/>
                <w:highlight w:val="none"/>
              </w:rPr>
            </w:pPr>
            <w:r>
              <w:rPr>
                <w:bCs/>
                <w:color w:val="000000" w:themeColor="text1"/>
                <w:sz w:val="21"/>
                <w:szCs w:val="21"/>
                <w:highlight w:val="none"/>
                <w14:textFill>
                  <w14:solidFill>
                    <w14:schemeClr w14:val="tx1"/>
                  </w14:solidFill>
                </w14:textFill>
              </w:rPr>
              <w:t>履带式钻机，</w:t>
            </w:r>
            <w:r>
              <w:rPr>
                <w:rFonts w:hint="eastAsia"/>
                <w:bCs/>
                <w:color w:val="000000" w:themeColor="text1"/>
                <w:sz w:val="21"/>
                <w:szCs w:val="21"/>
                <w:highlight w:val="none"/>
                <w14:textFill>
                  <w14:solidFill>
                    <w14:schemeClr w14:val="tx1"/>
                  </w14:solidFill>
                </w14:textFill>
              </w:rPr>
              <w:t>地下水</w:t>
            </w:r>
            <w:r>
              <w:rPr>
                <w:bCs/>
                <w:color w:val="000000" w:themeColor="text1"/>
                <w:sz w:val="21"/>
                <w:szCs w:val="21"/>
                <w:highlight w:val="none"/>
                <w14:textFill>
                  <w14:solidFill>
                    <w14:schemeClr w14:val="tx1"/>
                  </w14:solidFill>
                </w14:textFill>
              </w:rPr>
              <w:t>监测井井管，建井材料（膨润土、石英砂、水泥等），水位尺，贝勒管，水样瓶等</w:t>
            </w:r>
          </w:p>
        </w:tc>
      </w:tr>
      <w:tr w14:paraId="591D14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111" w:type="dxa"/>
            <w:tcBorders>
              <w:tl2br w:val="nil"/>
              <w:tr2bl w:val="nil"/>
            </w:tcBorders>
            <w:vAlign w:val="center"/>
          </w:tcPr>
          <w:p w14:paraId="200EDD7B">
            <w:pPr>
              <w:adjustRightInd w:val="0"/>
              <w:snapToGrid w:val="0"/>
              <w:spacing w:line="240" w:lineRule="auto"/>
              <w:jc w:val="center"/>
              <w:rPr>
                <w:color w:val="000000"/>
                <w:sz w:val="21"/>
                <w:szCs w:val="21"/>
                <w:highlight w:val="none"/>
              </w:rPr>
            </w:pPr>
            <w:r>
              <w:rPr>
                <w:color w:val="000000"/>
                <w:sz w:val="21"/>
                <w:szCs w:val="21"/>
                <w:highlight w:val="none"/>
              </w:rPr>
              <w:t>辅助工具</w:t>
            </w:r>
          </w:p>
        </w:tc>
        <w:tc>
          <w:tcPr>
            <w:tcW w:w="7687" w:type="dxa"/>
            <w:tcBorders>
              <w:tl2br w:val="nil"/>
              <w:tr2bl w:val="nil"/>
            </w:tcBorders>
            <w:vAlign w:val="center"/>
          </w:tcPr>
          <w:p w14:paraId="5D313853">
            <w:pPr>
              <w:adjustRightInd w:val="0"/>
              <w:snapToGrid w:val="0"/>
              <w:spacing w:line="240" w:lineRule="auto"/>
              <w:jc w:val="left"/>
              <w:rPr>
                <w:color w:val="000000"/>
                <w:sz w:val="21"/>
                <w:szCs w:val="21"/>
                <w:highlight w:val="none"/>
              </w:rPr>
            </w:pPr>
            <w:r>
              <w:rPr>
                <w:bCs/>
                <w:color w:val="000000" w:themeColor="text1"/>
                <w:sz w:val="21"/>
                <w:szCs w:val="21"/>
                <w:highlight w:val="none"/>
                <w14:textFill>
                  <w14:solidFill>
                    <w14:schemeClr w14:val="tx1"/>
                  </w14:solidFill>
                </w14:textFill>
              </w:rPr>
              <w:t>GPS，测距仪，数码相机，采样记录表，白板，记号笔，防护用具，清洗用具</w:t>
            </w:r>
          </w:p>
        </w:tc>
      </w:tr>
      <w:tr w14:paraId="22E2CB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111" w:type="dxa"/>
            <w:tcBorders>
              <w:tl2br w:val="nil"/>
              <w:tr2bl w:val="nil"/>
            </w:tcBorders>
            <w:vAlign w:val="center"/>
          </w:tcPr>
          <w:p w14:paraId="25588283">
            <w:pPr>
              <w:adjustRightInd w:val="0"/>
              <w:snapToGrid w:val="0"/>
              <w:spacing w:line="240" w:lineRule="auto"/>
              <w:jc w:val="center"/>
              <w:rPr>
                <w:color w:val="000000"/>
                <w:sz w:val="21"/>
                <w:szCs w:val="21"/>
                <w:highlight w:val="none"/>
              </w:rPr>
            </w:pPr>
            <w:r>
              <w:rPr>
                <w:color w:val="000000"/>
                <w:sz w:val="21"/>
                <w:szCs w:val="21"/>
                <w:highlight w:val="none"/>
              </w:rPr>
              <w:t>样品保存</w:t>
            </w:r>
          </w:p>
        </w:tc>
        <w:tc>
          <w:tcPr>
            <w:tcW w:w="7687" w:type="dxa"/>
            <w:tcBorders>
              <w:tl2br w:val="nil"/>
              <w:tr2bl w:val="nil"/>
            </w:tcBorders>
            <w:vAlign w:val="center"/>
          </w:tcPr>
          <w:p w14:paraId="07155E3A">
            <w:pPr>
              <w:adjustRightInd w:val="0"/>
              <w:snapToGrid w:val="0"/>
              <w:spacing w:line="240" w:lineRule="auto"/>
              <w:jc w:val="left"/>
              <w:rPr>
                <w:color w:val="000000"/>
                <w:sz w:val="21"/>
                <w:szCs w:val="21"/>
                <w:highlight w:val="none"/>
              </w:rPr>
            </w:pPr>
            <w:r>
              <w:rPr>
                <w:bCs/>
                <w:color w:val="000000" w:themeColor="text1"/>
                <w:sz w:val="21"/>
                <w:szCs w:val="21"/>
                <w:highlight w:val="none"/>
                <w14:textFill>
                  <w14:solidFill>
                    <w14:schemeClr w14:val="tx1"/>
                  </w14:solidFill>
                </w14:textFill>
              </w:rPr>
              <w:t>保温样品箱</w:t>
            </w:r>
          </w:p>
        </w:tc>
      </w:tr>
    </w:tbl>
    <w:p w14:paraId="28F81E25">
      <w:pPr>
        <w:pStyle w:val="5"/>
        <w:tabs>
          <w:tab w:val="left" w:pos="425"/>
        </w:tabs>
        <w:rPr>
          <w:highlight w:val="none"/>
        </w:rPr>
      </w:pPr>
      <w:r>
        <w:rPr>
          <w:highlight w:val="none"/>
        </w:rPr>
        <w:t>土壤样品采集</w:t>
      </w:r>
    </w:p>
    <w:p w14:paraId="04AE8128">
      <w:pPr>
        <w:ind w:firstLine="480" w:firstLineChars="200"/>
        <w:rPr>
          <w:color w:val="000000"/>
          <w:highlight w:val="none"/>
        </w:rPr>
      </w:pPr>
      <w:r>
        <w:rPr>
          <w:color w:val="000000"/>
          <w:highlight w:val="none"/>
        </w:rPr>
        <w:t>土壤样品收集：采用手工铲采集表层（0</w:t>
      </w:r>
      <w:r>
        <w:rPr>
          <w:rFonts w:hint="eastAsia"/>
          <w:color w:val="000000"/>
          <w:highlight w:val="none"/>
          <w:lang w:val="en-US" w:eastAsia="zh-CN"/>
        </w:rPr>
        <w:t>-0.5</w:t>
      </w:r>
      <w:r>
        <w:rPr>
          <w:color w:val="000000"/>
          <w:highlight w:val="none"/>
        </w:rPr>
        <w:t>m）土壤样品，记录土壤的颜色和气味等信息，根据现场土样的观察结果，筛选出分析检测的土壤样品，送检土样装于一次性封口袋或螺口玻璃采样瓶中。</w:t>
      </w:r>
    </w:p>
    <w:p w14:paraId="1F23B997">
      <w:pPr>
        <w:ind w:firstLine="480" w:firstLineChars="200"/>
        <w:rPr>
          <w:color w:val="000000"/>
          <w:highlight w:val="none"/>
        </w:rPr>
      </w:pPr>
      <w:r>
        <w:rPr>
          <w:color w:val="000000"/>
          <w:highlight w:val="none"/>
        </w:rPr>
        <w:t>采样根据《土壤环境监测技术规范》（HJ/T 166-2004）严格执行。采样时记录土壤地层特性、颜色、气味、夹杂物等信息，观察土壤受污染状况。土壤样品采集后，由技术人员装袋封存，贴好标签，将样品放入保温箱中。及时填写采样记录，注明采样地点、孔号、采样深度、土样名称、采样日期等信息。在采样过程中，为避免交叉污染，均使用一次性手套，并对采样设备进行清洗去污处理。</w:t>
      </w:r>
    </w:p>
    <w:p w14:paraId="52F4E5BB">
      <w:pPr>
        <w:ind w:firstLine="480" w:firstLineChars="200"/>
        <w:rPr>
          <w:color w:val="000000"/>
          <w:highlight w:val="none"/>
        </w:rPr>
      </w:pPr>
      <w:r>
        <w:rPr>
          <w:color w:val="000000"/>
          <w:highlight w:val="none"/>
        </w:rPr>
        <w:t>土壤采样过程中应做好人员安全和健康防护，佩戴安全帽和一次性的口罩、手套，严禁用手直接采集土样，使用后废弃的个人防护用品应统一收集处置，采样前后应对采样器进行除污和清洗，不同土壤样品采集应更换手套，避免交叉污染；所有样品存放于保温箱中，随后随样品流转单送往实验室进行分析。现场采样信息记录在标准的土壤采样记录单上。</w:t>
      </w:r>
    </w:p>
    <w:p w14:paraId="6E2CF3CF">
      <w:pPr>
        <w:pStyle w:val="5"/>
        <w:tabs>
          <w:tab w:val="left" w:pos="425"/>
        </w:tabs>
        <w:rPr>
          <w:highlight w:val="none"/>
        </w:rPr>
      </w:pPr>
      <w:r>
        <w:rPr>
          <w:highlight w:val="none"/>
        </w:rPr>
        <w:t>地下水样品采集</w:t>
      </w:r>
    </w:p>
    <w:p w14:paraId="0580B932">
      <w:pPr>
        <w:ind w:firstLine="480" w:firstLineChars="200"/>
        <w:rPr>
          <w:color w:val="000000"/>
          <w:highlight w:val="none"/>
        </w:rPr>
      </w:pPr>
      <w:r>
        <w:rPr>
          <w:color w:val="000000"/>
          <w:highlight w:val="none"/>
        </w:rPr>
        <w:t>在监测井洗井稳定24</w:t>
      </w:r>
      <w:r>
        <w:rPr>
          <w:rFonts w:hint="eastAsia"/>
          <w:color w:val="000000"/>
          <w:highlight w:val="none"/>
        </w:rPr>
        <w:t>h</w:t>
      </w:r>
      <w:r>
        <w:rPr>
          <w:color w:val="000000"/>
          <w:highlight w:val="none"/>
        </w:rPr>
        <w:t>后，</w:t>
      </w:r>
      <w:r>
        <w:rPr>
          <w:rFonts w:hint="eastAsia"/>
          <w:color w:val="000000"/>
          <w:highlight w:val="none"/>
          <w:lang w:val="en-US" w:eastAsia="zh-CN"/>
        </w:rPr>
        <w:t>采用</w:t>
      </w:r>
      <w:r>
        <w:rPr>
          <w:color w:val="000000"/>
          <w:highlight w:val="none"/>
        </w:rPr>
        <w:t>贝勒管进行</w:t>
      </w:r>
      <w:r>
        <w:rPr>
          <w:rFonts w:hint="eastAsia"/>
          <w:color w:val="000000"/>
          <w:highlight w:val="none"/>
          <w:lang w:val="en-US" w:eastAsia="zh-CN"/>
        </w:rPr>
        <w:t>地下水样品</w:t>
      </w:r>
      <w:r>
        <w:rPr>
          <w:color w:val="000000"/>
          <w:highlight w:val="none"/>
        </w:rPr>
        <w:t>的采集。为避免监测井中发生混浊，贝勒管放入和提出时应缓慢进行。</w:t>
      </w:r>
    </w:p>
    <w:p w14:paraId="56A45D07">
      <w:pPr>
        <w:ind w:firstLine="480" w:firstLineChars="200"/>
        <w:rPr>
          <w:color w:val="000000"/>
          <w:highlight w:val="none"/>
        </w:rPr>
      </w:pPr>
      <w:r>
        <w:rPr>
          <w:color w:val="000000"/>
          <w:highlight w:val="none"/>
        </w:rPr>
        <w:t>采样时，所有</w:t>
      </w:r>
      <w:r>
        <w:rPr>
          <w:rFonts w:hint="eastAsia"/>
          <w:color w:val="000000"/>
          <w:highlight w:val="none"/>
          <w:lang w:val="en-US" w:eastAsia="zh-CN"/>
        </w:rPr>
        <w:t>地下水</w:t>
      </w:r>
      <w:r>
        <w:rPr>
          <w:color w:val="000000"/>
          <w:highlight w:val="none"/>
        </w:rPr>
        <w:t>样品均迅速转入由实验室提供的带有标签以及保护剂的专用样品瓶中并保存在装有冰袋的冷藏箱中，及时送往实验室分析。</w:t>
      </w:r>
    </w:p>
    <w:p w14:paraId="78B4E01E">
      <w:pPr>
        <w:pStyle w:val="6"/>
        <w:numPr>
          <w:ilvl w:val="0"/>
          <w:numId w:val="0"/>
        </w:numPr>
        <w:spacing w:after="0"/>
        <w:jc w:val="left"/>
        <w:rPr>
          <w:color w:val="000000"/>
          <w:kern w:val="0"/>
          <w:highlight w:val="none"/>
        </w:rPr>
      </w:pPr>
      <w:r>
        <w:rPr>
          <w:color w:val="000000"/>
          <w:kern w:val="0"/>
          <w:highlight w:val="none"/>
        </w:rPr>
        <w:t>3.3.3.1 监测井设立与洗井</w:t>
      </w:r>
    </w:p>
    <w:tbl>
      <w:tblPr>
        <w:tblStyle w:val="21"/>
        <w:tblpPr w:leftFromText="180" w:rightFromText="180" w:vertAnchor="text" w:horzAnchor="margin" w:tblpXSpec="right" w:tblpY="21"/>
        <w:tblOverlap w:val="never"/>
        <w:tblW w:w="3951" w:type="dxa"/>
        <w:tblInd w:w="0" w:type="dxa"/>
        <w:tblLayout w:type="fixed"/>
        <w:tblCellMar>
          <w:top w:w="0" w:type="dxa"/>
          <w:left w:w="108" w:type="dxa"/>
          <w:bottom w:w="0" w:type="dxa"/>
          <w:right w:w="108" w:type="dxa"/>
        </w:tblCellMar>
      </w:tblPr>
      <w:tblGrid>
        <w:gridCol w:w="3951"/>
      </w:tblGrid>
      <w:tr w14:paraId="519999B0">
        <w:tblPrEx>
          <w:tblCellMar>
            <w:top w:w="0" w:type="dxa"/>
            <w:left w:w="108" w:type="dxa"/>
            <w:bottom w:w="0" w:type="dxa"/>
            <w:right w:w="108" w:type="dxa"/>
          </w:tblCellMar>
        </w:tblPrEx>
        <w:tc>
          <w:tcPr>
            <w:tcW w:w="3951" w:type="dxa"/>
          </w:tcPr>
          <w:p w14:paraId="20C4F604">
            <w:pPr>
              <w:jc w:val="center"/>
              <w:rPr>
                <w:color w:val="000000"/>
                <w:highlight w:val="none"/>
              </w:rPr>
            </w:pPr>
            <w:r>
              <w:rPr>
                <w:color w:val="000000"/>
                <w:highlight w:val="none"/>
              </w:rPr>
              <w:drawing>
                <wp:inline distT="0" distB="0" distL="114300" distR="114300">
                  <wp:extent cx="2123440" cy="3525520"/>
                  <wp:effectExtent l="19050" t="19050" r="21590" b="21590"/>
                  <wp:docPr id="1" name="图片 1" descr="说明: 浅层地下水监测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浅层地下水监测井"/>
                          <pic:cNvPicPr>
                            <a:picLocks noChangeAspect="1"/>
                          </pic:cNvPicPr>
                        </pic:nvPicPr>
                        <pic:blipFill>
                          <a:blip r:embed="rId27"/>
                          <a:stretch>
                            <a:fillRect/>
                          </a:stretch>
                        </pic:blipFill>
                        <pic:spPr>
                          <a:xfrm>
                            <a:off x="0" y="0"/>
                            <a:ext cx="2123440" cy="3525520"/>
                          </a:xfrm>
                          <a:prstGeom prst="rect">
                            <a:avLst/>
                          </a:prstGeom>
                          <a:noFill/>
                          <a:ln w="19050" cmpd="sng">
                            <a:solidFill>
                              <a:schemeClr val="tx1"/>
                            </a:solidFill>
                            <a:prstDash val="solid"/>
                          </a:ln>
                        </pic:spPr>
                      </pic:pic>
                    </a:graphicData>
                  </a:graphic>
                </wp:inline>
              </w:drawing>
            </w:r>
          </w:p>
          <w:p w14:paraId="369D0002">
            <w:pPr>
              <w:jc w:val="center"/>
              <w:rPr>
                <w:color w:val="000000"/>
                <w:highlight w:val="none"/>
              </w:rPr>
            </w:pPr>
            <w:r>
              <w:rPr>
                <w:b/>
                <w:color w:val="000000"/>
                <w:highlight w:val="none"/>
              </w:rPr>
              <w:t xml:space="preserve">图3-3-1 </w:t>
            </w:r>
            <w:r>
              <w:rPr>
                <w:rFonts w:hint="eastAsia"/>
                <w:b/>
                <w:color w:val="000000"/>
                <w:highlight w:val="none"/>
              </w:rPr>
              <w:t>地下水</w:t>
            </w:r>
            <w:r>
              <w:rPr>
                <w:b/>
                <w:color w:val="000000"/>
                <w:highlight w:val="none"/>
              </w:rPr>
              <w:t>监测井示意图</w:t>
            </w:r>
          </w:p>
        </w:tc>
      </w:tr>
    </w:tbl>
    <w:p w14:paraId="013AC21F">
      <w:pPr>
        <w:ind w:left="1" w:firstLine="480" w:firstLineChars="200"/>
        <w:rPr>
          <w:color w:val="000000"/>
          <w:highlight w:val="none"/>
        </w:rPr>
      </w:pPr>
      <w:r>
        <w:rPr>
          <w:color w:val="000000"/>
          <w:highlight w:val="none"/>
        </w:rPr>
        <w:t>由于本次土壤采样只采集表层土壤样品，地下水监测井设立与土壤采样分开进行。</w:t>
      </w:r>
    </w:p>
    <w:p w14:paraId="0F1AB619">
      <w:pPr>
        <w:ind w:left="1" w:firstLine="480" w:firstLineChars="200"/>
        <w:rPr>
          <w:color w:val="000000"/>
          <w:highlight w:val="none"/>
        </w:rPr>
      </w:pPr>
      <w:r>
        <w:rPr>
          <w:color w:val="000000"/>
          <w:highlight w:val="none"/>
        </w:rPr>
        <w:t>监测井钻探完成后，安装一根封底的内径不小于50mm的硬质PVC井管，硬质PVC井管由底部密闭、管壁可滤水的筛管、上部延伸到地表的实管组成。筛管部分表面含水平细缝，细缝宽为0.25mm。监测井的深度和筛管的安装位置由专业人员根据现场地下水位的相对位置及各监测井的不同监测要求综合考虑后设定。</w:t>
      </w:r>
    </w:p>
    <w:p w14:paraId="0FBC382C">
      <w:pPr>
        <w:ind w:left="1" w:firstLine="480" w:firstLineChars="200"/>
        <w:rPr>
          <w:color w:val="000000"/>
          <w:highlight w:val="none"/>
        </w:rPr>
      </w:pPr>
      <w:r>
        <w:rPr>
          <w:color w:val="000000"/>
          <w:highlight w:val="none"/>
        </w:rPr>
        <w:t>监测井筛管外侧周围用粒径≥0.25mm的清洁石英砂回填作为滤水层，石英砂回填至地下水水位线处，其上部再回填不透水的膨润土至自然地坪处，安装井盖。地下水监测井剖面示意图见图3-3-1。</w:t>
      </w:r>
    </w:p>
    <w:p w14:paraId="1D4CABCB">
      <w:pPr>
        <w:pStyle w:val="6"/>
        <w:numPr>
          <w:ilvl w:val="0"/>
          <w:numId w:val="0"/>
        </w:numPr>
        <w:spacing w:after="0"/>
        <w:jc w:val="left"/>
        <w:rPr>
          <w:color w:val="000000"/>
          <w:kern w:val="0"/>
          <w:highlight w:val="none"/>
        </w:rPr>
      </w:pPr>
      <w:r>
        <w:rPr>
          <w:color w:val="000000"/>
          <w:kern w:val="0"/>
          <w:highlight w:val="none"/>
        </w:rPr>
        <w:t>3.3.3.2 地下水样品采集</w:t>
      </w:r>
    </w:p>
    <w:p w14:paraId="0A4ACBF2">
      <w:pPr>
        <w:ind w:left="1" w:firstLine="480" w:firstLineChars="200"/>
        <w:rPr>
          <w:color w:val="000000"/>
          <w:highlight w:val="none"/>
        </w:rPr>
      </w:pPr>
      <w:r>
        <w:rPr>
          <w:rFonts w:hint="eastAsia"/>
          <w:color w:val="000000"/>
          <w:highlight w:val="none"/>
          <w:lang w:val="en-US" w:eastAsia="zh-CN"/>
        </w:rPr>
        <w:t>采样前进行监测井清洗工作，</w:t>
      </w:r>
      <w:r>
        <w:rPr>
          <w:color w:val="000000"/>
          <w:highlight w:val="none"/>
        </w:rPr>
        <w:t>清洗采用贝勒管洗去3</w:t>
      </w:r>
      <w:r>
        <w:rPr>
          <w:rFonts w:hint="eastAsia"/>
          <w:color w:val="000000"/>
          <w:highlight w:val="none"/>
          <w:lang w:val="en-US" w:eastAsia="zh-CN"/>
        </w:rPr>
        <w:t>-5</w:t>
      </w:r>
      <w:r>
        <w:rPr>
          <w:color w:val="000000"/>
          <w:highlight w:val="none"/>
        </w:rPr>
        <w:t>倍监测井</w:t>
      </w:r>
      <w:r>
        <w:rPr>
          <w:rFonts w:hint="eastAsia"/>
          <w:color w:val="000000"/>
          <w:highlight w:val="none"/>
          <w:lang w:val="en-US" w:eastAsia="zh-CN"/>
        </w:rPr>
        <w:t>总量</w:t>
      </w:r>
      <w:r>
        <w:rPr>
          <w:color w:val="000000"/>
          <w:highlight w:val="none"/>
        </w:rPr>
        <w:t>的水。洗井完成后</w:t>
      </w:r>
      <w:r>
        <w:rPr>
          <w:rFonts w:hint="eastAsia"/>
          <w:color w:val="000000"/>
          <w:highlight w:val="none"/>
        </w:rPr>
        <w:t>2</w:t>
      </w:r>
      <w:r>
        <w:rPr>
          <w:color w:val="000000"/>
          <w:highlight w:val="none"/>
        </w:rPr>
        <w:t>4</w:t>
      </w:r>
      <w:r>
        <w:rPr>
          <w:rFonts w:hint="eastAsia"/>
          <w:color w:val="000000"/>
          <w:highlight w:val="none"/>
        </w:rPr>
        <w:t>h</w:t>
      </w:r>
      <w:r>
        <w:rPr>
          <w:color w:val="000000"/>
          <w:highlight w:val="none"/>
        </w:rPr>
        <w:t>，待监测井内地下水稳定后，方可进行地下水采集。</w:t>
      </w:r>
    </w:p>
    <w:p w14:paraId="4E0D1F59">
      <w:pPr>
        <w:ind w:left="1" w:firstLine="480" w:firstLineChars="200"/>
        <w:rPr>
          <w:color w:val="000000"/>
          <w:highlight w:val="none"/>
        </w:rPr>
      </w:pPr>
      <w:r>
        <w:rPr>
          <w:color w:val="000000"/>
          <w:highlight w:val="none"/>
        </w:rPr>
        <w:t>取样时使用贝勒管采样器采集地下水样品，从每口监测井中采取1组地下水样进行化学分析。每口地下水监测井均配备一套一次性使用的贝勒管采样器防止发生交叉污染。</w:t>
      </w:r>
    </w:p>
    <w:p w14:paraId="5A0ADE4B">
      <w:pPr>
        <w:ind w:left="1" w:firstLine="480" w:firstLineChars="200"/>
        <w:rPr>
          <w:color w:val="000000"/>
          <w:highlight w:val="none"/>
        </w:rPr>
      </w:pPr>
      <w:r>
        <w:rPr>
          <w:color w:val="000000"/>
          <w:highlight w:val="none"/>
        </w:rPr>
        <w:t>采样时，所有地下水样品均迅速转入由实验室提供的带有标签以及保护剂的专用样品瓶中并保存在装有冰袋的冷藏箱中。</w:t>
      </w:r>
    </w:p>
    <w:p w14:paraId="29FF6012">
      <w:pPr>
        <w:pStyle w:val="5"/>
        <w:tabs>
          <w:tab w:val="clear" w:pos="851"/>
        </w:tabs>
        <w:spacing w:after="0"/>
        <w:jc w:val="left"/>
        <w:rPr>
          <w:color w:val="000000"/>
          <w:szCs w:val="24"/>
          <w:highlight w:val="none"/>
        </w:rPr>
      </w:pPr>
      <w:r>
        <w:rPr>
          <w:color w:val="000000"/>
          <w:szCs w:val="24"/>
          <w:highlight w:val="none"/>
        </w:rPr>
        <w:t>现场快速检测</w:t>
      </w:r>
    </w:p>
    <w:p w14:paraId="09826979">
      <w:pPr>
        <w:ind w:left="1" w:firstLine="480" w:firstLineChars="200"/>
        <w:rPr>
          <w:color w:val="000000"/>
          <w:highlight w:val="none"/>
        </w:rPr>
      </w:pPr>
      <w:r>
        <w:rPr>
          <w:color w:val="000000"/>
          <w:highlight w:val="none"/>
        </w:rPr>
        <w:t>为了现场判断采样区可疑情况，本次调查采用光离子化检测（PID）进行现场快速检测，用于测量挥发性有机物的综合浓度水平。</w:t>
      </w:r>
    </w:p>
    <w:p w14:paraId="0F870430">
      <w:pPr>
        <w:pStyle w:val="4"/>
        <w:tabs>
          <w:tab w:val="left" w:leader="dot" w:pos="0"/>
          <w:tab w:val="clear" w:pos="425"/>
        </w:tabs>
        <w:rPr>
          <w:color w:val="000000"/>
          <w:highlight w:val="none"/>
        </w:rPr>
      </w:pPr>
      <w:bookmarkStart w:id="20" w:name="_Toc55399872"/>
      <w:bookmarkStart w:id="21" w:name="_Toc15371866"/>
      <w:bookmarkStart w:id="22" w:name="_Toc7081054"/>
      <w:bookmarkStart w:id="23" w:name="_Toc26697"/>
      <w:bookmarkStart w:id="24" w:name="_Toc6498459"/>
      <w:bookmarkStart w:id="25" w:name="_Toc27444"/>
      <w:bookmarkStart w:id="26" w:name="_Toc7192"/>
      <w:r>
        <w:rPr>
          <w:color w:val="000000"/>
          <w:highlight w:val="none"/>
        </w:rPr>
        <w:t>质量保证与质量控制</w:t>
      </w:r>
      <w:bookmarkEnd w:id="20"/>
      <w:bookmarkEnd w:id="21"/>
      <w:bookmarkEnd w:id="22"/>
      <w:bookmarkEnd w:id="23"/>
      <w:bookmarkEnd w:id="24"/>
      <w:bookmarkEnd w:id="25"/>
      <w:bookmarkEnd w:id="26"/>
    </w:p>
    <w:p w14:paraId="2FC5A99D">
      <w:pPr>
        <w:ind w:firstLine="482"/>
        <w:rPr>
          <w:color w:val="000000"/>
          <w:highlight w:val="none"/>
        </w:rPr>
      </w:pPr>
      <w:r>
        <w:rPr>
          <w:color w:val="000000"/>
          <w:highlight w:val="none"/>
        </w:rPr>
        <w:t>本次调查现场采样和实验室分析均委托第三方有资质单位承担，各检测指标检测方法选用国家或地方推荐的检测分析方法。</w:t>
      </w:r>
    </w:p>
    <w:p w14:paraId="68FCD2C5">
      <w:pPr>
        <w:pStyle w:val="5"/>
        <w:tabs>
          <w:tab w:val="clear" w:pos="851"/>
        </w:tabs>
        <w:rPr>
          <w:color w:val="000000"/>
          <w:highlight w:val="none"/>
        </w:rPr>
      </w:pPr>
      <w:r>
        <w:rPr>
          <w:color w:val="000000"/>
          <w:highlight w:val="none"/>
        </w:rPr>
        <w:t>现场作业质量控制</w:t>
      </w:r>
    </w:p>
    <w:p w14:paraId="3B4331CD">
      <w:pPr>
        <w:ind w:firstLine="482"/>
        <w:rPr>
          <w:color w:val="000000"/>
          <w:highlight w:val="none"/>
        </w:rPr>
      </w:pPr>
      <w:r>
        <w:rPr>
          <w:color w:val="000000"/>
          <w:highlight w:val="none"/>
        </w:rPr>
        <w:t>项目组人员负责调查作业的现场技术支持和质量控制工作。每个作业班组均有一名项目组人员工作跟进，负责对现场调查和取样工作进行作业技术支持和质量控制，包括：现场识别，钻探记录，样品取样装瓶，并据现场实际情况提出作业内容改进调整和建议等工作内容。</w:t>
      </w:r>
    </w:p>
    <w:p w14:paraId="58F703F8">
      <w:pPr>
        <w:pStyle w:val="5"/>
        <w:tabs>
          <w:tab w:val="clear" w:pos="851"/>
        </w:tabs>
        <w:spacing w:after="0"/>
        <w:jc w:val="left"/>
        <w:rPr>
          <w:color w:val="000000"/>
          <w:szCs w:val="24"/>
          <w:highlight w:val="none"/>
        </w:rPr>
      </w:pPr>
      <w:bookmarkStart w:id="27" w:name="_Toc464822938"/>
      <w:r>
        <w:rPr>
          <w:color w:val="000000"/>
          <w:szCs w:val="24"/>
          <w:highlight w:val="none"/>
        </w:rPr>
        <w:t>采样过程质量控制</w:t>
      </w:r>
      <w:bookmarkEnd w:id="27"/>
    </w:p>
    <w:p w14:paraId="290D22E0">
      <w:pPr>
        <w:ind w:left="1" w:firstLine="480" w:firstLineChars="200"/>
        <w:rPr>
          <w:color w:val="000000"/>
          <w:highlight w:val="none"/>
        </w:rPr>
      </w:pPr>
      <w:r>
        <w:rPr>
          <w:color w:val="000000"/>
          <w:highlight w:val="none"/>
        </w:rPr>
        <w:t>为保证在允许误差范围内获得具有代表性的样品，在采样的全过程进行质量控制。实验室分析质量保证和质量控制要求见HJ/T 164和HJ/T 166。采样前制定详细的采样计划（采样方案），采样过程中认真按采样计划进行操作。对采样人员进行专门的培训，采样人员应掌握采样技术、懂得安全操作的有关知识和处理方法。采样时，由2人以上在场进行操作。采样工具、设备保持干燥、清洁。采样过程中要防止待采样品受到污染和发生变质。样品盛入容器后，在容器壁上应随即贴上标签并做好记录。样品运输过程中，应防止样品间的交叉污染。盛样容器不可倒置、倒放，防止破损、浸湿和污染。填写好、保存好采集记录、流转清单等文件。采样全过程由专人负责。</w:t>
      </w:r>
    </w:p>
    <w:p w14:paraId="41ECA65E">
      <w:pPr>
        <w:pStyle w:val="5"/>
        <w:tabs>
          <w:tab w:val="clear" w:pos="851"/>
        </w:tabs>
        <w:rPr>
          <w:color w:val="000000"/>
          <w:highlight w:val="none"/>
        </w:rPr>
      </w:pPr>
      <w:r>
        <w:rPr>
          <w:color w:val="000000"/>
          <w:highlight w:val="none"/>
        </w:rPr>
        <w:t>设备校正和清洗</w:t>
      </w:r>
    </w:p>
    <w:p w14:paraId="1300928B">
      <w:pPr>
        <w:ind w:firstLine="482"/>
        <w:rPr>
          <w:color w:val="000000"/>
          <w:highlight w:val="none"/>
        </w:rPr>
      </w:pPr>
      <w:r>
        <w:rPr>
          <w:color w:val="000000"/>
          <w:highlight w:val="none"/>
        </w:rPr>
        <w:t>所有测量仪器在使用前均预先进行了校正，以确保测量结果的准确性。所有取样瓶由实验室提供，统一进行了消毒处理。在采集土样时，始终佩戴干净的一次性手套。</w:t>
      </w:r>
    </w:p>
    <w:p w14:paraId="140E75FA">
      <w:pPr>
        <w:ind w:firstLine="482"/>
        <w:rPr>
          <w:color w:val="000000"/>
          <w:highlight w:val="none"/>
        </w:rPr>
      </w:pPr>
      <w:r>
        <w:rPr>
          <w:color w:val="000000"/>
          <w:highlight w:val="none"/>
        </w:rPr>
        <w:t>取样过程中采用标准操作程序以确保采集到能代表园区条件的样品。采用的取样方法包括：清洗程序、样品准备和保存、通过样品跟踪单进行样品追踪。现场的质量控制（QC）要填写详细现场观察的记录单，如采样深度、土壤质地、气味、颜色等，以便于后期定性分析。</w:t>
      </w:r>
    </w:p>
    <w:p w14:paraId="352317A4">
      <w:pPr>
        <w:pStyle w:val="5"/>
        <w:tabs>
          <w:tab w:val="clear" w:pos="851"/>
        </w:tabs>
        <w:rPr>
          <w:color w:val="000000"/>
          <w:highlight w:val="none"/>
        </w:rPr>
      </w:pPr>
      <w:r>
        <w:rPr>
          <w:color w:val="000000"/>
          <w:highlight w:val="none"/>
        </w:rPr>
        <w:t>样品交接与运输</w:t>
      </w:r>
    </w:p>
    <w:p w14:paraId="6A13523D">
      <w:pPr>
        <w:ind w:left="1" w:firstLine="480" w:firstLineChars="200"/>
        <w:rPr>
          <w:color w:val="000000"/>
          <w:highlight w:val="none"/>
        </w:rPr>
      </w:pPr>
      <w:r>
        <w:rPr>
          <w:color w:val="000000"/>
          <w:highlight w:val="none"/>
        </w:rPr>
        <w:t>样品采集后尽快装运核对后送往分析实验室。对于有时限要求的监测指标进行严格的时间把控</w:t>
      </w:r>
      <w:r>
        <w:rPr>
          <w:rFonts w:hint="default"/>
          <w:color w:val="000000"/>
          <w:highlight w:val="none"/>
        </w:rPr>
        <w:t>，例如铬（六价）样品，从采集到实验室预处理时间</w:t>
      </w:r>
      <w:r>
        <w:rPr>
          <w:rFonts w:hint="eastAsia"/>
          <w:color w:val="000000"/>
          <w:highlight w:val="none"/>
          <w:lang w:val="en-US" w:eastAsia="zh-CN"/>
        </w:rPr>
        <w:t>不应</w:t>
      </w:r>
      <w:r>
        <w:rPr>
          <w:rFonts w:hint="default"/>
          <w:color w:val="000000"/>
          <w:highlight w:val="none"/>
        </w:rPr>
        <w:t>超过24小时</w:t>
      </w:r>
      <w:r>
        <w:rPr>
          <w:color w:val="000000"/>
          <w:highlight w:val="none"/>
        </w:rPr>
        <w:t>。</w:t>
      </w:r>
    </w:p>
    <w:p w14:paraId="2935DC79">
      <w:pPr>
        <w:ind w:left="1" w:firstLine="482" w:firstLineChars="200"/>
        <w:rPr>
          <w:color w:val="000000"/>
          <w:highlight w:val="none"/>
        </w:rPr>
      </w:pPr>
      <w:r>
        <w:rPr>
          <w:b/>
          <w:color w:val="000000"/>
          <w:highlight w:val="none"/>
        </w:rPr>
        <w:t>装运前核对：</w:t>
      </w:r>
      <w:r>
        <w:rPr>
          <w:color w:val="000000"/>
          <w:highlight w:val="none"/>
        </w:rPr>
        <w:t>采样结束后现场逐项检查，如采样记录表、样品标签等，如有缺项、漏项和错误处，应及时补齐和修正后方可装运。</w:t>
      </w:r>
    </w:p>
    <w:p w14:paraId="410D98B3">
      <w:pPr>
        <w:ind w:left="1" w:firstLine="482" w:firstLineChars="200"/>
        <w:rPr>
          <w:color w:val="000000"/>
          <w:highlight w:val="none"/>
        </w:rPr>
      </w:pPr>
      <w:r>
        <w:rPr>
          <w:b/>
          <w:color w:val="000000"/>
          <w:highlight w:val="none"/>
        </w:rPr>
        <w:t>样品运输：</w:t>
      </w:r>
      <w:r>
        <w:rPr>
          <w:color w:val="000000"/>
          <w:highlight w:val="none"/>
        </w:rPr>
        <w:t>样品运输过程中严防损失、混淆，并尽快送至实验室分析测试。</w:t>
      </w:r>
    </w:p>
    <w:p w14:paraId="156F8081">
      <w:pPr>
        <w:ind w:left="1" w:firstLine="482" w:firstLineChars="200"/>
        <w:rPr>
          <w:color w:val="000000"/>
          <w:highlight w:val="none"/>
        </w:rPr>
      </w:pPr>
      <w:r>
        <w:rPr>
          <w:b/>
          <w:color w:val="000000"/>
          <w:highlight w:val="none"/>
        </w:rPr>
        <w:t>样品交接：</w:t>
      </w:r>
      <w:r>
        <w:rPr>
          <w:color w:val="000000"/>
          <w:highlight w:val="none"/>
        </w:rPr>
        <w:t>样品送到实验室后，采样人员和实验室样品管理员双方同时清点核实样品。</w:t>
      </w:r>
    </w:p>
    <w:p w14:paraId="74D07640">
      <w:pPr>
        <w:pStyle w:val="5"/>
        <w:tabs>
          <w:tab w:val="clear" w:pos="851"/>
        </w:tabs>
        <w:rPr>
          <w:color w:val="000000"/>
          <w:highlight w:val="none"/>
        </w:rPr>
      </w:pPr>
      <w:r>
        <w:rPr>
          <w:color w:val="000000"/>
          <w:highlight w:val="none"/>
        </w:rPr>
        <w:t>实验室质量控制</w:t>
      </w:r>
    </w:p>
    <w:p w14:paraId="43A4C0CE">
      <w:pPr>
        <w:ind w:firstLine="480" w:firstLineChars="200"/>
        <w:rPr>
          <w:color w:val="000000"/>
          <w:highlight w:val="none"/>
        </w:rPr>
        <w:sectPr>
          <w:headerReference r:id="rId15"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r>
        <w:rPr>
          <w:color w:val="000000"/>
          <w:highlight w:val="none"/>
        </w:rPr>
        <w:t>实验室分析时设实验室空白、平行样、基质加标。要求分析结果中平行样的相对标准偏差均在要求的范围内，实验室加标和基质加标的平行样品均在要求的相对百分偏差内。样品的保留时间、保留温度等实验室内部质量保证/控制措施均符合规定的要求。</w:t>
      </w:r>
    </w:p>
    <w:p w14:paraId="3F1687EB">
      <w:pPr>
        <w:pStyle w:val="3"/>
        <w:numPr>
          <w:ilvl w:val="0"/>
          <w:numId w:val="1"/>
        </w:numPr>
        <w:tabs>
          <w:tab w:val="clear" w:pos="425"/>
        </w:tabs>
        <w:rPr>
          <w:highlight w:val="none"/>
        </w:rPr>
      </w:pPr>
      <w:bookmarkStart w:id="28" w:name="_Toc12169"/>
      <w:r>
        <w:rPr>
          <w:highlight w:val="none"/>
        </w:rPr>
        <w:t>现场工作及实验室分析</w:t>
      </w:r>
      <w:bookmarkEnd w:id="28"/>
    </w:p>
    <w:p w14:paraId="2BEE8299">
      <w:pPr>
        <w:pStyle w:val="30"/>
        <w:spacing w:after="0"/>
        <w:ind w:firstLine="480"/>
        <w:rPr>
          <w:kern w:val="0"/>
          <w:highlight w:val="none"/>
        </w:rPr>
      </w:pPr>
      <w:r>
        <w:rPr>
          <w:kern w:val="0"/>
          <w:highlight w:val="none"/>
        </w:rPr>
        <w:t>2020年10月</w:t>
      </w:r>
      <w:r>
        <w:rPr>
          <w:rFonts w:hint="eastAsia"/>
          <w:kern w:val="0"/>
          <w:highlight w:val="none"/>
          <w:lang w:val="en-US" w:eastAsia="zh-CN"/>
        </w:rPr>
        <w:t>~12月</w:t>
      </w:r>
      <w:r>
        <w:rPr>
          <w:kern w:val="0"/>
          <w:highlight w:val="none"/>
        </w:rPr>
        <w:t>，我公司与协作单位前往</w:t>
      </w:r>
      <w:r>
        <w:rPr>
          <w:rFonts w:hint="eastAsia"/>
          <w:kern w:val="0"/>
          <w:highlight w:val="none"/>
        </w:rPr>
        <w:t>花湖开发区工业园开</w:t>
      </w:r>
      <w:r>
        <w:rPr>
          <w:kern w:val="0"/>
          <w:highlight w:val="none"/>
        </w:rPr>
        <w:t>展了现场定点、土壤</w:t>
      </w:r>
      <w:r>
        <w:rPr>
          <w:rFonts w:hint="eastAsia"/>
          <w:kern w:val="0"/>
          <w:highlight w:val="none"/>
          <w:lang w:eastAsia="zh-CN"/>
        </w:rPr>
        <w:t>样品</w:t>
      </w:r>
      <w:r>
        <w:rPr>
          <w:kern w:val="0"/>
          <w:highlight w:val="none"/>
        </w:rPr>
        <w:t>采集和地下水钻井及采样工作</w:t>
      </w:r>
      <w:r>
        <w:rPr>
          <w:rFonts w:hint="eastAsia"/>
          <w:kern w:val="0"/>
          <w:highlight w:val="none"/>
        </w:rPr>
        <w:t>。土壤表层（0-0.5m）样品采用手工铲的方式采集，地下水样品</w:t>
      </w:r>
      <w:r>
        <w:rPr>
          <w:kern w:val="0"/>
          <w:highlight w:val="none"/>
        </w:rPr>
        <w:t>采用XY-150履带式钻机钻取了</w:t>
      </w:r>
      <w:r>
        <w:rPr>
          <w:rFonts w:hint="eastAsia"/>
          <w:kern w:val="0"/>
          <w:highlight w:val="none"/>
        </w:rPr>
        <w:t>2</w:t>
      </w:r>
      <w:r>
        <w:rPr>
          <w:kern w:val="0"/>
          <w:highlight w:val="none"/>
        </w:rPr>
        <w:t>口直径为90-130mm的土孔并建成地下水井</w:t>
      </w:r>
      <w:r>
        <w:rPr>
          <w:rFonts w:hint="eastAsia"/>
          <w:kern w:val="0"/>
          <w:highlight w:val="none"/>
        </w:rPr>
        <w:t>后采集样品。</w:t>
      </w:r>
      <w:r>
        <w:rPr>
          <w:kern w:val="0"/>
          <w:highlight w:val="none"/>
        </w:rPr>
        <w:t>本次调查主要工作内容总结如下：</w:t>
      </w:r>
    </w:p>
    <w:p w14:paraId="40D42AB4">
      <w:pPr>
        <w:pStyle w:val="30"/>
        <w:spacing w:after="0"/>
        <w:ind w:firstLine="480"/>
        <w:rPr>
          <w:color w:val="000000"/>
          <w:szCs w:val="24"/>
          <w:highlight w:val="none"/>
        </w:rPr>
      </w:pPr>
      <w:r>
        <w:rPr>
          <w:color w:val="000000"/>
          <w:szCs w:val="24"/>
          <w:highlight w:val="none"/>
        </w:rPr>
        <w:t>（1）设置土壤采样点</w:t>
      </w:r>
      <w:r>
        <w:rPr>
          <w:rFonts w:hint="eastAsia"/>
          <w:color w:val="000000"/>
          <w:szCs w:val="24"/>
          <w:highlight w:val="none"/>
        </w:rPr>
        <w:t>11个</w:t>
      </w:r>
      <w:r>
        <w:rPr>
          <w:color w:val="000000"/>
          <w:szCs w:val="24"/>
          <w:highlight w:val="none"/>
        </w:rPr>
        <w:t>，采集土壤样品</w:t>
      </w:r>
      <w:r>
        <w:rPr>
          <w:rFonts w:hint="eastAsia"/>
          <w:color w:val="000000"/>
          <w:highlight w:val="none"/>
        </w:rPr>
        <w:t>11个</w:t>
      </w:r>
      <w:r>
        <w:rPr>
          <w:highlight w:val="none"/>
        </w:rPr>
        <w:t>、现场平行盲样1个和运输空白样</w:t>
      </w:r>
      <w:r>
        <w:rPr>
          <w:rFonts w:hint="eastAsia"/>
          <w:highlight w:val="none"/>
        </w:rPr>
        <w:t>2</w:t>
      </w:r>
      <w:r>
        <w:rPr>
          <w:highlight w:val="none"/>
        </w:rPr>
        <w:t>个，共送检</w:t>
      </w:r>
      <w:r>
        <w:rPr>
          <w:rFonts w:hint="eastAsia"/>
          <w:highlight w:val="none"/>
        </w:rPr>
        <w:t>14个</w:t>
      </w:r>
      <w:r>
        <w:rPr>
          <w:highlight w:val="none"/>
        </w:rPr>
        <w:t>样品</w:t>
      </w:r>
      <w:r>
        <w:rPr>
          <w:color w:val="000000"/>
          <w:szCs w:val="24"/>
          <w:highlight w:val="none"/>
        </w:rPr>
        <w:t>，测试项目包括</w:t>
      </w:r>
      <w:r>
        <w:rPr>
          <w:color w:val="000000"/>
          <w:highlight w:val="none"/>
        </w:rPr>
        <w:t>pH、重金属、挥发性有机物、半挥发性有机物、石油烃（C</w:t>
      </w:r>
      <w:r>
        <w:rPr>
          <w:color w:val="000000"/>
          <w:highlight w:val="none"/>
          <w:vertAlign w:val="subscript"/>
        </w:rPr>
        <w:t>10</w:t>
      </w:r>
      <w:r>
        <w:rPr>
          <w:color w:val="000000"/>
          <w:highlight w:val="none"/>
        </w:rPr>
        <w:t>-C</w:t>
      </w:r>
      <w:r>
        <w:rPr>
          <w:color w:val="000000"/>
          <w:highlight w:val="none"/>
          <w:vertAlign w:val="subscript"/>
        </w:rPr>
        <w:t>40</w:t>
      </w:r>
      <w:r>
        <w:rPr>
          <w:color w:val="000000"/>
          <w:highlight w:val="none"/>
        </w:rPr>
        <w:t>）、</w:t>
      </w:r>
      <w:r>
        <w:rPr>
          <w:rFonts w:hint="eastAsia"/>
          <w:color w:val="000000"/>
          <w:highlight w:val="none"/>
        </w:rPr>
        <w:t>总氟化物等</w:t>
      </w:r>
      <w:r>
        <w:rPr>
          <w:color w:val="000000"/>
          <w:highlight w:val="none"/>
        </w:rPr>
        <w:t>共计</w:t>
      </w:r>
      <w:r>
        <w:rPr>
          <w:rFonts w:hint="eastAsia"/>
          <w:color w:val="000000"/>
          <w:highlight w:val="none"/>
        </w:rPr>
        <w:t>51项</w:t>
      </w:r>
      <w:r>
        <w:rPr>
          <w:color w:val="000000"/>
          <w:szCs w:val="24"/>
          <w:highlight w:val="none"/>
        </w:rPr>
        <w:t>；</w:t>
      </w:r>
    </w:p>
    <w:p w14:paraId="671D8DB6">
      <w:pPr>
        <w:pStyle w:val="30"/>
        <w:spacing w:after="0"/>
        <w:ind w:firstLine="480"/>
        <w:rPr>
          <w:highlight w:val="none"/>
        </w:rPr>
      </w:pPr>
      <w:r>
        <w:rPr>
          <w:kern w:val="0"/>
          <w:highlight w:val="none"/>
        </w:rPr>
        <w:t>（2）设置地下水</w:t>
      </w:r>
      <w:r>
        <w:rPr>
          <w:color w:val="000000"/>
          <w:highlight w:val="none"/>
        </w:rPr>
        <w:t>采样点2个，采集并送检</w:t>
      </w:r>
      <w:r>
        <w:rPr>
          <w:kern w:val="0"/>
          <w:highlight w:val="none"/>
        </w:rPr>
        <w:t>地下水样品2个，测试项目包括</w:t>
      </w:r>
      <w:r>
        <w:rPr>
          <w:color w:val="000000"/>
          <w:highlight w:val="none"/>
        </w:rPr>
        <w:t>无机项目（14项）、金属类（13项）、有机类（5项）等32项。</w:t>
      </w:r>
    </w:p>
    <w:p w14:paraId="6BD0CF83">
      <w:pPr>
        <w:pStyle w:val="4"/>
        <w:tabs>
          <w:tab w:val="clear" w:pos="425"/>
        </w:tabs>
        <w:rPr>
          <w:highlight w:val="none"/>
        </w:rPr>
      </w:pPr>
      <w:bookmarkStart w:id="29" w:name="_Toc27583"/>
      <w:r>
        <w:rPr>
          <w:highlight w:val="none"/>
        </w:rPr>
        <w:t>现场定点测绘</w:t>
      </w:r>
      <w:bookmarkEnd w:id="29"/>
    </w:p>
    <w:p w14:paraId="174536A6">
      <w:pPr>
        <w:pStyle w:val="30"/>
        <w:spacing w:after="0"/>
        <w:ind w:firstLine="480"/>
        <w:rPr>
          <w:kern w:val="0"/>
          <w:highlight w:val="none"/>
        </w:rPr>
      </w:pPr>
      <w:r>
        <w:rPr>
          <w:kern w:val="0"/>
          <w:highlight w:val="none"/>
        </w:rPr>
        <w:t>为了进一步明确，统一各采样点位的实际地理坐标，根据采样布点方案，对每个采样点使用GPS进行现场定点。若存在部分点位因园区实际条件无法采样时，记录调整后的坐标、偏移方位及距离，及时修正点位，并用GPS记录实际采样点坐标。</w:t>
      </w:r>
    </w:p>
    <w:p w14:paraId="0A67FE5D">
      <w:pPr>
        <w:pStyle w:val="4"/>
        <w:tabs>
          <w:tab w:val="clear" w:pos="425"/>
        </w:tabs>
        <w:rPr>
          <w:highlight w:val="none"/>
        </w:rPr>
      </w:pPr>
      <w:bookmarkStart w:id="30" w:name="_Toc8877"/>
      <w:r>
        <w:rPr>
          <w:highlight w:val="none"/>
        </w:rPr>
        <w:t>样品采集</w:t>
      </w:r>
      <w:bookmarkEnd w:id="30"/>
    </w:p>
    <w:p w14:paraId="407877A8">
      <w:pPr>
        <w:pStyle w:val="5"/>
        <w:tabs>
          <w:tab w:val="left" w:pos="425"/>
        </w:tabs>
        <w:rPr>
          <w:highlight w:val="none"/>
        </w:rPr>
      </w:pPr>
      <w:r>
        <w:rPr>
          <w:highlight w:val="none"/>
        </w:rPr>
        <w:t>土壤样品采集</w:t>
      </w:r>
    </w:p>
    <w:p w14:paraId="74DBF5D6">
      <w:pPr>
        <w:ind w:firstLine="480" w:firstLineChars="200"/>
        <w:rPr>
          <w:highlight w:val="none"/>
        </w:rPr>
      </w:pPr>
      <w:r>
        <w:rPr>
          <w:highlight w:val="none"/>
        </w:rPr>
        <w:t>园区土壤样品采集工作委托苏伊士环境检测技术（上海）有限公司承担</w:t>
      </w:r>
      <w:r>
        <w:rPr>
          <w:rFonts w:hint="eastAsia" w:cs="Times New Roman"/>
          <w:color w:val="auto"/>
          <w:highlight w:val="none"/>
          <w:lang w:eastAsia="zh-CN"/>
        </w:rPr>
        <w:t>，</w:t>
      </w:r>
      <w:r>
        <w:rPr>
          <w:rFonts w:hint="eastAsia" w:cs="Times New Roman"/>
          <w:color w:val="auto"/>
          <w:highlight w:val="none"/>
          <w:lang w:val="en-US" w:eastAsia="zh-CN"/>
        </w:rPr>
        <w:t>现场采样情况说明详见附件5</w:t>
      </w:r>
      <w:r>
        <w:rPr>
          <w:highlight w:val="none"/>
        </w:rPr>
        <w:t>。</w:t>
      </w:r>
    </w:p>
    <w:p w14:paraId="3E8210FC">
      <w:pPr>
        <w:pStyle w:val="6"/>
        <w:numPr>
          <w:ilvl w:val="0"/>
          <w:numId w:val="0"/>
        </w:numPr>
        <w:spacing w:after="0"/>
        <w:jc w:val="left"/>
        <w:rPr>
          <w:color w:val="000000"/>
          <w:kern w:val="0"/>
          <w:highlight w:val="none"/>
        </w:rPr>
      </w:pPr>
      <w:r>
        <w:rPr>
          <w:color w:val="000000"/>
          <w:kern w:val="0"/>
          <w:highlight w:val="none"/>
        </w:rPr>
        <w:t>4.2.1.1 采集工具和方法</w:t>
      </w:r>
    </w:p>
    <w:p w14:paraId="4B3116D3">
      <w:pPr>
        <w:ind w:firstLine="480" w:firstLineChars="200"/>
        <w:rPr>
          <w:highlight w:val="none"/>
        </w:rPr>
      </w:pPr>
      <w:r>
        <w:rPr>
          <w:highlight w:val="none"/>
        </w:rPr>
        <w:t>土壤样品采用手工铲采集，在技术人员的指导下进行，根据相关技术导则操作。</w:t>
      </w:r>
    </w:p>
    <w:p w14:paraId="45D6DA9F">
      <w:pPr>
        <w:ind w:firstLine="480" w:firstLineChars="200"/>
        <w:rPr>
          <w:highlight w:val="none"/>
        </w:rPr>
      </w:pPr>
      <w:r>
        <w:rPr>
          <w:highlight w:val="none"/>
        </w:rPr>
        <w:t>现场采样时，通过辅以样品性状、气味等污染识别方法，取相应深度土壤，专业技术人员戴上一次性的无污染手术用橡胶手套，用手工铲将取出的土壤装入样品瓶（袋）中，压实密封。用记号笔在每个样品瓶中记录样品名称、编号、采样日期等信息，边采边记，避免遗漏。样品瓶是由负责样品检测单位的实验室提供的、事先准备好带到现场。</w:t>
      </w:r>
    </w:p>
    <w:p w14:paraId="1A28BC2D">
      <w:pPr>
        <w:ind w:firstLine="480" w:firstLineChars="200"/>
        <w:rPr>
          <w:highlight w:val="none"/>
        </w:rPr>
      </w:pPr>
      <w:r>
        <w:rPr>
          <w:highlight w:val="none"/>
        </w:rPr>
        <w:t>典型监测点位现场采样及样品照片见下图。</w:t>
      </w:r>
    </w:p>
    <w:tbl>
      <w:tblPr>
        <w:tblStyle w:val="21"/>
        <w:tblW w:w="97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19"/>
        <w:gridCol w:w="5079"/>
      </w:tblGrid>
      <w:tr w14:paraId="58850E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719" w:type="dxa"/>
            <w:vAlign w:val="center"/>
          </w:tcPr>
          <w:p w14:paraId="1E99335E">
            <w:pPr>
              <w:snapToGrid w:val="0"/>
              <w:spacing w:line="240" w:lineRule="auto"/>
              <w:jc w:val="center"/>
              <w:rPr>
                <w:highlight w:val="none"/>
              </w:rPr>
            </w:pPr>
            <w:r>
              <w:rPr>
                <w:highlight w:val="none"/>
              </w:rPr>
              <w:drawing>
                <wp:inline distT="0" distB="0" distL="114300" distR="114300">
                  <wp:extent cx="2857500" cy="2138045"/>
                  <wp:effectExtent l="0" t="0" r="7620" b="1079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28"/>
                          <a:stretch>
                            <a:fillRect/>
                          </a:stretch>
                        </pic:blipFill>
                        <pic:spPr>
                          <a:xfrm>
                            <a:off x="0" y="0"/>
                            <a:ext cx="2857500" cy="2138045"/>
                          </a:xfrm>
                          <a:prstGeom prst="rect">
                            <a:avLst/>
                          </a:prstGeom>
                          <a:noFill/>
                          <a:ln>
                            <a:noFill/>
                          </a:ln>
                        </pic:spPr>
                      </pic:pic>
                    </a:graphicData>
                  </a:graphic>
                </wp:inline>
              </w:drawing>
            </w:r>
          </w:p>
        </w:tc>
        <w:tc>
          <w:tcPr>
            <w:tcW w:w="5079" w:type="dxa"/>
            <w:vAlign w:val="center"/>
          </w:tcPr>
          <w:p w14:paraId="2B44037E">
            <w:pPr>
              <w:snapToGrid w:val="0"/>
              <w:spacing w:line="240" w:lineRule="auto"/>
              <w:jc w:val="center"/>
              <w:rPr>
                <w:highlight w:val="none"/>
              </w:rPr>
            </w:pPr>
            <w:r>
              <w:rPr>
                <w:highlight w:val="none"/>
              </w:rPr>
              <w:drawing>
                <wp:inline distT="0" distB="0" distL="114300" distR="114300">
                  <wp:extent cx="3083560" cy="1950720"/>
                  <wp:effectExtent l="0" t="0" r="10160" b="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29"/>
                          <a:stretch>
                            <a:fillRect/>
                          </a:stretch>
                        </pic:blipFill>
                        <pic:spPr>
                          <a:xfrm>
                            <a:off x="0" y="0"/>
                            <a:ext cx="3083560" cy="1950720"/>
                          </a:xfrm>
                          <a:prstGeom prst="rect">
                            <a:avLst/>
                          </a:prstGeom>
                          <a:noFill/>
                          <a:ln>
                            <a:noFill/>
                          </a:ln>
                        </pic:spPr>
                      </pic:pic>
                    </a:graphicData>
                  </a:graphic>
                </wp:inline>
              </w:drawing>
            </w:r>
          </w:p>
        </w:tc>
      </w:tr>
      <w:tr w14:paraId="3A1211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719" w:type="dxa"/>
            <w:vAlign w:val="center"/>
          </w:tcPr>
          <w:p w14:paraId="16CA1719">
            <w:pPr>
              <w:snapToGrid w:val="0"/>
              <w:spacing w:line="240" w:lineRule="auto"/>
              <w:jc w:val="center"/>
              <w:rPr>
                <w:highlight w:val="none"/>
              </w:rPr>
            </w:pPr>
            <w:r>
              <w:rPr>
                <w:b/>
                <w:bCs/>
                <w:highlight w:val="none"/>
              </w:rPr>
              <w:t>现场采样照片</w:t>
            </w:r>
          </w:p>
        </w:tc>
        <w:tc>
          <w:tcPr>
            <w:tcW w:w="5079" w:type="dxa"/>
            <w:vAlign w:val="center"/>
          </w:tcPr>
          <w:p w14:paraId="2B6DEDD0">
            <w:pPr>
              <w:snapToGrid w:val="0"/>
              <w:spacing w:line="240" w:lineRule="auto"/>
              <w:jc w:val="center"/>
              <w:rPr>
                <w:highlight w:val="none"/>
              </w:rPr>
            </w:pPr>
            <w:r>
              <w:rPr>
                <w:b/>
                <w:bCs/>
                <w:highlight w:val="none"/>
              </w:rPr>
              <w:t>现场取样照片</w:t>
            </w:r>
          </w:p>
        </w:tc>
      </w:tr>
      <w:tr w14:paraId="33D005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719" w:type="dxa"/>
            <w:vAlign w:val="center"/>
          </w:tcPr>
          <w:p w14:paraId="62E4B586">
            <w:pPr>
              <w:snapToGrid w:val="0"/>
              <w:spacing w:line="240" w:lineRule="auto"/>
              <w:jc w:val="center"/>
              <w:rPr>
                <w:b/>
                <w:bCs/>
                <w:highlight w:val="none"/>
              </w:rPr>
            </w:pPr>
            <w:r>
              <w:rPr>
                <w:highlight w:val="none"/>
              </w:rPr>
              <w:drawing>
                <wp:inline distT="0" distB="0" distL="114300" distR="114300">
                  <wp:extent cx="2853055" cy="2138045"/>
                  <wp:effectExtent l="0" t="0" r="12065" b="1079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30"/>
                          <a:stretch>
                            <a:fillRect/>
                          </a:stretch>
                        </pic:blipFill>
                        <pic:spPr>
                          <a:xfrm>
                            <a:off x="0" y="0"/>
                            <a:ext cx="2853055" cy="2138045"/>
                          </a:xfrm>
                          <a:prstGeom prst="rect">
                            <a:avLst/>
                          </a:prstGeom>
                          <a:noFill/>
                          <a:ln>
                            <a:noFill/>
                          </a:ln>
                        </pic:spPr>
                      </pic:pic>
                    </a:graphicData>
                  </a:graphic>
                </wp:inline>
              </w:drawing>
            </w:r>
          </w:p>
        </w:tc>
        <w:tc>
          <w:tcPr>
            <w:tcW w:w="5079" w:type="dxa"/>
            <w:vAlign w:val="center"/>
          </w:tcPr>
          <w:p w14:paraId="7AB4EC7A">
            <w:pPr>
              <w:snapToGrid w:val="0"/>
              <w:spacing w:line="240" w:lineRule="auto"/>
              <w:jc w:val="center"/>
              <w:rPr>
                <w:b/>
                <w:bCs/>
                <w:highlight w:val="none"/>
              </w:rPr>
            </w:pPr>
            <w:r>
              <w:rPr>
                <w:highlight w:val="none"/>
              </w:rPr>
              <w:drawing>
                <wp:inline distT="0" distB="0" distL="114300" distR="114300">
                  <wp:extent cx="3085465" cy="2306320"/>
                  <wp:effectExtent l="0" t="0" r="8255" b="1016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31"/>
                          <a:stretch>
                            <a:fillRect/>
                          </a:stretch>
                        </pic:blipFill>
                        <pic:spPr>
                          <a:xfrm>
                            <a:off x="0" y="0"/>
                            <a:ext cx="3085465" cy="2306320"/>
                          </a:xfrm>
                          <a:prstGeom prst="rect">
                            <a:avLst/>
                          </a:prstGeom>
                          <a:noFill/>
                          <a:ln>
                            <a:noFill/>
                          </a:ln>
                        </pic:spPr>
                      </pic:pic>
                    </a:graphicData>
                  </a:graphic>
                </wp:inline>
              </w:drawing>
            </w:r>
          </w:p>
        </w:tc>
      </w:tr>
      <w:tr w14:paraId="06368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719" w:type="dxa"/>
            <w:vAlign w:val="center"/>
          </w:tcPr>
          <w:p w14:paraId="6FD477AF">
            <w:pPr>
              <w:snapToGrid w:val="0"/>
              <w:spacing w:line="240" w:lineRule="auto"/>
              <w:jc w:val="center"/>
              <w:rPr>
                <w:highlight w:val="none"/>
              </w:rPr>
            </w:pPr>
            <w:r>
              <w:rPr>
                <w:b/>
                <w:bCs/>
                <w:highlight w:val="none"/>
              </w:rPr>
              <w:t>现场样品照片</w:t>
            </w:r>
          </w:p>
        </w:tc>
        <w:tc>
          <w:tcPr>
            <w:tcW w:w="5079" w:type="dxa"/>
            <w:vAlign w:val="center"/>
          </w:tcPr>
          <w:p w14:paraId="3DDA1270">
            <w:pPr>
              <w:snapToGrid w:val="0"/>
              <w:spacing w:line="240" w:lineRule="auto"/>
              <w:jc w:val="center"/>
              <w:rPr>
                <w:highlight w:val="none"/>
              </w:rPr>
            </w:pPr>
            <w:r>
              <w:rPr>
                <w:b/>
                <w:bCs/>
                <w:highlight w:val="none"/>
              </w:rPr>
              <w:t>现场样品照片</w:t>
            </w:r>
          </w:p>
        </w:tc>
      </w:tr>
    </w:tbl>
    <w:p w14:paraId="332DC804">
      <w:pPr>
        <w:jc w:val="center"/>
        <w:rPr>
          <w:highlight w:val="none"/>
        </w:rPr>
      </w:pPr>
      <w:r>
        <w:rPr>
          <w:rFonts w:eastAsia="黑体"/>
          <w:b/>
          <w:szCs w:val="20"/>
          <w:highlight w:val="none"/>
        </w:rPr>
        <w:t>图4-2-</w:t>
      </w:r>
      <w:r>
        <w:rPr>
          <w:rFonts w:hint="eastAsia" w:eastAsia="黑体"/>
          <w:b/>
          <w:szCs w:val="20"/>
          <w:highlight w:val="none"/>
        </w:rPr>
        <w:t>1</w:t>
      </w:r>
      <w:r>
        <w:rPr>
          <w:rFonts w:eastAsia="黑体"/>
          <w:b/>
          <w:szCs w:val="20"/>
          <w:highlight w:val="none"/>
        </w:rPr>
        <w:t xml:space="preserve">  典型监测点位现场采样及样品照片</w:t>
      </w:r>
    </w:p>
    <w:p w14:paraId="13413865">
      <w:pPr>
        <w:pStyle w:val="6"/>
        <w:numPr>
          <w:ilvl w:val="0"/>
          <w:numId w:val="0"/>
        </w:numPr>
        <w:spacing w:after="0"/>
        <w:jc w:val="left"/>
        <w:rPr>
          <w:color w:val="000000"/>
          <w:kern w:val="0"/>
          <w:highlight w:val="none"/>
        </w:rPr>
      </w:pPr>
      <w:r>
        <w:rPr>
          <w:color w:val="000000"/>
          <w:kern w:val="0"/>
          <w:highlight w:val="none"/>
        </w:rPr>
        <w:t>4.2.1.2 样品现场筛测</w:t>
      </w:r>
    </w:p>
    <w:p w14:paraId="35D8A7DB">
      <w:pPr>
        <w:ind w:firstLine="480" w:firstLineChars="200"/>
        <w:rPr>
          <w:color w:val="000000"/>
          <w:highlight w:val="none"/>
        </w:rPr>
      </w:pPr>
      <w:r>
        <w:rPr>
          <w:color w:val="000000"/>
          <w:highlight w:val="none"/>
        </w:rPr>
        <w:t>现场技术人员检查和记录土壤的类型，通过目测或嗅闻判断土壤是否有污染痕迹。为了现场判断采样区可疑情况，本次调查采用手持式光离子化检测器（PID）检测土壤中挥发性有机物含量。同时采集平行样品，用于质量保证和质量控制。现场快速检测典型照片见下图。</w:t>
      </w:r>
    </w:p>
    <w:tbl>
      <w:tblPr>
        <w:tblStyle w:val="21"/>
        <w:tblW w:w="93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20"/>
      </w:tblGrid>
      <w:tr w14:paraId="39190D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70" w:hRule="atLeast"/>
          <w:jc w:val="center"/>
        </w:trPr>
        <w:tc>
          <w:tcPr>
            <w:tcW w:w="9320" w:type="dxa"/>
            <w:vAlign w:val="center"/>
          </w:tcPr>
          <w:p w14:paraId="6BB223DB">
            <w:pPr>
              <w:snapToGrid w:val="0"/>
              <w:spacing w:line="240" w:lineRule="auto"/>
              <w:jc w:val="center"/>
              <w:rPr>
                <w:highlight w:val="none"/>
              </w:rPr>
            </w:pPr>
            <w:r>
              <w:rPr>
                <w:highlight w:val="none"/>
              </w:rPr>
              <w:drawing>
                <wp:inline distT="0" distB="0" distL="114300" distR="114300">
                  <wp:extent cx="5629910" cy="3360420"/>
                  <wp:effectExtent l="0" t="0" r="8890" b="11430"/>
                  <wp:docPr id="17" name="图片 1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1"/>
                          <pic:cNvPicPr>
                            <a:picLocks noChangeAspect="1"/>
                          </pic:cNvPicPr>
                        </pic:nvPicPr>
                        <pic:blipFill>
                          <a:blip r:embed="rId32"/>
                          <a:stretch>
                            <a:fillRect/>
                          </a:stretch>
                        </pic:blipFill>
                        <pic:spPr>
                          <a:xfrm>
                            <a:off x="0" y="0"/>
                            <a:ext cx="5629910" cy="3360420"/>
                          </a:xfrm>
                          <a:prstGeom prst="rect">
                            <a:avLst/>
                          </a:prstGeom>
                        </pic:spPr>
                      </pic:pic>
                    </a:graphicData>
                  </a:graphic>
                </wp:inline>
              </w:drawing>
            </w:r>
          </w:p>
        </w:tc>
      </w:tr>
      <w:tr w14:paraId="2874AD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9320" w:type="dxa"/>
            <w:vAlign w:val="center"/>
          </w:tcPr>
          <w:p w14:paraId="3B7D30EB">
            <w:pPr>
              <w:snapToGrid w:val="0"/>
              <w:spacing w:line="240" w:lineRule="auto"/>
              <w:jc w:val="center"/>
              <w:rPr>
                <w:b/>
                <w:bCs/>
                <w:highlight w:val="none"/>
              </w:rPr>
            </w:pPr>
            <w:r>
              <w:rPr>
                <w:b/>
                <w:bCs/>
                <w:highlight w:val="none"/>
              </w:rPr>
              <w:t>现场PID快速检测</w:t>
            </w:r>
          </w:p>
        </w:tc>
      </w:tr>
    </w:tbl>
    <w:p w14:paraId="0BC44D45">
      <w:pPr>
        <w:ind w:firstLine="482"/>
        <w:jc w:val="center"/>
        <w:rPr>
          <w:rFonts w:eastAsia="黑体"/>
          <w:b/>
          <w:szCs w:val="20"/>
          <w:highlight w:val="none"/>
        </w:rPr>
      </w:pPr>
      <w:r>
        <w:rPr>
          <w:rFonts w:eastAsia="黑体"/>
          <w:b/>
          <w:szCs w:val="20"/>
          <w:highlight w:val="none"/>
        </w:rPr>
        <w:t>图4-2-2  典型监测点位现场快速检测照片</w:t>
      </w:r>
    </w:p>
    <w:p w14:paraId="0FC45C4A">
      <w:pPr>
        <w:pStyle w:val="6"/>
        <w:numPr>
          <w:ilvl w:val="0"/>
          <w:numId w:val="0"/>
        </w:numPr>
        <w:spacing w:after="0"/>
        <w:jc w:val="left"/>
        <w:rPr>
          <w:color w:val="000000"/>
          <w:kern w:val="0"/>
          <w:highlight w:val="none"/>
        </w:rPr>
      </w:pPr>
      <w:r>
        <w:rPr>
          <w:color w:val="000000"/>
          <w:kern w:val="0"/>
          <w:highlight w:val="none"/>
        </w:rPr>
        <w:t>4.2.1.3样品保存</w:t>
      </w:r>
    </w:p>
    <w:p w14:paraId="7CF01022">
      <w:pPr>
        <w:ind w:firstLine="480" w:firstLineChars="200"/>
        <w:jc w:val="left"/>
        <w:rPr>
          <w:highlight w:val="none"/>
        </w:rPr>
      </w:pPr>
      <w:r>
        <w:rPr>
          <w:highlight w:val="none"/>
        </w:rPr>
        <w:t>装入土壤样品的样品瓶（袋），需立即放置到冷藏箱中，低温保存。样品采集完成后在样品保存流转时限内送至实验室分析。样品装运前核对采样记录表、样品标签等，如有缺漏项和错误处，将及时补充和修正后方可装运。样品运输过程中严防损失、混淆或玷污。样品送到实验室后，采样人员和实验室样品管理员双方同时清点核实样品，并在样品流转单上签字确认。</w:t>
      </w:r>
    </w:p>
    <w:p w14:paraId="44383BE4">
      <w:pPr>
        <w:pStyle w:val="6"/>
        <w:numPr>
          <w:ilvl w:val="0"/>
          <w:numId w:val="0"/>
        </w:numPr>
        <w:spacing w:after="0"/>
        <w:jc w:val="left"/>
        <w:rPr>
          <w:color w:val="000000"/>
          <w:kern w:val="0"/>
          <w:highlight w:val="none"/>
        </w:rPr>
      </w:pPr>
      <w:r>
        <w:rPr>
          <w:color w:val="000000"/>
          <w:kern w:val="0"/>
          <w:highlight w:val="none"/>
        </w:rPr>
        <w:t>4.2.1.4样品质量控制</w:t>
      </w:r>
    </w:p>
    <w:p w14:paraId="1B048376">
      <w:pPr>
        <w:ind w:firstLine="480" w:firstLineChars="200"/>
        <w:rPr>
          <w:highlight w:val="none"/>
        </w:rPr>
      </w:pPr>
      <w:r>
        <w:rPr>
          <w:highlight w:val="none"/>
        </w:rPr>
        <w:t>采样人员均已通过岗前培训、持证上岗，切实掌握土壤、地下水采样技术，熟知采样器具的使用和样品固定、保存、运输条件。样品的质量控制措施严格按照《建设用地土壤污染风险管控和修复监测技术导则》（HJ 25.2-2019）中的技术规范进行操作。</w:t>
      </w:r>
    </w:p>
    <w:p w14:paraId="6393ED0E">
      <w:pPr>
        <w:ind w:firstLine="480" w:firstLineChars="200"/>
        <w:rPr>
          <w:highlight w:val="none"/>
        </w:rPr>
      </w:pPr>
      <w:r>
        <w:rPr>
          <w:highlight w:val="none"/>
        </w:rPr>
        <w:t>（1）所有土壤样品采集后立即装入样品瓶中，保证样品中污染物不会挥发出来。所有样品放置在冷藏箱保存并在样品保存流转时限内运送至实验室。</w:t>
      </w:r>
    </w:p>
    <w:p w14:paraId="79F7D2DF">
      <w:pPr>
        <w:ind w:firstLine="480" w:firstLineChars="200"/>
        <w:rPr>
          <w:highlight w:val="none"/>
        </w:rPr>
      </w:pPr>
      <w:r>
        <w:rPr>
          <w:color w:val="000000"/>
          <w:highlight w:val="none"/>
        </w:rPr>
        <w:t>（2）</w:t>
      </w:r>
      <w:r>
        <w:rPr>
          <w:rFonts w:hint="eastAsia"/>
          <w:color w:val="000000"/>
          <w:highlight w:val="none"/>
        </w:rPr>
        <w:t>本次现场采样</w:t>
      </w:r>
      <w:r>
        <w:rPr>
          <w:rFonts w:hint="default" w:ascii="Times New Roman" w:hAnsi="Times New Roman" w:cs="Times New Roman"/>
          <w:color w:val="000000"/>
          <w:highlight w:val="none"/>
        </w:rPr>
        <w:t>5个园区连续采样，分批次送样，每一批次按10%比例设置现场平行盲样。</w:t>
      </w:r>
      <w:r>
        <w:rPr>
          <w:color w:val="000000"/>
          <w:highlight w:val="none"/>
        </w:rPr>
        <w:t>每批次样品设置一个运输空白样，与样品一起送实验室分析。</w:t>
      </w:r>
    </w:p>
    <w:p w14:paraId="25DABF5A">
      <w:pPr>
        <w:pStyle w:val="5"/>
        <w:tabs>
          <w:tab w:val="left" w:pos="425"/>
        </w:tabs>
        <w:rPr>
          <w:highlight w:val="none"/>
        </w:rPr>
      </w:pPr>
      <w:r>
        <w:rPr>
          <w:highlight w:val="none"/>
        </w:rPr>
        <w:t>地下水样品采集</w:t>
      </w:r>
    </w:p>
    <w:p w14:paraId="3F006FA6">
      <w:pPr>
        <w:pStyle w:val="6"/>
        <w:numPr>
          <w:ilvl w:val="0"/>
          <w:numId w:val="0"/>
        </w:numPr>
        <w:spacing w:after="0"/>
        <w:jc w:val="left"/>
        <w:rPr>
          <w:color w:val="000000"/>
          <w:kern w:val="0"/>
          <w:highlight w:val="none"/>
        </w:rPr>
      </w:pPr>
      <w:r>
        <w:rPr>
          <w:color w:val="000000"/>
          <w:kern w:val="0"/>
          <w:highlight w:val="none"/>
        </w:rPr>
        <w:t>4.2.2.1监测井安装</w:t>
      </w:r>
    </w:p>
    <w:p w14:paraId="5E258EEE">
      <w:pPr>
        <w:ind w:left="1" w:firstLine="480" w:firstLineChars="200"/>
        <w:rPr>
          <w:highlight w:val="none"/>
        </w:rPr>
      </w:pPr>
      <w:r>
        <w:rPr>
          <w:color w:val="000000"/>
          <w:highlight w:val="none"/>
        </w:rPr>
        <w:t>监测井钻探完成后，安装一根封底硬质PVC井管，PVC井管由底部密闭、管壁可滤水的筛管、上部延伸到地表的实管组成。监测井的深度和筛管的安装位置由专业人员根据现场水位的相对位置及各监测井的不同监测要求综合考虑设定。监测井筛管外侧周围用粒径大于0.25mm的清洁石英砂回填作为滤水层，石英砂回填至地下水水位线处，其上部再回填膨润土至自然地坪处。</w:t>
      </w:r>
    </w:p>
    <w:p w14:paraId="74E2C61D">
      <w:pPr>
        <w:pStyle w:val="6"/>
        <w:numPr>
          <w:ilvl w:val="0"/>
          <w:numId w:val="0"/>
        </w:numPr>
        <w:spacing w:after="0"/>
        <w:jc w:val="left"/>
        <w:rPr>
          <w:color w:val="000000"/>
          <w:kern w:val="0"/>
          <w:highlight w:val="none"/>
        </w:rPr>
      </w:pPr>
      <w:r>
        <w:rPr>
          <w:color w:val="000000"/>
          <w:kern w:val="0"/>
          <w:highlight w:val="none"/>
        </w:rPr>
        <w:t>4.2.2.2 样品采集</w:t>
      </w:r>
    </w:p>
    <w:p w14:paraId="7FC8D839">
      <w:pPr>
        <w:ind w:firstLine="480" w:firstLineChars="200"/>
        <w:rPr>
          <w:highlight w:val="none"/>
        </w:rPr>
      </w:pPr>
      <w:r>
        <w:rPr>
          <w:rFonts w:hint="eastAsia"/>
          <w:color w:val="000000"/>
          <w:highlight w:val="none"/>
        </w:rPr>
        <w:t>采样前</w:t>
      </w:r>
      <w:r>
        <w:rPr>
          <w:color w:val="000000"/>
          <w:highlight w:val="none"/>
        </w:rPr>
        <w:t>用贝勒管进行洗井。洗井时抽提出来的水量大于监测井总量的3</w:t>
      </w:r>
      <w:r>
        <w:rPr>
          <w:rFonts w:hint="eastAsia"/>
          <w:color w:val="000000"/>
          <w:highlight w:val="none"/>
          <w:lang w:val="en-US" w:eastAsia="zh-CN"/>
        </w:rPr>
        <w:t>~5</w:t>
      </w:r>
      <w:r>
        <w:rPr>
          <w:color w:val="000000"/>
          <w:highlight w:val="none"/>
        </w:rPr>
        <w:t>倍。在监测井洗井稳定24</w:t>
      </w:r>
      <w:r>
        <w:rPr>
          <w:rFonts w:hint="eastAsia"/>
          <w:color w:val="000000"/>
          <w:highlight w:val="none"/>
        </w:rPr>
        <w:t>h</w:t>
      </w:r>
      <w:r>
        <w:rPr>
          <w:color w:val="000000"/>
          <w:highlight w:val="none"/>
        </w:rPr>
        <w:t>后，使用贝勒管进行地下水样的采集。为避免监测井中发生浑浊，贝勒管放入和提出时均缓慢进行。采样时，所有地下水样品均迅速转入由实验室提供的专用样品瓶中保存。</w:t>
      </w:r>
      <w:r>
        <w:rPr>
          <w:highlight w:val="none"/>
        </w:rPr>
        <w:t>调查园区下水监测井成井情况及水样采集照片见图4-2-3。</w:t>
      </w:r>
    </w:p>
    <w:tbl>
      <w:tblPr>
        <w:tblStyle w:val="21"/>
        <w:tblW w:w="97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02"/>
        <w:gridCol w:w="4896"/>
      </w:tblGrid>
      <w:tr w14:paraId="372354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 w:hRule="atLeast"/>
          <w:jc w:val="center"/>
        </w:trPr>
        <w:tc>
          <w:tcPr>
            <w:tcW w:w="4902" w:type="dxa"/>
            <w:tcBorders>
              <w:tl2br w:val="nil"/>
              <w:tr2bl w:val="nil"/>
            </w:tcBorders>
            <w:vAlign w:val="center"/>
          </w:tcPr>
          <w:p w14:paraId="69455ED0">
            <w:pPr>
              <w:overflowPunct w:val="0"/>
              <w:autoSpaceDE w:val="0"/>
              <w:autoSpaceDN w:val="0"/>
              <w:adjustRightInd w:val="0"/>
              <w:spacing w:line="240" w:lineRule="auto"/>
              <w:jc w:val="center"/>
              <w:textAlignment w:val="baseline"/>
              <w:rPr>
                <w:bCs/>
                <w:sz w:val="18"/>
                <w:szCs w:val="18"/>
                <w:highlight w:val="none"/>
              </w:rPr>
            </w:pPr>
            <w:r>
              <w:rPr>
                <w:bCs/>
                <w:sz w:val="18"/>
                <w:szCs w:val="18"/>
                <w:highlight w:val="none"/>
              </w:rPr>
              <w:drawing>
                <wp:inline distT="0" distB="0" distL="114300" distR="114300">
                  <wp:extent cx="2430145" cy="3239770"/>
                  <wp:effectExtent l="0" t="0" r="8255" b="17780"/>
                  <wp:docPr id="30" name="图片 30" descr="IMG_20201022_10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0201022_102343"/>
                          <pic:cNvPicPr>
                            <a:picLocks noChangeAspect="1"/>
                          </pic:cNvPicPr>
                        </pic:nvPicPr>
                        <pic:blipFill>
                          <a:blip r:embed="rId33"/>
                          <a:stretch>
                            <a:fillRect/>
                          </a:stretch>
                        </pic:blipFill>
                        <pic:spPr>
                          <a:xfrm>
                            <a:off x="0" y="0"/>
                            <a:ext cx="2430145" cy="3239770"/>
                          </a:xfrm>
                          <a:prstGeom prst="rect">
                            <a:avLst/>
                          </a:prstGeom>
                        </pic:spPr>
                      </pic:pic>
                    </a:graphicData>
                  </a:graphic>
                </wp:inline>
              </w:drawing>
            </w:r>
          </w:p>
        </w:tc>
        <w:tc>
          <w:tcPr>
            <w:tcW w:w="4896" w:type="dxa"/>
            <w:tcBorders>
              <w:tl2br w:val="nil"/>
              <w:tr2bl w:val="nil"/>
            </w:tcBorders>
            <w:vAlign w:val="center"/>
          </w:tcPr>
          <w:p w14:paraId="2992A168">
            <w:pPr>
              <w:overflowPunct w:val="0"/>
              <w:autoSpaceDE w:val="0"/>
              <w:autoSpaceDN w:val="0"/>
              <w:adjustRightInd w:val="0"/>
              <w:spacing w:line="240" w:lineRule="auto"/>
              <w:jc w:val="center"/>
              <w:textAlignment w:val="baseline"/>
              <w:rPr>
                <w:bCs/>
                <w:sz w:val="18"/>
                <w:szCs w:val="18"/>
                <w:highlight w:val="none"/>
              </w:rPr>
            </w:pPr>
            <w:r>
              <w:rPr>
                <w:highlight w:val="none"/>
              </w:rPr>
              <w:drawing>
                <wp:inline distT="0" distB="0" distL="114300" distR="114300">
                  <wp:extent cx="2963545" cy="2211070"/>
                  <wp:effectExtent l="0" t="0" r="8255" b="1397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34"/>
                          <a:stretch>
                            <a:fillRect/>
                          </a:stretch>
                        </pic:blipFill>
                        <pic:spPr>
                          <a:xfrm>
                            <a:off x="0" y="0"/>
                            <a:ext cx="2963545" cy="2211070"/>
                          </a:xfrm>
                          <a:prstGeom prst="rect">
                            <a:avLst/>
                          </a:prstGeom>
                          <a:noFill/>
                          <a:ln>
                            <a:noFill/>
                          </a:ln>
                        </pic:spPr>
                      </pic:pic>
                    </a:graphicData>
                  </a:graphic>
                </wp:inline>
              </w:drawing>
            </w:r>
          </w:p>
        </w:tc>
      </w:tr>
      <w:tr w14:paraId="2F29AC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4902" w:type="dxa"/>
            <w:tcBorders>
              <w:tl2br w:val="nil"/>
              <w:tr2bl w:val="nil"/>
            </w:tcBorders>
            <w:vAlign w:val="center"/>
          </w:tcPr>
          <w:p w14:paraId="6B415F52">
            <w:pPr>
              <w:spacing w:line="240" w:lineRule="auto"/>
              <w:jc w:val="center"/>
              <w:rPr>
                <w:b/>
                <w:bCs/>
                <w:kern w:val="0"/>
                <w:sz w:val="18"/>
                <w:szCs w:val="18"/>
                <w:highlight w:val="none"/>
              </w:rPr>
            </w:pPr>
            <w:r>
              <w:rPr>
                <w:b/>
                <w:bCs/>
                <w:kern w:val="0"/>
                <w:sz w:val="18"/>
                <w:szCs w:val="18"/>
                <w:highlight w:val="none"/>
              </w:rPr>
              <w:t>地下水钻机</w:t>
            </w:r>
          </w:p>
        </w:tc>
        <w:tc>
          <w:tcPr>
            <w:tcW w:w="4896" w:type="dxa"/>
            <w:tcBorders>
              <w:tl2br w:val="nil"/>
              <w:tr2bl w:val="nil"/>
            </w:tcBorders>
            <w:vAlign w:val="center"/>
          </w:tcPr>
          <w:p w14:paraId="38AA03E1">
            <w:pPr>
              <w:spacing w:line="240" w:lineRule="auto"/>
              <w:jc w:val="center"/>
              <w:rPr>
                <w:rFonts w:hint="default" w:eastAsia="宋体"/>
                <w:b/>
                <w:bCs/>
                <w:kern w:val="0"/>
                <w:sz w:val="18"/>
                <w:szCs w:val="18"/>
                <w:highlight w:val="none"/>
                <w:lang w:val="en-US" w:eastAsia="zh-CN"/>
              </w:rPr>
            </w:pPr>
            <w:r>
              <w:rPr>
                <w:rFonts w:hint="eastAsia"/>
                <w:b/>
                <w:bCs/>
                <w:kern w:val="0"/>
                <w:sz w:val="18"/>
                <w:szCs w:val="18"/>
                <w:highlight w:val="none"/>
                <w:lang w:val="en-US" w:eastAsia="zh-CN"/>
              </w:rPr>
              <w:t>监测井建井</w:t>
            </w:r>
          </w:p>
        </w:tc>
      </w:tr>
      <w:tr w14:paraId="1372DB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902" w:type="dxa"/>
            <w:tcBorders>
              <w:tl2br w:val="nil"/>
              <w:tr2bl w:val="nil"/>
            </w:tcBorders>
            <w:vAlign w:val="center"/>
          </w:tcPr>
          <w:p w14:paraId="785DD5D4">
            <w:pPr>
              <w:overflowPunct w:val="0"/>
              <w:autoSpaceDE w:val="0"/>
              <w:autoSpaceDN w:val="0"/>
              <w:adjustRightInd w:val="0"/>
              <w:spacing w:line="240" w:lineRule="auto"/>
              <w:jc w:val="center"/>
              <w:textAlignment w:val="baseline"/>
              <w:rPr>
                <w:bCs/>
                <w:kern w:val="0"/>
                <w:sz w:val="18"/>
                <w:szCs w:val="18"/>
                <w:highlight w:val="none"/>
              </w:rPr>
            </w:pPr>
            <w:r>
              <w:rPr>
                <w:bCs/>
                <w:sz w:val="18"/>
                <w:szCs w:val="18"/>
                <w:highlight w:val="none"/>
              </w:rPr>
              <w:drawing>
                <wp:inline distT="0" distB="0" distL="114300" distR="114300">
                  <wp:extent cx="2879725" cy="2160270"/>
                  <wp:effectExtent l="0" t="0" r="635" b="3810"/>
                  <wp:docPr id="4" name="图片 4" descr="IMG_20201022_16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01022_165211"/>
                          <pic:cNvPicPr>
                            <a:picLocks noChangeAspect="1"/>
                          </pic:cNvPicPr>
                        </pic:nvPicPr>
                        <pic:blipFill>
                          <a:blip r:embed="rId35"/>
                          <a:stretch>
                            <a:fillRect/>
                          </a:stretch>
                        </pic:blipFill>
                        <pic:spPr>
                          <a:xfrm>
                            <a:off x="0" y="0"/>
                            <a:ext cx="2879725" cy="2160270"/>
                          </a:xfrm>
                          <a:prstGeom prst="rect">
                            <a:avLst/>
                          </a:prstGeom>
                        </pic:spPr>
                      </pic:pic>
                    </a:graphicData>
                  </a:graphic>
                </wp:inline>
              </w:drawing>
            </w:r>
          </w:p>
        </w:tc>
        <w:tc>
          <w:tcPr>
            <w:tcW w:w="4896" w:type="dxa"/>
            <w:tcBorders>
              <w:tl2br w:val="nil"/>
              <w:tr2bl w:val="nil"/>
            </w:tcBorders>
            <w:vAlign w:val="center"/>
          </w:tcPr>
          <w:p w14:paraId="133E800B">
            <w:pPr>
              <w:spacing w:line="240" w:lineRule="auto"/>
              <w:jc w:val="center"/>
              <w:rPr>
                <w:bCs/>
                <w:kern w:val="0"/>
                <w:sz w:val="18"/>
                <w:szCs w:val="18"/>
                <w:highlight w:val="none"/>
              </w:rPr>
            </w:pPr>
            <w:r>
              <w:rPr>
                <w:highlight w:val="none"/>
              </w:rPr>
              <w:drawing>
                <wp:inline distT="0" distB="0" distL="114300" distR="114300">
                  <wp:extent cx="2966720" cy="2221230"/>
                  <wp:effectExtent l="0" t="0" r="5080" b="762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36"/>
                          <a:stretch>
                            <a:fillRect/>
                          </a:stretch>
                        </pic:blipFill>
                        <pic:spPr>
                          <a:xfrm>
                            <a:off x="0" y="0"/>
                            <a:ext cx="2966720" cy="2221230"/>
                          </a:xfrm>
                          <a:prstGeom prst="rect">
                            <a:avLst/>
                          </a:prstGeom>
                          <a:noFill/>
                          <a:ln>
                            <a:noFill/>
                          </a:ln>
                        </pic:spPr>
                      </pic:pic>
                    </a:graphicData>
                  </a:graphic>
                </wp:inline>
              </w:drawing>
            </w:r>
          </w:p>
        </w:tc>
      </w:tr>
      <w:tr w14:paraId="45FAA9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4902" w:type="dxa"/>
            <w:tcBorders>
              <w:tl2br w:val="nil"/>
              <w:tr2bl w:val="nil"/>
            </w:tcBorders>
            <w:vAlign w:val="center"/>
          </w:tcPr>
          <w:p w14:paraId="330292FF">
            <w:pPr>
              <w:spacing w:line="240" w:lineRule="auto"/>
              <w:jc w:val="center"/>
              <w:rPr>
                <w:b/>
                <w:bCs/>
                <w:kern w:val="0"/>
                <w:sz w:val="18"/>
                <w:szCs w:val="18"/>
                <w:highlight w:val="none"/>
              </w:rPr>
            </w:pPr>
            <w:r>
              <w:rPr>
                <w:b/>
                <w:bCs/>
                <w:kern w:val="0"/>
                <w:sz w:val="18"/>
                <w:szCs w:val="18"/>
                <w:highlight w:val="none"/>
              </w:rPr>
              <w:t>地下水成井</w:t>
            </w:r>
          </w:p>
        </w:tc>
        <w:tc>
          <w:tcPr>
            <w:tcW w:w="4896" w:type="dxa"/>
            <w:tcBorders>
              <w:tl2br w:val="nil"/>
              <w:tr2bl w:val="nil"/>
            </w:tcBorders>
            <w:vAlign w:val="center"/>
          </w:tcPr>
          <w:p w14:paraId="60926BD3">
            <w:pPr>
              <w:spacing w:line="240" w:lineRule="auto"/>
              <w:jc w:val="center"/>
              <w:rPr>
                <w:b/>
                <w:bCs/>
                <w:kern w:val="0"/>
                <w:sz w:val="18"/>
                <w:szCs w:val="18"/>
                <w:highlight w:val="none"/>
              </w:rPr>
            </w:pPr>
            <w:r>
              <w:rPr>
                <w:rFonts w:hint="eastAsia"/>
                <w:b/>
                <w:bCs/>
                <w:kern w:val="0"/>
                <w:sz w:val="18"/>
                <w:szCs w:val="18"/>
                <w:highlight w:val="none"/>
                <w:lang w:eastAsia="zh-CN"/>
              </w:rPr>
              <w:t>岩心钻孔照片</w:t>
            </w:r>
          </w:p>
        </w:tc>
      </w:tr>
    </w:tbl>
    <w:p w14:paraId="4C9A8224">
      <w:pPr>
        <w:pStyle w:val="33"/>
        <w:spacing w:before="0" w:beforeLines="0"/>
        <w:rPr>
          <w:rFonts w:eastAsia="宋体"/>
          <w:color w:val="000000"/>
          <w:kern w:val="0"/>
          <w:szCs w:val="24"/>
          <w:highlight w:val="none"/>
        </w:rPr>
      </w:pPr>
      <w:r>
        <w:rPr>
          <w:rFonts w:eastAsia="宋体"/>
          <w:color w:val="000000"/>
          <w:kern w:val="0"/>
          <w:szCs w:val="24"/>
          <w:highlight w:val="none"/>
        </w:rPr>
        <w:t>图4-2-3  典型监测井及地下水取样照片</w:t>
      </w:r>
    </w:p>
    <w:p w14:paraId="3BFD8C23">
      <w:pPr>
        <w:pStyle w:val="6"/>
        <w:numPr>
          <w:ilvl w:val="0"/>
          <w:numId w:val="0"/>
        </w:numPr>
        <w:spacing w:after="0"/>
        <w:jc w:val="left"/>
        <w:rPr>
          <w:color w:val="000000"/>
          <w:kern w:val="0"/>
          <w:highlight w:val="none"/>
        </w:rPr>
      </w:pPr>
      <w:r>
        <w:rPr>
          <w:color w:val="000000"/>
          <w:kern w:val="0"/>
          <w:highlight w:val="none"/>
        </w:rPr>
        <w:t>4.2.2.3样品保存</w:t>
      </w:r>
    </w:p>
    <w:p w14:paraId="5551EBB9">
      <w:pPr>
        <w:ind w:left="1" w:firstLine="480" w:firstLineChars="200"/>
        <w:rPr>
          <w:color w:val="000000"/>
          <w:highlight w:val="none"/>
        </w:rPr>
      </w:pPr>
      <w:r>
        <w:rPr>
          <w:color w:val="000000"/>
          <w:highlight w:val="none"/>
        </w:rPr>
        <w:t>样品贮存间置冷藏柜，防水、防盗和保密措施。样品管理员负责保持样品贮存间的清洁、通风、无腐蚀的环境，并对贮存环境条件加以维持和监控。</w:t>
      </w:r>
    </w:p>
    <w:p w14:paraId="51F038F0">
      <w:pPr>
        <w:pStyle w:val="6"/>
        <w:numPr>
          <w:ilvl w:val="0"/>
          <w:numId w:val="0"/>
        </w:numPr>
        <w:spacing w:after="0"/>
        <w:jc w:val="left"/>
        <w:rPr>
          <w:color w:val="000000"/>
          <w:kern w:val="0"/>
          <w:highlight w:val="none"/>
        </w:rPr>
      </w:pPr>
      <w:r>
        <w:rPr>
          <w:color w:val="000000"/>
          <w:kern w:val="0"/>
          <w:highlight w:val="none"/>
        </w:rPr>
        <w:t>4.2.2.4样品质量控制</w:t>
      </w:r>
    </w:p>
    <w:p w14:paraId="7DEC31A6">
      <w:pPr>
        <w:ind w:left="1" w:firstLine="480" w:firstLineChars="200"/>
        <w:rPr>
          <w:color w:val="000000"/>
          <w:highlight w:val="none"/>
        </w:rPr>
      </w:pPr>
      <w:r>
        <w:rPr>
          <w:color w:val="000000"/>
          <w:highlight w:val="none"/>
        </w:rPr>
        <w:t>采样人员均已通过岗前培训、持证上岗，切实掌握土壤、地下水采样技术，熟知采样器具的使用和样品固定、保存、运输条件。同批次水样，加采现场平行样。每次测试结束后，除必要的留存样外，样品容器均及时清洗。</w:t>
      </w:r>
    </w:p>
    <w:p w14:paraId="63A7AB11">
      <w:pPr>
        <w:pStyle w:val="4"/>
        <w:tabs>
          <w:tab w:val="clear" w:pos="425"/>
        </w:tabs>
        <w:rPr>
          <w:highlight w:val="none"/>
        </w:rPr>
      </w:pPr>
      <w:bookmarkStart w:id="31" w:name="_Toc3486"/>
      <w:r>
        <w:rPr>
          <w:highlight w:val="none"/>
        </w:rPr>
        <w:t>现场记录</w:t>
      </w:r>
      <w:bookmarkEnd w:id="31"/>
    </w:p>
    <w:p w14:paraId="09E93D46">
      <w:pPr>
        <w:pStyle w:val="5"/>
        <w:tabs>
          <w:tab w:val="left" w:pos="425"/>
        </w:tabs>
        <w:rPr>
          <w:color w:val="000000"/>
          <w:highlight w:val="none"/>
        </w:rPr>
      </w:pPr>
      <w:r>
        <w:rPr>
          <w:color w:val="000000"/>
          <w:szCs w:val="20"/>
          <w:highlight w:val="none"/>
        </w:rPr>
        <w:t>土壤快速检测</w:t>
      </w:r>
      <w:r>
        <w:rPr>
          <w:color w:val="000000"/>
          <w:highlight w:val="none"/>
        </w:rPr>
        <w:t>记录</w:t>
      </w:r>
    </w:p>
    <w:p w14:paraId="3A820488">
      <w:pPr>
        <w:pStyle w:val="30"/>
        <w:adjustRightInd w:val="0"/>
        <w:snapToGrid w:val="0"/>
        <w:spacing w:after="0"/>
        <w:ind w:firstLine="480"/>
        <w:rPr>
          <w:color w:val="000000"/>
          <w:highlight w:val="none"/>
        </w:rPr>
      </w:pPr>
      <w:r>
        <w:rPr>
          <w:color w:val="000000"/>
          <w:highlight w:val="none"/>
        </w:rPr>
        <w:t>本次调查期间，采样人员使用手持式光离子化检测器（PID）对位于调查园区内土壤样品进行了快速检测，共测试</w:t>
      </w:r>
      <w:r>
        <w:rPr>
          <w:rFonts w:hint="eastAsia"/>
          <w:color w:val="000000"/>
          <w:highlight w:val="none"/>
        </w:rPr>
        <w:t>11个</w:t>
      </w:r>
      <w:r>
        <w:rPr>
          <w:color w:val="000000"/>
          <w:highlight w:val="none"/>
        </w:rPr>
        <w:t>土壤样品、1个平行盲样。</w:t>
      </w:r>
    </w:p>
    <w:p w14:paraId="0A15D032">
      <w:pPr>
        <w:pStyle w:val="30"/>
        <w:adjustRightInd w:val="0"/>
        <w:snapToGrid w:val="0"/>
        <w:spacing w:after="0"/>
        <w:ind w:firstLine="480"/>
        <w:rPr>
          <w:color w:val="000000"/>
          <w:highlight w:val="none"/>
        </w:rPr>
      </w:pPr>
      <w:r>
        <w:rPr>
          <w:color w:val="000000"/>
          <w:highlight w:val="none"/>
        </w:rPr>
        <w:t>现场记录见附件1。</w:t>
      </w:r>
    </w:p>
    <w:p w14:paraId="4F10C61A">
      <w:pPr>
        <w:pStyle w:val="5"/>
        <w:keepLines w:val="0"/>
        <w:tabs>
          <w:tab w:val="left" w:pos="425"/>
        </w:tabs>
        <w:spacing w:after="0"/>
        <w:rPr>
          <w:highlight w:val="none"/>
        </w:rPr>
      </w:pPr>
      <w:r>
        <w:rPr>
          <w:highlight w:val="none"/>
        </w:rPr>
        <w:t>工程地质条件</w:t>
      </w:r>
    </w:p>
    <w:p w14:paraId="708ADE26">
      <w:pPr>
        <w:ind w:firstLine="480" w:firstLineChars="200"/>
        <w:rPr>
          <w:color w:val="000000"/>
          <w:highlight w:val="none"/>
        </w:rPr>
      </w:pPr>
      <w:r>
        <w:rPr>
          <w:highlight w:val="none"/>
        </w:rPr>
        <w:t>现场土壤样品主要为</w:t>
      </w:r>
      <w:r>
        <w:rPr>
          <w:rFonts w:hint="eastAsia"/>
          <w:highlight w:val="none"/>
        </w:rPr>
        <w:t>表层（0-0.5m）</w:t>
      </w:r>
      <w:r>
        <w:rPr>
          <w:highlight w:val="none"/>
        </w:rPr>
        <w:t>土壤，</w:t>
      </w:r>
      <w:r>
        <w:rPr>
          <w:rFonts w:hint="eastAsia"/>
          <w:highlight w:val="none"/>
          <w:lang w:eastAsia="zh-CN"/>
        </w:rPr>
        <w:t>其类型</w:t>
      </w:r>
      <w:r>
        <w:rPr>
          <w:rFonts w:hint="eastAsia"/>
          <w:highlight w:val="none"/>
        </w:rPr>
        <w:t>主要为杂填土或素填土</w:t>
      </w:r>
      <w:r>
        <w:rPr>
          <w:color w:val="000000"/>
          <w:highlight w:val="none"/>
        </w:rPr>
        <w:t>，表面夹杂</w:t>
      </w:r>
      <w:r>
        <w:rPr>
          <w:rFonts w:hint="eastAsia"/>
          <w:color w:val="000000"/>
          <w:highlight w:val="none"/>
        </w:rPr>
        <w:t>石块</w:t>
      </w:r>
      <w:r>
        <w:rPr>
          <w:color w:val="000000"/>
          <w:highlight w:val="none"/>
        </w:rPr>
        <w:t>、根系等，部分土壤夹杂有少量的</w:t>
      </w:r>
      <w:r>
        <w:rPr>
          <w:rFonts w:hint="eastAsia"/>
          <w:color w:val="000000"/>
          <w:highlight w:val="none"/>
        </w:rPr>
        <w:t>高岭土、黑色铁锰氧化物</w:t>
      </w:r>
      <w:r>
        <w:rPr>
          <w:color w:val="000000"/>
          <w:highlight w:val="none"/>
        </w:rPr>
        <w:t>。</w:t>
      </w:r>
    </w:p>
    <w:p w14:paraId="00206E08">
      <w:pPr>
        <w:ind w:firstLine="480" w:firstLineChars="200"/>
        <w:rPr>
          <w:highlight w:val="none"/>
        </w:rPr>
      </w:pPr>
      <w:r>
        <w:rPr>
          <w:highlight w:val="none"/>
        </w:rPr>
        <w:t>地下水井钻探期间揭露浅部地层分布状况结构描述见表4-3-1。</w:t>
      </w:r>
    </w:p>
    <w:p w14:paraId="235978C4">
      <w:pPr>
        <w:pStyle w:val="2"/>
        <w:spacing w:after="0" w:line="240" w:lineRule="auto"/>
        <w:jc w:val="center"/>
        <w:rPr>
          <w:b/>
          <w:bCs/>
          <w:highlight w:val="none"/>
        </w:rPr>
      </w:pPr>
      <w:r>
        <w:rPr>
          <w:b/>
          <w:bCs/>
          <w:highlight w:val="none"/>
        </w:rPr>
        <w:t xml:space="preserve">表4-3-1 </w:t>
      </w:r>
      <w:r>
        <w:rPr>
          <w:rFonts w:hint="eastAsia"/>
          <w:b/>
          <w:bCs/>
          <w:highlight w:val="none"/>
        </w:rPr>
        <w:t>地下水点位钻孔</w:t>
      </w:r>
      <w:r>
        <w:rPr>
          <w:b/>
          <w:bCs/>
          <w:highlight w:val="none"/>
        </w:rPr>
        <w:t>地层分布状况</w:t>
      </w:r>
    </w:p>
    <w:tbl>
      <w:tblPr>
        <w:tblStyle w:val="21"/>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23"/>
        <w:gridCol w:w="942"/>
        <w:gridCol w:w="1124"/>
        <w:gridCol w:w="698"/>
        <w:gridCol w:w="476"/>
        <w:gridCol w:w="476"/>
        <w:gridCol w:w="701"/>
        <w:gridCol w:w="4261"/>
      </w:tblGrid>
      <w:tr w14:paraId="1F3B18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80" w:type="pct"/>
            <w:tcBorders>
              <w:bottom w:val="single" w:color="auto" w:sz="12" w:space="0"/>
            </w:tcBorders>
            <w:shd w:val="clear" w:color="auto" w:fill="auto"/>
            <w:noWrap/>
            <w:tcMar>
              <w:top w:w="15" w:type="dxa"/>
              <w:left w:w="15" w:type="dxa"/>
              <w:right w:w="15" w:type="dxa"/>
            </w:tcMar>
            <w:vAlign w:val="center"/>
          </w:tcPr>
          <w:p w14:paraId="71E88027">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钻井编号</w:t>
            </w:r>
          </w:p>
        </w:tc>
        <w:tc>
          <w:tcPr>
            <w:tcW w:w="490" w:type="pct"/>
            <w:tcBorders>
              <w:bottom w:val="single" w:color="auto" w:sz="12" w:space="0"/>
            </w:tcBorders>
            <w:shd w:val="clear" w:color="auto" w:fill="auto"/>
            <w:noWrap/>
            <w:tcMar>
              <w:top w:w="15" w:type="dxa"/>
              <w:left w:w="15" w:type="dxa"/>
              <w:right w:w="15" w:type="dxa"/>
            </w:tcMar>
            <w:vAlign w:val="center"/>
          </w:tcPr>
          <w:p w14:paraId="7F67BD7E">
            <w:pPr>
              <w:widowControl/>
              <w:spacing w:line="240" w:lineRule="auto"/>
              <w:jc w:val="center"/>
              <w:textAlignment w:val="center"/>
              <w:rPr>
                <w:b/>
                <w:bCs/>
                <w:color w:val="000000"/>
                <w:kern w:val="0"/>
                <w:sz w:val="21"/>
                <w:szCs w:val="21"/>
                <w:highlight w:val="none"/>
                <w:lang w:bidi="ar"/>
              </w:rPr>
            </w:pPr>
            <w:r>
              <w:rPr>
                <w:b/>
                <w:bCs/>
                <w:color w:val="000000"/>
                <w:kern w:val="0"/>
                <w:sz w:val="21"/>
                <w:szCs w:val="21"/>
                <w:highlight w:val="none"/>
                <w:lang w:bidi="ar"/>
              </w:rPr>
              <w:t>钻井深度</w:t>
            </w:r>
          </w:p>
          <w:p w14:paraId="002A0E31">
            <w:pPr>
              <w:widowControl/>
              <w:spacing w:line="240" w:lineRule="auto"/>
              <w:jc w:val="center"/>
              <w:textAlignment w:val="center"/>
              <w:rPr>
                <w:b/>
                <w:bCs/>
                <w:color w:val="000000"/>
                <w:sz w:val="21"/>
                <w:szCs w:val="21"/>
                <w:highlight w:val="none"/>
              </w:rPr>
            </w:pPr>
            <w:r>
              <w:rPr>
                <w:rFonts w:hint="eastAsia"/>
                <w:b/>
                <w:bCs/>
                <w:color w:val="000000"/>
                <w:kern w:val="0"/>
                <w:sz w:val="21"/>
                <w:szCs w:val="21"/>
                <w:highlight w:val="none"/>
                <w:lang w:bidi="ar"/>
              </w:rPr>
              <w:t>（m）</w:t>
            </w:r>
          </w:p>
        </w:tc>
        <w:tc>
          <w:tcPr>
            <w:tcW w:w="585" w:type="pct"/>
            <w:tcBorders>
              <w:bottom w:val="single" w:color="auto" w:sz="12" w:space="0"/>
            </w:tcBorders>
            <w:shd w:val="clear" w:color="auto" w:fill="auto"/>
            <w:noWrap/>
            <w:tcMar>
              <w:top w:w="15" w:type="dxa"/>
              <w:left w:w="15" w:type="dxa"/>
              <w:right w:w="15" w:type="dxa"/>
            </w:tcMar>
            <w:vAlign w:val="center"/>
          </w:tcPr>
          <w:p w14:paraId="29CA1ACC">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土壤类型</w:t>
            </w:r>
          </w:p>
        </w:tc>
        <w:tc>
          <w:tcPr>
            <w:tcW w:w="363" w:type="pct"/>
            <w:tcBorders>
              <w:bottom w:val="single" w:color="auto" w:sz="12" w:space="0"/>
            </w:tcBorders>
            <w:shd w:val="clear" w:color="auto" w:fill="auto"/>
            <w:noWrap/>
            <w:tcMar>
              <w:top w:w="15" w:type="dxa"/>
              <w:left w:w="15" w:type="dxa"/>
              <w:right w:w="15" w:type="dxa"/>
            </w:tcMar>
            <w:vAlign w:val="center"/>
          </w:tcPr>
          <w:p w14:paraId="2B56C814">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颜色</w:t>
            </w:r>
          </w:p>
        </w:tc>
        <w:tc>
          <w:tcPr>
            <w:tcW w:w="248" w:type="pct"/>
            <w:tcBorders>
              <w:bottom w:val="single" w:color="auto" w:sz="12" w:space="0"/>
            </w:tcBorders>
            <w:shd w:val="clear" w:color="auto" w:fill="auto"/>
            <w:noWrap/>
            <w:tcMar>
              <w:top w:w="15" w:type="dxa"/>
              <w:left w:w="15" w:type="dxa"/>
              <w:right w:w="15" w:type="dxa"/>
            </w:tcMar>
            <w:vAlign w:val="center"/>
          </w:tcPr>
          <w:p w14:paraId="227703B1">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湿度</w:t>
            </w:r>
          </w:p>
        </w:tc>
        <w:tc>
          <w:tcPr>
            <w:tcW w:w="248" w:type="pct"/>
            <w:tcBorders>
              <w:bottom w:val="single" w:color="auto" w:sz="12" w:space="0"/>
            </w:tcBorders>
            <w:shd w:val="clear" w:color="auto" w:fill="auto"/>
            <w:noWrap/>
            <w:tcMar>
              <w:top w:w="15" w:type="dxa"/>
              <w:left w:w="15" w:type="dxa"/>
              <w:right w:w="15" w:type="dxa"/>
            </w:tcMar>
            <w:vAlign w:val="center"/>
          </w:tcPr>
          <w:p w14:paraId="774F3B22">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气味</w:t>
            </w:r>
          </w:p>
        </w:tc>
        <w:tc>
          <w:tcPr>
            <w:tcW w:w="365" w:type="pct"/>
            <w:tcBorders>
              <w:bottom w:val="single" w:color="auto" w:sz="12" w:space="0"/>
            </w:tcBorders>
            <w:shd w:val="clear" w:color="auto" w:fill="auto"/>
            <w:noWrap/>
            <w:tcMar>
              <w:top w:w="15" w:type="dxa"/>
              <w:left w:w="15" w:type="dxa"/>
              <w:right w:w="15" w:type="dxa"/>
            </w:tcMar>
            <w:vAlign w:val="center"/>
          </w:tcPr>
          <w:p w14:paraId="740EFC9A">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可塑性</w:t>
            </w:r>
          </w:p>
        </w:tc>
        <w:tc>
          <w:tcPr>
            <w:tcW w:w="2218" w:type="pct"/>
            <w:tcBorders>
              <w:bottom w:val="single" w:color="auto" w:sz="12" w:space="0"/>
            </w:tcBorders>
            <w:shd w:val="clear" w:color="auto" w:fill="auto"/>
            <w:noWrap/>
            <w:tcMar>
              <w:top w:w="15" w:type="dxa"/>
              <w:left w:w="15" w:type="dxa"/>
              <w:right w:w="15" w:type="dxa"/>
            </w:tcMar>
            <w:vAlign w:val="center"/>
          </w:tcPr>
          <w:p w14:paraId="2CF6EBC6">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夹杂物</w:t>
            </w:r>
          </w:p>
        </w:tc>
      </w:tr>
      <w:tr w14:paraId="764BE0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80" w:type="pct"/>
            <w:vMerge w:val="restart"/>
            <w:tcBorders>
              <w:top w:val="single" w:color="auto" w:sz="12" w:space="0"/>
              <w:tl2br w:val="nil"/>
              <w:tr2bl w:val="nil"/>
            </w:tcBorders>
            <w:shd w:val="clear" w:color="auto" w:fill="auto"/>
            <w:noWrap/>
            <w:tcMar>
              <w:top w:w="15" w:type="dxa"/>
              <w:left w:w="15" w:type="dxa"/>
              <w:right w:w="15" w:type="dxa"/>
            </w:tcMar>
            <w:vAlign w:val="center"/>
          </w:tcPr>
          <w:p w14:paraId="39EA1191">
            <w:pPr>
              <w:widowControl/>
              <w:spacing w:line="240" w:lineRule="auto"/>
              <w:jc w:val="center"/>
              <w:textAlignment w:val="center"/>
              <w:rPr>
                <w:color w:val="000000"/>
                <w:sz w:val="21"/>
                <w:szCs w:val="21"/>
                <w:highlight w:val="none"/>
              </w:rPr>
            </w:pPr>
            <w:r>
              <w:rPr>
                <w:rFonts w:hint="eastAsia"/>
                <w:color w:val="000000"/>
                <w:kern w:val="0"/>
                <w:sz w:val="21"/>
                <w:szCs w:val="21"/>
                <w:highlight w:val="none"/>
                <w:lang w:bidi="ar"/>
              </w:rPr>
              <w:t>HH</w:t>
            </w:r>
            <w:r>
              <w:rPr>
                <w:color w:val="000000"/>
                <w:kern w:val="0"/>
                <w:sz w:val="21"/>
                <w:szCs w:val="21"/>
                <w:highlight w:val="none"/>
                <w:lang w:bidi="ar"/>
              </w:rPr>
              <w:t>-W1</w:t>
            </w:r>
          </w:p>
        </w:tc>
        <w:tc>
          <w:tcPr>
            <w:tcW w:w="490" w:type="pct"/>
            <w:tcBorders>
              <w:top w:val="single" w:color="auto" w:sz="12" w:space="0"/>
              <w:tl2br w:val="nil"/>
              <w:tr2bl w:val="nil"/>
            </w:tcBorders>
            <w:shd w:val="clear" w:color="auto" w:fill="auto"/>
            <w:noWrap/>
            <w:tcMar>
              <w:top w:w="15" w:type="dxa"/>
              <w:left w:w="15" w:type="dxa"/>
              <w:right w:w="15" w:type="dxa"/>
            </w:tcMar>
            <w:vAlign w:val="center"/>
          </w:tcPr>
          <w:p w14:paraId="6B4EA804">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0~1.5</w:t>
            </w:r>
          </w:p>
        </w:tc>
        <w:tc>
          <w:tcPr>
            <w:tcW w:w="585" w:type="pct"/>
            <w:tcBorders>
              <w:top w:val="single" w:color="auto" w:sz="12" w:space="0"/>
              <w:tl2br w:val="nil"/>
              <w:tr2bl w:val="nil"/>
            </w:tcBorders>
            <w:shd w:val="clear" w:color="auto" w:fill="auto"/>
            <w:noWrap/>
            <w:tcMar>
              <w:top w:w="15" w:type="dxa"/>
              <w:left w:w="15" w:type="dxa"/>
              <w:right w:w="15" w:type="dxa"/>
            </w:tcMar>
            <w:vAlign w:val="center"/>
          </w:tcPr>
          <w:p w14:paraId="3602F599">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杂填土</w:t>
            </w:r>
          </w:p>
        </w:tc>
        <w:tc>
          <w:tcPr>
            <w:tcW w:w="363" w:type="pct"/>
            <w:tcBorders>
              <w:top w:val="single" w:color="auto" w:sz="12" w:space="0"/>
              <w:tl2br w:val="nil"/>
              <w:tr2bl w:val="nil"/>
            </w:tcBorders>
            <w:shd w:val="clear" w:color="auto" w:fill="auto"/>
            <w:noWrap/>
            <w:tcMar>
              <w:top w:w="15" w:type="dxa"/>
              <w:left w:w="15" w:type="dxa"/>
              <w:right w:w="15" w:type="dxa"/>
            </w:tcMar>
            <w:vAlign w:val="center"/>
          </w:tcPr>
          <w:p w14:paraId="39960427">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杂色</w:t>
            </w:r>
          </w:p>
        </w:tc>
        <w:tc>
          <w:tcPr>
            <w:tcW w:w="248" w:type="pct"/>
            <w:tcBorders>
              <w:top w:val="single" w:color="auto" w:sz="12" w:space="0"/>
              <w:tl2br w:val="nil"/>
              <w:tr2bl w:val="nil"/>
            </w:tcBorders>
            <w:shd w:val="clear" w:color="auto" w:fill="auto"/>
            <w:noWrap/>
            <w:tcMar>
              <w:top w:w="15" w:type="dxa"/>
              <w:left w:w="15" w:type="dxa"/>
              <w:right w:w="15" w:type="dxa"/>
            </w:tcMar>
            <w:vAlign w:val="center"/>
          </w:tcPr>
          <w:p w14:paraId="75E04F18">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稍湿</w:t>
            </w:r>
          </w:p>
        </w:tc>
        <w:tc>
          <w:tcPr>
            <w:tcW w:w="248" w:type="pct"/>
            <w:tcBorders>
              <w:top w:val="single" w:color="auto" w:sz="12" w:space="0"/>
              <w:tl2br w:val="nil"/>
              <w:tr2bl w:val="nil"/>
            </w:tcBorders>
            <w:shd w:val="clear" w:color="auto" w:fill="auto"/>
            <w:noWrap/>
            <w:tcMar>
              <w:top w:w="15" w:type="dxa"/>
              <w:left w:w="15" w:type="dxa"/>
              <w:right w:w="15" w:type="dxa"/>
            </w:tcMar>
            <w:vAlign w:val="center"/>
          </w:tcPr>
          <w:p w14:paraId="1AE469B0">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无</w:t>
            </w:r>
          </w:p>
        </w:tc>
        <w:tc>
          <w:tcPr>
            <w:tcW w:w="365" w:type="pct"/>
            <w:tcBorders>
              <w:top w:val="single" w:color="auto" w:sz="12" w:space="0"/>
              <w:tl2br w:val="nil"/>
              <w:tr2bl w:val="nil"/>
            </w:tcBorders>
            <w:shd w:val="clear" w:color="auto" w:fill="auto"/>
            <w:noWrap/>
            <w:tcMar>
              <w:top w:w="15" w:type="dxa"/>
              <w:left w:w="15" w:type="dxa"/>
              <w:right w:w="15" w:type="dxa"/>
            </w:tcMar>
            <w:vAlign w:val="center"/>
          </w:tcPr>
          <w:p w14:paraId="75D20A27">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松散</w:t>
            </w:r>
          </w:p>
        </w:tc>
        <w:tc>
          <w:tcPr>
            <w:tcW w:w="2218" w:type="pct"/>
            <w:tcBorders>
              <w:top w:val="single" w:color="auto" w:sz="12" w:space="0"/>
              <w:tl2br w:val="nil"/>
              <w:tr2bl w:val="nil"/>
            </w:tcBorders>
            <w:shd w:val="clear" w:color="auto" w:fill="auto"/>
            <w:noWrap/>
            <w:tcMar>
              <w:top w:w="15" w:type="dxa"/>
              <w:left w:w="15" w:type="dxa"/>
              <w:right w:w="15" w:type="dxa"/>
            </w:tcMar>
            <w:vAlign w:val="center"/>
          </w:tcPr>
          <w:p w14:paraId="386557F4">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表层含建渣、碎石，夹植物根系</w:t>
            </w:r>
          </w:p>
        </w:tc>
      </w:tr>
      <w:tr w14:paraId="1BA9C3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80" w:type="pct"/>
            <w:vMerge w:val="continue"/>
            <w:tcBorders>
              <w:tl2br w:val="nil"/>
              <w:tr2bl w:val="nil"/>
            </w:tcBorders>
            <w:shd w:val="clear" w:color="auto" w:fill="auto"/>
            <w:noWrap/>
            <w:tcMar>
              <w:top w:w="15" w:type="dxa"/>
              <w:left w:w="15" w:type="dxa"/>
              <w:right w:w="15" w:type="dxa"/>
            </w:tcMar>
            <w:vAlign w:val="center"/>
          </w:tcPr>
          <w:p w14:paraId="7FB318F3">
            <w:pPr>
              <w:spacing w:line="240" w:lineRule="auto"/>
              <w:jc w:val="center"/>
              <w:rPr>
                <w:color w:val="000000"/>
                <w:sz w:val="21"/>
                <w:szCs w:val="21"/>
                <w:highlight w:val="none"/>
              </w:rPr>
            </w:pPr>
          </w:p>
        </w:tc>
        <w:tc>
          <w:tcPr>
            <w:tcW w:w="490" w:type="pct"/>
            <w:tcBorders>
              <w:tl2br w:val="nil"/>
              <w:tr2bl w:val="nil"/>
            </w:tcBorders>
            <w:shd w:val="clear" w:color="auto" w:fill="auto"/>
            <w:noWrap/>
            <w:tcMar>
              <w:top w:w="15" w:type="dxa"/>
              <w:left w:w="15" w:type="dxa"/>
              <w:right w:w="15" w:type="dxa"/>
            </w:tcMar>
            <w:vAlign w:val="center"/>
          </w:tcPr>
          <w:p w14:paraId="36852C39">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1.5~2.5</w:t>
            </w:r>
          </w:p>
        </w:tc>
        <w:tc>
          <w:tcPr>
            <w:tcW w:w="585" w:type="pct"/>
            <w:tcBorders>
              <w:tl2br w:val="nil"/>
              <w:tr2bl w:val="nil"/>
            </w:tcBorders>
            <w:shd w:val="clear" w:color="auto" w:fill="auto"/>
            <w:noWrap/>
            <w:tcMar>
              <w:top w:w="15" w:type="dxa"/>
              <w:left w:w="15" w:type="dxa"/>
              <w:right w:w="15" w:type="dxa"/>
            </w:tcMar>
            <w:vAlign w:val="center"/>
          </w:tcPr>
          <w:p w14:paraId="4E5174B4">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混凝土</w:t>
            </w:r>
          </w:p>
        </w:tc>
        <w:tc>
          <w:tcPr>
            <w:tcW w:w="363" w:type="pct"/>
            <w:tcBorders>
              <w:tl2br w:val="nil"/>
              <w:tr2bl w:val="nil"/>
            </w:tcBorders>
            <w:shd w:val="clear" w:color="auto" w:fill="auto"/>
            <w:noWrap/>
            <w:tcMar>
              <w:top w:w="15" w:type="dxa"/>
              <w:left w:w="15" w:type="dxa"/>
              <w:right w:w="15" w:type="dxa"/>
            </w:tcMar>
            <w:vAlign w:val="center"/>
          </w:tcPr>
          <w:p w14:paraId="26CA96B3">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w:t>
            </w:r>
          </w:p>
        </w:tc>
        <w:tc>
          <w:tcPr>
            <w:tcW w:w="248" w:type="pct"/>
            <w:tcBorders>
              <w:tl2br w:val="nil"/>
              <w:tr2bl w:val="nil"/>
            </w:tcBorders>
            <w:shd w:val="clear" w:color="auto" w:fill="auto"/>
            <w:noWrap/>
            <w:tcMar>
              <w:top w:w="15" w:type="dxa"/>
              <w:left w:w="15" w:type="dxa"/>
              <w:right w:w="15" w:type="dxa"/>
            </w:tcMar>
            <w:vAlign w:val="center"/>
          </w:tcPr>
          <w:p w14:paraId="645048A2">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w:t>
            </w:r>
          </w:p>
        </w:tc>
        <w:tc>
          <w:tcPr>
            <w:tcW w:w="248" w:type="pct"/>
            <w:tcBorders>
              <w:tl2br w:val="nil"/>
              <w:tr2bl w:val="nil"/>
            </w:tcBorders>
            <w:shd w:val="clear" w:color="auto" w:fill="auto"/>
            <w:noWrap/>
            <w:tcMar>
              <w:top w:w="15" w:type="dxa"/>
              <w:left w:w="15" w:type="dxa"/>
              <w:right w:w="15" w:type="dxa"/>
            </w:tcMar>
            <w:vAlign w:val="center"/>
          </w:tcPr>
          <w:p w14:paraId="34FF9F72">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w:t>
            </w:r>
          </w:p>
        </w:tc>
        <w:tc>
          <w:tcPr>
            <w:tcW w:w="365" w:type="pct"/>
            <w:tcBorders>
              <w:tl2br w:val="nil"/>
              <w:tr2bl w:val="nil"/>
            </w:tcBorders>
            <w:shd w:val="clear" w:color="auto" w:fill="auto"/>
            <w:noWrap/>
            <w:tcMar>
              <w:top w:w="15" w:type="dxa"/>
              <w:left w:w="15" w:type="dxa"/>
              <w:right w:w="15" w:type="dxa"/>
            </w:tcMar>
            <w:vAlign w:val="center"/>
          </w:tcPr>
          <w:p w14:paraId="2B10C6D4">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w:t>
            </w:r>
          </w:p>
        </w:tc>
        <w:tc>
          <w:tcPr>
            <w:tcW w:w="2218" w:type="pct"/>
            <w:tcBorders>
              <w:tl2br w:val="nil"/>
              <w:tr2bl w:val="nil"/>
            </w:tcBorders>
            <w:shd w:val="clear" w:color="auto" w:fill="auto"/>
            <w:noWrap/>
            <w:tcMar>
              <w:top w:w="15" w:type="dxa"/>
              <w:left w:w="15" w:type="dxa"/>
              <w:right w:w="15" w:type="dxa"/>
            </w:tcMar>
            <w:vAlign w:val="center"/>
          </w:tcPr>
          <w:p w14:paraId="2CBC0C69">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w:t>
            </w:r>
          </w:p>
        </w:tc>
      </w:tr>
      <w:tr w14:paraId="427BD9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80" w:type="pct"/>
            <w:vMerge w:val="continue"/>
            <w:tcBorders>
              <w:tl2br w:val="nil"/>
              <w:tr2bl w:val="nil"/>
            </w:tcBorders>
            <w:shd w:val="clear" w:color="auto" w:fill="auto"/>
            <w:noWrap/>
            <w:tcMar>
              <w:top w:w="15" w:type="dxa"/>
              <w:left w:w="15" w:type="dxa"/>
              <w:right w:w="15" w:type="dxa"/>
            </w:tcMar>
            <w:vAlign w:val="center"/>
          </w:tcPr>
          <w:p w14:paraId="71C2D7D4">
            <w:pPr>
              <w:spacing w:line="240" w:lineRule="auto"/>
              <w:jc w:val="center"/>
              <w:rPr>
                <w:color w:val="000000"/>
                <w:sz w:val="21"/>
                <w:szCs w:val="21"/>
                <w:highlight w:val="none"/>
              </w:rPr>
            </w:pPr>
          </w:p>
        </w:tc>
        <w:tc>
          <w:tcPr>
            <w:tcW w:w="490" w:type="pct"/>
            <w:tcBorders>
              <w:tl2br w:val="nil"/>
              <w:tr2bl w:val="nil"/>
            </w:tcBorders>
            <w:shd w:val="clear" w:color="auto" w:fill="auto"/>
            <w:noWrap/>
            <w:tcMar>
              <w:top w:w="15" w:type="dxa"/>
              <w:left w:w="15" w:type="dxa"/>
              <w:right w:w="15" w:type="dxa"/>
            </w:tcMar>
            <w:vAlign w:val="center"/>
          </w:tcPr>
          <w:p w14:paraId="4F76ECB7">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2.5~3.4</w:t>
            </w:r>
          </w:p>
        </w:tc>
        <w:tc>
          <w:tcPr>
            <w:tcW w:w="585" w:type="pct"/>
            <w:tcBorders>
              <w:tl2br w:val="nil"/>
              <w:tr2bl w:val="nil"/>
            </w:tcBorders>
            <w:shd w:val="clear" w:color="auto" w:fill="auto"/>
            <w:noWrap/>
            <w:tcMar>
              <w:top w:w="15" w:type="dxa"/>
              <w:left w:w="15" w:type="dxa"/>
              <w:right w:w="15" w:type="dxa"/>
            </w:tcMar>
            <w:vAlign w:val="center"/>
          </w:tcPr>
          <w:p w14:paraId="6ADA9C08">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粘土</w:t>
            </w:r>
          </w:p>
        </w:tc>
        <w:tc>
          <w:tcPr>
            <w:tcW w:w="363" w:type="pct"/>
            <w:tcBorders>
              <w:tl2br w:val="nil"/>
              <w:tr2bl w:val="nil"/>
            </w:tcBorders>
            <w:shd w:val="clear" w:color="auto" w:fill="auto"/>
            <w:noWrap/>
            <w:tcMar>
              <w:top w:w="15" w:type="dxa"/>
              <w:left w:w="15" w:type="dxa"/>
              <w:right w:w="15" w:type="dxa"/>
            </w:tcMar>
            <w:vAlign w:val="center"/>
          </w:tcPr>
          <w:p w14:paraId="21969F22">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黄褐色</w:t>
            </w:r>
          </w:p>
        </w:tc>
        <w:tc>
          <w:tcPr>
            <w:tcW w:w="248" w:type="pct"/>
            <w:tcBorders>
              <w:tl2br w:val="nil"/>
              <w:tr2bl w:val="nil"/>
            </w:tcBorders>
            <w:shd w:val="clear" w:color="auto" w:fill="auto"/>
            <w:noWrap/>
            <w:tcMar>
              <w:top w:w="15" w:type="dxa"/>
              <w:left w:w="15" w:type="dxa"/>
              <w:right w:w="15" w:type="dxa"/>
            </w:tcMar>
            <w:vAlign w:val="center"/>
          </w:tcPr>
          <w:p w14:paraId="70D2A858">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湿</w:t>
            </w:r>
          </w:p>
        </w:tc>
        <w:tc>
          <w:tcPr>
            <w:tcW w:w="248" w:type="pct"/>
            <w:tcBorders>
              <w:tl2br w:val="nil"/>
              <w:tr2bl w:val="nil"/>
            </w:tcBorders>
            <w:shd w:val="clear" w:color="auto" w:fill="auto"/>
            <w:noWrap/>
            <w:tcMar>
              <w:top w:w="15" w:type="dxa"/>
              <w:left w:w="15" w:type="dxa"/>
              <w:right w:w="15" w:type="dxa"/>
            </w:tcMar>
            <w:vAlign w:val="center"/>
          </w:tcPr>
          <w:p w14:paraId="50A0FB31">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无</w:t>
            </w:r>
          </w:p>
        </w:tc>
        <w:tc>
          <w:tcPr>
            <w:tcW w:w="365" w:type="pct"/>
            <w:tcBorders>
              <w:tl2br w:val="nil"/>
              <w:tr2bl w:val="nil"/>
            </w:tcBorders>
            <w:shd w:val="clear" w:color="auto" w:fill="auto"/>
            <w:noWrap/>
            <w:tcMar>
              <w:top w:w="15" w:type="dxa"/>
              <w:left w:w="15" w:type="dxa"/>
              <w:right w:w="15" w:type="dxa"/>
            </w:tcMar>
            <w:vAlign w:val="center"/>
          </w:tcPr>
          <w:p w14:paraId="0BE0983E">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软塑</w:t>
            </w:r>
          </w:p>
        </w:tc>
        <w:tc>
          <w:tcPr>
            <w:tcW w:w="2218" w:type="pct"/>
            <w:tcBorders>
              <w:tl2br w:val="nil"/>
              <w:tr2bl w:val="nil"/>
            </w:tcBorders>
            <w:shd w:val="clear" w:color="auto" w:fill="auto"/>
            <w:noWrap/>
            <w:tcMar>
              <w:top w:w="15" w:type="dxa"/>
              <w:left w:w="15" w:type="dxa"/>
              <w:right w:w="15" w:type="dxa"/>
            </w:tcMar>
            <w:vAlign w:val="center"/>
          </w:tcPr>
          <w:p w14:paraId="22E73C33">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局部夹少量灰白色高岭土</w:t>
            </w:r>
          </w:p>
        </w:tc>
      </w:tr>
      <w:tr w14:paraId="5DDADE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80" w:type="pct"/>
            <w:vMerge w:val="continue"/>
            <w:tcBorders>
              <w:tl2br w:val="nil"/>
              <w:tr2bl w:val="nil"/>
            </w:tcBorders>
            <w:shd w:val="clear" w:color="auto" w:fill="auto"/>
            <w:noWrap/>
            <w:tcMar>
              <w:top w:w="15" w:type="dxa"/>
              <w:left w:w="15" w:type="dxa"/>
              <w:right w:w="15" w:type="dxa"/>
            </w:tcMar>
            <w:vAlign w:val="center"/>
          </w:tcPr>
          <w:p w14:paraId="0D1F47FF">
            <w:pPr>
              <w:spacing w:line="240" w:lineRule="auto"/>
              <w:jc w:val="center"/>
              <w:rPr>
                <w:color w:val="000000"/>
                <w:sz w:val="21"/>
                <w:szCs w:val="21"/>
                <w:highlight w:val="none"/>
              </w:rPr>
            </w:pPr>
          </w:p>
        </w:tc>
        <w:tc>
          <w:tcPr>
            <w:tcW w:w="490" w:type="pct"/>
            <w:tcBorders>
              <w:tl2br w:val="nil"/>
              <w:tr2bl w:val="nil"/>
            </w:tcBorders>
            <w:shd w:val="clear" w:color="auto" w:fill="auto"/>
            <w:noWrap/>
            <w:tcMar>
              <w:top w:w="15" w:type="dxa"/>
              <w:left w:w="15" w:type="dxa"/>
              <w:right w:w="15" w:type="dxa"/>
            </w:tcMar>
            <w:vAlign w:val="center"/>
          </w:tcPr>
          <w:p w14:paraId="74224637">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3.4~5.3</w:t>
            </w:r>
          </w:p>
        </w:tc>
        <w:tc>
          <w:tcPr>
            <w:tcW w:w="585" w:type="pct"/>
            <w:tcBorders>
              <w:tl2br w:val="nil"/>
              <w:tr2bl w:val="nil"/>
            </w:tcBorders>
            <w:shd w:val="clear" w:color="auto" w:fill="auto"/>
            <w:noWrap/>
            <w:tcMar>
              <w:top w:w="15" w:type="dxa"/>
              <w:left w:w="15" w:type="dxa"/>
              <w:right w:w="15" w:type="dxa"/>
            </w:tcMar>
            <w:vAlign w:val="center"/>
          </w:tcPr>
          <w:p w14:paraId="635CF86E">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粘土</w:t>
            </w:r>
          </w:p>
        </w:tc>
        <w:tc>
          <w:tcPr>
            <w:tcW w:w="363" w:type="pct"/>
            <w:tcBorders>
              <w:tl2br w:val="nil"/>
              <w:tr2bl w:val="nil"/>
            </w:tcBorders>
            <w:shd w:val="clear" w:color="auto" w:fill="auto"/>
            <w:noWrap/>
            <w:tcMar>
              <w:top w:w="15" w:type="dxa"/>
              <w:left w:w="15" w:type="dxa"/>
              <w:right w:w="15" w:type="dxa"/>
            </w:tcMar>
            <w:vAlign w:val="center"/>
          </w:tcPr>
          <w:p w14:paraId="70C1C99C">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黄褐色</w:t>
            </w:r>
          </w:p>
        </w:tc>
        <w:tc>
          <w:tcPr>
            <w:tcW w:w="248" w:type="pct"/>
            <w:tcBorders>
              <w:tl2br w:val="nil"/>
              <w:tr2bl w:val="nil"/>
            </w:tcBorders>
            <w:shd w:val="clear" w:color="auto" w:fill="auto"/>
            <w:noWrap/>
            <w:tcMar>
              <w:top w:w="15" w:type="dxa"/>
              <w:left w:w="15" w:type="dxa"/>
              <w:right w:w="15" w:type="dxa"/>
            </w:tcMar>
            <w:vAlign w:val="center"/>
          </w:tcPr>
          <w:p w14:paraId="6195C42C">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稍湿</w:t>
            </w:r>
          </w:p>
        </w:tc>
        <w:tc>
          <w:tcPr>
            <w:tcW w:w="248" w:type="pct"/>
            <w:tcBorders>
              <w:tl2br w:val="nil"/>
              <w:tr2bl w:val="nil"/>
            </w:tcBorders>
            <w:shd w:val="clear" w:color="auto" w:fill="auto"/>
            <w:noWrap/>
            <w:tcMar>
              <w:top w:w="15" w:type="dxa"/>
              <w:left w:w="15" w:type="dxa"/>
              <w:right w:w="15" w:type="dxa"/>
            </w:tcMar>
            <w:vAlign w:val="center"/>
          </w:tcPr>
          <w:p w14:paraId="7838B565">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无</w:t>
            </w:r>
          </w:p>
        </w:tc>
        <w:tc>
          <w:tcPr>
            <w:tcW w:w="365" w:type="pct"/>
            <w:tcBorders>
              <w:tl2br w:val="nil"/>
              <w:tr2bl w:val="nil"/>
            </w:tcBorders>
            <w:shd w:val="clear" w:color="auto" w:fill="auto"/>
            <w:noWrap/>
            <w:tcMar>
              <w:top w:w="15" w:type="dxa"/>
              <w:left w:w="15" w:type="dxa"/>
              <w:right w:w="15" w:type="dxa"/>
            </w:tcMar>
            <w:vAlign w:val="center"/>
          </w:tcPr>
          <w:p w14:paraId="5CD68D10">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可塑</w:t>
            </w:r>
          </w:p>
        </w:tc>
        <w:tc>
          <w:tcPr>
            <w:tcW w:w="2218" w:type="pct"/>
            <w:tcBorders>
              <w:tl2br w:val="nil"/>
              <w:tr2bl w:val="nil"/>
            </w:tcBorders>
            <w:shd w:val="clear" w:color="auto" w:fill="auto"/>
            <w:noWrap/>
            <w:tcMar>
              <w:top w:w="15" w:type="dxa"/>
              <w:left w:w="15" w:type="dxa"/>
              <w:right w:w="15" w:type="dxa"/>
            </w:tcMar>
            <w:vAlign w:val="center"/>
          </w:tcPr>
          <w:p w14:paraId="62605BC6">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局部夹少量灰白色高岭土</w:t>
            </w:r>
          </w:p>
        </w:tc>
      </w:tr>
      <w:tr w14:paraId="7C72CB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80" w:type="pct"/>
            <w:vMerge w:val="continue"/>
            <w:tcBorders>
              <w:tl2br w:val="nil"/>
              <w:tr2bl w:val="nil"/>
            </w:tcBorders>
            <w:shd w:val="clear" w:color="auto" w:fill="auto"/>
            <w:noWrap/>
            <w:tcMar>
              <w:top w:w="15" w:type="dxa"/>
              <w:left w:w="15" w:type="dxa"/>
              <w:right w:w="15" w:type="dxa"/>
            </w:tcMar>
            <w:vAlign w:val="center"/>
          </w:tcPr>
          <w:p w14:paraId="4F141C52">
            <w:pPr>
              <w:spacing w:line="240" w:lineRule="auto"/>
              <w:jc w:val="center"/>
              <w:rPr>
                <w:color w:val="000000"/>
                <w:sz w:val="21"/>
                <w:szCs w:val="21"/>
                <w:highlight w:val="none"/>
              </w:rPr>
            </w:pPr>
          </w:p>
        </w:tc>
        <w:tc>
          <w:tcPr>
            <w:tcW w:w="490" w:type="pct"/>
            <w:tcBorders>
              <w:tl2br w:val="nil"/>
              <w:tr2bl w:val="nil"/>
            </w:tcBorders>
            <w:shd w:val="clear" w:color="auto" w:fill="auto"/>
            <w:noWrap/>
            <w:tcMar>
              <w:top w:w="15" w:type="dxa"/>
              <w:left w:w="15" w:type="dxa"/>
              <w:right w:w="15" w:type="dxa"/>
            </w:tcMar>
            <w:vAlign w:val="center"/>
          </w:tcPr>
          <w:p w14:paraId="09B00B01">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5.3~6.0</w:t>
            </w:r>
          </w:p>
        </w:tc>
        <w:tc>
          <w:tcPr>
            <w:tcW w:w="585" w:type="pct"/>
            <w:tcBorders>
              <w:tl2br w:val="nil"/>
              <w:tr2bl w:val="nil"/>
            </w:tcBorders>
            <w:shd w:val="clear" w:color="auto" w:fill="auto"/>
            <w:noWrap/>
            <w:tcMar>
              <w:top w:w="15" w:type="dxa"/>
              <w:left w:w="15" w:type="dxa"/>
              <w:right w:w="15" w:type="dxa"/>
            </w:tcMar>
            <w:vAlign w:val="center"/>
          </w:tcPr>
          <w:p w14:paraId="09C2ED5E">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淤泥质粘土</w:t>
            </w:r>
          </w:p>
        </w:tc>
        <w:tc>
          <w:tcPr>
            <w:tcW w:w="363" w:type="pct"/>
            <w:tcBorders>
              <w:tl2br w:val="nil"/>
              <w:tr2bl w:val="nil"/>
            </w:tcBorders>
            <w:shd w:val="clear" w:color="auto" w:fill="auto"/>
            <w:noWrap/>
            <w:tcMar>
              <w:top w:w="15" w:type="dxa"/>
              <w:left w:w="15" w:type="dxa"/>
              <w:right w:w="15" w:type="dxa"/>
            </w:tcMar>
            <w:vAlign w:val="center"/>
          </w:tcPr>
          <w:p w14:paraId="5317665D">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青灰</w:t>
            </w:r>
          </w:p>
        </w:tc>
        <w:tc>
          <w:tcPr>
            <w:tcW w:w="248" w:type="pct"/>
            <w:tcBorders>
              <w:tl2br w:val="nil"/>
              <w:tr2bl w:val="nil"/>
            </w:tcBorders>
            <w:shd w:val="clear" w:color="auto" w:fill="auto"/>
            <w:noWrap/>
            <w:tcMar>
              <w:top w:w="15" w:type="dxa"/>
              <w:left w:w="15" w:type="dxa"/>
              <w:right w:w="15" w:type="dxa"/>
            </w:tcMar>
            <w:vAlign w:val="center"/>
          </w:tcPr>
          <w:p w14:paraId="00FBCAD7">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湿</w:t>
            </w:r>
          </w:p>
        </w:tc>
        <w:tc>
          <w:tcPr>
            <w:tcW w:w="248" w:type="pct"/>
            <w:tcBorders>
              <w:tl2br w:val="nil"/>
              <w:tr2bl w:val="nil"/>
            </w:tcBorders>
            <w:shd w:val="clear" w:color="auto" w:fill="auto"/>
            <w:noWrap/>
            <w:tcMar>
              <w:top w:w="15" w:type="dxa"/>
              <w:left w:w="15" w:type="dxa"/>
              <w:right w:w="15" w:type="dxa"/>
            </w:tcMar>
            <w:vAlign w:val="center"/>
          </w:tcPr>
          <w:p w14:paraId="4CA3A3A2">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腐味</w:t>
            </w:r>
          </w:p>
        </w:tc>
        <w:tc>
          <w:tcPr>
            <w:tcW w:w="365" w:type="pct"/>
            <w:tcBorders>
              <w:tl2br w:val="nil"/>
              <w:tr2bl w:val="nil"/>
            </w:tcBorders>
            <w:shd w:val="clear" w:color="auto" w:fill="auto"/>
            <w:noWrap/>
            <w:tcMar>
              <w:top w:w="15" w:type="dxa"/>
              <w:left w:w="15" w:type="dxa"/>
              <w:right w:w="15" w:type="dxa"/>
            </w:tcMar>
            <w:vAlign w:val="center"/>
          </w:tcPr>
          <w:p w14:paraId="163216CC">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可塑</w:t>
            </w:r>
          </w:p>
        </w:tc>
        <w:tc>
          <w:tcPr>
            <w:tcW w:w="2218" w:type="pct"/>
            <w:tcBorders>
              <w:tl2br w:val="nil"/>
              <w:tr2bl w:val="nil"/>
            </w:tcBorders>
            <w:shd w:val="clear" w:color="auto" w:fill="auto"/>
            <w:noWrap/>
            <w:tcMar>
              <w:top w:w="15" w:type="dxa"/>
              <w:left w:w="15" w:type="dxa"/>
              <w:right w:w="15" w:type="dxa"/>
            </w:tcMar>
            <w:vAlign w:val="center"/>
          </w:tcPr>
          <w:p w14:paraId="02D59314">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整体呈青灰色，局部夹有机质，干强度低</w:t>
            </w:r>
          </w:p>
        </w:tc>
      </w:tr>
      <w:tr w14:paraId="5DB637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80" w:type="pct"/>
            <w:vMerge w:val="restart"/>
            <w:tcBorders>
              <w:tl2br w:val="nil"/>
              <w:tr2bl w:val="nil"/>
            </w:tcBorders>
            <w:shd w:val="clear" w:color="auto" w:fill="auto"/>
            <w:noWrap/>
            <w:tcMar>
              <w:top w:w="15" w:type="dxa"/>
              <w:left w:w="15" w:type="dxa"/>
              <w:right w:w="15" w:type="dxa"/>
            </w:tcMar>
            <w:vAlign w:val="center"/>
          </w:tcPr>
          <w:p w14:paraId="44942655">
            <w:pPr>
              <w:spacing w:line="240" w:lineRule="auto"/>
              <w:jc w:val="center"/>
              <w:rPr>
                <w:color w:val="000000"/>
                <w:sz w:val="21"/>
                <w:szCs w:val="21"/>
                <w:highlight w:val="none"/>
              </w:rPr>
            </w:pPr>
            <w:r>
              <w:rPr>
                <w:rFonts w:hint="eastAsia"/>
                <w:color w:val="000000"/>
                <w:kern w:val="0"/>
                <w:sz w:val="21"/>
                <w:szCs w:val="21"/>
                <w:highlight w:val="none"/>
                <w:lang w:bidi="ar"/>
              </w:rPr>
              <w:t>HH</w:t>
            </w:r>
            <w:r>
              <w:rPr>
                <w:color w:val="000000"/>
                <w:kern w:val="0"/>
                <w:sz w:val="21"/>
                <w:szCs w:val="21"/>
                <w:highlight w:val="none"/>
                <w:lang w:bidi="ar"/>
              </w:rPr>
              <w:t>-W</w:t>
            </w:r>
            <w:r>
              <w:rPr>
                <w:rFonts w:hint="eastAsia"/>
                <w:color w:val="000000"/>
                <w:kern w:val="0"/>
                <w:sz w:val="21"/>
                <w:szCs w:val="21"/>
                <w:highlight w:val="none"/>
                <w:lang w:bidi="ar"/>
              </w:rPr>
              <w:t>2</w:t>
            </w:r>
          </w:p>
        </w:tc>
        <w:tc>
          <w:tcPr>
            <w:tcW w:w="490" w:type="pct"/>
            <w:tcBorders>
              <w:tl2br w:val="nil"/>
              <w:tr2bl w:val="nil"/>
            </w:tcBorders>
            <w:shd w:val="clear" w:color="auto" w:fill="auto"/>
            <w:noWrap/>
            <w:tcMar>
              <w:top w:w="15" w:type="dxa"/>
              <w:left w:w="15" w:type="dxa"/>
              <w:right w:w="15" w:type="dxa"/>
            </w:tcMar>
            <w:vAlign w:val="center"/>
          </w:tcPr>
          <w:p w14:paraId="6D488A10">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0~0.8</w:t>
            </w:r>
          </w:p>
        </w:tc>
        <w:tc>
          <w:tcPr>
            <w:tcW w:w="585" w:type="pct"/>
            <w:tcBorders>
              <w:tl2br w:val="nil"/>
              <w:tr2bl w:val="nil"/>
            </w:tcBorders>
            <w:shd w:val="clear" w:color="auto" w:fill="auto"/>
            <w:noWrap/>
            <w:tcMar>
              <w:top w:w="15" w:type="dxa"/>
              <w:left w:w="15" w:type="dxa"/>
              <w:right w:w="15" w:type="dxa"/>
            </w:tcMar>
            <w:vAlign w:val="center"/>
          </w:tcPr>
          <w:p w14:paraId="685A3240">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杂填土</w:t>
            </w:r>
          </w:p>
        </w:tc>
        <w:tc>
          <w:tcPr>
            <w:tcW w:w="363" w:type="pct"/>
            <w:tcBorders>
              <w:tl2br w:val="nil"/>
              <w:tr2bl w:val="nil"/>
            </w:tcBorders>
            <w:shd w:val="clear" w:color="auto" w:fill="auto"/>
            <w:noWrap/>
            <w:tcMar>
              <w:top w:w="15" w:type="dxa"/>
              <w:left w:w="15" w:type="dxa"/>
              <w:right w:w="15" w:type="dxa"/>
            </w:tcMar>
            <w:vAlign w:val="center"/>
          </w:tcPr>
          <w:p w14:paraId="7C008171">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杂色</w:t>
            </w:r>
          </w:p>
        </w:tc>
        <w:tc>
          <w:tcPr>
            <w:tcW w:w="248" w:type="pct"/>
            <w:tcBorders>
              <w:tl2br w:val="nil"/>
              <w:tr2bl w:val="nil"/>
            </w:tcBorders>
            <w:shd w:val="clear" w:color="auto" w:fill="auto"/>
            <w:noWrap/>
            <w:tcMar>
              <w:top w:w="15" w:type="dxa"/>
              <w:left w:w="15" w:type="dxa"/>
              <w:right w:w="15" w:type="dxa"/>
            </w:tcMar>
            <w:vAlign w:val="center"/>
          </w:tcPr>
          <w:p w14:paraId="67D79C1E">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干</w:t>
            </w:r>
          </w:p>
        </w:tc>
        <w:tc>
          <w:tcPr>
            <w:tcW w:w="248" w:type="pct"/>
            <w:tcBorders>
              <w:tl2br w:val="nil"/>
              <w:tr2bl w:val="nil"/>
            </w:tcBorders>
            <w:shd w:val="clear" w:color="auto" w:fill="auto"/>
            <w:noWrap/>
            <w:tcMar>
              <w:top w:w="15" w:type="dxa"/>
              <w:left w:w="15" w:type="dxa"/>
              <w:right w:w="15" w:type="dxa"/>
            </w:tcMar>
            <w:vAlign w:val="center"/>
          </w:tcPr>
          <w:p w14:paraId="230DB916">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无</w:t>
            </w:r>
          </w:p>
        </w:tc>
        <w:tc>
          <w:tcPr>
            <w:tcW w:w="365" w:type="pct"/>
            <w:tcBorders>
              <w:tl2br w:val="nil"/>
              <w:tr2bl w:val="nil"/>
            </w:tcBorders>
            <w:shd w:val="clear" w:color="auto" w:fill="auto"/>
            <w:noWrap/>
            <w:tcMar>
              <w:top w:w="15" w:type="dxa"/>
              <w:left w:w="15" w:type="dxa"/>
              <w:right w:w="15" w:type="dxa"/>
            </w:tcMar>
            <w:vAlign w:val="center"/>
          </w:tcPr>
          <w:p w14:paraId="0F2A1D38">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松散</w:t>
            </w:r>
          </w:p>
        </w:tc>
        <w:tc>
          <w:tcPr>
            <w:tcW w:w="2218" w:type="pct"/>
            <w:tcBorders>
              <w:tl2br w:val="nil"/>
              <w:tr2bl w:val="nil"/>
            </w:tcBorders>
            <w:shd w:val="clear" w:color="auto" w:fill="auto"/>
            <w:noWrap/>
            <w:tcMar>
              <w:top w:w="15" w:type="dxa"/>
              <w:left w:w="15" w:type="dxa"/>
              <w:right w:w="15" w:type="dxa"/>
            </w:tcMar>
            <w:vAlign w:val="center"/>
          </w:tcPr>
          <w:p w14:paraId="57E9DB3E">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主要由耕植土组成，含较多的腐殖质、根茎</w:t>
            </w:r>
          </w:p>
        </w:tc>
      </w:tr>
      <w:tr w14:paraId="24C58C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80" w:type="pct"/>
            <w:vMerge w:val="continue"/>
            <w:tcBorders>
              <w:tl2br w:val="nil"/>
              <w:tr2bl w:val="nil"/>
            </w:tcBorders>
            <w:shd w:val="clear" w:color="auto" w:fill="auto"/>
            <w:noWrap/>
            <w:tcMar>
              <w:top w:w="15" w:type="dxa"/>
              <w:left w:w="15" w:type="dxa"/>
              <w:right w:w="15" w:type="dxa"/>
            </w:tcMar>
            <w:vAlign w:val="center"/>
          </w:tcPr>
          <w:p w14:paraId="44469B5B">
            <w:pPr>
              <w:spacing w:line="240" w:lineRule="auto"/>
              <w:jc w:val="center"/>
              <w:rPr>
                <w:color w:val="000000"/>
                <w:sz w:val="21"/>
                <w:szCs w:val="21"/>
                <w:highlight w:val="none"/>
              </w:rPr>
            </w:pPr>
          </w:p>
        </w:tc>
        <w:tc>
          <w:tcPr>
            <w:tcW w:w="490" w:type="pct"/>
            <w:tcBorders>
              <w:tl2br w:val="nil"/>
              <w:tr2bl w:val="nil"/>
            </w:tcBorders>
            <w:shd w:val="clear" w:color="auto" w:fill="auto"/>
            <w:noWrap/>
            <w:tcMar>
              <w:top w:w="15" w:type="dxa"/>
              <w:left w:w="15" w:type="dxa"/>
              <w:right w:w="15" w:type="dxa"/>
            </w:tcMar>
            <w:vAlign w:val="center"/>
          </w:tcPr>
          <w:p w14:paraId="03AE3DAB">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0.8~3.0</w:t>
            </w:r>
          </w:p>
        </w:tc>
        <w:tc>
          <w:tcPr>
            <w:tcW w:w="585" w:type="pct"/>
            <w:tcBorders>
              <w:tl2br w:val="nil"/>
              <w:tr2bl w:val="nil"/>
            </w:tcBorders>
            <w:shd w:val="clear" w:color="auto" w:fill="auto"/>
            <w:noWrap/>
            <w:tcMar>
              <w:top w:w="15" w:type="dxa"/>
              <w:left w:w="15" w:type="dxa"/>
              <w:right w:w="15" w:type="dxa"/>
            </w:tcMar>
            <w:vAlign w:val="center"/>
          </w:tcPr>
          <w:p w14:paraId="40701526">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混凝土</w:t>
            </w:r>
          </w:p>
        </w:tc>
        <w:tc>
          <w:tcPr>
            <w:tcW w:w="363" w:type="pct"/>
            <w:tcBorders>
              <w:tl2br w:val="nil"/>
              <w:tr2bl w:val="nil"/>
            </w:tcBorders>
            <w:shd w:val="clear" w:color="auto" w:fill="auto"/>
            <w:noWrap/>
            <w:tcMar>
              <w:top w:w="15" w:type="dxa"/>
              <w:left w:w="15" w:type="dxa"/>
              <w:right w:w="15" w:type="dxa"/>
            </w:tcMar>
            <w:vAlign w:val="center"/>
          </w:tcPr>
          <w:p w14:paraId="6F853D87">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w:t>
            </w:r>
          </w:p>
        </w:tc>
        <w:tc>
          <w:tcPr>
            <w:tcW w:w="248" w:type="pct"/>
            <w:tcBorders>
              <w:tl2br w:val="nil"/>
              <w:tr2bl w:val="nil"/>
            </w:tcBorders>
            <w:shd w:val="clear" w:color="auto" w:fill="auto"/>
            <w:noWrap/>
            <w:tcMar>
              <w:top w:w="15" w:type="dxa"/>
              <w:left w:w="15" w:type="dxa"/>
              <w:right w:w="15" w:type="dxa"/>
            </w:tcMar>
            <w:vAlign w:val="center"/>
          </w:tcPr>
          <w:p w14:paraId="29A19E25">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w:t>
            </w:r>
          </w:p>
        </w:tc>
        <w:tc>
          <w:tcPr>
            <w:tcW w:w="248" w:type="pct"/>
            <w:tcBorders>
              <w:tl2br w:val="nil"/>
              <w:tr2bl w:val="nil"/>
            </w:tcBorders>
            <w:shd w:val="clear" w:color="auto" w:fill="auto"/>
            <w:noWrap/>
            <w:tcMar>
              <w:top w:w="15" w:type="dxa"/>
              <w:left w:w="15" w:type="dxa"/>
              <w:right w:w="15" w:type="dxa"/>
            </w:tcMar>
            <w:vAlign w:val="center"/>
          </w:tcPr>
          <w:p w14:paraId="1DA86E2A">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w:t>
            </w:r>
          </w:p>
        </w:tc>
        <w:tc>
          <w:tcPr>
            <w:tcW w:w="365" w:type="pct"/>
            <w:tcBorders>
              <w:tl2br w:val="nil"/>
              <w:tr2bl w:val="nil"/>
            </w:tcBorders>
            <w:shd w:val="clear" w:color="auto" w:fill="auto"/>
            <w:noWrap/>
            <w:tcMar>
              <w:top w:w="15" w:type="dxa"/>
              <w:left w:w="15" w:type="dxa"/>
              <w:right w:w="15" w:type="dxa"/>
            </w:tcMar>
            <w:vAlign w:val="center"/>
          </w:tcPr>
          <w:p w14:paraId="439CA415">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w:t>
            </w:r>
          </w:p>
        </w:tc>
        <w:tc>
          <w:tcPr>
            <w:tcW w:w="2218" w:type="pct"/>
            <w:tcBorders>
              <w:tl2br w:val="nil"/>
              <w:tr2bl w:val="nil"/>
            </w:tcBorders>
            <w:shd w:val="clear" w:color="auto" w:fill="auto"/>
            <w:noWrap/>
            <w:tcMar>
              <w:top w:w="15" w:type="dxa"/>
              <w:left w:w="15" w:type="dxa"/>
              <w:right w:w="15" w:type="dxa"/>
            </w:tcMar>
            <w:vAlign w:val="center"/>
          </w:tcPr>
          <w:p w14:paraId="06B2D2B5">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w:t>
            </w:r>
          </w:p>
        </w:tc>
      </w:tr>
      <w:tr w14:paraId="1D8630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80" w:type="pct"/>
            <w:vMerge w:val="continue"/>
            <w:tcBorders>
              <w:tl2br w:val="nil"/>
              <w:tr2bl w:val="nil"/>
            </w:tcBorders>
            <w:shd w:val="clear" w:color="auto" w:fill="auto"/>
            <w:noWrap/>
            <w:tcMar>
              <w:top w:w="15" w:type="dxa"/>
              <w:left w:w="15" w:type="dxa"/>
              <w:right w:w="15" w:type="dxa"/>
            </w:tcMar>
            <w:vAlign w:val="center"/>
          </w:tcPr>
          <w:p w14:paraId="1ADACEBE">
            <w:pPr>
              <w:spacing w:line="240" w:lineRule="auto"/>
              <w:jc w:val="center"/>
              <w:rPr>
                <w:color w:val="000000"/>
                <w:sz w:val="21"/>
                <w:szCs w:val="21"/>
                <w:highlight w:val="none"/>
              </w:rPr>
            </w:pPr>
          </w:p>
        </w:tc>
        <w:tc>
          <w:tcPr>
            <w:tcW w:w="490" w:type="pct"/>
            <w:tcBorders>
              <w:tl2br w:val="nil"/>
              <w:tr2bl w:val="nil"/>
            </w:tcBorders>
            <w:shd w:val="clear" w:color="auto" w:fill="auto"/>
            <w:noWrap/>
            <w:tcMar>
              <w:top w:w="15" w:type="dxa"/>
              <w:left w:w="15" w:type="dxa"/>
              <w:right w:w="15" w:type="dxa"/>
            </w:tcMar>
            <w:vAlign w:val="center"/>
          </w:tcPr>
          <w:p w14:paraId="3EF1D233">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3.0~4.5</w:t>
            </w:r>
          </w:p>
        </w:tc>
        <w:tc>
          <w:tcPr>
            <w:tcW w:w="585" w:type="pct"/>
            <w:tcBorders>
              <w:tl2br w:val="nil"/>
              <w:tr2bl w:val="nil"/>
            </w:tcBorders>
            <w:shd w:val="clear" w:color="auto" w:fill="auto"/>
            <w:noWrap/>
            <w:tcMar>
              <w:top w:w="15" w:type="dxa"/>
              <w:left w:w="15" w:type="dxa"/>
              <w:right w:w="15" w:type="dxa"/>
            </w:tcMar>
            <w:vAlign w:val="center"/>
          </w:tcPr>
          <w:p w14:paraId="08325357">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素填土</w:t>
            </w:r>
          </w:p>
        </w:tc>
        <w:tc>
          <w:tcPr>
            <w:tcW w:w="363" w:type="pct"/>
            <w:tcBorders>
              <w:tl2br w:val="nil"/>
              <w:tr2bl w:val="nil"/>
            </w:tcBorders>
            <w:shd w:val="clear" w:color="auto" w:fill="auto"/>
            <w:noWrap/>
            <w:tcMar>
              <w:top w:w="15" w:type="dxa"/>
              <w:left w:w="15" w:type="dxa"/>
              <w:right w:w="15" w:type="dxa"/>
            </w:tcMar>
            <w:vAlign w:val="center"/>
          </w:tcPr>
          <w:p w14:paraId="6F4D7076">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黄褐色</w:t>
            </w:r>
          </w:p>
        </w:tc>
        <w:tc>
          <w:tcPr>
            <w:tcW w:w="248" w:type="pct"/>
            <w:tcBorders>
              <w:tl2br w:val="nil"/>
              <w:tr2bl w:val="nil"/>
            </w:tcBorders>
            <w:shd w:val="clear" w:color="auto" w:fill="auto"/>
            <w:noWrap/>
            <w:tcMar>
              <w:top w:w="15" w:type="dxa"/>
              <w:left w:w="15" w:type="dxa"/>
              <w:right w:w="15" w:type="dxa"/>
            </w:tcMar>
            <w:vAlign w:val="center"/>
          </w:tcPr>
          <w:p w14:paraId="49446194">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稍湿</w:t>
            </w:r>
          </w:p>
        </w:tc>
        <w:tc>
          <w:tcPr>
            <w:tcW w:w="248" w:type="pct"/>
            <w:tcBorders>
              <w:tl2br w:val="nil"/>
              <w:tr2bl w:val="nil"/>
            </w:tcBorders>
            <w:shd w:val="clear" w:color="auto" w:fill="auto"/>
            <w:noWrap/>
            <w:tcMar>
              <w:top w:w="15" w:type="dxa"/>
              <w:left w:w="15" w:type="dxa"/>
              <w:right w:w="15" w:type="dxa"/>
            </w:tcMar>
            <w:vAlign w:val="center"/>
          </w:tcPr>
          <w:p w14:paraId="51C1074A">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无</w:t>
            </w:r>
          </w:p>
        </w:tc>
        <w:tc>
          <w:tcPr>
            <w:tcW w:w="365" w:type="pct"/>
            <w:tcBorders>
              <w:tl2br w:val="nil"/>
              <w:tr2bl w:val="nil"/>
            </w:tcBorders>
            <w:shd w:val="clear" w:color="auto" w:fill="auto"/>
            <w:noWrap/>
            <w:tcMar>
              <w:top w:w="15" w:type="dxa"/>
              <w:left w:w="15" w:type="dxa"/>
              <w:right w:w="15" w:type="dxa"/>
            </w:tcMar>
            <w:vAlign w:val="center"/>
          </w:tcPr>
          <w:p w14:paraId="3D4A87DE">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可塑</w:t>
            </w:r>
          </w:p>
        </w:tc>
        <w:tc>
          <w:tcPr>
            <w:tcW w:w="2218" w:type="pct"/>
            <w:tcBorders>
              <w:tl2br w:val="nil"/>
              <w:tr2bl w:val="nil"/>
            </w:tcBorders>
            <w:shd w:val="clear" w:color="auto" w:fill="auto"/>
            <w:noWrap/>
            <w:tcMar>
              <w:top w:w="15" w:type="dxa"/>
              <w:left w:w="15" w:type="dxa"/>
              <w:right w:w="15" w:type="dxa"/>
            </w:tcMar>
            <w:vAlign w:val="center"/>
          </w:tcPr>
          <w:p w14:paraId="03898583">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主要由粘土组成，含少量灰白色</w:t>
            </w:r>
          </w:p>
          <w:p w14:paraId="52EF5FE4">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高岭土及铁锰氧化物</w:t>
            </w:r>
          </w:p>
        </w:tc>
      </w:tr>
      <w:tr w14:paraId="700268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80" w:type="pct"/>
            <w:vMerge w:val="continue"/>
            <w:tcBorders>
              <w:tl2br w:val="nil"/>
              <w:tr2bl w:val="nil"/>
            </w:tcBorders>
            <w:shd w:val="clear" w:color="auto" w:fill="auto"/>
            <w:noWrap/>
            <w:tcMar>
              <w:top w:w="15" w:type="dxa"/>
              <w:left w:w="15" w:type="dxa"/>
              <w:right w:w="15" w:type="dxa"/>
            </w:tcMar>
            <w:vAlign w:val="center"/>
          </w:tcPr>
          <w:p w14:paraId="22763EB3">
            <w:pPr>
              <w:spacing w:line="240" w:lineRule="auto"/>
              <w:jc w:val="center"/>
              <w:rPr>
                <w:color w:val="000000"/>
                <w:sz w:val="21"/>
                <w:szCs w:val="21"/>
                <w:highlight w:val="none"/>
              </w:rPr>
            </w:pPr>
          </w:p>
        </w:tc>
        <w:tc>
          <w:tcPr>
            <w:tcW w:w="490" w:type="pct"/>
            <w:tcBorders>
              <w:tl2br w:val="nil"/>
              <w:tr2bl w:val="nil"/>
            </w:tcBorders>
            <w:shd w:val="clear" w:color="auto" w:fill="auto"/>
            <w:noWrap/>
            <w:tcMar>
              <w:top w:w="15" w:type="dxa"/>
              <w:left w:w="15" w:type="dxa"/>
              <w:right w:w="15" w:type="dxa"/>
            </w:tcMar>
            <w:vAlign w:val="center"/>
          </w:tcPr>
          <w:p w14:paraId="255522CE">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4.5~7.5</w:t>
            </w:r>
          </w:p>
        </w:tc>
        <w:tc>
          <w:tcPr>
            <w:tcW w:w="585" w:type="pct"/>
            <w:tcBorders>
              <w:tl2br w:val="nil"/>
              <w:tr2bl w:val="nil"/>
            </w:tcBorders>
            <w:shd w:val="clear" w:color="auto" w:fill="auto"/>
            <w:noWrap/>
            <w:tcMar>
              <w:top w:w="15" w:type="dxa"/>
              <w:left w:w="15" w:type="dxa"/>
              <w:right w:w="15" w:type="dxa"/>
            </w:tcMar>
            <w:vAlign w:val="center"/>
          </w:tcPr>
          <w:p w14:paraId="5E678A24">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粘土</w:t>
            </w:r>
          </w:p>
        </w:tc>
        <w:tc>
          <w:tcPr>
            <w:tcW w:w="363" w:type="pct"/>
            <w:tcBorders>
              <w:tl2br w:val="nil"/>
              <w:tr2bl w:val="nil"/>
            </w:tcBorders>
            <w:shd w:val="clear" w:color="auto" w:fill="auto"/>
            <w:noWrap/>
            <w:tcMar>
              <w:top w:w="15" w:type="dxa"/>
              <w:left w:w="15" w:type="dxa"/>
              <w:right w:w="15" w:type="dxa"/>
            </w:tcMar>
            <w:vAlign w:val="center"/>
          </w:tcPr>
          <w:p w14:paraId="4FC678C4">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黄褐色</w:t>
            </w:r>
          </w:p>
        </w:tc>
        <w:tc>
          <w:tcPr>
            <w:tcW w:w="248" w:type="pct"/>
            <w:tcBorders>
              <w:tl2br w:val="nil"/>
              <w:tr2bl w:val="nil"/>
            </w:tcBorders>
            <w:shd w:val="clear" w:color="auto" w:fill="auto"/>
            <w:noWrap/>
            <w:tcMar>
              <w:top w:w="15" w:type="dxa"/>
              <w:left w:w="15" w:type="dxa"/>
              <w:right w:w="15" w:type="dxa"/>
            </w:tcMar>
            <w:vAlign w:val="center"/>
          </w:tcPr>
          <w:p w14:paraId="12409433">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稍湿</w:t>
            </w:r>
          </w:p>
        </w:tc>
        <w:tc>
          <w:tcPr>
            <w:tcW w:w="248" w:type="pct"/>
            <w:tcBorders>
              <w:tl2br w:val="nil"/>
              <w:tr2bl w:val="nil"/>
            </w:tcBorders>
            <w:shd w:val="clear" w:color="auto" w:fill="auto"/>
            <w:noWrap/>
            <w:tcMar>
              <w:top w:w="15" w:type="dxa"/>
              <w:left w:w="15" w:type="dxa"/>
              <w:right w:w="15" w:type="dxa"/>
            </w:tcMar>
            <w:vAlign w:val="center"/>
          </w:tcPr>
          <w:p w14:paraId="7D557F03">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无</w:t>
            </w:r>
          </w:p>
        </w:tc>
        <w:tc>
          <w:tcPr>
            <w:tcW w:w="365" w:type="pct"/>
            <w:tcBorders>
              <w:tl2br w:val="nil"/>
              <w:tr2bl w:val="nil"/>
            </w:tcBorders>
            <w:shd w:val="clear" w:color="auto" w:fill="auto"/>
            <w:noWrap/>
            <w:tcMar>
              <w:top w:w="15" w:type="dxa"/>
              <w:left w:w="15" w:type="dxa"/>
              <w:right w:w="15" w:type="dxa"/>
            </w:tcMar>
            <w:vAlign w:val="center"/>
          </w:tcPr>
          <w:p w14:paraId="7A084BCC">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可塑</w:t>
            </w:r>
          </w:p>
        </w:tc>
        <w:tc>
          <w:tcPr>
            <w:tcW w:w="2218" w:type="pct"/>
            <w:tcBorders>
              <w:tl2br w:val="nil"/>
              <w:tr2bl w:val="nil"/>
            </w:tcBorders>
            <w:shd w:val="clear" w:color="auto" w:fill="auto"/>
            <w:noWrap/>
            <w:tcMar>
              <w:top w:w="15" w:type="dxa"/>
              <w:left w:w="15" w:type="dxa"/>
              <w:right w:w="15" w:type="dxa"/>
            </w:tcMar>
            <w:vAlign w:val="center"/>
          </w:tcPr>
          <w:p w14:paraId="3E16881E">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含少量高岭土及氧化物</w:t>
            </w:r>
          </w:p>
        </w:tc>
      </w:tr>
      <w:tr w14:paraId="7DFE26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80" w:type="pct"/>
            <w:vMerge w:val="continue"/>
            <w:tcBorders>
              <w:tl2br w:val="nil"/>
              <w:tr2bl w:val="nil"/>
            </w:tcBorders>
            <w:shd w:val="clear" w:color="auto" w:fill="auto"/>
            <w:noWrap/>
            <w:tcMar>
              <w:top w:w="15" w:type="dxa"/>
              <w:left w:w="15" w:type="dxa"/>
              <w:right w:w="15" w:type="dxa"/>
            </w:tcMar>
            <w:vAlign w:val="center"/>
          </w:tcPr>
          <w:p w14:paraId="1B9FA841">
            <w:pPr>
              <w:spacing w:line="240" w:lineRule="auto"/>
              <w:jc w:val="center"/>
              <w:rPr>
                <w:color w:val="000000"/>
                <w:sz w:val="21"/>
                <w:szCs w:val="21"/>
                <w:highlight w:val="none"/>
              </w:rPr>
            </w:pPr>
          </w:p>
        </w:tc>
        <w:tc>
          <w:tcPr>
            <w:tcW w:w="490" w:type="pct"/>
            <w:tcBorders>
              <w:tl2br w:val="nil"/>
              <w:tr2bl w:val="nil"/>
            </w:tcBorders>
            <w:shd w:val="clear" w:color="auto" w:fill="auto"/>
            <w:noWrap/>
            <w:tcMar>
              <w:top w:w="15" w:type="dxa"/>
              <w:left w:w="15" w:type="dxa"/>
              <w:right w:w="15" w:type="dxa"/>
            </w:tcMar>
            <w:vAlign w:val="center"/>
          </w:tcPr>
          <w:p w14:paraId="042E6A3D">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7.5~8.0</w:t>
            </w:r>
          </w:p>
        </w:tc>
        <w:tc>
          <w:tcPr>
            <w:tcW w:w="585" w:type="pct"/>
            <w:tcBorders>
              <w:tl2br w:val="nil"/>
              <w:tr2bl w:val="nil"/>
            </w:tcBorders>
            <w:shd w:val="clear" w:color="auto" w:fill="auto"/>
            <w:noWrap/>
            <w:tcMar>
              <w:top w:w="15" w:type="dxa"/>
              <w:left w:w="15" w:type="dxa"/>
              <w:right w:w="15" w:type="dxa"/>
            </w:tcMar>
            <w:vAlign w:val="center"/>
          </w:tcPr>
          <w:p w14:paraId="33E13799">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淤泥质粘土</w:t>
            </w:r>
          </w:p>
        </w:tc>
        <w:tc>
          <w:tcPr>
            <w:tcW w:w="363" w:type="pct"/>
            <w:tcBorders>
              <w:tl2br w:val="nil"/>
              <w:tr2bl w:val="nil"/>
            </w:tcBorders>
            <w:shd w:val="clear" w:color="auto" w:fill="auto"/>
            <w:noWrap/>
            <w:tcMar>
              <w:top w:w="15" w:type="dxa"/>
              <w:left w:w="15" w:type="dxa"/>
              <w:right w:w="15" w:type="dxa"/>
            </w:tcMar>
            <w:vAlign w:val="center"/>
          </w:tcPr>
          <w:p w14:paraId="1A73A763">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灰黑</w:t>
            </w:r>
          </w:p>
        </w:tc>
        <w:tc>
          <w:tcPr>
            <w:tcW w:w="248" w:type="pct"/>
            <w:tcBorders>
              <w:tl2br w:val="nil"/>
              <w:tr2bl w:val="nil"/>
            </w:tcBorders>
            <w:shd w:val="clear" w:color="auto" w:fill="auto"/>
            <w:noWrap/>
            <w:tcMar>
              <w:top w:w="15" w:type="dxa"/>
              <w:left w:w="15" w:type="dxa"/>
              <w:right w:w="15" w:type="dxa"/>
            </w:tcMar>
            <w:vAlign w:val="center"/>
          </w:tcPr>
          <w:p w14:paraId="487B08FD">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湿</w:t>
            </w:r>
          </w:p>
        </w:tc>
        <w:tc>
          <w:tcPr>
            <w:tcW w:w="248" w:type="pct"/>
            <w:tcBorders>
              <w:tl2br w:val="nil"/>
              <w:tr2bl w:val="nil"/>
            </w:tcBorders>
            <w:shd w:val="clear" w:color="auto" w:fill="auto"/>
            <w:noWrap/>
            <w:tcMar>
              <w:top w:w="15" w:type="dxa"/>
              <w:left w:w="15" w:type="dxa"/>
              <w:right w:w="15" w:type="dxa"/>
            </w:tcMar>
            <w:vAlign w:val="center"/>
          </w:tcPr>
          <w:p w14:paraId="7363FE12">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腐味</w:t>
            </w:r>
          </w:p>
        </w:tc>
        <w:tc>
          <w:tcPr>
            <w:tcW w:w="365" w:type="pct"/>
            <w:tcBorders>
              <w:tl2br w:val="nil"/>
              <w:tr2bl w:val="nil"/>
            </w:tcBorders>
            <w:shd w:val="clear" w:color="auto" w:fill="auto"/>
            <w:noWrap/>
            <w:tcMar>
              <w:top w:w="15" w:type="dxa"/>
              <w:left w:w="15" w:type="dxa"/>
              <w:right w:w="15" w:type="dxa"/>
            </w:tcMar>
            <w:vAlign w:val="center"/>
          </w:tcPr>
          <w:p w14:paraId="19F4DD1B">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软塑</w:t>
            </w:r>
          </w:p>
        </w:tc>
        <w:tc>
          <w:tcPr>
            <w:tcW w:w="2218" w:type="pct"/>
            <w:tcBorders>
              <w:tl2br w:val="nil"/>
              <w:tr2bl w:val="nil"/>
            </w:tcBorders>
            <w:shd w:val="clear" w:color="auto" w:fill="auto"/>
            <w:noWrap/>
            <w:tcMar>
              <w:top w:w="15" w:type="dxa"/>
              <w:left w:w="15" w:type="dxa"/>
              <w:right w:w="15" w:type="dxa"/>
            </w:tcMar>
            <w:vAlign w:val="center"/>
          </w:tcPr>
          <w:p w14:paraId="0C29E488">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部分夹有机质，干强度低，韧性低</w:t>
            </w:r>
          </w:p>
        </w:tc>
      </w:tr>
    </w:tbl>
    <w:p w14:paraId="6CFBDC94">
      <w:pPr>
        <w:pStyle w:val="5"/>
        <w:keepLines w:val="0"/>
        <w:tabs>
          <w:tab w:val="left" w:pos="425"/>
        </w:tabs>
        <w:spacing w:after="0"/>
        <w:rPr>
          <w:highlight w:val="none"/>
        </w:rPr>
      </w:pPr>
      <w:r>
        <w:rPr>
          <w:highlight w:val="none"/>
        </w:rPr>
        <w:t>水文地质条件</w:t>
      </w:r>
    </w:p>
    <w:p w14:paraId="30A3E7F1">
      <w:pPr>
        <w:pStyle w:val="30"/>
        <w:adjustRightInd w:val="0"/>
        <w:snapToGrid w:val="0"/>
        <w:spacing w:before="165" w:beforeLines="50" w:after="0"/>
        <w:ind w:firstLine="480"/>
        <w:rPr>
          <w:color w:val="000000"/>
          <w:highlight w:val="none"/>
        </w:rPr>
      </w:pPr>
      <w:r>
        <w:rPr>
          <w:color w:val="000000"/>
          <w:highlight w:val="none"/>
        </w:rPr>
        <w:t>根据现场情况判断，</w:t>
      </w:r>
      <w:r>
        <w:rPr>
          <w:highlight w:val="none"/>
        </w:rPr>
        <w:t>本次调查钻探的</w:t>
      </w:r>
      <w:r>
        <w:rPr>
          <w:color w:val="000000"/>
          <w:highlight w:val="none"/>
        </w:rPr>
        <w:t>地下水类型为潜水，本次调查最大钻探深度为</w:t>
      </w:r>
      <w:r>
        <w:rPr>
          <w:rFonts w:hint="eastAsia"/>
          <w:color w:val="000000"/>
          <w:highlight w:val="none"/>
        </w:rPr>
        <w:t>8</w:t>
      </w:r>
      <w:r>
        <w:rPr>
          <w:color w:val="000000"/>
          <w:highlight w:val="none"/>
        </w:rPr>
        <w:t>.0m，现场测得的地下水相关信息数据见表4-3-4。</w:t>
      </w:r>
    </w:p>
    <w:p w14:paraId="2D5666BF">
      <w:pPr>
        <w:pStyle w:val="5"/>
        <w:tabs>
          <w:tab w:val="left" w:pos="425"/>
        </w:tabs>
        <w:rPr>
          <w:highlight w:val="none"/>
        </w:rPr>
      </w:pPr>
      <w:r>
        <w:rPr>
          <w:highlight w:val="none"/>
        </w:rPr>
        <w:t>样品质量控制</w:t>
      </w:r>
    </w:p>
    <w:p w14:paraId="7B9D3D4C">
      <w:pPr>
        <w:pStyle w:val="30"/>
        <w:adjustRightInd w:val="0"/>
        <w:snapToGrid w:val="0"/>
        <w:spacing w:after="0"/>
        <w:ind w:firstLine="480"/>
        <w:rPr>
          <w:color w:val="000000"/>
          <w:highlight w:val="none"/>
        </w:rPr>
      </w:pPr>
      <w:r>
        <w:rPr>
          <w:color w:val="000000"/>
          <w:highlight w:val="none"/>
        </w:rPr>
        <w:t>采样人员均已通过岗前培训、持证上岗，切实掌握土壤、地下水采样技术，熟知采样器具的使用和样品固定、保存、运输条件。同批次水样、土样，加采现场平行样。每次测试结束后，除必要的留存样外，样品容器均及时清洗。</w:t>
      </w:r>
    </w:p>
    <w:p w14:paraId="5475B902">
      <w:pPr>
        <w:pStyle w:val="30"/>
        <w:adjustRightInd w:val="0"/>
        <w:snapToGrid w:val="0"/>
        <w:spacing w:after="0"/>
        <w:ind w:firstLine="480"/>
        <w:rPr>
          <w:color w:val="000000"/>
          <w:highlight w:val="none"/>
        </w:rPr>
      </w:pPr>
      <w:r>
        <w:rPr>
          <w:color w:val="000000"/>
          <w:highlight w:val="none"/>
        </w:rPr>
        <w:t>本</w:t>
      </w:r>
      <w:r>
        <w:rPr>
          <w:rFonts w:hint="eastAsia"/>
          <w:color w:val="000000"/>
          <w:highlight w:val="none"/>
          <w:lang w:eastAsia="zh-CN"/>
        </w:rPr>
        <w:t>园区</w:t>
      </w:r>
      <w:r>
        <w:rPr>
          <w:color w:val="000000"/>
          <w:highlight w:val="none"/>
        </w:rPr>
        <w:t>调查实际共采集1个土壤平行盲样，具体布设情况见表4-3-</w:t>
      </w:r>
      <w:r>
        <w:rPr>
          <w:rFonts w:hint="eastAsia"/>
          <w:color w:val="000000"/>
          <w:highlight w:val="none"/>
        </w:rPr>
        <w:t>2</w:t>
      </w:r>
      <w:r>
        <w:rPr>
          <w:color w:val="000000"/>
          <w:highlight w:val="none"/>
        </w:rPr>
        <w:t>。</w:t>
      </w:r>
    </w:p>
    <w:p w14:paraId="4402C41A">
      <w:pPr>
        <w:pStyle w:val="33"/>
        <w:spacing w:before="0" w:beforeLines="0" w:line="240" w:lineRule="auto"/>
        <w:rPr>
          <w:rFonts w:eastAsia="宋体"/>
          <w:color w:val="000000"/>
          <w:highlight w:val="none"/>
        </w:rPr>
      </w:pPr>
      <w:r>
        <w:rPr>
          <w:rFonts w:eastAsia="宋体"/>
          <w:color w:val="000000"/>
          <w:highlight w:val="none"/>
        </w:rPr>
        <w:t>表4-3-2  调查范围内平行盲样布设情况</w:t>
      </w:r>
    </w:p>
    <w:tbl>
      <w:tblPr>
        <w:tblStyle w:val="21"/>
        <w:tblW w:w="9798"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38"/>
        <w:gridCol w:w="2330"/>
        <w:gridCol w:w="3022"/>
        <w:gridCol w:w="3108"/>
      </w:tblGrid>
      <w:tr w14:paraId="696624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tblHeader/>
        </w:trPr>
        <w:tc>
          <w:tcPr>
            <w:tcW w:w="1338" w:type="dxa"/>
            <w:tcBorders>
              <w:bottom w:val="single" w:color="auto" w:sz="12" w:space="0"/>
            </w:tcBorders>
            <w:vAlign w:val="center"/>
          </w:tcPr>
          <w:p w14:paraId="40F530D0">
            <w:pPr>
              <w:widowControl/>
              <w:spacing w:line="240" w:lineRule="auto"/>
              <w:jc w:val="center"/>
              <w:rPr>
                <w:b/>
                <w:color w:val="000000"/>
                <w:kern w:val="0"/>
                <w:sz w:val="21"/>
                <w:szCs w:val="21"/>
                <w:highlight w:val="none"/>
              </w:rPr>
            </w:pPr>
            <w:r>
              <w:rPr>
                <w:b/>
                <w:color w:val="000000"/>
                <w:kern w:val="0"/>
                <w:sz w:val="21"/>
                <w:szCs w:val="21"/>
                <w:highlight w:val="none"/>
              </w:rPr>
              <w:t>序号</w:t>
            </w:r>
          </w:p>
        </w:tc>
        <w:tc>
          <w:tcPr>
            <w:tcW w:w="2330" w:type="dxa"/>
            <w:tcBorders>
              <w:bottom w:val="single" w:color="auto" w:sz="12" w:space="0"/>
            </w:tcBorders>
            <w:vAlign w:val="center"/>
          </w:tcPr>
          <w:p w14:paraId="4530FF0A">
            <w:pPr>
              <w:widowControl/>
              <w:spacing w:line="240" w:lineRule="auto"/>
              <w:jc w:val="center"/>
              <w:rPr>
                <w:b/>
                <w:color w:val="000000"/>
                <w:kern w:val="0"/>
                <w:sz w:val="21"/>
                <w:szCs w:val="21"/>
                <w:highlight w:val="none"/>
              </w:rPr>
            </w:pPr>
            <w:r>
              <w:rPr>
                <w:b/>
                <w:color w:val="000000"/>
                <w:kern w:val="0"/>
                <w:sz w:val="21"/>
                <w:szCs w:val="21"/>
                <w:highlight w:val="none"/>
              </w:rPr>
              <w:t>平行盲样编号</w:t>
            </w:r>
          </w:p>
        </w:tc>
        <w:tc>
          <w:tcPr>
            <w:tcW w:w="3022" w:type="dxa"/>
            <w:tcBorders>
              <w:bottom w:val="single" w:color="auto" w:sz="12" w:space="0"/>
            </w:tcBorders>
            <w:vAlign w:val="center"/>
          </w:tcPr>
          <w:p w14:paraId="718392A5">
            <w:pPr>
              <w:widowControl/>
              <w:spacing w:line="240" w:lineRule="auto"/>
              <w:jc w:val="center"/>
              <w:rPr>
                <w:b/>
                <w:color w:val="000000"/>
                <w:kern w:val="0"/>
                <w:sz w:val="21"/>
                <w:szCs w:val="21"/>
                <w:highlight w:val="none"/>
              </w:rPr>
            </w:pPr>
            <w:r>
              <w:rPr>
                <w:b/>
                <w:color w:val="000000"/>
                <w:kern w:val="0"/>
                <w:sz w:val="21"/>
                <w:szCs w:val="21"/>
                <w:highlight w:val="none"/>
              </w:rPr>
              <w:t>对应采样点位信息</w:t>
            </w:r>
          </w:p>
        </w:tc>
        <w:tc>
          <w:tcPr>
            <w:tcW w:w="3108" w:type="dxa"/>
            <w:tcBorders>
              <w:bottom w:val="single" w:color="auto" w:sz="12" w:space="0"/>
            </w:tcBorders>
            <w:vAlign w:val="center"/>
          </w:tcPr>
          <w:p w14:paraId="7850B6FF">
            <w:pPr>
              <w:widowControl/>
              <w:spacing w:line="240" w:lineRule="auto"/>
              <w:jc w:val="center"/>
              <w:rPr>
                <w:b/>
                <w:color w:val="000000"/>
                <w:kern w:val="0"/>
                <w:sz w:val="21"/>
                <w:szCs w:val="21"/>
                <w:highlight w:val="none"/>
              </w:rPr>
            </w:pPr>
            <w:r>
              <w:rPr>
                <w:b/>
                <w:color w:val="000000"/>
                <w:kern w:val="0"/>
                <w:sz w:val="21"/>
                <w:szCs w:val="21"/>
                <w:highlight w:val="none"/>
              </w:rPr>
              <w:t>样品类型</w:t>
            </w:r>
          </w:p>
        </w:tc>
      </w:tr>
      <w:tr w14:paraId="5A9C47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1338" w:type="dxa"/>
            <w:tcBorders>
              <w:top w:val="single" w:color="auto" w:sz="12" w:space="0"/>
            </w:tcBorders>
            <w:vAlign w:val="center"/>
          </w:tcPr>
          <w:p w14:paraId="59AD933D">
            <w:pPr>
              <w:widowControl/>
              <w:spacing w:line="240" w:lineRule="auto"/>
              <w:jc w:val="center"/>
              <w:rPr>
                <w:color w:val="000000"/>
                <w:kern w:val="0"/>
                <w:sz w:val="21"/>
                <w:szCs w:val="21"/>
                <w:highlight w:val="none"/>
              </w:rPr>
            </w:pPr>
            <w:r>
              <w:rPr>
                <w:color w:val="000000"/>
                <w:kern w:val="0"/>
                <w:sz w:val="21"/>
                <w:szCs w:val="21"/>
                <w:highlight w:val="none"/>
              </w:rPr>
              <w:t>1</w:t>
            </w:r>
          </w:p>
        </w:tc>
        <w:tc>
          <w:tcPr>
            <w:tcW w:w="2330" w:type="dxa"/>
            <w:tcBorders>
              <w:top w:val="single" w:color="auto" w:sz="12" w:space="0"/>
            </w:tcBorders>
            <w:vAlign w:val="center"/>
          </w:tcPr>
          <w:p w14:paraId="4514C666">
            <w:pPr>
              <w:widowControl/>
              <w:spacing w:line="240" w:lineRule="auto"/>
              <w:jc w:val="center"/>
              <w:rPr>
                <w:color w:val="000000"/>
                <w:kern w:val="0"/>
                <w:sz w:val="21"/>
                <w:szCs w:val="21"/>
                <w:highlight w:val="none"/>
              </w:rPr>
            </w:pPr>
            <w:r>
              <w:rPr>
                <w:rFonts w:hint="eastAsia"/>
                <w:color w:val="000000"/>
                <w:kern w:val="0"/>
                <w:sz w:val="21"/>
                <w:szCs w:val="21"/>
                <w:highlight w:val="none"/>
              </w:rPr>
              <w:t>QC-7</w:t>
            </w:r>
          </w:p>
        </w:tc>
        <w:tc>
          <w:tcPr>
            <w:tcW w:w="3022" w:type="dxa"/>
            <w:tcBorders>
              <w:top w:val="single" w:color="auto" w:sz="12" w:space="0"/>
            </w:tcBorders>
            <w:vAlign w:val="center"/>
          </w:tcPr>
          <w:p w14:paraId="40198B08">
            <w:pPr>
              <w:widowControl/>
              <w:spacing w:line="240" w:lineRule="auto"/>
              <w:jc w:val="center"/>
              <w:rPr>
                <w:color w:val="000000"/>
                <w:kern w:val="0"/>
                <w:sz w:val="21"/>
                <w:szCs w:val="21"/>
                <w:highlight w:val="none"/>
              </w:rPr>
            </w:pPr>
            <w:r>
              <w:rPr>
                <w:rFonts w:hint="eastAsia"/>
                <w:color w:val="000000"/>
                <w:kern w:val="0"/>
                <w:sz w:val="21"/>
                <w:szCs w:val="21"/>
                <w:highlight w:val="none"/>
              </w:rPr>
              <w:t>HH-1-400</w:t>
            </w:r>
          </w:p>
        </w:tc>
        <w:tc>
          <w:tcPr>
            <w:tcW w:w="3108" w:type="dxa"/>
            <w:tcBorders>
              <w:top w:val="single" w:color="auto" w:sz="12" w:space="0"/>
            </w:tcBorders>
            <w:vAlign w:val="center"/>
          </w:tcPr>
          <w:p w14:paraId="137CDC52">
            <w:pPr>
              <w:widowControl/>
              <w:spacing w:line="240" w:lineRule="auto"/>
              <w:jc w:val="center"/>
              <w:rPr>
                <w:color w:val="000000"/>
                <w:kern w:val="0"/>
                <w:sz w:val="21"/>
                <w:szCs w:val="21"/>
                <w:highlight w:val="none"/>
              </w:rPr>
            </w:pPr>
            <w:r>
              <w:rPr>
                <w:color w:val="000000"/>
                <w:kern w:val="0"/>
                <w:sz w:val="21"/>
                <w:szCs w:val="21"/>
                <w:highlight w:val="none"/>
              </w:rPr>
              <w:t>土壤</w:t>
            </w:r>
          </w:p>
        </w:tc>
      </w:tr>
    </w:tbl>
    <w:p w14:paraId="2405CE38">
      <w:pPr>
        <w:pStyle w:val="5"/>
        <w:tabs>
          <w:tab w:val="left" w:pos="425"/>
        </w:tabs>
        <w:rPr>
          <w:highlight w:val="none"/>
        </w:rPr>
      </w:pPr>
      <w:r>
        <w:rPr>
          <w:highlight w:val="none"/>
        </w:rPr>
        <w:t>土壤样品采集</w:t>
      </w:r>
    </w:p>
    <w:p w14:paraId="657D372B">
      <w:pPr>
        <w:pStyle w:val="30"/>
        <w:adjustRightInd w:val="0"/>
        <w:snapToGrid w:val="0"/>
        <w:spacing w:after="0"/>
        <w:ind w:firstLine="480"/>
        <w:rPr>
          <w:color w:val="000000"/>
          <w:highlight w:val="none"/>
        </w:rPr>
      </w:pPr>
      <w:r>
        <w:rPr>
          <w:color w:val="000000"/>
          <w:highlight w:val="none"/>
        </w:rPr>
        <w:t>结合</w:t>
      </w:r>
      <w:r>
        <w:rPr>
          <w:rFonts w:hint="eastAsia"/>
          <w:color w:val="000000"/>
          <w:highlight w:val="none"/>
          <w:lang w:val="en-US" w:eastAsia="zh-CN"/>
        </w:rPr>
        <w:t>园区</w:t>
      </w:r>
      <w:r>
        <w:rPr>
          <w:color w:val="000000"/>
          <w:highlight w:val="none"/>
        </w:rPr>
        <w:t>实际情况，本次调查实际共布设土壤监测点</w:t>
      </w:r>
      <w:r>
        <w:rPr>
          <w:rFonts w:hint="eastAsia"/>
          <w:color w:val="000000"/>
          <w:highlight w:val="none"/>
        </w:rPr>
        <w:t>11个</w:t>
      </w:r>
      <w:r>
        <w:rPr>
          <w:color w:val="000000"/>
          <w:highlight w:val="none"/>
        </w:rPr>
        <w:t>，采集土壤样品</w:t>
      </w:r>
      <w:r>
        <w:rPr>
          <w:rFonts w:hint="eastAsia"/>
          <w:color w:val="000000"/>
          <w:highlight w:val="none"/>
        </w:rPr>
        <w:t>11个</w:t>
      </w:r>
      <w:r>
        <w:rPr>
          <w:color w:val="000000"/>
          <w:highlight w:val="none"/>
        </w:rPr>
        <w:t>，另采集现场平行盲样1个及运输空白样</w:t>
      </w:r>
      <w:r>
        <w:rPr>
          <w:rFonts w:hint="eastAsia"/>
          <w:color w:val="000000"/>
          <w:highlight w:val="none"/>
        </w:rPr>
        <w:t>2</w:t>
      </w:r>
      <w:r>
        <w:rPr>
          <w:color w:val="000000"/>
          <w:highlight w:val="none"/>
        </w:rPr>
        <w:t>个，共送检土壤样品</w:t>
      </w:r>
      <w:r>
        <w:rPr>
          <w:rFonts w:hint="eastAsia"/>
          <w:color w:val="000000"/>
          <w:highlight w:val="none"/>
        </w:rPr>
        <w:t>14个</w:t>
      </w:r>
      <w:r>
        <w:rPr>
          <w:color w:val="000000"/>
          <w:highlight w:val="none"/>
        </w:rPr>
        <w:t>。</w:t>
      </w:r>
      <w:r>
        <w:rPr>
          <w:rFonts w:hint="eastAsia"/>
          <w:color w:val="000000"/>
          <w:highlight w:val="none"/>
        </w:rPr>
        <w:t>实际采样点位于方案阶段一致，点位位置见表3-1-1</w:t>
      </w:r>
      <w:r>
        <w:rPr>
          <w:color w:val="000000"/>
          <w:highlight w:val="none"/>
        </w:rPr>
        <w:t>。现场记录见附件1，</w:t>
      </w:r>
      <w:r>
        <w:rPr>
          <w:bCs/>
          <w:caps/>
          <w:color w:val="000000" w:themeColor="text1"/>
          <w:szCs w:val="24"/>
          <w:highlight w:val="none"/>
          <w14:textFill>
            <w14:solidFill>
              <w14:schemeClr w14:val="tx1"/>
            </w14:solidFill>
          </w14:textFill>
        </w:rPr>
        <w:t>土壤和地下水实际采样点位分布图见附图</w:t>
      </w:r>
      <w:r>
        <w:rPr>
          <w:rFonts w:hint="eastAsia"/>
          <w:bCs/>
          <w:caps/>
          <w:color w:val="000000" w:themeColor="text1"/>
          <w:szCs w:val="24"/>
          <w:highlight w:val="none"/>
          <w14:textFill>
            <w14:solidFill>
              <w14:schemeClr w14:val="tx1"/>
            </w14:solidFill>
          </w14:textFill>
        </w:rPr>
        <w:t>6</w:t>
      </w:r>
      <w:r>
        <w:rPr>
          <w:color w:val="000000"/>
          <w:highlight w:val="none"/>
        </w:rPr>
        <w:t>。</w:t>
      </w:r>
    </w:p>
    <w:p w14:paraId="53E3E2A6">
      <w:pPr>
        <w:pStyle w:val="30"/>
        <w:adjustRightInd w:val="0"/>
        <w:snapToGrid w:val="0"/>
        <w:spacing w:after="0"/>
        <w:ind w:firstLine="480"/>
        <w:rPr>
          <w:color w:val="000000"/>
          <w:highlight w:val="none"/>
        </w:rPr>
      </w:pPr>
      <w:r>
        <w:rPr>
          <w:rFonts w:hint="eastAsia"/>
          <w:color w:val="000000"/>
          <w:highlight w:val="none"/>
          <w:lang w:val="en-US" w:eastAsia="zh-CN"/>
        </w:rPr>
        <w:t>园区</w:t>
      </w:r>
      <w:r>
        <w:rPr>
          <w:color w:val="000000"/>
          <w:highlight w:val="none"/>
        </w:rPr>
        <w:t>各采样点位土层土壤类型、颜色、湿度、气味、夹杂物情况等性状，以及土壤样品采集情况详见表4-3-</w:t>
      </w:r>
      <w:r>
        <w:rPr>
          <w:rFonts w:hint="eastAsia"/>
          <w:color w:val="000000"/>
          <w:highlight w:val="none"/>
        </w:rPr>
        <w:t>3</w:t>
      </w:r>
      <w:r>
        <w:rPr>
          <w:color w:val="000000"/>
          <w:highlight w:val="none"/>
        </w:rPr>
        <w:t>。</w:t>
      </w:r>
    </w:p>
    <w:p w14:paraId="1A7D89CE">
      <w:pPr>
        <w:spacing w:line="400" w:lineRule="atLeast"/>
        <w:jc w:val="center"/>
        <w:rPr>
          <w:rFonts w:eastAsia="黑体"/>
          <w:b/>
          <w:szCs w:val="20"/>
          <w:highlight w:val="none"/>
        </w:rPr>
        <w:sectPr>
          <w:headerReference r:id="rId16"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p>
    <w:p w14:paraId="74027653">
      <w:pPr>
        <w:spacing w:line="400" w:lineRule="atLeast"/>
        <w:jc w:val="center"/>
        <w:rPr>
          <w:highlight w:val="none"/>
        </w:rPr>
      </w:pPr>
      <w:r>
        <w:rPr>
          <w:rFonts w:eastAsia="黑体"/>
          <w:b/>
          <w:szCs w:val="20"/>
          <w:highlight w:val="none"/>
        </w:rPr>
        <w:t>表4-3-3  土壤采样点位现场记录统计表</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88"/>
        <w:gridCol w:w="2087"/>
        <w:gridCol w:w="1056"/>
        <w:gridCol w:w="948"/>
        <w:gridCol w:w="748"/>
        <w:gridCol w:w="509"/>
        <w:gridCol w:w="489"/>
        <w:gridCol w:w="748"/>
        <w:gridCol w:w="7461"/>
      </w:tblGrid>
      <w:tr w14:paraId="70AC29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bottom w:val="single" w:color="auto" w:sz="12" w:space="0"/>
              <w:tl2br w:val="nil"/>
              <w:tr2bl w:val="nil"/>
            </w:tcBorders>
            <w:shd w:val="clear" w:color="auto" w:fill="auto"/>
            <w:noWrap/>
            <w:tcMar>
              <w:top w:w="15" w:type="dxa"/>
              <w:left w:w="15" w:type="dxa"/>
              <w:right w:w="15" w:type="dxa"/>
            </w:tcMar>
            <w:vAlign w:val="center"/>
          </w:tcPr>
          <w:p w14:paraId="31F2E4BC">
            <w:pPr>
              <w:widowControl/>
              <w:spacing w:line="240" w:lineRule="auto"/>
              <w:jc w:val="center"/>
              <w:textAlignment w:val="center"/>
              <w:rPr>
                <w:b/>
                <w:color w:val="000000"/>
                <w:sz w:val="21"/>
                <w:szCs w:val="21"/>
                <w:highlight w:val="none"/>
              </w:rPr>
            </w:pPr>
            <w:r>
              <w:rPr>
                <w:b/>
                <w:color w:val="000000"/>
                <w:kern w:val="0"/>
                <w:sz w:val="21"/>
                <w:szCs w:val="21"/>
                <w:highlight w:val="none"/>
                <w:lang w:bidi="ar"/>
              </w:rPr>
              <w:t>序号</w:t>
            </w:r>
          </w:p>
        </w:tc>
        <w:tc>
          <w:tcPr>
            <w:tcW w:w="718" w:type="pct"/>
            <w:tcBorders>
              <w:bottom w:val="single" w:color="auto" w:sz="12" w:space="0"/>
              <w:tl2br w:val="nil"/>
              <w:tr2bl w:val="nil"/>
            </w:tcBorders>
            <w:shd w:val="clear" w:color="auto" w:fill="auto"/>
            <w:noWrap/>
            <w:tcMar>
              <w:top w:w="15" w:type="dxa"/>
              <w:left w:w="15" w:type="dxa"/>
              <w:right w:w="15" w:type="dxa"/>
            </w:tcMar>
            <w:vAlign w:val="center"/>
          </w:tcPr>
          <w:p w14:paraId="74BF0FD2">
            <w:pPr>
              <w:spacing w:line="240" w:lineRule="auto"/>
              <w:jc w:val="center"/>
              <w:rPr>
                <w:b/>
                <w:color w:val="000000"/>
                <w:kern w:val="0"/>
                <w:sz w:val="21"/>
                <w:szCs w:val="21"/>
                <w:highlight w:val="none"/>
                <w:lang w:bidi="ar"/>
              </w:rPr>
            </w:pPr>
            <w:r>
              <w:rPr>
                <w:b/>
                <w:bCs/>
                <w:sz w:val="21"/>
                <w:szCs w:val="21"/>
                <w:highlight w:val="none"/>
              </w:rPr>
              <w:t>点位类型</w:t>
            </w:r>
          </w:p>
        </w:tc>
        <w:tc>
          <w:tcPr>
            <w:tcW w:w="363" w:type="pct"/>
            <w:tcBorders>
              <w:bottom w:val="single" w:color="auto" w:sz="12" w:space="0"/>
              <w:tl2br w:val="nil"/>
              <w:tr2bl w:val="nil"/>
            </w:tcBorders>
            <w:shd w:val="clear" w:color="auto" w:fill="auto"/>
            <w:noWrap/>
            <w:tcMar>
              <w:top w:w="15" w:type="dxa"/>
              <w:left w:w="15" w:type="dxa"/>
              <w:right w:w="15" w:type="dxa"/>
            </w:tcMar>
            <w:vAlign w:val="center"/>
          </w:tcPr>
          <w:p w14:paraId="43667EFE">
            <w:pPr>
              <w:spacing w:line="240" w:lineRule="auto"/>
              <w:jc w:val="center"/>
              <w:rPr>
                <w:b/>
                <w:color w:val="000000"/>
                <w:kern w:val="0"/>
                <w:sz w:val="21"/>
                <w:szCs w:val="21"/>
                <w:highlight w:val="none"/>
                <w:lang w:bidi="ar"/>
              </w:rPr>
            </w:pPr>
            <w:r>
              <w:rPr>
                <w:b/>
                <w:bCs/>
                <w:sz w:val="21"/>
                <w:szCs w:val="21"/>
                <w:highlight w:val="none"/>
              </w:rPr>
              <w:t>检测点位</w:t>
            </w:r>
          </w:p>
        </w:tc>
        <w:tc>
          <w:tcPr>
            <w:tcW w:w="326" w:type="pct"/>
            <w:tcBorders>
              <w:bottom w:val="single" w:color="auto" w:sz="12" w:space="0"/>
              <w:tl2br w:val="nil"/>
              <w:tr2bl w:val="nil"/>
            </w:tcBorders>
            <w:shd w:val="clear" w:color="auto" w:fill="auto"/>
            <w:noWrap/>
            <w:tcMar>
              <w:top w:w="15" w:type="dxa"/>
              <w:left w:w="15" w:type="dxa"/>
              <w:right w:w="15" w:type="dxa"/>
            </w:tcMar>
            <w:vAlign w:val="center"/>
          </w:tcPr>
          <w:p w14:paraId="5F9F032E">
            <w:pPr>
              <w:widowControl/>
              <w:spacing w:line="240" w:lineRule="auto"/>
              <w:jc w:val="center"/>
              <w:textAlignment w:val="center"/>
              <w:rPr>
                <w:b/>
                <w:color w:val="000000"/>
                <w:sz w:val="21"/>
                <w:szCs w:val="21"/>
                <w:highlight w:val="none"/>
              </w:rPr>
            </w:pPr>
            <w:r>
              <w:rPr>
                <w:b/>
                <w:color w:val="000000"/>
                <w:kern w:val="0"/>
                <w:sz w:val="21"/>
                <w:szCs w:val="21"/>
                <w:highlight w:val="none"/>
                <w:lang w:bidi="ar"/>
              </w:rPr>
              <w:t>土壤类型</w:t>
            </w:r>
          </w:p>
        </w:tc>
        <w:tc>
          <w:tcPr>
            <w:tcW w:w="257" w:type="pct"/>
            <w:tcBorders>
              <w:bottom w:val="single" w:color="auto" w:sz="12" w:space="0"/>
              <w:tl2br w:val="nil"/>
              <w:tr2bl w:val="nil"/>
            </w:tcBorders>
            <w:shd w:val="clear" w:color="auto" w:fill="auto"/>
            <w:noWrap/>
            <w:tcMar>
              <w:top w:w="15" w:type="dxa"/>
              <w:left w:w="15" w:type="dxa"/>
              <w:right w:w="15" w:type="dxa"/>
            </w:tcMar>
            <w:vAlign w:val="center"/>
          </w:tcPr>
          <w:p w14:paraId="2FF429E4">
            <w:pPr>
              <w:widowControl/>
              <w:spacing w:line="240" w:lineRule="auto"/>
              <w:jc w:val="center"/>
              <w:textAlignment w:val="center"/>
              <w:rPr>
                <w:b/>
                <w:color w:val="000000"/>
                <w:sz w:val="21"/>
                <w:szCs w:val="21"/>
                <w:highlight w:val="none"/>
              </w:rPr>
            </w:pPr>
            <w:r>
              <w:rPr>
                <w:b/>
                <w:color w:val="000000"/>
                <w:kern w:val="0"/>
                <w:sz w:val="21"/>
                <w:szCs w:val="21"/>
                <w:highlight w:val="none"/>
                <w:lang w:bidi="ar"/>
              </w:rPr>
              <w:t>颜色</w:t>
            </w:r>
          </w:p>
        </w:tc>
        <w:tc>
          <w:tcPr>
            <w:tcW w:w="175" w:type="pct"/>
            <w:tcBorders>
              <w:bottom w:val="single" w:color="auto" w:sz="12" w:space="0"/>
              <w:tl2br w:val="nil"/>
              <w:tr2bl w:val="nil"/>
            </w:tcBorders>
            <w:shd w:val="clear" w:color="auto" w:fill="auto"/>
            <w:noWrap/>
            <w:tcMar>
              <w:top w:w="15" w:type="dxa"/>
              <w:left w:w="15" w:type="dxa"/>
              <w:right w:w="15" w:type="dxa"/>
            </w:tcMar>
            <w:vAlign w:val="center"/>
          </w:tcPr>
          <w:p w14:paraId="5ABB2936">
            <w:pPr>
              <w:widowControl/>
              <w:spacing w:line="240" w:lineRule="auto"/>
              <w:jc w:val="center"/>
              <w:textAlignment w:val="center"/>
              <w:rPr>
                <w:b/>
                <w:color w:val="000000"/>
                <w:sz w:val="21"/>
                <w:szCs w:val="21"/>
                <w:highlight w:val="none"/>
              </w:rPr>
            </w:pPr>
            <w:r>
              <w:rPr>
                <w:b/>
                <w:color w:val="000000"/>
                <w:kern w:val="0"/>
                <w:sz w:val="21"/>
                <w:szCs w:val="21"/>
                <w:highlight w:val="none"/>
                <w:lang w:bidi="ar"/>
              </w:rPr>
              <w:t>湿度</w:t>
            </w:r>
          </w:p>
        </w:tc>
        <w:tc>
          <w:tcPr>
            <w:tcW w:w="168" w:type="pct"/>
            <w:tcBorders>
              <w:bottom w:val="single" w:color="auto" w:sz="12" w:space="0"/>
              <w:tl2br w:val="nil"/>
              <w:tr2bl w:val="nil"/>
            </w:tcBorders>
            <w:shd w:val="clear" w:color="auto" w:fill="auto"/>
            <w:noWrap/>
            <w:tcMar>
              <w:top w:w="15" w:type="dxa"/>
              <w:left w:w="15" w:type="dxa"/>
              <w:right w:w="15" w:type="dxa"/>
            </w:tcMar>
            <w:vAlign w:val="center"/>
          </w:tcPr>
          <w:p w14:paraId="1E5E9BC3">
            <w:pPr>
              <w:widowControl/>
              <w:spacing w:line="240" w:lineRule="auto"/>
              <w:jc w:val="center"/>
              <w:textAlignment w:val="center"/>
              <w:rPr>
                <w:b/>
                <w:color w:val="000000"/>
                <w:sz w:val="21"/>
                <w:szCs w:val="21"/>
                <w:highlight w:val="none"/>
              </w:rPr>
            </w:pPr>
            <w:r>
              <w:rPr>
                <w:b/>
                <w:color w:val="000000"/>
                <w:kern w:val="0"/>
                <w:sz w:val="21"/>
                <w:szCs w:val="21"/>
                <w:highlight w:val="none"/>
                <w:lang w:bidi="ar"/>
              </w:rPr>
              <w:t>气味</w:t>
            </w:r>
          </w:p>
        </w:tc>
        <w:tc>
          <w:tcPr>
            <w:tcW w:w="257" w:type="pct"/>
            <w:tcBorders>
              <w:bottom w:val="single" w:color="auto" w:sz="12" w:space="0"/>
              <w:tl2br w:val="nil"/>
              <w:tr2bl w:val="nil"/>
            </w:tcBorders>
            <w:shd w:val="clear" w:color="auto" w:fill="auto"/>
            <w:noWrap/>
            <w:tcMar>
              <w:top w:w="15" w:type="dxa"/>
              <w:left w:w="15" w:type="dxa"/>
              <w:right w:w="15" w:type="dxa"/>
            </w:tcMar>
            <w:vAlign w:val="center"/>
          </w:tcPr>
          <w:p w14:paraId="7FECD86E">
            <w:pPr>
              <w:widowControl/>
              <w:spacing w:line="240" w:lineRule="auto"/>
              <w:jc w:val="center"/>
              <w:textAlignment w:val="center"/>
              <w:rPr>
                <w:b/>
                <w:color w:val="000000"/>
                <w:sz w:val="21"/>
                <w:szCs w:val="21"/>
                <w:highlight w:val="none"/>
              </w:rPr>
            </w:pPr>
            <w:r>
              <w:rPr>
                <w:b/>
                <w:color w:val="000000"/>
                <w:kern w:val="0"/>
                <w:sz w:val="21"/>
                <w:szCs w:val="21"/>
                <w:highlight w:val="none"/>
                <w:lang w:bidi="ar"/>
              </w:rPr>
              <w:t>可塑性</w:t>
            </w:r>
          </w:p>
        </w:tc>
        <w:tc>
          <w:tcPr>
            <w:tcW w:w="2565" w:type="pct"/>
            <w:tcBorders>
              <w:bottom w:val="single" w:color="auto" w:sz="12" w:space="0"/>
              <w:tl2br w:val="nil"/>
              <w:tr2bl w:val="nil"/>
            </w:tcBorders>
            <w:shd w:val="clear" w:color="auto" w:fill="auto"/>
            <w:noWrap/>
            <w:tcMar>
              <w:top w:w="15" w:type="dxa"/>
              <w:left w:w="15" w:type="dxa"/>
              <w:right w:w="15" w:type="dxa"/>
            </w:tcMar>
            <w:vAlign w:val="center"/>
          </w:tcPr>
          <w:p w14:paraId="4FB12A24">
            <w:pPr>
              <w:widowControl/>
              <w:spacing w:line="240" w:lineRule="auto"/>
              <w:jc w:val="center"/>
              <w:textAlignment w:val="center"/>
              <w:rPr>
                <w:b/>
                <w:color w:val="000000"/>
                <w:sz w:val="21"/>
                <w:szCs w:val="21"/>
                <w:highlight w:val="none"/>
              </w:rPr>
            </w:pPr>
            <w:r>
              <w:rPr>
                <w:b/>
                <w:color w:val="000000"/>
                <w:kern w:val="0"/>
                <w:sz w:val="21"/>
                <w:szCs w:val="21"/>
                <w:highlight w:val="none"/>
                <w:lang w:bidi="ar"/>
              </w:rPr>
              <w:t>夹杂物</w:t>
            </w:r>
          </w:p>
        </w:tc>
      </w:tr>
      <w:tr w14:paraId="2C99D6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top w:val="single" w:color="auto" w:sz="12" w:space="0"/>
              <w:tl2br w:val="nil"/>
              <w:tr2bl w:val="nil"/>
            </w:tcBorders>
            <w:shd w:val="clear" w:color="auto" w:fill="auto"/>
            <w:noWrap/>
            <w:tcMar>
              <w:top w:w="15" w:type="dxa"/>
              <w:left w:w="15" w:type="dxa"/>
              <w:right w:w="15" w:type="dxa"/>
            </w:tcMar>
            <w:vAlign w:val="center"/>
          </w:tcPr>
          <w:p w14:paraId="7BC39921">
            <w:pPr>
              <w:widowControl/>
              <w:spacing w:line="240" w:lineRule="auto"/>
              <w:jc w:val="center"/>
              <w:textAlignment w:val="center"/>
              <w:rPr>
                <w:color w:val="000000"/>
                <w:sz w:val="21"/>
                <w:szCs w:val="21"/>
                <w:highlight w:val="none"/>
              </w:rPr>
            </w:pPr>
            <w:r>
              <w:rPr>
                <w:color w:val="000000"/>
                <w:kern w:val="0"/>
                <w:sz w:val="21"/>
                <w:szCs w:val="21"/>
                <w:highlight w:val="none"/>
                <w:lang w:bidi="ar"/>
              </w:rPr>
              <w:t>1</w:t>
            </w:r>
          </w:p>
        </w:tc>
        <w:tc>
          <w:tcPr>
            <w:tcW w:w="718" w:type="pct"/>
            <w:vMerge w:val="restart"/>
            <w:tcBorders>
              <w:top w:val="single" w:color="auto" w:sz="12" w:space="0"/>
              <w:tl2br w:val="nil"/>
              <w:tr2bl w:val="nil"/>
            </w:tcBorders>
            <w:shd w:val="clear" w:color="auto" w:fill="auto"/>
            <w:noWrap/>
            <w:tcMar>
              <w:top w:w="15" w:type="dxa"/>
              <w:left w:w="15" w:type="dxa"/>
              <w:right w:w="15" w:type="dxa"/>
            </w:tcMar>
            <w:vAlign w:val="center"/>
          </w:tcPr>
          <w:p w14:paraId="2B3E2FF3">
            <w:pPr>
              <w:spacing w:line="240" w:lineRule="auto"/>
              <w:jc w:val="center"/>
              <w:rPr>
                <w:sz w:val="21"/>
                <w:szCs w:val="21"/>
                <w:highlight w:val="none"/>
              </w:rPr>
            </w:pPr>
            <w:r>
              <w:rPr>
                <w:sz w:val="21"/>
                <w:szCs w:val="21"/>
                <w:highlight w:val="none"/>
              </w:rPr>
              <w:t>工业园周边</w:t>
            </w:r>
            <w:r>
              <w:rPr>
                <w:rFonts w:hint="eastAsia"/>
                <w:sz w:val="21"/>
                <w:szCs w:val="21"/>
                <w:highlight w:val="none"/>
              </w:rPr>
              <w:t>点位</w:t>
            </w:r>
          </w:p>
        </w:tc>
        <w:tc>
          <w:tcPr>
            <w:tcW w:w="363" w:type="pct"/>
            <w:tcBorders>
              <w:top w:val="single" w:color="auto" w:sz="12" w:space="0"/>
              <w:tl2br w:val="nil"/>
              <w:tr2bl w:val="nil"/>
            </w:tcBorders>
            <w:shd w:val="clear" w:color="auto" w:fill="auto"/>
            <w:noWrap/>
            <w:tcMar>
              <w:top w:w="15" w:type="dxa"/>
              <w:left w:w="15" w:type="dxa"/>
              <w:right w:w="15" w:type="dxa"/>
            </w:tcMar>
            <w:vAlign w:val="center"/>
          </w:tcPr>
          <w:p w14:paraId="008B8280">
            <w:pPr>
              <w:widowControl/>
              <w:spacing w:line="240" w:lineRule="auto"/>
              <w:jc w:val="center"/>
              <w:textAlignment w:val="center"/>
              <w:rPr>
                <w:color w:val="000000"/>
                <w:sz w:val="21"/>
                <w:szCs w:val="21"/>
                <w:highlight w:val="none"/>
              </w:rPr>
            </w:pPr>
            <w:r>
              <w:rPr>
                <w:color w:val="000000"/>
                <w:sz w:val="21"/>
                <w:szCs w:val="21"/>
                <w:highlight w:val="none"/>
              </w:rPr>
              <w:t>HH-1-75</w:t>
            </w:r>
          </w:p>
        </w:tc>
        <w:tc>
          <w:tcPr>
            <w:tcW w:w="326" w:type="pct"/>
            <w:tcBorders>
              <w:top w:val="single" w:color="auto" w:sz="12" w:space="0"/>
              <w:tl2br w:val="nil"/>
              <w:tr2bl w:val="nil"/>
            </w:tcBorders>
            <w:shd w:val="clear" w:color="auto" w:fill="auto"/>
            <w:noWrap/>
            <w:tcMar>
              <w:top w:w="15" w:type="dxa"/>
              <w:left w:w="15" w:type="dxa"/>
              <w:right w:w="15" w:type="dxa"/>
            </w:tcMar>
            <w:vAlign w:val="center"/>
          </w:tcPr>
          <w:p w14:paraId="229DF4D2">
            <w:pPr>
              <w:widowControl/>
              <w:spacing w:line="240" w:lineRule="auto"/>
              <w:jc w:val="center"/>
              <w:textAlignment w:val="center"/>
              <w:rPr>
                <w:color w:val="000000"/>
                <w:sz w:val="21"/>
                <w:szCs w:val="21"/>
                <w:highlight w:val="none"/>
              </w:rPr>
            </w:pPr>
            <w:r>
              <w:rPr>
                <w:rFonts w:hint="eastAsia"/>
                <w:color w:val="000000"/>
                <w:sz w:val="21"/>
                <w:szCs w:val="21"/>
                <w:highlight w:val="none"/>
              </w:rPr>
              <w:t>杂填土</w:t>
            </w:r>
          </w:p>
        </w:tc>
        <w:tc>
          <w:tcPr>
            <w:tcW w:w="257" w:type="pct"/>
            <w:tcBorders>
              <w:top w:val="single" w:color="auto" w:sz="12" w:space="0"/>
              <w:tl2br w:val="nil"/>
              <w:tr2bl w:val="nil"/>
            </w:tcBorders>
            <w:shd w:val="clear" w:color="auto" w:fill="auto"/>
            <w:noWrap/>
            <w:tcMar>
              <w:top w:w="15" w:type="dxa"/>
              <w:left w:w="15" w:type="dxa"/>
              <w:right w:w="15" w:type="dxa"/>
            </w:tcMar>
            <w:vAlign w:val="center"/>
          </w:tcPr>
          <w:p w14:paraId="633AE4E0">
            <w:pPr>
              <w:widowControl/>
              <w:spacing w:line="240" w:lineRule="auto"/>
              <w:jc w:val="center"/>
              <w:textAlignment w:val="center"/>
              <w:rPr>
                <w:color w:val="000000"/>
                <w:sz w:val="21"/>
                <w:szCs w:val="21"/>
                <w:highlight w:val="none"/>
              </w:rPr>
            </w:pPr>
            <w:r>
              <w:rPr>
                <w:rFonts w:hint="eastAsia"/>
                <w:color w:val="000000"/>
                <w:sz w:val="21"/>
                <w:szCs w:val="21"/>
                <w:highlight w:val="none"/>
              </w:rPr>
              <w:t>棕褐色</w:t>
            </w:r>
          </w:p>
        </w:tc>
        <w:tc>
          <w:tcPr>
            <w:tcW w:w="175" w:type="pct"/>
            <w:tcBorders>
              <w:top w:val="single" w:color="auto" w:sz="12" w:space="0"/>
              <w:tl2br w:val="nil"/>
              <w:tr2bl w:val="nil"/>
            </w:tcBorders>
            <w:shd w:val="clear" w:color="auto" w:fill="auto"/>
            <w:noWrap/>
            <w:tcMar>
              <w:top w:w="15" w:type="dxa"/>
              <w:left w:w="15" w:type="dxa"/>
              <w:right w:w="15" w:type="dxa"/>
            </w:tcMar>
            <w:vAlign w:val="center"/>
          </w:tcPr>
          <w:p w14:paraId="47FF39F8">
            <w:pPr>
              <w:widowControl/>
              <w:spacing w:line="240" w:lineRule="auto"/>
              <w:jc w:val="center"/>
              <w:textAlignment w:val="center"/>
              <w:rPr>
                <w:color w:val="000000"/>
                <w:sz w:val="21"/>
                <w:szCs w:val="21"/>
                <w:highlight w:val="none"/>
              </w:rPr>
            </w:pPr>
            <w:r>
              <w:rPr>
                <w:rFonts w:hint="eastAsia"/>
                <w:color w:val="000000"/>
                <w:sz w:val="21"/>
                <w:szCs w:val="21"/>
                <w:highlight w:val="none"/>
              </w:rPr>
              <w:t>稍湿</w:t>
            </w:r>
          </w:p>
        </w:tc>
        <w:tc>
          <w:tcPr>
            <w:tcW w:w="168" w:type="pct"/>
            <w:tcBorders>
              <w:top w:val="single" w:color="auto" w:sz="12" w:space="0"/>
              <w:tl2br w:val="nil"/>
              <w:tr2bl w:val="nil"/>
            </w:tcBorders>
            <w:shd w:val="clear" w:color="auto" w:fill="auto"/>
            <w:noWrap/>
            <w:tcMar>
              <w:top w:w="15" w:type="dxa"/>
              <w:left w:w="15" w:type="dxa"/>
              <w:right w:w="15" w:type="dxa"/>
            </w:tcMar>
            <w:vAlign w:val="center"/>
          </w:tcPr>
          <w:p w14:paraId="7D5BD7FF">
            <w:pPr>
              <w:widowControl/>
              <w:spacing w:line="240" w:lineRule="auto"/>
              <w:jc w:val="center"/>
              <w:textAlignment w:val="center"/>
              <w:rPr>
                <w:color w:val="000000"/>
                <w:sz w:val="21"/>
                <w:szCs w:val="21"/>
                <w:highlight w:val="none"/>
              </w:rPr>
            </w:pPr>
            <w:r>
              <w:rPr>
                <w:rFonts w:hint="eastAsia"/>
                <w:color w:val="000000"/>
                <w:sz w:val="21"/>
                <w:szCs w:val="21"/>
                <w:highlight w:val="none"/>
              </w:rPr>
              <w:t>无</w:t>
            </w:r>
          </w:p>
        </w:tc>
        <w:tc>
          <w:tcPr>
            <w:tcW w:w="257" w:type="pct"/>
            <w:tcBorders>
              <w:top w:val="single" w:color="auto" w:sz="12" w:space="0"/>
              <w:tl2br w:val="nil"/>
              <w:tr2bl w:val="nil"/>
            </w:tcBorders>
            <w:shd w:val="clear" w:color="auto" w:fill="auto"/>
            <w:noWrap/>
            <w:tcMar>
              <w:top w:w="15" w:type="dxa"/>
              <w:left w:w="15" w:type="dxa"/>
              <w:right w:w="15" w:type="dxa"/>
            </w:tcMar>
            <w:vAlign w:val="center"/>
          </w:tcPr>
          <w:p w14:paraId="384EE553">
            <w:pPr>
              <w:widowControl/>
              <w:spacing w:line="240" w:lineRule="auto"/>
              <w:jc w:val="center"/>
              <w:textAlignment w:val="center"/>
              <w:rPr>
                <w:color w:val="000000"/>
                <w:sz w:val="21"/>
                <w:szCs w:val="21"/>
                <w:highlight w:val="none"/>
              </w:rPr>
            </w:pPr>
            <w:r>
              <w:rPr>
                <w:rFonts w:hint="eastAsia"/>
                <w:color w:val="000000"/>
                <w:sz w:val="21"/>
                <w:szCs w:val="21"/>
                <w:highlight w:val="none"/>
              </w:rPr>
              <w:t>可塑</w:t>
            </w:r>
          </w:p>
        </w:tc>
        <w:tc>
          <w:tcPr>
            <w:tcW w:w="2565" w:type="pct"/>
            <w:tcBorders>
              <w:top w:val="single" w:color="auto" w:sz="12" w:space="0"/>
              <w:tl2br w:val="nil"/>
              <w:tr2bl w:val="nil"/>
            </w:tcBorders>
            <w:shd w:val="clear" w:color="auto" w:fill="auto"/>
            <w:noWrap/>
            <w:tcMar>
              <w:top w:w="15" w:type="dxa"/>
              <w:left w:w="15" w:type="dxa"/>
              <w:right w:w="15" w:type="dxa"/>
            </w:tcMar>
            <w:vAlign w:val="center"/>
          </w:tcPr>
          <w:p w14:paraId="2F877598">
            <w:pPr>
              <w:widowControl/>
              <w:spacing w:line="240" w:lineRule="auto"/>
              <w:jc w:val="center"/>
              <w:textAlignment w:val="center"/>
              <w:rPr>
                <w:color w:val="000000"/>
                <w:sz w:val="21"/>
                <w:szCs w:val="21"/>
                <w:highlight w:val="none"/>
              </w:rPr>
            </w:pPr>
            <w:r>
              <w:rPr>
                <w:rFonts w:hint="eastAsia"/>
                <w:color w:val="000000"/>
                <w:sz w:val="21"/>
                <w:szCs w:val="21"/>
                <w:highlight w:val="none"/>
              </w:rPr>
              <w:t>表面夹少量根系，含碎石</w:t>
            </w:r>
          </w:p>
        </w:tc>
      </w:tr>
      <w:tr w14:paraId="6125B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tl2br w:val="nil"/>
              <w:tr2bl w:val="nil"/>
            </w:tcBorders>
            <w:shd w:val="clear" w:color="auto" w:fill="auto"/>
            <w:noWrap/>
            <w:tcMar>
              <w:top w:w="15" w:type="dxa"/>
              <w:left w:w="15" w:type="dxa"/>
              <w:right w:w="15" w:type="dxa"/>
            </w:tcMar>
            <w:vAlign w:val="center"/>
          </w:tcPr>
          <w:p w14:paraId="7402A377">
            <w:pPr>
              <w:widowControl/>
              <w:spacing w:line="240" w:lineRule="auto"/>
              <w:jc w:val="center"/>
              <w:textAlignment w:val="center"/>
              <w:rPr>
                <w:color w:val="000000"/>
                <w:sz w:val="21"/>
                <w:szCs w:val="21"/>
                <w:highlight w:val="none"/>
              </w:rPr>
            </w:pPr>
            <w:r>
              <w:rPr>
                <w:color w:val="000000"/>
                <w:kern w:val="0"/>
                <w:sz w:val="21"/>
                <w:szCs w:val="21"/>
                <w:highlight w:val="none"/>
                <w:lang w:bidi="ar"/>
              </w:rPr>
              <w:t>2</w:t>
            </w:r>
          </w:p>
        </w:tc>
        <w:tc>
          <w:tcPr>
            <w:tcW w:w="718" w:type="pct"/>
            <w:vMerge w:val="continue"/>
            <w:tcBorders>
              <w:tl2br w:val="nil"/>
              <w:tr2bl w:val="nil"/>
            </w:tcBorders>
            <w:shd w:val="clear" w:color="auto" w:fill="auto"/>
            <w:noWrap/>
            <w:tcMar>
              <w:top w:w="15" w:type="dxa"/>
              <w:left w:w="15" w:type="dxa"/>
              <w:right w:w="15" w:type="dxa"/>
            </w:tcMar>
            <w:vAlign w:val="center"/>
          </w:tcPr>
          <w:p w14:paraId="29A6F784">
            <w:pPr>
              <w:spacing w:line="240" w:lineRule="auto"/>
              <w:jc w:val="center"/>
              <w:rPr>
                <w:color w:val="000000"/>
                <w:sz w:val="21"/>
                <w:szCs w:val="21"/>
                <w:highlight w:val="none"/>
              </w:rPr>
            </w:pPr>
          </w:p>
        </w:tc>
        <w:tc>
          <w:tcPr>
            <w:tcW w:w="363" w:type="pct"/>
            <w:tcBorders>
              <w:tl2br w:val="nil"/>
              <w:tr2bl w:val="nil"/>
            </w:tcBorders>
            <w:shd w:val="clear" w:color="auto" w:fill="auto"/>
            <w:noWrap/>
            <w:tcMar>
              <w:top w:w="15" w:type="dxa"/>
              <w:left w:w="15" w:type="dxa"/>
              <w:right w:w="15" w:type="dxa"/>
            </w:tcMar>
            <w:vAlign w:val="center"/>
          </w:tcPr>
          <w:p w14:paraId="5FF102EC">
            <w:pPr>
              <w:widowControl/>
              <w:spacing w:line="240" w:lineRule="auto"/>
              <w:jc w:val="center"/>
              <w:textAlignment w:val="center"/>
              <w:rPr>
                <w:color w:val="000000"/>
                <w:sz w:val="21"/>
                <w:szCs w:val="21"/>
                <w:highlight w:val="none"/>
              </w:rPr>
            </w:pPr>
            <w:r>
              <w:rPr>
                <w:color w:val="000000"/>
                <w:sz w:val="21"/>
                <w:szCs w:val="21"/>
                <w:highlight w:val="none"/>
              </w:rPr>
              <w:t>HH-1-200</w:t>
            </w:r>
          </w:p>
        </w:tc>
        <w:tc>
          <w:tcPr>
            <w:tcW w:w="326" w:type="pct"/>
            <w:tcBorders>
              <w:tl2br w:val="nil"/>
              <w:tr2bl w:val="nil"/>
            </w:tcBorders>
            <w:shd w:val="clear" w:color="auto" w:fill="auto"/>
            <w:noWrap/>
            <w:tcMar>
              <w:top w:w="15" w:type="dxa"/>
              <w:left w:w="15" w:type="dxa"/>
              <w:right w:w="15" w:type="dxa"/>
            </w:tcMar>
            <w:vAlign w:val="center"/>
          </w:tcPr>
          <w:p w14:paraId="7F77D898">
            <w:pPr>
              <w:widowControl/>
              <w:spacing w:line="240" w:lineRule="auto"/>
              <w:jc w:val="center"/>
              <w:textAlignment w:val="center"/>
              <w:rPr>
                <w:color w:val="000000"/>
                <w:sz w:val="21"/>
                <w:szCs w:val="21"/>
                <w:highlight w:val="none"/>
              </w:rPr>
            </w:pPr>
            <w:r>
              <w:rPr>
                <w:rFonts w:hint="eastAsia"/>
                <w:color w:val="000000"/>
                <w:sz w:val="21"/>
                <w:szCs w:val="21"/>
                <w:highlight w:val="none"/>
              </w:rPr>
              <w:t>杂填土</w:t>
            </w:r>
          </w:p>
        </w:tc>
        <w:tc>
          <w:tcPr>
            <w:tcW w:w="257" w:type="pct"/>
            <w:tcBorders>
              <w:tl2br w:val="nil"/>
              <w:tr2bl w:val="nil"/>
            </w:tcBorders>
            <w:shd w:val="clear" w:color="auto" w:fill="auto"/>
            <w:noWrap/>
            <w:tcMar>
              <w:top w:w="15" w:type="dxa"/>
              <w:left w:w="15" w:type="dxa"/>
              <w:right w:w="15" w:type="dxa"/>
            </w:tcMar>
            <w:vAlign w:val="center"/>
          </w:tcPr>
          <w:p w14:paraId="5D474A20">
            <w:pPr>
              <w:widowControl/>
              <w:spacing w:line="240" w:lineRule="auto"/>
              <w:jc w:val="center"/>
              <w:textAlignment w:val="center"/>
              <w:rPr>
                <w:color w:val="000000"/>
                <w:sz w:val="21"/>
                <w:szCs w:val="21"/>
                <w:highlight w:val="none"/>
              </w:rPr>
            </w:pPr>
            <w:r>
              <w:rPr>
                <w:rFonts w:hint="eastAsia"/>
                <w:color w:val="000000"/>
                <w:sz w:val="21"/>
                <w:szCs w:val="21"/>
                <w:highlight w:val="none"/>
              </w:rPr>
              <w:t>棕褐色</w:t>
            </w:r>
          </w:p>
        </w:tc>
        <w:tc>
          <w:tcPr>
            <w:tcW w:w="175" w:type="pct"/>
            <w:tcBorders>
              <w:tl2br w:val="nil"/>
              <w:tr2bl w:val="nil"/>
            </w:tcBorders>
            <w:shd w:val="clear" w:color="auto" w:fill="auto"/>
            <w:noWrap/>
            <w:tcMar>
              <w:top w:w="15" w:type="dxa"/>
              <w:left w:w="15" w:type="dxa"/>
              <w:right w:w="15" w:type="dxa"/>
            </w:tcMar>
            <w:vAlign w:val="center"/>
          </w:tcPr>
          <w:p w14:paraId="5BC2CD6A">
            <w:pPr>
              <w:widowControl/>
              <w:spacing w:line="240" w:lineRule="auto"/>
              <w:jc w:val="center"/>
              <w:textAlignment w:val="center"/>
              <w:rPr>
                <w:color w:val="000000"/>
                <w:sz w:val="21"/>
                <w:szCs w:val="21"/>
                <w:highlight w:val="none"/>
              </w:rPr>
            </w:pPr>
            <w:r>
              <w:rPr>
                <w:rFonts w:hint="eastAsia"/>
                <w:color w:val="000000"/>
                <w:sz w:val="21"/>
                <w:szCs w:val="21"/>
                <w:highlight w:val="none"/>
              </w:rPr>
              <w:t>稍湿</w:t>
            </w:r>
          </w:p>
        </w:tc>
        <w:tc>
          <w:tcPr>
            <w:tcW w:w="168" w:type="pct"/>
            <w:tcBorders>
              <w:tl2br w:val="nil"/>
              <w:tr2bl w:val="nil"/>
            </w:tcBorders>
            <w:shd w:val="clear" w:color="auto" w:fill="auto"/>
            <w:noWrap/>
            <w:tcMar>
              <w:top w:w="15" w:type="dxa"/>
              <w:left w:w="15" w:type="dxa"/>
              <w:right w:w="15" w:type="dxa"/>
            </w:tcMar>
            <w:vAlign w:val="center"/>
          </w:tcPr>
          <w:p w14:paraId="2B1D5815">
            <w:pPr>
              <w:widowControl/>
              <w:spacing w:line="240" w:lineRule="auto"/>
              <w:jc w:val="center"/>
              <w:textAlignment w:val="center"/>
              <w:rPr>
                <w:color w:val="000000"/>
                <w:sz w:val="21"/>
                <w:szCs w:val="21"/>
                <w:highlight w:val="none"/>
              </w:rPr>
            </w:pPr>
            <w:r>
              <w:rPr>
                <w:rFonts w:hint="eastAsia"/>
                <w:color w:val="000000"/>
                <w:sz w:val="21"/>
                <w:szCs w:val="21"/>
                <w:highlight w:val="none"/>
              </w:rPr>
              <w:t>无</w:t>
            </w:r>
          </w:p>
        </w:tc>
        <w:tc>
          <w:tcPr>
            <w:tcW w:w="257" w:type="pct"/>
            <w:tcBorders>
              <w:tl2br w:val="nil"/>
              <w:tr2bl w:val="nil"/>
            </w:tcBorders>
            <w:shd w:val="clear" w:color="auto" w:fill="auto"/>
            <w:noWrap/>
            <w:tcMar>
              <w:top w:w="15" w:type="dxa"/>
              <w:left w:w="15" w:type="dxa"/>
              <w:right w:w="15" w:type="dxa"/>
            </w:tcMar>
            <w:vAlign w:val="center"/>
          </w:tcPr>
          <w:p w14:paraId="5392F3D1">
            <w:pPr>
              <w:widowControl/>
              <w:spacing w:line="240" w:lineRule="auto"/>
              <w:jc w:val="center"/>
              <w:textAlignment w:val="center"/>
              <w:rPr>
                <w:color w:val="000000"/>
                <w:sz w:val="21"/>
                <w:szCs w:val="21"/>
                <w:highlight w:val="none"/>
              </w:rPr>
            </w:pPr>
            <w:r>
              <w:rPr>
                <w:rFonts w:hint="eastAsia"/>
                <w:color w:val="000000"/>
                <w:sz w:val="21"/>
                <w:szCs w:val="21"/>
                <w:highlight w:val="none"/>
              </w:rPr>
              <w:t>可塑</w:t>
            </w:r>
          </w:p>
        </w:tc>
        <w:tc>
          <w:tcPr>
            <w:tcW w:w="2565" w:type="pct"/>
            <w:tcBorders>
              <w:tl2br w:val="nil"/>
              <w:tr2bl w:val="nil"/>
            </w:tcBorders>
            <w:shd w:val="clear" w:color="auto" w:fill="auto"/>
            <w:noWrap/>
            <w:tcMar>
              <w:top w:w="15" w:type="dxa"/>
              <w:left w:w="15" w:type="dxa"/>
              <w:right w:w="15" w:type="dxa"/>
            </w:tcMar>
            <w:vAlign w:val="center"/>
          </w:tcPr>
          <w:p w14:paraId="6590893B">
            <w:pPr>
              <w:widowControl/>
              <w:spacing w:line="240" w:lineRule="auto"/>
              <w:jc w:val="center"/>
              <w:textAlignment w:val="center"/>
              <w:rPr>
                <w:rFonts w:hint="eastAsia" w:eastAsia="宋体"/>
                <w:color w:val="000000"/>
                <w:sz w:val="21"/>
                <w:szCs w:val="21"/>
                <w:highlight w:val="none"/>
                <w:lang w:eastAsia="zh-CN"/>
              </w:rPr>
            </w:pPr>
            <w:r>
              <w:rPr>
                <w:rFonts w:hint="eastAsia"/>
                <w:color w:val="000000"/>
                <w:sz w:val="21"/>
                <w:szCs w:val="21"/>
                <w:highlight w:val="none"/>
              </w:rPr>
              <w:t>表面夹少量根系，清表后主要由粘土组成</w:t>
            </w:r>
            <w:r>
              <w:rPr>
                <w:rFonts w:hint="eastAsia"/>
                <w:color w:val="000000"/>
                <w:sz w:val="21"/>
                <w:szCs w:val="21"/>
                <w:highlight w:val="none"/>
                <w:lang w:eastAsia="zh-CN"/>
              </w:rPr>
              <w:t>，含铁锰质矿物</w:t>
            </w:r>
          </w:p>
        </w:tc>
      </w:tr>
      <w:tr w14:paraId="589C7A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tl2br w:val="nil"/>
              <w:tr2bl w:val="nil"/>
            </w:tcBorders>
            <w:shd w:val="clear" w:color="auto" w:fill="auto"/>
            <w:noWrap/>
            <w:tcMar>
              <w:top w:w="15" w:type="dxa"/>
              <w:left w:w="15" w:type="dxa"/>
              <w:right w:w="15" w:type="dxa"/>
            </w:tcMar>
            <w:vAlign w:val="center"/>
          </w:tcPr>
          <w:p w14:paraId="55FBFC21">
            <w:pPr>
              <w:widowControl/>
              <w:spacing w:line="240" w:lineRule="auto"/>
              <w:jc w:val="center"/>
              <w:textAlignment w:val="center"/>
              <w:rPr>
                <w:color w:val="000000"/>
                <w:sz w:val="21"/>
                <w:szCs w:val="21"/>
                <w:highlight w:val="none"/>
              </w:rPr>
            </w:pPr>
            <w:r>
              <w:rPr>
                <w:color w:val="000000"/>
                <w:kern w:val="0"/>
                <w:sz w:val="21"/>
                <w:szCs w:val="21"/>
                <w:highlight w:val="none"/>
                <w:lang w:bidi="ar"/>
              </w:rPr>
              <w:t>3</w:t>
            </w:r>
          </w:p>
        </w:tc>
        <w:tc>
          <w:tcPr>
            <w:tcW w:w="718" w:type="pct"/>
            <w:vMerge w:val="continue"/>
            <w:tcBorders>
              <w:tl2br w:val="nil"/>
              <w:tr2bl w:val="nil"/>
            </w:tcBorders>
            <w:shd w:val="clear" w:color="auto" w:fill="auto"/>
            <w:noWrap/>
            <w:tcMar>
              <w:top w:w="15" w:type="dxa"/>
              <w:left w:w="15" w:type="dxa"/>
              <w:right w:w="15" w:type="dxa"/>
            </w:tcMar>
            <w:vAlign w:val="center"/>
          </w:tcPr>
          <w:p w14:paraId="7D74B1B3">
            <w:pPr>
              <w:spacing w:line="240" w:lineRule="auto"/>
              <w:jc w:val="center"/>
              <w:rPr>
                <w:color w:val="000000"/>
                <w:sz w:val="21"/>
                <w:szCs w:val="21"/>
                <w:highlight w:val="none"/>
              </w:rPr>
            </w:pPr>
          </w:p>
        </w:tc>
        <w:tc>
          <w:tcPr>
            <w:tcW w:w="363" w:type="pct"/>
            <w:tcBorders>
              <w:tl2br w:val="nil"/>
              <w:tr2bl w:val="nil"/>
            </w:tcBorders>
            <w:shd w:val="clear" w:color="auto" w:fill="auto"/>
            <w:noWrap/>
            <w:tcMar>
              <w:top w:w="15" w:type="dxa"/>
              <w:left w:w="15" w:type="dxa"/>
              <w:right w:w="15" w:type="dxa"/>
            </w:tcMar>
            <w:vAlign w:val="center"/>
          </w:tcPr>
          <w:p w14:paraId="189C3E92">
            <w:pPr>
              <w:widowControl/>
              <w:spacing w:line="240" w:lineRule="auto"/>
              <w:jc w:val="center"/>
              <w:textAlignment w:val="center"/>
              <w:rPr>
                <w:color w:val="000000"/>
                <w:sz w:val="21"/>
                <w:szCs w:val="21"/>
                <w:highlight w:val="none"/>
              </w:rPr>
            </w:pPr>
            <w:r>
              <w:rPr>
                <w:color w:val="000000"/>
                <w:sz w:val="21"/>
                <w:szCs w:val="21"/>
                <w:highlight w:val="none"/>
              </w:rPr>
              <w:t>HH-1-400</w:t>
            </w:r>
          </w:p>
        </w:tc>
        <w:tc>
          <w:tcPr>
            <w:tcW w:w="326" w:type="pct"/>
            <w:tcBorders>
              <w:tl2br w:val="nil"/>
              <w:tr2bl w:val="nil"/>
            </w:tcBorders>
            <w:shd w:val="clear" w:color="auto" w:fill="auto"/>
            <w:noWrap/>
            <w:tcMar>
              <w:top w:w="15" w:type="dxa"/>
              <w:left w:w="15" w:type="dxa"/>
              <w:right w:w="15" w:type="dxa"/>
            </w:tcMar>
            <w:vAlign w:val="center"/>
          </w:tcPr>
          <w:p w14:paraId="21356FF7">
            <w:pPr>
              <w:widowControl/>
              <w:spacing w:line="240" w:lineRule="auto"/>
              <w:jc w:val="center"/>
              <w:textAlignment w:val="center"/>
              <w:rPr>
                <w:color w:val="000000"/>
                <w:sz w:val="21"/>
                <w:szCs w:val="21"/>
                <w:highlight w:val="none"/>
              </w:rPr>
            </w:pPr>
            <w:r>
              <w:rPr>
                <w:rFonts w:hint="eastAsia"/>
                <w:color w:val="000000"/>
                <w:sz w:val="21"/>
                <w:szCs w:val="21"/>
                <w:highlight w:val="none"/>
              </w:rPr>
              <w:t>杂填土</w:t>
            </w:r>
          </w:p>
        </w:tc>
        <w:tc>
          <w:tcPr>
            <w:tcW w:w="257" w:type="pct"/>
            <w:tcBorders>
              <w:tl2br w:val="nil"/>
              <w:tr2bl w:val="nil"/>
            </w:tcBorders>
            <w:shd w:val="clear" w:color="auto" w:fill="auto"/>
            <w:noWrap/>
            <w:tcMar>
              <w:top w:w="15" w:type="dxa"/>
              <w:left w:w="15" w:type="dxa"/>
              <w:right w:w="15" w:type="dxa"/>
            </w:tcMar>
            <w:vAlign w:val="center"/>
          </w:tcPr>
          <w:p w14:paraId="6458313B">
            <w:pPr>
              <w:widowControl/>
              <w:spacing w:line="240" w:lineRule="auto"/>
              <w:jc w:val="center"/>
              <w:textAlignment w:val="center"/>
              <w:rPr>
                <w:color w:val="000000"/>
                <w:sz w:val="21"/>
                <w:szCs w:val="21"/>
                <w:highlight w:val="none"/>
              </w:rPr>
            </w:pPr>
            <w:r>
              <w:rPr>
                <w:rFonts w:hint="eastAsia"/>
                <w:color w:val="000000"/>
                <w:sz w:val="21"/>
                <w:szCs w:val="21"/>
                <w:highlight w:val="none"/>
              </w:rPr>
              <w:t>棕褐色</w:t>
            </w:r>
          </w:p>
        </w:tc>
        <w:tc>
          <w:tcPr>
            <w:tcW w:w="175" w:type="pct"/>
            <w:tcBorders>
              <w:tl2br w:val="nil"/>
              <w:tr2bl w:val="nil"/>
            </w:tcBorders>
            <w:shd w:val="clear" w:color="auto" w:fill="auto"/>
            <w:noWrap/>
            <w:tcMar>
              <w:top w:w="15" w:type="dxa"/>
              <w:left w:w="15" w:type="dxa"/>
              <w:right w:w="15" w:type="dxa"/>
            </w:tcMar>
            <w:vAlign w:val="center"/>
          </w:tcPr>
          <w:p w14:paraId="0AE0A2B1">
            <w:pPr>
              <w:widowControl/>
              <w:spacing w:line="240" w:lineRule="auto"/>
              <w:jc w:val="center"/>
              <w:textAlignment w:val="center"/>
              <w:rPr>
                <w:color w:val="000000"/>
                <w:sz w:val="21"/>
                <w:szCs w:val="21"/>
                <w:highlight w:val="none"/>
              </w:rPr>
            </w:pPr>
            <w:r>
              <w:rPr>
                <w:rFonts w:hint="eastAsia"/>
                <w:color w:val="000000"/>
                <w:sz w:val="21"/>
                <w:szCs w:val="21"/>
                <w:highlight w:val="none"/>
              </w:rPr>
              <w:t>稍湿</w:t>
            </w:r>
          </w:p>
        </w:tc>
        <w:tc>
          <w:tcPr>
            <w:tcW w:w="168" w:type="pct"/>
            <w:tcBorders>
              <w:tl2br w:val="nil"/>
              <w:tr2bl w:val="nil"/>
            </w:tcBorders>
            <w:shd w:val="clear" w:color="auto" w:fill="auto"/>
            <w:noWrap/>
            <w:tcMar>
              <w:top w:w="15" w:type="dxa"/>
              <w:left w:w="15" w:type="dxa"/>
              <w:right w:w="15" w:type="dxa"/>
            </w:tcMar>
            <w:vAlign w:val="center"/>
          </w:tcPr>
          <w:p w14:paraId="51C15ECC">
            <w:pPr>
              <w:widowControl/>
              <w:spacing w:line="240" w:lineRule="auto"/>
              <w:jc w:val="center"/>
              <w:textAlignment w:val="center"/>
              <w:rPr>
                <w:color w:val="000000"/>
                <w:sz w:val="21"/>
                <w:szCs w:val="21"/>
                <w:highlight w:val="none"/>
              </w:rPr>
            </w:pPr>
            <w:r>
              <w:rPr>
                <w:rFonts w:hint="eastAsia"/>
                <w:color w:val="000000"/>
                <w:sz w:val="21"/>
                <w:szCs w:val="21"/>
                <w:highlight w:val="none"/>
              </w:rPr>
              <w:t>无</w:t>
            </w:r>
          </w:p>
        </w:tc>
        <w:tc>
          <w:tcPr>
            <w:tcW w:w="257" w:type="pct"/>
            <w:tcBorders>
              <w:tl2br w:val="nil"/>
              <w:tr2bl w:val="nil"/>
            </w:tcBorders>
            <w:shd w:val="clear" w:color="auto" w:fill="auto"/>
            <w:noWrap/>
            <w:tcMar>
              <w:top w:w="15" w:type="dxa"/>
              <w:left w:w="15" w:type="dxa"/>
              <w:right w:w="15" w:type="dxa"/>
            </w:tcMar>
            <w:vAlign w:val="center"/>
          </w:tcPr>
          <w:p w14:paraId="23D9F7B8">
            <w:pPr>
              <w:widowControl/>
              <w:spacing w:line="240" w:lineRule="auto"/>
              <w:jc w:val="center"/>
              <w:textAlignment w:val="center"/>
              <w:rPr>
                <w:color w:val="000000"/>
                <w:sz w:val="21"/>
                <w:szCs w:val="21"/>
                <w:highlight w:val="none"/>
              </w:rPr>
            </w:pPr>
            <w:r>
              <w:rPr>
                <w:rFonts w:hint="eastAsia"/>
                <w:color w:val="000000"/>
                <w:sz w:val="21"/>
                <w:szCs w:val="21"/>
                <w:highlight w:val="none"/>
              </w:rPr>
              <w:t>可塑</w:t>
            </w:r>
          </w:p>
        </w:tc>
        <w:tc>
          <w:tcPr>
            <w:tcW w:w="2565" w:type="pct"/>
            <w:tcBorders>
              <w:tl2br w:val="nil"/>
              <w:tr2bl w:val="nil"/>
            </w:tcBorders>
            <w:shd w:val="clear" w:color="auto" w:fill="auto"/>
            <w:noWrap/>
            <w:tcMar>
              <w:top w:w="15" w:type="dxa"/>
              <w:left w:w="15" w:type="dxa"/>
              <w:right w:w="15" w:type="dxa"/>
            </w:tcMar>
            <w:vAlign w:val="center"/>
          </w:tcPr>
          <w:p w14:paraId="0DA6094B">
            <w:pPr>
              <w:widowControl/>
              <w:spacing w:line="240" w:lineRule="auto"/>
              <w:jc w:val="center"/>
              <w:textAlignment w:val="center"/>
              <w:rPr>
                <w:color w:val="000000"/>
                <w:sz w:val="21"/>
                <w:szCs w:val="21"/>
                <w:highlight w:val="none"/>
              </w:rPr>
            </w:pPr>
            <w:r>
              <w:rPr>
                <w:rFonts w:hint="eastAsia"/>
                <w:color w:val="000000"/>
                <w:sz w:val="21"/>
                <w:szCs w:val="21"/>
                <w:highlight w:val="none"/>
              </w:rPr>
              <w:t>表面含少量根系、碎石、砖块，清表后主要由粘土组成，含少量高岭土</w:t>
            </w:r>
          </w:p>
        </w:tc>
      </w:tr>
      <w:tr w14:paraId="57B567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tl2br w:val="nil"/>
              <w:tr2bl w:val="nil"/>
            </w:tcBorders>
            <w:shd w:val="clear" w:color="auto" w:fill="auto"/>
            <w:noWrap/>
            <w:tcMar>
              <w:top w:w="15" w:type="dxa"/>
              <w:left w:w="15" w:type="dxa"/>
              <w:right w:w="15" w:type="dxa"/>
            </w:tcMar>
            <w:vAlign w:val="center"/>
          </w:tcPr>
          <w:p w14:paraId="4A153659">
            <w:pPr>
              <w:widowControl/>
              <w:spacing w:line="240" w:lineRule="auto"/>
              <w:jc w:val="center"/>
              <w:textAlignment w:val="center"/>
              <w:rPr>
                <w:color w:val="000000"/>
                <w:sz w:val="21"/>
                <w:szCs w:val="21"/>
                <w:highlight w:val="none"/>
              </w:rPr>
            </w:pPr>
            <w:r>
              <w:rPr>
                <w:color w:val="000000"/>
                <w:kern w:val="0"/>
                <w:sz w:val="21"/>
                <w:szCs w:val="21"/>
                <w:highlight w:val="none"/>
                <w:lang w:bidi="ar"/>
              </w:rPr>
              <w:t>4</w:t>
            </w:r>
          </w:p>
        </w:tc>
        <w:tc>
          <w:tcPr>
            <w:tcW w:w="718" w:type="pct"/>
            <w:vMerge w:val="continue"/>
            <w:tcBorders>
              <w:tl2br w:val="nil"/>
              <w:tr2bl w:val="nil"/>
            </w:tcBorders>
            <w:shd w:val="clear" w:color="auto" w:fill="auto"/>
            <w:noWrap/>
            <w:tcMar>
              <w:top w:w="15" w:type="dxa"/>
              <w:left w:w="15" w:type="dxa"/>
              <w:right w:w="15" w:type="dxa"/>
            </w:tcMar>
            <w:vAlign w:val="center"/>
          </w:tcPr>
          <w:p w14:paraId="33306734">
            <w:pPr>
              <w:spacing w:line="240" w:lineRule="auto"/>
              <w:jc w:val="center"/>
              <w:rPr>
                <w:sz w:val="21"/>
                <w:szCs w:val="21"/>
                <w:highlight w:val="none"/>
              </w:rPr>
            </w:pPr>
          </w:p>
        </w:tc>
        <w:tc>
          <w:tcPr>
            <w:tcW w:w="363" w:type="pct"/>
            <w:tcBorders>
              <w:tl2br w:val="nil"/>
              <w:tr2bl w:val="nil"/>
            </w:tcBorders>
            <w:shd w:val="clear" w:color="auto" w:fill="auto"/>
            <w:noWrap/>
            <w:tcMar>
              <w:top w:w="15" w:type="dxa"/>
              <w:left w:w="15" w:type="dxa"/>
              <w:right w:w="15" w:type="dxa"/>
            </w:tcMar>
            <w:vAlign w:val="center"/>
          </w:tcPr>
          <w:p w14:paraId="3F46288A">
            <w:pPr>
              <w:widowControl/>
              <w:spacing w:line="240" w:lineRule="auto"/>
              <w:jc w:val="center"/>
              <w:textAlignment w:val="center"/>
              <w:rPr>
                <w:color w:val="000000"/>
                <w:sz w:val="21"/>
                <w:szCs w:val="21"/>
                <w:highlight w:val="none"/>
              </w:rPr>
            </w:pPr>
            <w:r>
              <w:rPr>
                <w:color w:val="000000"/>
                <w:sz w:val="21"/>
                <w:szCs w:val="21"/>
                <w:highlight w:val="none"/>
              </w:rPr>
              <w:t>HH-2</w:t>
            </w:r>
          </w:p>
        </w:tc>
        <w:tc>
          <w:tcPr>
            <w:tcW w:w="326" w:type="pct"/>
            <w:tcBorders>
              <w:tl2br w:val="nil"/>
              <w:tr2bl w:val="nil"/>
            </w:tcBorders>
            <w:shd w:val="clear" w:color="auto" w:fill="auto"/>
            <w:noWrap/>
            <w:tcMar>
              <w:top w:w="15" w:type="dxa"/>
              <w:left w:w="15" w:type="dxa"/>
              <w:right w:w="15" w:type="dxa"/>
            </w:tcMar>
            <w:vAlign w:val="center"/>
          </w:tcPr>
          <w:p w14:paraId="18AAF8A8">
            <w:pPr>
              <w:widowControl/>
              <w:spacing w:line="240" w:lineRule="auto"/>
              <w:jc w:val="center"/>
              <w:textAlignment w:val="center"/>
              <w:rPr>
                <w:color w:val="000000"/>
                <w:sz w:val="21"/>
                <w:szCs w:val="21"/>
                <w:highlight w:val="none"/>
              </w:rPr>
            </w:pPr>
            <w:r>
              <w:rPr>
                <w:rFonts w:hint="eastAsia"/>
                <w:color w:val="000000"/>
                <w:sz w:val="21"/>
                <w:szCs w:val="21"/>
                <w:highlight w:val="none"/>
              </w:rPr>
              <w:t>杂填土</w:t>
            </w:r>
          </w:p>
        </w:tc>
        <w:tc>
          <w:tcPr>
            <w:tcW w:w="257" w:type="pct"/>
            <w:tcBorders>
              <w:tl2br w:val="nil"/>
              <w:tr2bl w:val="nil"/>
            </w:tcBorders>
            <w:shd w:val="clear" w:color="auto" w:fill="auto"/>
            <w:noWrap/>
            <w:tcMar>
              <w:top w:w="15" w:type="dxa"/>
              <w:left w:w="15" w:type="dxa"/>
              <w:right w:w="15" w:type="dxa"/>
            </w:tcMar>
            <w:vAlign w:val="center"/>
          </w:tcPr>
          <w:p w14:paraId="4558FDE6">
            <w:pPr>
              <w:widowControl/>
              <w:spacing w:line="240" w:lineRule="auto"/>
              <w:jc w:val="center"/>
              <w:textAlignment w:val="center"/>
              <w:rPr>
                <w:color w:val="000000"/>
                <w:sz w:val="21"/>
                <w:szCs w:val="21"/>
                <w:highlight w:val="none"/>
              </w:rPr>
            </w:pPr>
            <w:r>
              <w:rPr>
                <w:rFonts w:hint="eastAsia"/>
                <w:color w:val="000000"/>
                <w:sz w:val="21"/>
                <w:szCs w:val="21"/>
                <w:highlight w:val="none"/>
              </w:rPr>
              <w:t>褐色</w:t>
            </w:r>
          </w:p>
        </w:tc>
        <w:tc>
          <w:tcPr>
            <w:tcW w:w="175" w:type="pct"/>
            <w:tcBorders>
              <w:tl2br w:val="nil"/>
              <w:tr2bl w:val="nil"/>
            </w:tcBorders>
            <w:shd w:val="clear" w:color="auto" w:fill="auto"/>
            <w:noWrap/>
            <w:tcMar>
              <w:top w:w="15" w:type="dxa"/>
              <w:left w:w="15" w:type="dxa"/>
              <w:right w:w="15" w:type="dxa"/>
            </w:tcMar>
            <w:vAlign w:val="center"/>
          </w:tcPr>
          <w:p w14:paraId="43E30DE3">
            <w:pPr>
              <w:widowControl/>
              <w:spacing w:line="240" w:lineRule="auto"/>
              <w:jc w:val="center"/>
              <w:textAlignment w:val="center"/>
              <w:rPr>
                <w:color w:val="000000"/>
                <w:sz w:val="21"/>
                <w:szCs w:val="21"/>
                <w:highlight w:val="none"/>
              </w:rPr>
            </w:pPr>
            <w:r>
              <w:rPr>
                <w:rFonts w:hint="eastAsia"/>
                <w:color w:val="000000"/>
                <w:sz w:val="21"/>
                <w:szCs w:val="21"/>
                <w:highlight w:val="none"/>
              </w:rPr>
              <w:t>湿</w:t>
            </w:r>
          </w:p>
        </w:tc>
        <w:tc>
          <w:tcPr>
            <w:tcW w:w="168" w:type="pct"/>
            <w:tcBorders>
              <w:tl2br w:val="nil"/>
              <w:tr2bl w:val="nil"/>
            </w:tcBorders>
            <w:shd w:val="clear" w:color="auto" w:fill="auto"/>
            <w:noWrap/>
            <w:tcMar>
              <w:top w:w="15" w:type="dxa"/>
              <w:left w:w="15" w:type="dxa"/>
              <w:right w:w="15" w:type="dxa"/>
            </w:tcMar>
            <w:vAlign w:val="center"/>
          </w:tcPr>
          <w:p w14:paraId="096CC09E">
            <w:pPr>
              <w:widowControl/>
              <w:spacing w:line="240" w:lineRule="auto"/>
              <w:jc w:val="center"/>
              <w:textAlignment w:val="center"/>
              <w:rPr>
                <w:color w:val="000000"/>
                <w:sz w:val="21"/>
                <w:szCs w:val="21"/>
                <w:highlight w:val="none"/>
              </w:rPr>
            </w:pPr>
            <w:r>
              <w:rPr>
                <w:rFonts w:hint="eastAsia"/>
                <w:color w:val="000000"/>
                <w:sz w:val="21"/>
                <w:szCs w:val="21"/>
                <w:highlight w:val="none"/>
              </w:rPr>
              <w:t>无</w:t>
            </w:r>
          </w:p>
        </w:tc>
        <w:tc>
          <w:tcPr>
            <w:tcW w:w="257" w:type="pct"/>
            <w:tcBorders>
              <w:tl2br w:val="nil"/>
              <w:tr2bl w:val="nil"/>
            </w:tcBorders>
            <w:shd w:val="clear" w:color="auto" w:fill="auto"/>
            <w:noWrap/>
            <w:tcMar>
              <w:top w:w="15" w:type="dxa"/>
              <w:left w:w="15" w:type="dxa"/>
              <w:right w:w="15" w:type="dxa"/>
            </w:tcMar>
            <w:vAlign w:val="center"/>
          </w:tcPr>
          <w:p w14:paraId="32A24057">
            <w:pPr>
              <w:widowControl/>
              <w:spacing w:line="240" w:lineRule="auto"/>
              <w:jc w:val="center"/>
              <w:textAlignment w:val="center"/>
              <w:rPr>
                <w:color w:val="000000"/>
                <w:sz w:val="21"/>
                <w:szCs w:val="21"/>
                <w:highlight w:val="none"/>
              </w:rPr>
            </w:pPr>
            <w:r>
              <w:rPr>
                <w:rFonts w:hint="eastAsia"/>
                <w:color w:val="000000"/>
                <w:sz w:val="21"/>
                <w:szCs w:val="21"/>
                <w:highlight w:val="none"/>
              </w:rPr>
              <w:t>可塑</w:t>
            </w:r>
          </w:p>
        </w:tc>
        <w:tc>
          <w:tcPr>
            <w:tcW w:w="2565" w:type="pct"/>
            <w:tcBorders>
              <w:tl2br w:val="nil"/>
              <w:tr2bl w:val="nil"/>
            </w:tcBorders>
            <w:shd w:val="clear" w:color="auto" w:fill="auto"/>
            <w:noWrap/>
            <w:tcMar>
              <w:top w:w="15" w:type="dxa"/>
              <w:left w:w="15" w:type="dxa"/>
              <w:right w:w="15" w:type="dxa"/>
            </w:tcMar>
            <w:vAlign w:val="center"/>
          </w:tcPr>
          <w:p w14:paraId="30247039">
            <w:pPr>
              <w:widowControl/>
              <w:spacing w:line="240" w:lineRule="auto"/>
              <w:jc w:val="center"/>
              <w:textAlignment w:val="center"/>
              <w:rPr>
                <w:color w:val="000000"/>
                <w:sz w:val="21"/>
                <w:szCs w:val="21"/>
                <w:highlight w:val="none"/>
              </w:rPr>
            </w:pPr>
            <w:r>
              <w:rPr>
                <w:rFonts w:hint="eastAsia"/>
                <w:color w:val="000000"/>
                <w:sz w:val="21"/>
                <w:szCs w:val="21"/>
                <w:highlight w:val="none"/>
              </w:rPr>
              <w:t>表面夹树叶、少量根系，清表后粘土为主，夹铁锰矿</w:t>
            </w:r>
          </w:p>
        </w:tc>
      </w:tr>
      <w:tr w14:paraId="2DE1EF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tl2br w:val="nil"/>
              <w:tr2bl w:val="nil"/>
            </w:tcBorders>
            <w:shd w:val="clear" w:color="auto" w:fill="auto"/>
            <w:noWrap/>
            <w:tcMar>
              <w:top w:w="15" w:type="dxa"/>
              <w:left w:w="15" w:type="dxa"/>
              <w:right w:w="15" w:type="dxa"/>
            </w:tcMar>
            <w:vAlign w:val="center"/>
          </w:tcPr>
          <w:p w14:paraId="3DBE3B5E">
            <w:pPr>
              <w:widowControl/>
              <w:spacing w:line="240" w:lineRule="auto"/>
              <w:jc w:val="center"/>
              <w:textAlignment w:val="center"/>
              <w:rPr>
                <w:color w:val="000000"/>
                <w:sz w:val="21"/>
                <w:szCs w:val="21"/>
                <w:highlight w:val="none"/>
              </w:rPr>
            </w:pPr>
            <w:r>
              <w:rPr>
                <w:color w:val="000000"/>
                <w:kern w:val="0"/>
                <w:sz w:val="21"/>
                <w:szCs w:val="21"/>
                <w:highlight w:val="none"/>
                <w:lang w:bidi="ar"/>
              </w:rPr>
              <w:t>5</w:t>
            </w:r>
          </w:p>
        </w:tc>
        <w:tc>
          <w:tcPr>
            <w:tcW w:w="718" w:type="pct"/>
            <w:vMerge w:val="continue"/>
            <w:tcBorders>
              <w:tl2br w:val="nil"/>
              <w:tr2bl w:val="nil"/>
            </w:tcBorders>
            <w:shd w:val="clear" w:color="auto" w:fill="auto"/>
            <w:noWrap/>
            <w:tcMar>
              <w:top w:w="15" w:type="dxa"/>
              <w:left w:w="15" w:type="dxa"/>
              <w:right w:w="15" w:type="dxa"/>
            </w:tcMar>
            <w:vAlign w:val="center"/>
          </w:tcPr>
          <w:p w14:paraId="0F7B167A">
            <w:pPr>
              <w:spacing w:line="240" w:lineRule="auto"/>
              <w:jc w:val="center"/>
              <w:rPr>
                <w:color w:val="000000"/>
                <w:sz w:val="21"/>
                <w:szCs w:val="21"/>
                <w:highlight w:val="none"/>
              </w:rPr>
            </w:pPr>
          </w:p>
        </w:tc>
        <w:tc>
          <w:tcPr>
            <w:tcW w:w="363" w:type="pct"/>
            <w:tcBorders>
              <w:tl2br w:val="nil"/>
              <w:tr2bl w:val="nil"/>
            </w:tcBorders>
            <w:shd w:val="clear" w:color="auto" w:fill="auto"/>
            <w:noWrap/>
            <w:tcMar>
              <w:top w:w="15" w:type="dxa"/>
              <w:left w:w="15" w:type="dxa"/>
              <w:right w:w="15" w:type="dxa"/>
            </w:tcMar>
            <w:vAlign w:val="center"/>
          </w:tcPr>
          <w:p w14:paraId="00440D65">
            <w:pPr>
              <w:widowControl/>
              <w:spacing w:line="240" w:lineRule="auto"/>
              <w:jc w:val="center"/>
              <w:textAlignment w:val="center"/>
              <w:rPr>
                <w:color w:val="000000"/>
                <w:sz w:val="21"/>
                <w:szCs w:val="21"/>
                <w:highlight w:val="none"/>
              </w:rPr>
            </w:pPr>
            <w:r>
              <w:rPr>
                <w:color w:val="000000"/>
                <w:sz w:val="21"/>
                <w:szCs w:val="21"/>
                <w:highlight w:val="none"/>
              </w:rPr>
              <w:t>HH-3-75</w:t>
            </w:r>
          </w:p>
        </w:tc>
        <w:tc>
          <w:tcPr>
            <w:tcW w:w="326" w:type="pct"/>
            <w:tcBorders>
              <w:tl2br w:val="nil"/>
              <w:tr2bl w:val="nil"/>
            </w:tcBorders>
            <w:shd w:val="clear" w:color="auto" w:fill="auto"/>
            <w:noWrap/>
            <w:tcMar>
              <w:top w:w="15" w:type="dxa"/>
              <w:left w:w="15" w:type="dxa"/>
              <w:right w:w="15" w:type="dxa"/>
            </w:tcMar>
            <w:vAlign w:val="center"/>
          </w:tcPr>
          <w:p w14:paraId="73BF5A46">
            <w:pPr>
              <w:widowControl/>
              <w:spacing w:line="240" w:lineRule="auto"/>
              <w:jc w:val="center"/>
              <w:textAlignment w:val="center"/>
              <w:rPr>
                <w:color w:val="000000"/>
                <w:sz w:val="21"/>
                <w:szCs w:val="21"/>
                <w:highlight w:val="none"/>
              </w:rPr>
            </w:pPr>
            <w:r>
              <w:rPr>
                <w:rFonts w:hint="eastAsia"/>
                <w:color w:val="000000"/>
                <w:sz w:val="21"/>
                <w:szCs w:val="21"/>
                <w:highlight w:val="none"/>
              </w:rPr>
              <w:t>杂填土</w:t>
            </w:r>
          </w:p>
        </w:tc>
        <w:tc>
          <w:tcPr>
            <w:tcW w:w="257" w:type="pct"/>
            <w:tcBorders>
              <w:tl2br w:val="nil"/>
              <w:tr2bl w:val="nil"/>
            </w:tcBorders>
            <w:shd w:val="clear" w:color="auto" w:fill="auto"/>
            <w:noWrap/>
            <w:tcMar>
              <w:top w:w="15" w:type="dxa"/>
              <w:left w:w="15" w:type="dxa"/>
              <w:right w:w="15" w:type="dxa"/>
            </w:tcMar>
            <w:vAlign w:val="center"/>
          </w:tcPr>
          <w:p w14:paraId="1EA6910C">
            <w:pPr>
              <w:widowControl/>
              <w:spacing w:line="240" w:lineRule="auto"/>
              <w:jc w:val="center"/>
              <w:textAlignment w:val="center"/>
              <w:rPr>
                <w:color w:val="000000"/>
                <w:sz w:val="21"/>
                <w:szCs w:val="21"/>
                <w:highlight w:val="none"/>
              </w:rPr>
            </w:pPr>
            <w:r>
              <w:rPr>
                <w:rFonts w:hint="eastAsia"/>
                <w:color w:val="000000"/>
                <w:sz w:val="21"/>
                <w:szCs w:val="21"/>
                <w:highlight w:val="none"/>
              </w:rPr>
              <w:t>杂色</w:t>
            </w:r>
          </w:p>
        </w:tc>
        <w:tc>
          <w:tcPr>
            <w:tcW w:w="175" w:type="pct"/>
            <w:tcBorders>
              <w:tl2br w:val="nil"/>
              <w:tr2bl w:val="nil"/>
            </w:tcBorders>
            <w:shd w:val="clear" w:color="auto" w:fill="auto"/>
            <w:noWrap/>
            <w:tcMar>
              <w:top w:w="15" w:type="dxa"/>
              <w:left w:w="15" w:type="dxa"/>
              <w:right w:w="15" w:type="dxa"/>
            </w:tcMar>
            <w:vAlign w:val="center"/>
          </w:tcPr>
          <w:p w14:paraId="6CAD1522">
            <w:pPr>
              <w:widowControl/>
              <w:spacing w:line="240" w:lineRule="auto"/>
              <w:jc w:val="center"/>
              <w:textAlignment w:val="center"/>
              <w:rPr>
                <w:color w:val="000000"/>
                <w:sz w:val="21"/>
                <w:szCs w:val="21"/>
                <w:highlight w:val="none"/>
              </w:rPr>
            </w:pPr>
            <w:r>
              <w:rPr>
                <w:rFonts w:hint="eastAsia"/>
                <w:color w:val="000000"/>
                <w:sz w:val="21"/>
                <w:szCs w:val="21"/>
                <w:highlight w:val="none"/>
              </w:rPr>
              <w:t>湿</w:t>
            </w:r>
          </w:p>
        </w:tc>
        <w:tc>
          <w:tcPr>
            <w:tcW w:w="168" w:type="pct"/>
            <w:tcBorders>
              <w:tl2br w:val="nil"/>
              <w:tr2bl w:val="nil"/>
            </w:tcBorders>
            <w:shd w:val="clear" w:color="auto" w:fill="auto"/>
            <w:noWrap/>
            <w:tcMar>
              <w:top w:w="15" w:type="dxa"/>
              <w:left w:w="15" w:type="dxa"/>
              <w:right w:w="15" w:type="dxa"/>
            </w:tcMar>
            <w:vAlign w:val="center"/>
          </w:tcPr>
          <w:p w14:paraId="122830A6">
            <w:pPr>
              <w:widowControl/>
              <w:spacing w:line="240" w:lineRule="auto"/>
              <w:jc w:val="center"/>
              <w:textAlignment w:val="center"/>
              <w:rPr>
                <w:color w:val="000000"/>
                <w:sz w:val="21"/>
                <w:szCs w:val="21"/>
                <w:highlight w:val="none"/>
              </w:rPr>
            </w:pPr>
            <w:r>
              <w:rPr>
                <w:rFonts w:hint="eastAsia"/>
                <w:color w:val="000000"/>
                <w:sz w:val="21"/>
                <w:szCs w:val="21"/>
                <w:highlight w:val="none"/>
              </w:rPr>
              <w:t>无</w:t>
            </w:r>
          </w:p>
        </w:tc>
        <w:tc>
          <w:tcPr>
            <w:tcW w:w="257" w:type="pct"/>
            <w:tcBorders>
              <w:tl2br w:val="nil"/>
              <w:tr2bl w:val="nil"/>
            </w:tcBorders>
            <w:shd w:val="clear" w:color="auto" w:fill="auto"/>
            <w:noWrap/>
            <w:tcMar>
              <w:top w:w="15" w:type="dxa"/>
              <w:left w:w="15" w:type="dxa"/>
              <w:right w:w="15" w:type="dxa"/>
            </w:tcMar>
            <w:vAlign w:val="center"/>
          </w:tcPr>
          <w:p w14:paraId="73D4567F">
            <w:pPr>
              <w:widowControl/>
              <w:spacing w:line="240" w:lineRule="auto"/>
              <w:jc w:val="center"/>
              <w:textAlignment w:val="center"/>
              <w:rPr>
                <w:color w:val="000000"/>
                <w:sz w:val="21"/>
                <w:szCs w:val="21"/>
                <w:highlight w:val="none"/>
              </w:rPr>
            </w:pPr>
            <w:r>
              <w:rPr>
                <w:rFonts w:hint="eastAsia"/>
                <w:color w:val="000000"/>
                <w:sz w:val="21"/>
                <w:szCs w:val="21"/>
                <w:highlight w:val="none"/>
              </w:rPr>
              <w:t>松散</w:t>
            </w:r>
          </w:p>
        </w:tc>
        <w:tc>
          <w:tcPr>
            <w:tcW w:w="2565" w:type="pct"/>
            <w:tcBorders>
              <w:tl2br w:val="nil"/>
              <w:tr2bl w:val="nil"/>
            </w:tcBorders>
            <w:shd w:val="clear" w:color="auto" w:fill="auto"/>
            <w:noWrap/>
            <w:tcMar>
              <w:top w:w="15" w:type="dxa"/>
              <w:left w:w="15" w:type="dxa"/>
              <w:right w:w="15" w:type="dxa"/>
            </w:tcMar>
            <w:vAlign w:val="center"/>
          </w:tcPr>
          <w:p w14:paraId="16CE83BB">
            <w:pPr>
              <w:widowControl/>
              <w:spacing w:line="240" w:lineRule="auto"/>
              <w:jc w:val="center"/>
              <w:textAlignment w:val="center"/>
              <w:rPr>
                <w:color w:val="000000"/>
                <w:sz w:val="21"/>
                <w:szCs w:val="21"/>
                <w:highlight w:val="none"/>
              </w:rPr>
            </w:pPr>
            <w:r>
              <w:rPr>
                <w:rFonts w:hint="eastAsia"/>
                <w:color w:val="000000"/>
                <w:sz w:val="21"/>
                <w:szCs w:val="21"/>
                <w:highlight w:val="none"/>
              </w:rPr>
              <w:t>表面夹根系、石块，清表后粉质粘土为主，夹高岭土及少量铁锰氧化物</w:t>
            </w:r>
          </w:p>
        </w:tc>
      </w:tr>
      <w:tr w14:paraId="795DA9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tl2br w:val="nil"/>
              <w:tr2bl w:val="nil"/>
            </w:tcBorders>
            <w:shd w:val="clear" w:color="auto" w:fill="auto"/>
            <w:noWrap/>
            <w:tcMar>
              <w:top w:w="15" w:type="dxa"/>
              <w:left w:w="15" w:type="dxa"/>
              <w:right w:w="15" w:type="dxa"/>
            </w:tcMar>
            <w:vAlign w:val="center"/>
          </w:tcPr>
          <w:p w14:paraId="63CB2457">
            <w:pPr>
              <w:widowControl/>
              <w:spacing w:line="240" w:lineRule="auto"/>
              <w:jc w:val="center"/>
              <w:textAlignment w:val="center"/>
              <w:rPr>
                <w:color w:val="000000"/>
                <w:sz w:val="21"/>
                <w:szCs w:val="21"/>
                <w:highlight w:val="none"/>
              </w:rPr>
            </w:pPr>
            <w:r>
              <w:rPr>
                <w:color w:val="000000"/>
                <w:kern w:val="0"/>
                <w:sz w:val="21"/>
                <w:szCs w:val="21"/>
                <w:highlight w:val="none"/>
                <w:lang w:bidi="ar"/>
              </w:rPr>
              <w:t>6</w:t>
            </w:r>
          </w:p>
        </w:tc>
        <w:tc>
          <w:tcPr>
            <w:tcW w:w="718" w:type="pct"/>
            <w:vMerge w:val="continue"/>
            <w:tcBorders>
              <w:tl2br w:val="nil"/>
              <w:tr2bl w:val="nil"/>
            </w:tcBorders>
            <w:shd w:val="clear" w:color="auto" w:fill="auto"/>
            <w:noWrap/>
            <w:tcMar>
              <w:top w:w="15" w:type="dxa"/>
              <w:left w:w="15" w:type="dxa"/>
              <w:right w:w="15" w:type="dxa"/>
            </w:tcMar>
            <w:vAlign w:val="center"/>
          </w:tcPr>
          <w:p w14:paraId="297A3B6B">
            <w:pPr>
              <w:spacing w:line="240" w:lineRule="auto"/>
              <w:jc w:val="center"/>
              <w:rPr>
                <w:color w:val="000000"/>
                <w:sz w:val="21"/>
                <w:szCs w:val="21"/>
                <w:highlight w:val="none"/>
              </w:rPr>
            </w:pPr>
          </w:p>
        </w:tc>
        <w:tc>
          <w:tcPr>
            <w:tcW w:w="363" w:type="pct"/>
            <w:tcBorders>
              <w:tl2br w:val="nil"/>
              <w:tr2bl w:val="nil"/>
            </w:tcBorders>
            <w:shd w:val="clear" w:color="auto" w:fill="auto"/>
            <w:noWrap/>
            <w:tcMar>
              <w:top w:w="15" w:type="dxa"/>
              <w:left w:w="15" w:type="dxa"/>
              <w:right w:w="15" w:type="dxa"/>
            </w:tcMar>
            <w:vAlign w:val="center"/>
          </w:tcPr>
          <w:p w14:paraId="5E1671D1">
            <w:pPr>
              <w:widowControl/>
              <w:spacing w:line="240" w:lineRule="auto"/>
              <w:jc w:val="center"/>
              <w:textAlignment w:val="center"/>
              <w:rPr>
                <w:color w:val="000000"/>
                <w:sz w:val="21"/>
                <w:szCs w:val="21"/>
                <w:highlight w:val="none"/>
              </w:rPr>
            </w:pPr>
            <w:r>
              <w:rPr>
                <w:color w:val="000000"/>
                <w:sz w:val="21"/>
                <w:szCs w:val="21"/>
                <w:highlight w:val="none"/>
              </w:rPr>
              <w:t>HH-4</w:t>
            </w:r>
          </w:p>
        </w:tc>
        <w:tc>
          <w:tcPr>
            <w:tcW w:w="326" w:type="pct"/>
            <w:tcBorders>
              <w:tl2br w:val="nil"/>
              <w:tr2bl w:val="nil"/>
            </w:tcBorders>
            <w:shd w:val="clear" w:color="auto" w:fill="auto"/>
            <w:noWrap/>
            <w:tcMar>
              <w:top w:w="15" w:type="dxa"/>
              <w:left w:w="15" w:type="dxa"/>
              <w:right w:w="15" w:type="dxa"/>
            </w:tcMar>
            <w:vAlign w:val="center"/>
          </w:tcPr>
          <w:p w14:paraId="1C91733C">
            <w:pPr>
              <w:widowControl/>
              <w:spacing w:line="240" w:lineRule="auto"/>
              <w:jc w:val="center"/>
              <w:textAlignment w:val="center"/>
              <w:rPr>
                <w:color w:val="000000"/>
                <w:sz w:val="21"/>
                <w:szCs w:val="21"/>
                <w:highlight w:val="none"/>
              </w:rPr>
            </w:pPr>
            <w:r>
              <w:rPr>
                <w:rFonts w:hint="eastAsia"/>
                <w:color w:val="000000"/>
                <w:sz w:val="21"/>
                <w:szCs w:val="21"/>
                <w:highlight w:val="none"/>
              </w:rPr>
              <w:t>素填土</w:t>
            </w:r>
          </w:p>
        </w:tc>
        <w:tc>
          <w:tcPr>
            <w:tcW w:w="257" w:type="pct"/>
            <w:tcBorders>
              <w:tl2br w:val="nil"/>
              <w:tr2bl w:val="nil"/>
            </w:tcBorders>
            <w:shd w:val="clear" w:color="auto" w:fill="auto"/>
            <w:noWrap/>
            <w:tcMar>
              <w:top w:w="15" w:type="dxa"/>
              <w:left w:w="15" w:type="dxa"/>
              <w:right w:w="15" w:type="dxa"/>
            </w:tcMar>
            <w:vAlign w:val="center"/>
          </w:tcPr>
          <w:p w14:paraId="528A8576">
            <w:pPr>
              <w:widowControl/>
              <w:spacing w:line="240" w:lineRule="auto"/>
              <w:jc w:val="center"/>
              <w:textAlignment w:val="center"/>
              <w:rPr>
                <w:color w:val="000000"/>
                <w:sz w:val="21"/>
                <w:szCs w:val="21"/>
                <w:highlight w:val="none"/>
              </w:rPr>
            </w:pPr>
            <w:r>
              <w:rPr>
                <w:rFonts w:hint="eastAsia"/>
                <w:color w:val="000000"/>
                <w:sz w:val="21"/>
                <w:szCs w:val="21"/>
                <w:highlight w:val="none"/>
              </w:rPr>
              <w:t>棕褐</w:t>
            </w:r>
          </w:p>
        </w:tc>
        <w:tc>
          <w:tcPr>
            <w:tcW w:w="175" w:type="pct"/>
            <w:tcBorders>
              <w:tl2br w:val="nil"/>
              <w:tr2bl w:val="nil"/>
            </w:tcBorders>
            <w:shd w:val="clear" w:color="auto" w:fill="auto"/>
            <w:noWrap/>
            <w:tcMar>
              <w:top w:w="15" w:type="dxa"/>
              <w:left w:w="15" w:type="dxa"/>
              <w:right w:w="15" w:type="dxa"/>
            </w:tcMar>
            <w:vAlign w:val="center"/>
          </w:tcPr>
          <w:p w14:paraId="3FAB7A57">
            <w:pPr>
              <w:widowControl/>
              <w:spacing w:line="240" w:lineRule="auto"/>
              <w:jc w:val="center"/>
              <w:textAlignment w:val="center"/>
              <w:rPr>
                <w:color w:val="000000"/>
                <w:sz w:val="21"/>
                <w:szCs w:val="21"/>
                <w:highlight w:val="none"/>
              </w:rPr>
            </w:pPr>
            <w:r>
              <w:rPr>
                <w:rFonts w:hint="eastAsia"/>
                <w:color w:val="000000"/>
                <w:sz w:val="21"/>
                <w:szCs w:val="21"/>
                <w:highlight w:val="none"/>
              </w:rPr>
              <w:t>稍湿</w:t>
            </w:r>
          </w:p>
        </w:tc>
        <w:tc>
          <w:tcPr>
            <w:tcW w:w="168" w:type="pct"/>
            <w:tcBorders>
              <w:tl2br w:val="nil"/>
              <w:tr2bl w:val="nil"/>
            </w:tcBorders>
            <w:shd w:val="clear" w:color="auto" w:fill="auto"/>
            <w:noWrap/>
            <w:tcMar>
              <w:top w:w="15" w:type="dxa"/>
              <w:left w:w="15" w:type="dxa"/>
              <w:right w:w="15" w:type="dxa"/>
            </w:tcMar>
            <w:vAlign w:val="center"/>
          </w:tcPr>
          <w:p w14:paraId="458A077F">
            <w:pPr>
              <w:widowControl/>
              <w:spacing w:line="240" w:lineRule="auto"/>
              <w:jc w:val="center"/>
              <w:textAlignment w:val="center"/>
              <w:rPr>
                <w:color w:val="000000"/>
                <w:sz w:val="21"/>
                <w:szCs w:val="21"/>
                <w:highlight w:val="none"/>
              </w:rPr>
            </w:pPr>
            <w:r>
              <w:rPr>
                <w:rFonts w:hint="eastAsia"/>
                <w:color w:val="000000"/>
                <w:sz w:val="21"/>
                <w:szCs w:val="21"/>
                <w:highlight w:val="none"/>
              </w:rPr>
              <w:t>无</w:t>
            </w:r>
          </w:p>
        </w:tc>
        <w:tc>
          <w:tcPr>
            <w:tcW w:w="257" w:type="pct"/>
            <w:tcBorders>
              <w:tl2br w:val="nil"/>
              <w:tr2bl w:val="nil"/>
            </w:tcBorders>
            <w:shd w:val="clear" w:color="auto" w:fill="auto"/>
            <w:noWrap/>
            <w:tcMar>
              <w:top w:w="15" w:type="dxa"/>
              <w:left w:w="15" w:type="dxa"/>
              <w:right w:w="15" w:type="dxa"/>
            </w:tcMar>
            <w:vAlign w:val="center"/>
          </w:tcPr>
          <w:p w14:paraId="32C70E5E">
            <w:pPr>
              <w:widowControl/>
              <w:spacing w:line="240" w:lineRule="auto"/>
              <w:jc w:val="center"/>
              <w:textAlignment w:val="center"/>
              <w:rPr>
                <w:color w:val="000000"/>
                <w:sz w:val="21"/>
                <w:szCs w:val="21"/>
                <w:highlight w:val="none"/>
              </w:rPr>
            </w:pPr>
            <w:r>
              <w:rPr>
                <w:rFonts w:hint="eastAsia"/>
                <w:color w:val="000000"/>
                <w:sz w:val="21"/>
                <w:szCs w:val="21"/>
                <w:highlight w:val="none"/>
              </w:rPr>
              <w:t>可塑</w:t>
            </w:r>
          </w:p>
        </w:tc>
        <w:tc>
          <w:tcPr>
            <w:tcW w:w="2565" w:type="pct"/>
            <w:tcBorders>
              <w:tl2br w:val="nil"/>
              <w:tr2bl w:val="nil"/>
            </w:tcBorders>
            <w:shd w:val="clear" w:color="auto" w:fill="auto"/>
            <w:noWrap/>
            <w:tcMar>
              <w:top w:w="15" w:type="dxa"/>
              <w:left w:w="15" w:type="dxa"/>
              <w:right w:w="15" w:type="dxa"/>
            </w:tcMar>
            <w:vAlign w:val="center"/>
          </w:tcPr>
          <w:p w14:paraId="09935089">
            <w:pPr>
              <w:widowControl/>
              <w:spacing w:line="240" w:lineRule="auto"/>
              <w:jc w:val="center"/>
              <w:textAlignment w:val="center"/>
              <w:rPr>
                <w:color w:val="000000"/>
                <w:sz w:val="21"/>
                <w:szCs w:val="21"/>
                <w:highlight w:val="none"/>
              </w:rPr>
            </w:pPr>
            <w:r>
              <w:rPr>
                <w:rFonts w:hint="eastAsia"/>
                <w:color w:val="000000"/>
                <w:sz w:val="21"/>
                <w:szCs w:val="21"/>
                <w:highlight w:val="none"/>
              </w:rPr>
              <w:t>粘土，表层加根茎、碎石，下层粘土为主，含氧化物高岭土</w:t>
            </w:r>
          </w:p>
        </w:tc>
      </w:tr>
      <w:tr w14:paraId="648E6B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tl2br w:val="nil"/>
              <w:tr2bl w:val="nil"/>
            </w:tcBorders>
            <w:shd w:val="clear" w:color="auto" w:fill="auto"/>
            <w:noWrap/>
            <w:tcMar>
              <w:top w:w="15" w:type="dxa"/>
              <w:left w:w="15" w:type="dxa"/>
              <w:right w:w="15" w:type="dxa"/>
            </w:tcMar>
            <w:vAlign w:val="center"/>
          </w:tcPr>
          <w:p w14:paraId="1F4F418F">
            <w:pPr>
              <w:widowControl/>
              <w:spacing w:line="240" w:lineRule="auto"/>
              <w:jc w:val="center"/>
              <w:textAlignment w:val="center"/>
              <w:rPr>
                <w:color w:val="000000"/>
                <w:sz w:val="21"/>
                <w:szCs w:val="21"/>
                <w:highlight w:val="none"/>
              </w:rPr>
            </w:pPr>
            <w:r>
              <w:rPr>
                <w:rFonts w:hint="eastAsia"/>
                <w:color w:val="000000"/>
                <w:sz w:val="21"/>
                <w:szCs w:val="21"/>
                <w:highlight w:val="none"/>
              </w:rPr>
              <w:t>7</w:t>
            </w:r>
          </w:p>
        </w:tc>
        <w:tc>
          <w:tcPr>
            <w:tcW w:w="718" w:type="pct"/>
            <w:vMerge w:val="restart"/>
            <w:tcBorders>
              <w:tl2br w:val="nil"/>
              <w:tr2bl w:val="nil"/>
            </w:tcBorders>
            <w:shd w:val="clear" w:color="auto" w:fill="auto"/>
            <w:noWrap/>
            <w:tcMar>
              <w:top w:w="15" w:type="dxa"/>
              <w:left w:w="15" w:type="dxa"/>
              <w:right w:w="15" w:type="dxa"/>
            </w:tcMar>
            <w:vAlign w:val="center"/>
          </w:tcPr>
          <w:p w14:paraId="7D72B05D">
            <w:pPr>
              <w:spacing w:line="240" w:lineRule="auto"/>
              <w:jc w:val="center"/>
              <w:rPr>
                <w:sz w:val="21"/>
                <w:szCs w:val="21"/>
                <w:highlight w:val="none"/>
              </w:rPr>
            </w:pPr>
            <w:r>
              <w:rPr>
                <w:sz w:val="21"/>
                <w:szCs w:val="21"/>
                <w:highlight w:val="none"/>
              </w:rPr>
              <w:t>企业聚集区周边</w:t>
            </w:r>
            <w:r>
              <w:rPr>
                <w:rFonts w:hint="eastAsia"/>
                <w:sz w:val="21"/>
                <w:szCs w:val="21"/>
                <w:highlight w:val="none"/>
              </w:rPr>
              <w:t>点位</w:t>
            </w:r>
          </w:p>
        </w:tc>
        <w:tc>
          <w:tcPr>
            <w:tcW w:w="363" w:type="pct"/>
            <w:tcBorders>
              <w:tl2br w:val="nil"/>
              <w:tr2bl w:val="nil"/>
            </w:tcBorders>
            <w:shd w:val="clear" w:color="auto" w:fill="auto"/>
            <w:noWrap/>
            <w:tcMar>
              <w:top w:w="15" w:type="dxa"/>
              <w:left w:w="15" w:type="dxa"/>
              <w:right w:w="15" w:type="dxa"/>
            </w:tcMar>
            <w:vAlign w:val="center"/>
          </w:tcPr>
          <w:p w14:paraId="0516E1C9">
            <w:pPr>
              <w:widowControl/>
              <w:spacing w:line="240" w:lineRule="auto"/>
              <w:jc w:val="center"/>
              <w:textAlignment w:val="center"/>
              <w:rPr>
                <w:color w:val="000000"/>
                <w:sz w:val="21"/>
                <w:szCs w:val="21"/>
                <w:highlight w:val="none"/>
              </w:rPr>
            </w:pPr>
            <w:r>
              <w:rPr>
                <w:color w:val="000000"/>
                <w:sz w:val="21"/>
                <w:szCs w:val="21"/>
                <w:highlight w:val="none"/>
              </w:rPr>
              <w:t>HH-JJ-1</w:t>
            </w:r>
          </w:p>
        </w:tc>
        <w:tc>
          <w:tcPr>
            <w:tcW w:w="326" w:type="pct"/>
            <w:tcBorders>
              <w:tl2br w:val="nil"/>
              <w:tr2bl w:val="nil"/>
            </w:tcBorders>
            <w:shd w:val="clear" w:color="auto" w:fill="auto"/>
            <w:noWrap/>
            <w:tcMar>
              <w:top w:w="15" w:type="dxa"/>
              <w:left w:w="15" w:type="dxa"/>
              <w:right w:w="15" w:type="dxa"/>
            </w:tcMar>
            <w:vAlign w:val="center"/>
          </w:tcPr>
          <w:p w14:paraId="4AE07DB7">
            <w:pPr>
              <w:widowControl/>
              <w:spacing w:line="240" w:lineRule="auto"/>
              <w:jc w:val="center"/>
              <w:textAlignment w:val="center"/>
              <w:rPr>
                <w:color w:val="000000"/>
                <w:sz w:val="21"/>
                <w:szCs w:val="21"/>
                <w:highlight w:val="none"/>
              </w:rPr>
            </w:pPr>
            <w:r>
              <w:rPr>
                <w:rFonts w:hint="eastAsia"/>
                <w:color w:val="000000"/>
                <w:sz w:val="21"/>
                <w:szCs w:val="21"/>
                <w:highlight w:val="none"/>
              </w:rPr>
              <w:t>素填土</w:t>
            </w:r>
          </w:p>
        </w:tc>
        <w:tc>
          <w:tcPr>
            <w:tcW w:w="257" w:type="pct"/>
            <w:tcBorders>
              <w:tl2br w:val="nil"/>
              <w:tr2bl w:val="nil"/>
            </w:tcBorders>
            <w:shd w:val="clear" w:color="auto" w:fill="auto"/>
            <w:noWrap/>
            <w:tcMar>
              <w:top w:w="15" w:type="dxa"/>
              <w:left w:w="15" w:type="dxa"/>
              <w:right w:w="15" w:type="dxa"/>
            </w:tcMar>
            <w:vAlign w:val="center"/>
          </w:tcPr>
          <w:p w14:paraId="3CEEAFDD">
            <w:pPr>
              <w:widowControl/>
              <w:spacing w:line="240" w:lineRule="auto"/>
              <w:jc w:val="center"/>
              <w:textAlignment w:val="center"/>
              <w:rPr>
                <w:color w:val="000000"/>
                <w:sz w:val="21"/>
                <w:szCs w:val="21"/>
                <w:highlight w:val="none"/>
              </w:rPr>
            </w:pPr>
            <w:r>
              <w:rPr>
                <w:rFonts w:hint="eastAsia"/>
                <w:color w:val="000000"/>
                <w:sz w:val="21"/>
                <w:szCs w:val="21"/>
                <w:highlight w:val="none"/>
              </w:rPr>
              <w:t>棕褐色</w:t>
            </w:r>
          </w:p>
        </w:tc>
        <w:tc>
          <w:tcPr>
            <w:tcW w:w="175" w:type="pct"/>
            <w:tcBorders>
              <w:tl2br w:val="nil"/>
              <w:tr2bl w:val="nil"/>
            </w:tcBorders>
            <w:shd w:val="clear" w:color="auto" w:fill="auto"/>
            <w:noWrap/>
            <w:tcMar>
              <w:top w:w="15" w:type="dxa"/>
              <w:left w:w="15" w:type="dxa"/>
              <w:right w:w="15" w:type="dxa"/>
            </w:tcMar>
            <w:vAlign w:val="center"/>
          </w:tcPr>
          <w:p w14:paraId="3B32A2E1">
            <w:pPr>
              <w:widowControl/>
              <w:spacing w:line="240" w:lineRule="auto"/>
              <w:jc w:val="center"/>
              <w:textAlignment w:val="center"/>
              <w:rPr>
                <w:color w:val="000000"/>
                <w:sz w:val="21"/>
                <w:szCs w:val="21"/>
                <w:highlight w:val="none"/>
              </w:rPr>
            </w:pPr>
            <w:r>
              <w:rPr>
                <w:rFonts w:hint="eastAsia"/>
                <w:color w:val="000000"/>
                <w:sz w:val="21"/>
                <w:szCs w:val="21"/>
                <w:highlight w:val="none"/>
              </w:rPr>
              <w:t>稍湿</w:t>
            </w:r>
          </w:p>
        </w:tc>
        <w:tc>
          <w:tcPr>
            <w:tcW w:w="168" w:type="pct"/>
            <w:tcBorders>
              <w:tl2br w:val="nil"/>
              <w:tr2bl w:val="nil"/>
            </w:tcBorders>
            <w:shd w:val="clear" w:color="auto" w:fill="auto"/>
            <w:noWrap/>
            <w:tcMar>
              <w:top w:w="15" w:type="dxa"/>
              <w:left w:w="15" w:type="dxa"/>
              <w:right w:w="15" w:type="dxa"/>
            </w:tcMar>
            <w:vAlign w:val="center"/>
          </w:tcPr>
          <w:p w14:paraId="47FD4FEF">
            <w:pPr>
              <w:widowControl/>
              <w:spacing w:line="240" w:lineRule="auto"/>
              <w:jc w:val="center"/>
              <w:textAlignment w:val="center"/>
              <w:rPr>
                <w:color w:val="000000"/>
                <w:sz w:val="21"/>
                <w:szCs w:val="21"/>
                <w:highlight w:val="none"/>
              </w:rPr>
            </w:pPr>
            <w:r>
              <w:rPr>
                <w:rFonts w:hint="eastAsia"/>
                <w:color w:val="000000"/>
                <w:sz w:val="21"/>
                <w:szCs w:val="21"/>
                <w:highlight w:val="none"/>
              </w:rPr>
              <w:t>无</w:t>
            </w:r>
          </w:p>
        </w:tc>
        <w:tc>
          <w:tcPr>
            <w:tcW w:w="257" w:type="pct"/>
            <w:tcBorders>
              <w:tl2br w:val="nil"/>
              <w:tr2bl w:val="nil"/>
            </w:tcBorders>
            <w:shd w:val="clear" w:color="auto" w:fill="auto"/>
            <w:noWrap/>
            <w:tcMar>
              <w:top w:w="15" w:type="dxa"/>
              <w:left w:w="15" w:type="dxa"/>
              <w:right w:w="15" w:type="dxa"/>
            </w:tcMar>
            <w:vAlign w:val="center"/>
          </w:tcPr>
          <w:p w14:paraId="732DE741">
            <w:pPr>
              <w:widowControl/>
              <w:spacing w:line="240" w:lineRule="auto"/>
              <w:jc w:val="center"/>
              <w:textAlignment w:val="center"/>
              <w:rPr>
                <w:color w:val="000000"/>
                <w:sz w:val="21"/>
                <w:szCs w:val="21"/>
                <w:highlight w:val="none"/>
              </w:rPr>
            </w:pPr>
            <w:r>
              <w:rPr>
                <w:rFonts w:hint="eastAsia"/>
                <w:color w:val="000000"/>
                <w:sz w:val="21"/>
                <w:szCs w:val="21"/>
                <w:highlight w:val="none"/>
              </w:rPr>
              <w:t>可塑性</w:t>
            </w:r>
          </w:p>
        </w:tc>
        <w:tc>
          <w:tcPr>
            <w:tcW w:w="2565" w:type="pct"/>
            <w:tcBorders>
              <w:tl2br w:val="nil"/>
              <w:tr2bl w:val="nil"/>
            </w:tcBorders>
            <w:shd w:val="clear" w:color="auto" w:fill="auto"/>
            <w:noWrap/>
            <w:tcMar>
              <w:top w:w="15" w:type="dxa"/>
              <w:left w:w="15" w:type="dxa"/>
              <w:right w:w="15" w:type="dxa"/>
            </w:tcMar>
            <w:vAlign w:val="center"/>
          </w:tcPr>
          <w:p w14:paraId="756069EB">
            <w:pPr>
              <w:widowControl/>
              <w:spacing w:line="240" w:lineRule="auto"/>
              <w:jc w:val="center"/>
              <w:textAlignment w:val="center"/>
              <w:rPr>
                <w:color w:val="000000"/>
                <w:sz w:val="21"/>
                <w:szCs w:val="21"/>
                <w:highlight w:val="none"/>
              </w:rPr>
            </w:pPr>
            <w:r>
              <w:rPr>
                <w:rFonts w:hint="eastAsia"/>
                <w:color w:val="000000"/>
                <w:sz w:val="21"/>
                <w:szCs w:val="21"/>
                <w:highlight w:val="none"/>
              </w:rPr>
              <w:t>表面含根系、石块，下层主要由粘土组成，含高岭土、黑色铁锰氧化物</w:t>
            </w:r>
          </w:p>
        </w:tc>
      </w:tr>
      <w:tr w14:paraId="6CFBC0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tl2br w:val="nil"/>
              <w:tr2bl w:val="nil"/>
            </w:tcBorders>
            <w:shd w:val="clear" w:color="auto" w:fill="auto"/>
            <w:noWrap/>
            <w:tcMar>
              <w:top w:w="15" w:type="dxa"/>
              <w:left w:w="15" w:type="dxa"/>
              <w:right w:w="15" w:type="dxa"/>
            </w:tcMar>
            <w:vAlign w:val="center"/>
          </w:tcPr>
          <w:p w14:paraId="4FD81B6A">
            <w:pPr>
              <w:widowControl/>
              <w:spacing w:line="240" w:lineRule="auto"/>
              <w:jc w:val="center"/>
              <w:textAlignment w:val="center"/>
              <w:rPr>
                <w:color w:val="000000"/>
                <w:sz w:val="21"/>
                <w:szCs w:val="21"/>
                <w:highlight w:val="none"/>
              </w:rPr>
            </w:pPr>
            <w:r>
              <w:rPr>
                <w:rFonts w:hint="eastAsia"/>
                <w:color w:val="000000"/>
                <w:sz w:val="21"/>
                <w:szCs w:val="21"/>
                <w:highlight w:val="none"/>
              </w:rPr>
              <w:t>8</w:t>
            </w:r>
          </w:p>
        </w:tc>
        <w:tc>
          <w:tcPr>
            <w:tcW w:w="718" w:type="pct"/>
            <w:vMerge w:val="continue"/>
            <w:tcBorders>
              <w:tl2br w:val="nil"/>
              <w:tr2bl w:val="nil"/>
            </w:tcBorders>
            <w:shd w:val="clear" w:color="auto" w:fill="auto"/>
            <w:noWrap/>
            <w:tcMar>
              <w:top w:w="15" w:type="dxa"/>
              <w:left w:w="15" w:type="dxa"/>
              <w:right w:w="15" w:type="dxa"/>
            </w:tcMar>
            <w:vAlign w:val="center"/>
          </w:tcPr>
          <w:p w14:paraId="7DB4691F">
            <w:pPr>
              <w:spacing w:line="240" w:lineRule="auto"/>
              <w:jc w:val="center"/>
              <w:rPr>
                <w:sz w:val="21"/>
                <w:szCs w:val="21"/>
                <w:highlight w:val="none"/>
              </w:rPr>
            </w:pPr>
          </w:p>
        </w:tc>
        <w:tc>
          <w:tcPr>
            <w:tcW w:w="363" w:type="pct"/>
            <w:tcBorders>
              <w:tl2br w:val="nil"/>
              <w:tr2bl w:val="nil"/>
            </w:tcBorders>
            <w:shd w:val="clear" w:color="auto" w:fill="auto"/>
            <w:noWrap/>
            <w:tcMar>
              <w:top w:w="15" w:type="dxa"/>
              <w:left w:w="15" w:type="dxa"/>
              <w:right w:w="15" w:type="dxa"/>
            </w:tcMar>
            <w:vAlign w:val="center"/>
          </w:tcPr>
          <w:p w14:paraId="7303B662">
            <w:pPr>
              <w:widowControl/>
              <w:spacing w:line="240" w:lineRule="auto"/>
              <w:jc w:val="center"/>
              <w:textAlignment w:val="center"/>
              <w:rPr>
                <w:color w:val="000000"/>
                <w:sz w:val="21"/>
                <w:szCs w:val="21"/>
                <w:highlight w:val="none"/>
              </w:rPr>
            </w:pPr>
            <w:r>
              <w:rPr>
                <w:color w:val="000000"/>
                <w:sz w:val="21"/>
                <w:szCs w:val="21"/>
                <w:highlight w:val="none"/>
              </w:rPr>
              <w:t>HH-JJ-2</w:t>
            </w:r>
          </w:p>
        </w:tc>
        <w:tc>
          <w:tcPr>
            <w:tcW w:w="326" w:type="pct"/>
            <w:tcBorders>
              <w:tl2br w:val="nil"/>
              <w:tr2bl w:val="nil"/>
            </w:tcBorders>
            <w:shd w:val="clear" w:color="auto" w:fill="auto"/>
            <w:noWrap/>
            <w:tcMar>
              <w:top w:w="15" w:type="dxa"/>
              <w:left w:w="15" w:type="dxa"/>
              <w:right w:w="15" w:type="dxa"/>
            </w:tcMar>
            <w:vAlign w:val="center"/>
          </w:tcPr>
          <w:p w14:paraId="73413FB1">
            <w:pPr>
              <w:widowControl/>
              <w:spacing w:line="240" w:lineRule="auto"/>
              <w:jc w:val="center"/>
              <w:textAlignment w:val="center"/>
              <w:rPr>
                <w:color w:val="000000"/>
                <w:sz w:val="21"/>
                <w:szCs w:val="21"/>
                <w:highlight w:val="none"/>
              </w:rPr>
            </w:pPr>
            <w:r>
              <w:rPr>
                <w:rFonts w:hint="eastAsia"/>
                <w:color w:val="000000"/>
                <w:sz w:val="21"/>
                <w:szCs w:val="21"/>
                <w:highlight w:val="none"/>
              </w:rPr>
              <w:t>杂填土</w:t>
            </w:r>
          </w:p>
        </w:tc>
        <w:tc>
          <w:tcPr>
            <w:tcW w:w="257" w:type="pct"/>
            <w:tcBorders>
              <w:tl2br w:val="nil"/>
              <w:tr2bl w:val="nil"/>
            </w:tcBorders>
            <w:shd w:val="clear" w:color="auto" w:fill="auto"/>
            <w:noWrap/>
            <w:tcMar>
              <w:top w:w="15" w:type="dxa"/>
              <w:left w:w="15" w:type="dxa"/>
              <w:right w:w="15" w:type="dxa"/>
            </w:tcMar>
            <w:vAlign w:val="center"/>
          </w:tcPr>
          <w:p w14:paraId="21D62819">
            <w:pPr>
              <w:widowControl/>
              <w:spacing w:line="240" w:lineRule="auto"/>
              <w:jc w:val="center"/>
              <w:textAlignment w:val="center"/>
              <w:rPr>
                <w:color w:val="000000"/>
                <w:sz w:val="21"/>
                <w:szCs w:val="21"/>
                <w:highlight w:val="none"/>
              </w:rPr>
            </w:pPr>
            <w:r>
              <w:rPr>
                <w:rFonts w:hint="eastAsia"/>
                <w:color w:val="000000"/>
                <w:sz w:val="21"/>
                <w:szCs w:val="21"/>
                <w:highlight w:val="none"/>
              </w:rPr>
              <w:t>杂色</w:t>
            </w:r>
          </w:p>
        </w:tc>
        <w:tc>
          <w:tcPr>
            <w:tcW w:w="175" w:type="pct"/>
            <w:tcBorders>
              <w:tl2br w:val="nil"/>
              <w:tr2bl w:val="nil"/>
            </w:tcBorders>
            <w:shd w:val="clear" w:color="auto" w:fill="auto"/>
            <w:noWrap/>
            <w:tcMar>
              <w:top w:w="15" w:type="dxa"/>
              <w:left w:w="15" w:type="dxa"/>
              <w:right w:w="15" w:type="dxa"/>
            </w:tcMar>
            <w:vAlign w:val="center"/>
          </w:tcPr>
          <w:p w14:paraId="451A0CC2">
            <w:pPr>
              <w:widowControl/>
              <w:spacing w:line="240" w:lineRule="auto"/>
              <w:jc w:val="center"/>
              <w:textAlignment w:val="center"/>
              <w:rPr>
                <w:color w:val="000000"/>
                <w:sz w:val="21"/>
                <w:szCs w:val="21"/>
                <w:highlight w:val="none"/>
              </w:rPr>
            </w:pPr>
            <w:r>
              <w:rPr>
                <w:rFonts w:hint="eastAsia"/>
                <w:color w:val="000000"/>
                <w:sz w:val="21"/>
                <w:szCs w:val="21"/>
                <w:highlight w:val="none"/>
              </w:rPr>
              <w:t>稍湿</w:t>
            </w:r>
          </w:p>
        </w:tc>
        <w:tc>
          <w:tcPr>
            <w:tcW w:w="168" w:type="pct"/>
            <w:tcBorders>
              <w:tl2br w:val="nil"/>
              <w:tr2bl w:val="nil"/>
            </w:tcBorders>
            <w:shd w:val="clear" w:color="auto" w:fill="auto"/>
            <w:noWrap/>
            <w:tcMar>
              <w:top w:w="15" w:type="dxa"/>
              <w:left w:w="15" w:type="dxa"/>
              <w:right w:w="15" w:type="dxa"/>
            </w:tcMar>
            <w:vAlign w:val="center"/>
          </w:tcPr>
          <w:p w14:paraId="2E5C256B">
            <w:pPr>
              <w:widowControl/>
              <w:spacing w:line="240" w:lineRule="auto"/>
              <w:jc w:val="center"/>
              <w:textAlignment w:val="center"/>
              <w:rPr>
                <w:color w:val="000000"/>
                <w:sz w:val="21"/>
                <w:szCs w:val="21"/>
                <w:highlight w:val="none"/>
              </w:rPr>
            </w:pPr>
            <w:r>
              <w:rPr>
                <w:rFonts w:hint="eastAsia"/>
                <w:color w:val="000000"/>
                <w:sz w:val="21"/>
                <w:szCs w:val="21"/>
                <w:highlight w:val="none"/>
              </w:rPr>
              <w:t>无</w:t>
            </w:r>
          </w:p>
        </w:tc>
        <w:tc>
          <w:tcPr>
            <w:tcW w:w="257" w:type="pct"/>
            <w:tcBorders>
              <w:tl2br w:val="nil"/>
              <w:tr2bl w:val="nil"/>
            </w:tcBorders>
            <w:shd w:val="clear" w:color="auto" w:fill="auto"/>
            <w:noWrap/>
            <w:tcMar>
              <w:top w:w="15" w:type="dxa"/>
              <w:left w:w="15" w:type="dxa"/>
              <w:right w:w="15" w:type="dxa"/>
            </w:tcMar>
            <w:vAlign w:val="center"/>
          </w:tcPr>
          <w:p w14:paraId="334BF15D">
            <w:pPr>
              <w:widowControl/>
              <w:spacing w:line="240" w:lineRule="auto"/>
              <w:jc w:val="center"/>
              <w:textAlignment w:val="center"/>
              <w:rPr>
                <w:color w:val="000000"/>
                <w:sz w:val="21"/>
                <w:szCs w:val="21"/>
                <w:highlight w:val="none"/>
              </w:rPr>
            </w:pPr>
            <w:r>
              <w:rPr>
                <w:rFonts w:hint="eastAsia"/>
                <w:color w:val="000000"/>
                <w:sz w:val="21"/>
                <w:szCs w:val="21"/>
                <w:highlight w:val="none"/>
              </w:rPr>
              <w:t>松散</w:t>
            </w:r>
          </w:p>
        </w:tc>
        <w:tc>
          <w:tcPr>
            <w:tcW w:w="2565" w:type="pct"/>
            <w:tcBorders>
              <w:tl2br w:val="nil"/>
              <w:tr2bl w:val="nil"/>
            </w:tcBorders>
            <w:shd w:val="clear" w:color="auto" w:fill="auto"/>
            <w:noWrap/>
            <w:tcMar>
              <w:top w:w="15" w:type="dxa"/>
              <w:left w:w="15" w:type="dxa"/>
              <w:right w:w="15" w:type="dxa"/>
            </w:tcMar>
            <w:vAlign w:val="center"/>
          </w:tcPr>
          <w:p w14:paraId="72FE5D10">
            <w:pPr>
              <w:widowControl/>
              <w:spacing w:line="240" w:lineRule="auto"/>
              <w:jc w:val="center"/>
              <w:textAlignment w:val="center"/>
              <w:rPr>
                <w:color w:val="000000"/>
                <w:sz w:val="21"/>
                <w:szCs w:val="21"/>
                <w:highlight w:val="none"/>
              </w:rPr>
            </w:pPr>
            <w:r>
              <w:rPr>
                <w:rFonts w:hint="eastAsia"/>
                <w:color w:val="000000"/>
                <w:sz w:val="21"/>
                <w:szCs w:val="21"/>
                <w:highlight w:val="none"/>
              </w:rPr>
              <w:t>表面含根系、石块，下层主要由粘土组成</w:t>
            </w:r>
          </w:p>
        </w:tc>
      </w:tr>
      <w:tr w14:paraId="76FFF8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tl2br w:val="nil"/>
              <w:tr2bl w:val="nil"/>
            </w:tcBorders>
            <w:shd w:val="clear" w:color="auto" w:fill="auto"/>
            <w:noWrap/>
            <w:tcMar>
              <w:top w:w="15" w:type="dxa"/>
              <w:left w:w="15" w:type="dxa"/>
              <w:right w:w="15" w:type="dxa"/>
            </w:tcMar>
            <w:vAlign w:val="center"/>
          </w:tcPr>
          <w:p w14:paraId="3BA06F0D">
            <w:pPr>
              <w:widowControl/>
              <w:spacing w:line="240" w:lineRule="auto"/>
              <w:jc w:val="center"/>
              <w:textAlignment w:val="center"/>
              <w:rPr>
                <w:color w:val="000000"/>
                <w:sz w:val="21"/>
                <w:szCs w:val="21"/>
                <w:highlight w:val="none"/>
              </w:rPr>
            </w:pPr>
            <w:r>
              <w:rPr>
                <w:rFonts w:hint="eastAsia"/>
                <w:color w:val="000000"/>
                <w:sz w:val="21"/>
                <w:szCs w:val="21"/>
                <w:highlight w:val="none"/>
              </w:rPr>
              <w:t>9</w:t>
            </w:r>
          </w:p>
        </w:tc>
        <w:tc>
          <w:tcPr>
            <w:tcW w:w="718" w:type="pct"/>
            <w:vMerge w:val="continue"/>
            <w:tcBorders>
              <w:tl2br w:val="nil"/>
              <w:tr2bl w:val="nil"/>
            </w:tcBorders>
            <w:shd w:val="clear" w:color="auto" w:fill="auto"/>
            <w:noWrap/>
            <w:tcMar>
              <w:top w:w="15" w:type="dxa"/>
              <w:left w:w="15" w:type="dxa"/>
              <w:right w:w="15" w:type="dxa"/>
            </w:tcMar>
            <w:vAlign w:val="center"/>
          </w:tcPr>
          <w:p w14:paraId="2A927D90">
            <w:pPr>
              <w:spacing w:line="240" w:lineRule="auto"/>
              <w:jc w:val="center"/>
              <w:rPr>
                <w:sz w:val="21"/>
                <w:szCs w:val="21"/>
                <w:highlight w:val="none"/>
              </w:rPr>
            </w:pPr>
          </w:p>
        </w:tc>
        <w:tc>
          <w:tcPr>
            <w:tcW w:w="363" w:type="pct"/>
            <w:tcBorders>
              <w:tl2br w:val="nil"/>
              <w:tr2bl w:val="nil"/>
            </w:tcBorders>
            <w:shd w:val="clear" w:color="auto" w:fill="auto"/>
            <w:noWrap/>
            <w:tcMar>
              <w:top w:w="15" w:type="dxa"/>
              <w:left w:w="15" w:type="dxa"/>
              <w:right w:w="15" w:type="dxa"/>
            </w:tcMar>
            <w:vAlign w:val="center"/>
          </w:tcPr>
          <w:p w14:paraId="056C4E97">
            <w:pPr>
              <w:widowControl/>
              <w:spacing w:line="240" w:lineRule="auto"/>
              <w:jc w:val="center"/>
              <w:textAlignment w:val="center"/>
              <w:rPr>
                <w:color w:val="000000"/>
                <w:sz w:val="21"/>
                <w:szCs w:val="21"/>
                <w:highlight w:val="none"/>
              </w:rPr>
            </w:pPr>
            <w:r>
              <w:rPr>
                <w:color w:val="000000"/>
                <w:sz w:val="21"/>
                <w:szCs w:val="21"/>
                <w:highlight w:val="none"/>
              </w:rPr>
              <w:t>HH-JJ-3</w:t>
            </w:r>
          </w:p>
        </w:tc>
        <w:tc>
          <w:tcPr>
            <w:tcW w:w="326" w:type="pct"/>
            <w:tcBorders>
              <w:tl2br w:val="nil"/>
              <w:tr2bl w:val="nil"/>
            </w:tcBorders>
            <w:shd w:val="clear" w:color="auto" w:fill="auto"/>
            <w:noWrap/>
            <w:tcMar>
              <w:top w:w="15" w:type="dxa"/>
              <w:left w:w="15" w:type="dxa"/>
              <w:right w:w="15" w:type="dxa"/>
            </w:tcMar>
            <w:vAlign w:val="center"/>
          </w:tcPr>
          <w:p w14:paraId="35B280F4">
            <w:pPr>
              <w:widowControl/>
              <w:spacing w:line="240" w:lineRule="auto"/>
              <w:jc w:val="center"/>
              <w:textAlignment w:val="center"/>
              <w:rPr>
                <w:color w:val="000000"/>
                <w:sz w:val="21"/>
                <w:szCs w:val="21"/>
                <w:highlight w:val="none"/>
              </w:rPr>
            </w:pPr>
            <w:r>
              <w:rPr>
                <w:rFonts w:hint="eastAsia"/>
                <w:color w:val="000000"/>
                <w:sz w:val="21"/>
                <w:szCs w:val="21"/>
                <w:highlight w:val="none"/>
              </w:rPr>
              <w:t>杂填土</w:t>
            </w:r>
          </w:p>
        </w:tc>
        <w:tc>
          <w:tcPr>
            <w:tcW w:w="257" w:type="pct"/>
            <w:tcBorders>
              <w:tl2br w:val="nil"/>
              <w:tr2bl w:val="nil"/>
            </w:tcBorders>
            <w:shd w:val="clear" w:color="auto" w:fill="auto"/>
            <w:noWrap/>
            <w:tcMar>
              <w:top w:w="15" w:type="dxa"/>
              <w:left w:w="15" w:type="dxa"/>
              <w:right w:w="15" w:type="dxa"/>
            </w:tcMar>
            <w:vAlign w:val="center"/>
          </w:tcPr>
          <w:p w14:paraId="6A847B7D">
            <w:pPr>
              <w:widowControl/>
              <w:spacing w:line="240" w:lineRule="auto"/>
              <w:jc w:val="center"/>
              <w:textAlignment w:val="center"/>
              <w:rPr>
                <w:color w:val="000000"/>
                <w:sz w:val="21"/>
                <w:szCs w:val="21"/>
                <w:highlight w:val="none"/>
              </w:rPr>
            </w:pPr>
            <w:r>
              <w:rPr>
                <w:rFonts w:hint="eastAsia"/>
                <w:color w:val="000000"/>
                <w:sz w:val="21"/>
                <w:szCs w:val="21"/>
                <w:highlight w:val="none"/>
              </w:rPr>
              <w:t>杂色</w:t>
            </w:r>
          </w:p>
        </w:tc>
        <w:tc>
          <w:tcPr>
            <w:tcW w:w="175" w:type="pct"/>
            <w:tcBorders>
              <w:tl2br w:val="nil"/>
              <w:tr2bl w:val="nil"/>
            </w:tcBorders>
            <w:shd w:val="clear" w:color="auto" w:fill="auto"/>
            <w:noWrap/>
            <w:tcMar>
              <w:top w:w="15" w:type="dxa"/>
              <w:left w:w="15" w:type="dxa"/>
              <w:right w:w="15" w:type="dxa"/>
            </w:tcMar>
            <w:vAlign w:val="center"/>
          </w:tcPr>
          <w:p w14:paraId="18AA0AC0">
            <w:pPr>
              <w:widowControl/>
              <w:spacing w:line="240" w:lineRule="auto"/>
              <w:jc w:val="center"/>
              <w:textAlignment w:val="center"/>
              <w:rPr>
                <w:color w:val="000000"/>
                <w:sz w:val="21"/>
                <w:szCs w:val="21"/>
                <w:highlight w:val="none"/>
              </w:rPr>
            </w:pPr>
            <w:r>
              <w:rPr>
                <w:rFonts w:hint="eastAsia"/>
                <w:color w:val="000000"/>
                <w:sz w:val="21"/>
                <w:szCs w:val="21"/>
                <w:highlight w:val="none"/>
              </w:rPr>
              <w:t>稍湿</w:t>
            </w:r>
          </w:p>
        </w:tc>
        <w:tc>
          <w:tcPr>
            <w:tcW w:w="168" w:type="pct"/>
            <w:tcBorders>
              <w:tl2br w:val="nil"/>
              <w:tr2bl w:val="nil"/>
            </w:tcBorders>
            <w:shd w:val="clear" w:color="auto" w:fill="auto"/>
            <w:noWrap/>
            <w:tcMar>
              <w:top w:w="15" w:type="dxa"/>
              <w:left w:w="15" w:type="dxa"/>
              <w:right w:w="15" w:type="dxa"/>
            </w:tcMar>
            <w:vAlign w:val="center"/>
          </w:tcPr>
          <w:p w14:paraId="37E5C0A7">
            <w:pPr>
              <w:widowControl/>
              <w:spacing w:line="240" w:lineRule="auto"/>
              <w:jc w:val="center"/>
              <w:textAlignment w:val="center"/>
              <w:rPr>
                <w:color w:val="000000"/>
                <w:sz w:val="21"/>
                <w:szCs w:val="21"/>
                <w:highlight w:val="none"/>
              </w:rPr>
            </w:pPr>
            <w:r>
              <w:rPr>
                <w:rFonts w:hint="eastAsia"/>
                <w:color w:val="000000"/>
                <w:sz w:val="21"/>
                <w:szCs w:val="21"/>
                <w:highlight w:val="none"/>
              </w:rPr>
              <w:t>无</w:t>
            </w:r>
          </w:p>
        </w:tc>
        <w:tc>
          <w:tcPr>
            <w:tcW w:w="257" w:type="pct"/>
            <w:tcBorders>
              <w:tl2br w:val="nil"/>
              <w:tr2bl w:val="nil"/>
            </w:tcBorders>
            <w:shd w:val="clear" w:color="auto" w:fill="auto"/>
            <w:noWrap/>
            <w:tcMar>
              <w:top w:w="15" w:type="dxa"/>
              <w:left w:w="15" w:type="dxa"/>
              <w:right w:w="15" w:type="dxa"/>
            </w:tcMar>
            <w:vAlign w:val="center"/>
          </w:tcPr>
          <w:p w14:paraId="2AEE4DB8">
            <w:pPr>
              <w:widowControl/>
              <w:spacing w:line="240" w:lineRule="auto"/>
              <w:jc w:val="center"/>
              <w:textAlignment w:val="center"/>
              <w:rPr>
                <w:color w:val="000000"/>
                <w:sz w:val="21"/>
                <w:szCs w:val="21"/>
                <w:highlight w:val="none"/>
              </w:rPr>
            </w:pPr>
            <w:r>
              <w:rPr>
                <w:rFonts w:hint="eastAsia"/>
                <w:color w:val="000000"/>
                <w:sz w:val="21"/>
                <w:szCs w:val="21"/>
                <w:highlight w:val="none"/>
              </w:rPr>
              <w:t>松散</w:t>
            </w:r>
          </w:p>
        </w:tc>
        <w:tc>
          <w:tcPr>
            <w:tcW w:w="2565" w:type="pct"/>
            <w:tcBorders>
              <w:tl2br w:val="nil"/>
              <w:tr2bl w:val="nil"/>
            </w:tcBorders>
            <w:shd w:val="clear" w:color="auto" w:fill="auto"/>
            <w:noWrap/>
            <w:tcMar>
              <w:top w:w="15" w:type="dxa"/>
              <w:left w:w="15" w:type="dxa"/>
              <w:right w:w="15" w:type="dxa"/>
            </w:tcMar>
            <w:vAlign w:val="center"/>
          </w:tcPr>
          <w:p w14:paraId="0103C0A0">
            <w:pPr>
              <w:widowControl/>
              <w:spacing w:line="240" w:lineRule="auto"/>
              <w:jc w:val="center"/>
              <w:textAlignment w:val="center"/>
              <w:rPr>
                <w:color w:val="000000"/>
                <w:sz w:val="21"/>
                <w:szCs w:val="21"/>
                <w:highlight w:val="none"/>
              </w:rPr>
            </w:pPr>
            <w:r>
              <w:rPr>
                <w:rFonts w:hint="eastAsia"/>
                <w:color w:val="000000"/>
                <w:sz w:val="21"/>
                <w:szCs w:val="21"/>
                <w:highlight w:val="none"/>
              </w:rPr>
              <w:t>表面含砖块、碎石、根系，下层主要由粘土组成</w:t>
            </w:r>
          </w:p>
        </w:tc>
      </w:tr>
      <w:tr w14:paraId="05D2FE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tl2br w:val="nil"/>
              <w:tr2bl w:val="nil"/>
            </w:tcBorders>
            <w:shd w:val="clear" w:color="auto" w:fill="auto"/>
            <w:noWrap/>
            <w:tcMar>
              <w:top w:w="15" w:type="dxa"/>
              <w:left w:w="15" w:type="dxa"/>
              <w:right w:w="15" w:type="dxa"/>
            </w:tcMar>
            <w:vAlign w:val="center"/>
          </w:tcPr>
          <w:p w14:paraId="3D445E3E">
            <w:pPr>
              <w:widowControl/>
              <w:spacing w:line="240" w:lineRule="auto"/>
              <w:jc w:val="center"/>
              <w:textAlignment w:val="center"/>
              <w:rPr>
                <w:color w:val="000000"/>
                <w:sz w:val="21"/>
                <w:szCs w:val="21"/>
                <w:highlight w:val="none"/>
              </w:rPr>
            </w:pPr>
            <w:r>
              <w:rPr>
                <w:rFonts w:hint="eastAsia"/>
                <w:color w:val="000000"/>
                <w:sz w:val="21"/>
                <w:szCs w:val="21"/>
                <w:highlight w:val="none"/>
              </w:rPr>
              <w:t>10</w:t>
            </w:r>
          </w:p>
        </w:tc>
        <w:tc>
          <w:tcPr>
            <w:tcW w:w="718" w:type="pct"/>
            <w:vMerge w:val="continue"/>
            <w:tcBorders>
              <w:tl2br w:val="nil"/>
              <w:tr2bl w:val="nil"/>
            </w:tcBorders>
            <w:shd w:val="clear" w:color="auto" w:fill="auto"/>
            <w:noWrap/>
            <w:tcMar>
              <w:top w:w="15" w:type="dxa"/>
              <w:left w:w="15" w:type="dxa"/>
              <w:right w:w="15" w:type="dxa"/>
            </w:tcMar>
            <w:vAlign w:val="center"/>
          </w:tcPr>
          <w:p w14:paraId="5153EFA4">
            <w:pPr>
              <w:spacing w:line="240" w:lineRule="auto"/>
              <w:jc w:val="center"/>
              <w:rPr>
                <w:sz w:val="21"/>
                <w:szCs w:val="21"/>
                <w:highlight w:val="none"/>
              </w:rPr>
            </w:pPr>
          </w:p>
        </w:tc>
        <w:tc>
          <w:tcPr>
            <w:tcW w:w="363" w:type="pct"/>
            <w:tcBorders>
              <w:tl2br w:val="nil"/>
              <w:tr2bl w:val="nil"/>
            </w:tcBorders>
            <w:shd w:val="clear" w:color="auto" w:fill="auto"/>
            <w:noWrap/>
            <w:tcMar>
              <w:top w:w="15" w:type="dxa"/>
              <w:left w:w="15" w:type="dxa"/>
              <w:right w:w="15" w:type="dxa"/>
            </w:tcMar>
            <w:vAlign w:val="center"/>
          </w:tcPr>
          <w:p w14:paraId="434BF6D6">
            <w:pPr>
              <w:widowControl/>
              <w:spacing w:line="240" w:lineRule="auto"/>
              <w:jc w:val="center"/>
              <w:textAlignment w:val="center"/>
              <w:rPr>
                <w:color w:val="000000"/>
                <w:sz w:val="21"/>
                <w:szCs w:val="21"/>
                <w:highlight w:val="none"/>
              </w:rPr>
            </w:pPr>
            <w:r>
              <w:rPr>
                <w:color w:val="000000"/>
                <w:sz w:val="21"/>
                <w:szCs w:val="21"/>
                <w:highlight w:val="none"/>
              </w:rPr>
              <w:t>HH-JJ-4</w:t>
            </w:r>
          </w:p>
        </w:tc>
        <w:tc>
          <w:tcPr>
            <w:tcW w:w="326" w:type="pct"/>
            <w:tcBorders>
              <w:tl2br w:val="nil"/>
              <w:tr2bl w:val="nil"/>
            </w:tcBorders>
            <w:shd w:val="clear" w:color="auto" w:fill="auto"/>
            <w:noWrap/>
            <w:tcMar>
              <w:top w:w="15" w:type="dxa"/>
              <w:left w:w="15" w:type="dxa"/>
              <w:right w:w="15" w:type="dxa"/>
            </w:tcMar>
            <w:vAlign w:val="center"/>
          </w:tcPr>
          <w:p w14:paraId="7A1A635A">
            <w:pPr>
              <w:widowControl/>
              <w:spacing w:line="240" w:lineRule="auto"/>
              <w:jc w:val="center"/>
              <w:textAlignment w:val="center"/>
              <w:rPr>
                <w:color w:val="000000"/>
                <w:sz w:val="21"/>
                <w:szCs w:val="21"/>
                <w:highlight w:val="none"/>
              </w:rPr>
            </w:pPr>
            <w:r>
              <w:rPr>
                <w:rFonts w:hint="eastAsia"/>
                <w:color w:val="000000"/>
                <w:sz w:val="21"/>
                <w:szCs w:val="21"/>
                <w:highlight w:val="none"/>
              </w:rPr>
              <w:t>素填土</w:t>
            </w:r>
          </w:p>
        </w:tc>
        <w:tc>
          <w:tcPr>
            <w:tcW w:w="257" w:type="pct"/>
            <w:tcBorders>
              <w:tl2br w:val="nil"/>
              <w:tr2bl w:val="nil"/>
            </w:tcBorders>
            <w:shd w:val="clear" w:color="auto" w:fill="auto"/>
            <w:noWrap/>
            <w:tcMar>
              <w:top w:w="15" w:type="dxa"/>
              <w:left w:w="15" w:type="dxa"/>
              <w:right w:w="15" w:type="dxa"/>
            </w:tcMar>
            <w:vAlign w:val="center"/>
          </w:tcPr>
          <w:p w14:paraId="22606E18">
            <w:pPr>
              <w:widowControl/>
              <w:spacing w:line="240" w:lineRule="auto"/>
              <w:jc w:val="center"/>
              <w:textAlignment w:val="center"/>
              <w:rPr>
                <w:color w:val="000000"/>
                <w:sz w:val="21"/>
                <w:szCs w:val="21"/>
                <w:highlight w:val="none"/>
              </w:rPr>
            </w:pPr>
            <w:r>
              <w:rPr>
                <w:rFonts w:hint="eastAsia"/>
                <w:color w:val="000000"/>
                <w:sz w:val="21"/>
                <w:szCs w:val="21"/>
                <w:highlight w:val="none"/>
              </w:rPr>
              <w:t>黄褐色</w:t>
            </w:r>
          </w:p>
        </w:tc>
        <w:tc>
          <w:tcPr>
            <w:tcW w:w="175" w:type="pct"/>
            <w:tcBorders>
              <w:tl2br w:val="nil"/>
              <w:tr2bl w:val="nil"/>
            </w:tcBorders>
            <w:shd w:val="clear" w:color="auto" w:fill="auto"/>
            <w:noWrap/>
            <w:tcMar>
              <w:top w:w="15" w:type="dxa"/>
              <w:left w:w="15" w:type="dxa"/>
              <w:right w:w="15" w:type="dxa"/>
            </w:tcMar>
            <w:vAlign w:val="center"/>
          </w:tcPr>
          <w:p w14:paraId="3D036B76">
            <w:pPr>
              <w:widowControl/>
              <w:spacing w:line="240" w:lineRule="auto"/>
              <w:jc w:val="center"/>
              <w:textAlignment w:val="center"/>
              <w:rPr>
                <w:color w:val="000000"/>
                <w:sz w:val="21"/>
                <w:szCs w:val="21"/>
                <w:highlight w:val="none"/>
              </w:rPr>
            </w:pPr>
            <w:r>
              <w:rPr>
                <w:rFonts w:hint="eastAsia"/>
                <w:color w:val="000000"/>
                <w:sz w:val="21"/>
                <w:szCs w:val="21"/>
                <w:highlight w:val="none"/>
              </w:rPr>
              <w:t>稍湿</w:t>
            </w:r>
          </w:p>
        </w:tc>
        <w:tc>
          <w:tcPr>
            <w:tcW w:w="168" w:type="pct"/>
            <w:tcBorders>
              <w:tl2br w:val="nil"/>
              <w:tr2bl w:val="nil"/>
            </w:tcBorders>
            <w:shd w:val="clear" w:color="auto" w:fill="auto"/>
            <w:noWrap/>
            <w:tcMar>
              <w:top w:w="15" w:type="dxa"/>
              <w:left w:w="15" w:type="dxa"/>
              <w:right w:w="15" w:type="dxa"/>
            </w:tcMar>
            <w:vAlign w:val="center"/>
          </w:tcPr>
          <w:p w14:paraId="465BB4A8">
            <w:pPr>
              <w:widowControl/>
              <w:spacing w:line="240" w:lineRule="auto"/>
              <w:jc w:val="center"/>
              <w:textAlignment w:val="center"/>
              <w:rPr>
                <w:color w:val="000000"/>
                <w:sz w:val="21"/>
                <w:szCs w:val="21"/>
                <w:highlight w:val="none"/>
              </w:rPr>
            </w:pPr>
            <w:r>
              <w:rPr>
                <w:rFonts w:hint="eastAsia"/>
                <w:color w:val="000000"/>
                <w:sz w:val="21"/>
                <w:szCs w:val="21"/>
                <w:highlight w:val="none"/>
              </w:rPr>
              <w:t>无</w:t>
            </w:r>
          </w:p>
        </w:tc>
        <w:tc>
          <w:tcPr>
            <w:tcW w:w="257" w:type="pct"/>
            <w:tcBorders>
              <w:tl2br w:val="nil"/>
              <w:tr2bl w:val="nil"/>
            </w:tcBorders>
            <w:shd w:val="clear" w:color="auto" w:fill="auto"/>
            <w:noWrap/>
            <w:tcMar>
              <w:top w:w="15" w:type="dxa"/>
              <w:left w:w="15" w:type="dxa"/>
              <w:right w:w="15" w:type="dxa"/>
            </w:tcMar>
            <w:vAlign w:val="center"/>
          </w:tcPr>
          <w:p w14:paraId="52EF3337">
            <w:pPr>
              <w:widowControl/>
              <w:spacing w:line="240" w:lineRule="auto"/>
              <w:jc w:val="center"/>
              <w:textAlignment w:val="center"/>
              <w:rPr>
                <w:color w:val="000000"/>
                <w:sz w:val="21"/>
                <w:szCs w:val="21"/>
                <w:highlight w:val="none"/>
              </w:rPr>
            </w:pPr>
            <w:r>
              <w:rPr>
                <w:rFonts w:hint="eastAsia"/>
                <w:color w:val="000000"/>
                <w:sz w:val="21"/>
                <w:szCs w:val="21"/>
                <w:highlight w:val="none"/>
              </w:rPr>
              <w:t>可塑</w:t>
            </w:r>
          </w:p>
        </w:tc>
        <w:tc>
          <w:tcPr>
            <w:tcW w:w="2565" w:type="pct"/>
            <w:tcBorders>
              <w:tl2br w:val="nil"/>
              <w:tr2bl w:val="nil"/>
            </w:tcBorders>
            <w:shd w:val="clear" w:color="auto" w:fill="auto"/>
            <w:noWrap/>
            <w:tcMar>
              <w:top w:w="15" w:type="dxa"/>
              <w:left w:w="15" w:type="dxa"/>
              <w:right w:w="15" w:type="dxa"/>
            </w:tcMar>
            <w:vAlign w:val="center"/>
          </w:tcPr>
          <w:p w14:paraId="5E8AA7B4">
            <w:pPr>
              <w:widowControl/>
              <w:spacing w:line="240" w:lineRule="auto"/>
              <w:jc w:val="center"/>
              <w:textAlignment w:val="center"/>
              <w:rPr>
                <w:color w:val="000000"/>
                <w:sz w:val="21"/>
                <w:szCs w:val="21"/>
                <w:highlight w:val="none"/>
              </w:rPr>
            </w:pPr>
            <w:r>
              <w:rPr>
                <w:rFonts w:hint="eastAsia"/>
                <w:color w:val="000000"/>
                <w:sz w:val="21"/>
                <w:szCs w:val="21"/>
                <w:highlight w:val="none"/>
              </w:rPr>
              <w:t>表面含根系、石块，下层为黄褐色粉质粘土</w:t>
            </w:r>
          </w:p>
        </w:tc>
      </w:tr>
      <w:tr w14:paraId="48A8E6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68" w:type="pct"/>
            <w:tcBorders>
              <w:tl2br w:val="nil"/>
              <w:tr2bl w:val="nil"/>
            </w:tcBorders>
            <w:shd w:val="clear" w:color="auto" w:fill="auto"/>
            <w:noWrap/>
            <w:tcMar>
              <w:top w:w="15" w:type="dxa"/>
              <w:left w:w="15" w:type="dxa"/>
              <w:right w:w="15" w:type="dxa"/>
            </w:tcMar>
            <w:vAlign w:val="center"/>
          </w:tcPr>
          <w:p w14:paraId="6EBEDFBF">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11</w:t>
            </w:r>
          </w:p>
        </w:tc>
        <w:tc>
          <w:tcPr>
            <w:tcW w:w="718" w:type="pct"/>
            <w:vMerge w:val="continue"/>
            <w:tcBorders>
              <w:tl2br w:val="nil"/>
              <w:tr2bl w:val="nil"/>
            </w:tcBorders>
            <w:shd w:val="clear" w:color="auto" w:fill="auto"/>
            <w:noWrap/>
            <w:tcMar>
              <w:top w:w="15" w:type="dxa"/>
              <w:left w:w="15" w:type="dxa"/>
              <w:right w:w="15" w:type="dxa"/>
            </w:tcMar>
            <w:vAlign w:val="center"/>
          </w:tcPr>
          <w:p w14:paraId="7588C3F5">
            <w:pPr>
              <w:spacing w:line="240" w:lineRule="auto"/>
              <w:jc w:val="center"/>
              <w:rPr>
                <w:sz w:val="21"/>
                <w:szCs w:val="21"/>
                <w:highlight w:val="none"/>
              </w:rPr>
            </w:pPr>
          </w:p>
        </w:tc>
        <w:tc>
          <w:tcPr>
            <w:tcW w:w="363" w:type="pct"/>
            <w:tcBorders>
              <w:tl2br w:val="nil"/>
              <w:tr2bl w:val="nil"/>
            </w:tcBorders>
            <w:shd w:val="clear" w:color="auto" w:fill="auto"/>
            <w:noWrap/>
            <w:tcMar>
              <w:top w:w="15" w:type="dxa"/>
              <w:left w:w="15" w:type="dxa"/>
              <w:right w:w="15" w:type="dxa"/>
            </w:tcMar>
            <w:vAlign w:val="center"/>
          </w:tcPr>
          <w:p w14:paraId="3D29A1FB">
            <w:pPr>
              <w:widowControl/>
              <w:spacing w:line="240" w:lineRule="auto"/>
              <w:jc w:val="center"/>
              <w:textAlignment w:val="center"/>
              <w:rPr>
                <w:color w:val="000000"/>
                <w:sz w:val="21"/>
                <w:szCs w:val="21"/>
                <w:highlight w:val="none"/>
              </w:rPr>
            </w:pPr>
            <w:r>
              <w:rPr>
                <w:color w:val="000000"/>
                <w:sz w:val="21"/>
                <w:szCs w:val="21"/>
                <w:highlight w:val="none"/>
              </w:rPr>
              <w:t>HH-JJ-5</w:t>
            </w:r>
          </w:p>
        </w:tc>
        <w:tc>
          <w:tcPr>
            <w:tcW w:w="326" w:type="pct"/>
            <w:tcBorders>
              <w:tl2br w:val="nil"/>
              <w:tr2bl w:val="nil"/>
            </w:tcBorders>
            <w:shd w:val="clear" w:color="auto" w:fill="auto"/>
            <w:noWrap/>
            <w:tcMar>
              <w:top w:w="15" w:type="dxa"/>
              <w:left w:w="15" w:type="dxa"/>
              <w:right w:w="15" w:type="dxa"/>
            </w:tcMar>
            <w:vAlign w:val="center"/>
          </w:tcPr>
          <w:p w14:paraId="67BEB6EF">
            <w:pPr>
              <w:widowControl/>
              <w:spacing w:line="240" w:lineRule="auto"/>
              <w:jc w:val="center"/>
              <w:textAlignment w:val="center"/>
              <w:rPr>
                <w:color w:val="000000"/>
                <w:sz w:val="21"/>
                <w:szCs w:val="21"/>
                <w:highlight w:val="none"/>
              </w:rPr>
            </w:pPr>
            <w:r>
              <w:rPr>
                <w:rFonts w:hint="eastAsia"/>
                <w:color w:val="000000"/>
                <w:sz w:val="21"/>
                <w:szCs w:val="21"/>
                <w:highlight w:val="none"/>
              </w:rPr>
              <w:t>素填土</w:t>
            </w:r>
          </w:p>
        </w:tc>
        <w:tc>
          <w:tcPr>
            <w:tcW w:w="257" w:type="pct"/>
            <w:tcBorders>
              <w:tl2br w:val="nil"/>
              <w:tr2bl w:val="nil"/>
            </w:tcBorders>
            <w:shd w:val="clear" w:color="auto" w:fill="auto"/>
            <w:noWrap/>
            <w:tcMar>
              <w:top w:w="15" w:type="dxa"/>
              <w:left w:w="15" w:type="dxa"/>
              <w:right w:w="15" w:type="dxa"/>
            </w:tcMar>
            <w:vAlign w:val="center"/>
          </w:tcPr>
          <w:p w14:paraId="0B933657">
            <w:pPr>
              <w:widowControl/>
              <w:spacing w:line="240" w:lineRule="auto"/>
              <w:jc w:val="center"/>
              <w:textAlignment w:val="center"/>
              <w:rPr>
                <w:color w:val="000000"/>
                <w:sz w:val="21"/>
                <w:szCs w:val="21"/>
                <w:highlight w:val="none"/>
              </w:rPr>
            </w:pPr>
            <w:r>
              <w:rPr>
                <w:rFonts w:hint="eastAsia"/>
                <w:color w:val="000000"/>
                <w:sz w:val="21"/>
                <w:szCs w:val="21"/>
                <w:highlight w:val="none"/>
              </w:rPr>
              <w:t>棕褐色</w:t>
            </w:r>
          </w:p>
        </w:tc>
        <w:tc>
          <w:tcPr>
            <w:tcW w:w="175" w:type="pct"/>
            <w:tcBorders>
              <w:tl2br w:val="nil"/>
              <w:tr2bl w:val="nil"/>
            </w:tcBorders>
            <w:shd w:val="clear" w:color="auto" w:fill="auto"/>
            <w:noWrap/>
            <w:tcMar>
              <w:top w:w="15" w:type="dxa"/>
              <w:left w:w="15" w:type="dxa"/>
              <w:right w:w="15" w:type="dxa"/>
            </w:tcMar>
            <w:vAlign w:val="center"/>
          </w:tcPr>
          <w:p w14:paraId="33A1D661">
            <w:pPr>
              <w:widowControl/>
              <w:spacing w:line="240" w:lineRule="auto"/>
              <w:jc w:val="center"/>
              <w:textAlignment w:val="center"/>
              <w:rPr>
                <w:color w:val="000000"/>
                <w:sz w:val="21"/>
                <w:szCs w:val="21"/>
                <w:highlight w:val="none"/>
              </w:rPr>
            </w:pPr>
            <w:r>
              <w:rPr>
                <w:rFonts w:hint="eastAsia"/>
                <w:color w:val="000000"/>
                <w:sz w:val="21"/>
                <w:szCs w:val="21"/>
                <w:highlight w:val="none"/>
              </w:rPr>
              <w:t>干</w:t>
            </w:r>
          </w:p>
        </w:tc>
        <w:tc>
          <w:tcPr>
            <w:tcW w:w="168" w:type="pct"/>
            <w:tcBorders>
              <w:tl2br w:val="nil"/>
              <w:tr2bl w:val="nil"/>
            </w:tcBorders>
            <w:shd w:val="clear" w:color="auto" w:fill="auto"/>
            <w:noWrap/>
            <w:tcMar>
              <w:top w:w="15" w:type="dxa"/>
              <w:left w:w="15" w:type="dxa"/>
              <w:right w:w="15" w:type="dxa"/>
            </w:tcMar>
            <w:vAlign w:val="center"/>
          </w:tcPr>
          <w:p w14:paraId="57038AA1">
            <w:pPr>
              <w:widowControl/>
              <w:spacing w:line="240" w:lineRule="auto"/>
              <w:jc w:val="center"/>
              <w:textAlignment w:val="center"/>
              <w:rPr>
                <w:color w:val="000000"/>
                <w:sz w:val="21"/>
                <w:szCs w:val="21"/>
                <w:highlight w:val="none"/>
              </w:rPr>
            </w:pPr>
            <w:r>
              <w:rPr>
                <w:rFonts w:hint="eastAsia"/>
                <w:color w:val="000000"/>
                <w:sz w:val="21"/>
                <w:szCs w:val="21"/>
                <w:highlight w:val="none"/>
              </w:rPr>
              <w:t>无</w:t>
            </w:r>
          </w:p>
        </w:tc>
        <w:tc>
          <w:tcPr>
            <w:tcW w:w="257" w:type="pct"/>
            <w:tcBorders>
              <w:tl2br w:val="nil"/>
              <w:tr2bl w:val="nil"/>
            </w:tcBorders>
            <w:shd w:val="clear" w:color="auto" w:fill="auto"/>
            <w:noWrap/>
            <w:tcMar>
              <w:top w:w="15" w:type="dxa"/>
              <w:left w:w="15" w:type="dxa"/>
              <w:right w:w="15" w:type="dxa"/>
            </w:tcMar>
            <w:vAlign w:val="center"/>
          </w:tcPr>
          <w:p w14:paraId="500740EF">
            <w:pPr>
              <w:widowControl/>
              <w:spacing w:line="240" w:lineRule="auto"/>
              <w:jc w:val="center"/>
              <w:textAlignment w:val="center"/>
              <w:rPr>
                <w:color w:val="000000"/>
                <w:sz w:val="21"/>
                <w:szCs w:val="21"/>
                <w:highlight w:val="none"/>
              </w:rPr>
            </w:pPr>
            <w:r>
              <w:rPr>
                <w:rFonts w:hint="eastAsia"/>
                <w:color w:val="000000"/>
                <w:sz w:val="21"/>
                <w:szCs w:val="21"/>
                <w:highlight w:val="none"/>
              </w:rPr>
              <w:t>松散</w:t>
            </w:r>
          </w:p>
        </w:tc>
        <w:tc>
          <w:tcPr>
            <w:tcW w:w="2565" w:type="pct"/>
            <w:tcBorders>
              <w:tl2br w:val="nil"/>
              <w:tr2bl w:val="nil"/>
            </w:tcBorders>
            <w:shd w:val="clear" w:color="auto" w:fill="auto"/>
            <w:noWrap/>
            <w:tcMar>
              <w:top w:w="15" w:type="dxa"/>
              <w:left w:w="15" w:type="dxa"/>
              <w:right w:w="15" w:type="dxa"/>
            </w:tcMar>
            <w:vAlign w:val="center"/>
          </w:tcPr>
          <w:p w14:paraId="27458ADE">
            <w:pPr>
              <w:widowControl/>
              <w:spacing w:line="240" w:lineRule="auto"/>
              <w:jc w:val="center"/>
              <w:textAlignment w:val="center"/>
              <w:rPr>
                <w:color w:val="000000"/>
                <w:sz w:val="21"/>
                <w:szCs w:val="21"/>
                <w:highlight w:val="none"/>
              </w:rPr>
            </w:pPr>
            <w:r>
              <w:rPr>
                <w:rFonts w:hint="eastAsia"/>
                <w:color w:val="000000"/>
                <w:sz w:val="21"/>
                <w:szCs w:val="21"/>
                <w:highlight w:val="none"/>
              </w:rPr>
              <w:t>表面含根系、石块，下层主要由粘土组成，含少量氧化物</w:t>
            </w:r>
          </w:p>
        </w:tc>
      </w:tr>
    </w:tbl>
    <w:p w14:paraId="48C60923">
      <w:pPr>
        <w:pStyle w:val="30"/>
        <w:adjustRightInd w:val="0"/>
        <w:snapToGrid w:val="0"/>
        <w:spacing w:after="0" w:line="240" w:lineRule="auto"/>
        <w:ind w:firstLine="361"/>
        <w:rPr>
          <w:b/>
          <w:bCs/>
          <w:color w:val="000000"/>
          <w:sz w:val="18"/>
          <w:szCs w:val="18"/>
          <w:highlight w:val="none"/>
        </w:rPr>
        <w:sectPr>
          <w:headerReference r:id="rId17" w:type="default"/>
          <w:footerReference r:id="rId18" w:type="default"/>
          <w:pgSz w:w="16781" w:h="11849" w:orient="landscape"/>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p>
    <w:p w14:paraId="28DAEE14">
      <w:pPr>
        <w:pStyle w:val="5"/>
        <w:rPr>
          <w:highlight w:val="none"/>
        </w:rPr>
      </w:pPr>
      <w:r>
        <w:rPr>
          <w:highlight w:val="none"/>
        </w:rPr>
        <w:t>地下水样品采集</w:t>
      </w:r>
    </w:p>
    <w:p w14:paraId="53C151AA">
      <w:pPr>
        <w:ind w:firstLine="420"/>
        <w:rPr>
          <w:color w:val="000000"/>
          <w:highlight w:val="none"/>
        </w:rPr>
      </w:pPr>
      <w:r>
        <w:rPr>
          <w:color w:val="000000"/>
          <w:highlight w:val="none"/>
        </w:rPr>
        <w:t>调查范围内共有2个地下水监测井，每个点位取1个样品，共采集2个样品</w:t>
      </w:r>
      <w:r>
        <w:rPr>
          <w:rFonts w:hint="eastAsia"/>
          <w:color w:val="000000"/>
          <w:highlight w:val="none"/>
        </w:rPr>
        <w:t>送检</w:t>
      </w:r>
      <w:r>
        <w:rPr>
          <w:color w:val="000000"/>
          <w:highlight w:val="none"/>
        </w:rPr>
        <w:t>。</w:t>
      </w:r>
    </w:p>
    <w:p w14:paraId="0009F56C">
      <w:pPr>
        <w:ind w:firstLine="420"/>
        <w:rPr>
          <w:highlight w:val="none"/>
        </w:rPr>
      </w:pPr>
      <w:r>
        <w:rPr>
          <w:highlight w:val="none"/>
        </w:rPr>
        <w:t>具体</w:t>
      </w:r>
      <w:r>
        <w:rPr>
          <w:color w:val="000000"/>
          <w:highlight w:val="none"/>
        </w:rPr>
        <w:t>地下水样采集情况详见表4-3-</w:t>
      </w:r>
      <w:r>
        <w:rPr>
          <w:rFonts w:hint="eastAsia"/>
          <w:color w:val="000000"/>
          <w:highlight w:val="none"/>
        </w:rPr>
        <w:t>4</w:t>
      </w:r>
      <w:r>
        <w:rPr>
          <w:color w:val="000000"/>
          <w:highlight w:val="none"/>
        </w:rPr>
        <w:t>。</w:t>
      </w:r>
    </w:p>
    <w:p w14:paraId="7E4985BE">
      <w:pPr>
        <w:spacing w:line="240" w:lineRule="auto"/>
        <w:jc w:val="center"/>
        <w:rPr>
          <w:rFonts w:eastAsia="黑体"/>
          <w:b/>
          <w:bCs/>
          <w:color w:val="000000"/>
          <w:highlight w:val="none"/>
        </w:rPr>
      </w:pPr>
      <w:r>
        <w:rPr>
          <w:rFonts w:eastAsia="黑体"/>
          <w:b/>
          <w:bCs/>
          <w:color w:val="000000"/>
          <w:highlight w:val="none"/>
        </w:rPr>
        <w:t>表4-3-4  地下水现场采样信息统计</w:t>
      </w:r>
    </w:p>
    <w:tbl>
      <w:tblPr>
        <w:tblStyle w:val="21"/>
        <w:tblW w:w="499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1494"/>
        <w:gridCol w:w="1219"/>
        <w:gridCol w:w="1112"/>
        <w:gridCol w:w="812"/>
        <w:gridCol w:w="961"/>
        <w:gridCol w:w="987"/>
        <w:gridCol w:w="1085"/>
        <w:gridCol w:w="1085"/>
      </w:tblGrid>
      <w:tr w14:paraId="3403FC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5" w:type="pct"/>
            <w:vMerge w:val="restart"/>
            <w:tcBorders>
              <w:tl2br w:val="nil"/>
              <w:tr2bl w:val="nil"/>
            </w:tcBorders>
            <w:vAlign w:val="center"/>
          </w:tcPr>
          <w:p w14:paraId="7E2EEC1C">
            <w:pPr>
              <w:widowControl/>
              <w:spacing w:line="240" w:lineRule="auto"/>
              <w:jc w:val="center"/>
              <w:rPr>
                <w:b/>
                <w:kern w:val="0"/>
                <w:sz w:val="21"/>
                <w:szCs w:val="21"/>
                <w:highlight w:val="none"/>
              </w:rPr>
            </w:pPr>
            <w:r>
              <w:rPr>
                <w:b/>
                <w:kern w:val="0"/>
                <w:sz w:val="21"/>
                <w:szCs w:val="21"/>
                <w:highlight w:val="none"/>
              </w:rPr>
              <w:t>点位</w:t>
            </w:r>
          </w:p>
          <w:p w14:paraId="08917F5E">
            <w:pPr>
              <w:widowControl/>
              <w:spacing w:line="240" w:lineRule="auto"/>
              <w:jc w:val="center"/>
              <w:rPr>
                <w:b/>
                <w:kern w:val="0"/>
                <w:sz w:val="21"/>
                <w:szCs w:val="21"/>
                <w:highlight w:val="none"/>
              </w:rPr>
            </w:pPr>
            <w:r>
              <w:rPr>
                <w:b/>
                <w:kern w:val="0"/>
                <w:sz w:val="21"/>
                <w:szCs w:val="21"/>
                <w:highlight w:val="none"/>
              </w:rPr>
              <w:t>编号</w:t>
            </w:r>
          </w:p>
        </w:tc>
        <w:tc>
          <w:tcPr>
            <w:tcW w:w="763" w:type="pct"/>
            <w:vMerge w:val="restart"/>
            <w:tcBorders>
              <w:tl2br w:val="nil"/>
              <w:tr2bl w:val="nil"/>
            </w:tcBorders>
            <w:vAlign w:val="center"/>
          </w:tcPr>
          <w:p w14:paraId="65BD2CDA">
            <w:pPr>
              <w:widowControl/>
              <w:spacing w:line="240" w:lineRule="auto"/>
              <w:jc w:val="center"/>
              <w:rPr>
                <w:b/>
                <w:kern w:val="0"/>
                <w:sz w:val="21"/>
                <w:szCs w:val="21"/>
                <w:highlight w:val="none"/>
              </w:rPr>
            </w:pPr>
            <w:r>
              <w:rPr>
                <w:b/>
                <w:kern w:val="0"/>
                <w:sz w:val="21"/>
                <w:szCs w:val="21"/>
                <w:highlight w:val="none"/>
              </w:rPr>
              <w:t>对应土壤点位</w:t>
            </w:r>
          </w:p>
        </w:tc>
        <w:tc>
          <w:tcPr>
            <w:tcW w:w="1191" w:type="pct"/>
            <w:gridSpan w:val="2"/>
            <w:tcBorders>
              <w:tl2br w:val="nil"/>
              <w:tr2bl w:val="nil"/>
            </w:tcBorders>
            <w:vAlign w:val="center"/>
          </w:tcPr>
          <w:p w14:paraId="1975E3B7">
            <w:pPr>
              <w:spacing w:line="240" w:lineRule="auto"/>
              <w:jc w:val="center"/>
              <w:rPr>
                <w:b/>
                <w:color w:val="000000"/>
                <w:kern w:val="0"/>
                <w:sz w:val="21"/>
                <w:szCs w:val="21"/>
                <w:highlight w:val="none"/>
              </w:rPr>
            </w:pPr>
            <w:r>
              <w:rPr>
                <w:b/>
                <w:color w:val="000000"/>
                <w:kern w:val="0"/>
                <w:sz w:val="21"/>
                <w:szCs w:val="21"/>
                <w:highlight w:val="none"/>
              </w:rPr>
              <w:t>坐标</w:t>
            </w:r>
          </w:p>
        </w:tc>
        <w:tc>
          <w:tcPr>
            <w:tcW w:w="415" w:type="pct"/>
            <w:vMerge w:val="restart"/>
            <w:tcBorders>
              <w:tl2br w:val="nil"/>
              <w:tr2bl w:val="nil"/>
            </w:tcBorders>
            <w:vAlign w:val="center"/>
          </w:tcPr>
          <w:p w14:paraId="7AC7897A">
            <w:pPr>
              <w:spacing w:line="240" w:lineRule="auto"/>
              <w:jc w:val="center"/>
              <w:rPr>
                <w:b/>
                <w:color w:val="000000"/>
                <w:kern w:val="0"/>
                <w:sz w:val="21"/>
                <w:szCs w:val="21"/>
                <w:highlight w:val="none"/>
              </w:rPr>
            </w:pPr>
            <w:r>
              <w:rPr>
                <w:rFonts w:hint="default" w:ascii="Times New Roman" w:hAnsi="Times New Roman" w:cs="Times New Roman"/>
                <w:b/>
                <w:color w:val="auto"/>
                <w:kern w:val="0"/>
                <w:sz w:val="21"/>
                <w:szCs w:val="21"/>
                <w:highlight w:val="none"/>
              </w:rPr>
              <w:t>井深</w:t>
            </w:r>
            <w:r>
              <w:rPr>
                <w:rFonts w:hint="eastAsia" w:ascii="Times New Roman" w:hAnsi="Times New Roman" w:cs="Times New Roman"/>
                <w:b/>
                <w:bCs/>
                <w:color w:val="auto"/>
                <w:sz w:val="21"/>
                <w:szCs w:val="21"/>
                <w:highlight w:val="none"/>
                <w:lang w:val="en-US" w:eastAsia="zh-CN"/>
              </w:rPr>
              <w:t>（m）</w:t>
            </w:r>
          </w:p>
        </w:tc>
        <w:tc>
          <w:tcPr>
            <w:tcW w:w="491" w:type="pct"/>
            <w:vMerge w:val="restart"/>
            <w:tcBorders>
              <w:tl2br w:val="nil"/>
              <w:tr2bl w:val="nil"/>
            </w:tcBorders>
            <w:vAlign w:val="center"/>
          </w:tcPr>
          <w:p w14:paraId="248E46D5">
            <w:pPr>
              <w:pStyle w:val="29"/>
              <w:jc w:val="center"/>
              <w:rPr>
                <w:rFonts w:ascii="Times New Roman" w:hAnsi="Times New Roman"/>
                <w:b/>
                <w:bCs/>
                <w:sz w:val="21"/>
                <w:szCs w:val="21"/>
                <w:highlight w:val="none"/>
              </w:rPr>
            </w:pPr>
            <w:r>
              <w:rPr>
                <w:rFonts w:hint="default" w:ascii="Times New Roman" w:hAnsi="Times New Roman" w:cs="Times New Roman"/>
                <w:b/>
                <w:bCs/>
                <w:color w:val="auto"/>
                <w:sz w:val="21"/>
                <w:szCs w:val="21"/>
                <w:highlight w:val="none"/>
              </w:rPr>
              <w:t>初见水位</w:t>
            </w:r>
            <w:r>
              <w:rPr>
                <w:rFonts w:hint="default" w:ascii="Times New Roman" w:hAnsi="Times New Roman" w:cs="Times New Roman"/>
                <w:b/>
                <w:bCs/>
                <w:color w:val="auto"/>
                <w:sz w:val="21"/>
                <w:szCs w:val="21"/>
                <w:highlight w:val="none"/>
                <w:vertAlign w:val="superscript"/>
              </w:rPr>
              <w:t>①</w:t>
            </w:r>
            <w:r>
              <w:rPr>
                <w:rFonts w:hint="eastAsia" w:ascii="Times New Roman" w:hAnsi="Times New Roman" w:cs="Times New Roman"/>
                <w:b/>
                <w:bCs/>
                <w:color w:val="auto"/>
                <w:sz w:val="21"/>
                <w:szCs w:val="21"/>
                <w:highlight w:val="none"/>
                <w:lang w:val="en-US" w:eastAsia="zh-CN"/>
              </w:rPr>
              <w:t>（m）</w:t>
            </w:r>
          </w:p>
        </w:tc>
        <w:tc>
          <w:tcPr>
            <w:tcW w:w="504" w:type="pct"/>
            <w:vMerge w:val="restart"/>
            <w:tcBorders>
              <w:tl2br w:val="nil"/>
              <w:tr2bl w:val="nil"/>
            </w:tcBorders>
            <w:vAlign w:val="center"/>
          </w:tcPr>
          <w:p w14:paraId="3BFE0BE5">
            <w:pPr>
              <w:pStyle w:val="29"/>
              <w:jc w:val="center"/>
              <w:rPr>
                <w:rFonts w:ascii="Times New Roman" w:hAnsi="Times New Roman"/>
                <w:b/>
                <w:bCs/>
                <w:sz w:val="21"/>
                <w:szCs w:val="21"/>
                <w:highlight w:val="none"/>
              </w:rPr>
            </w:pPr>
            <w:r>
              <w:rPr>
                <w:rFonts w:hint="default" w:ascii="Times New Roman" w:hAnsi="Times New Roman" w:cs="Times New Roman"/>
                <w:b/>
                <w:bCs/>
                <w:color w:val="auto"/>
                <w:sz w:val="21"/>
                <w:szCs w:val="21"/>
                <w:highlight w:val="none"/>
              </w:rPr>
              <w:t>稳定水位</w:t>
            </w:r>
            <w:r>
              <w:rPr>
                <w:rFonts w:hint="default" w:ascii="Times New Roman" w:hAnsi="Times New Roman" w:cs="Times New Roman"/>
                <w:b/>
                <w:bCs/>
                <w:color w:val="auto"/>
                <w:sz w:val="21"/>
                <w:szCs w:val="21"/>
                <w:highlight w:val="none"/>
                <w:vertAlign w:val="superscript"/>
              </w:rPr>
              <w:t>①</w:t>
            </w:r>
            <w:r>
              <w:rPr>
                <w:rFonts w:hint="eastAsia" w:ascii="Times New Roman" w:hAnsi="Times New Roman" w:cs="Times New Roman"/>
                <w:b/>
                <w:bCs/>
                <w:color w:val="auto"/>
                <w:sz w:val="21"/>
                <w:szCs w:val="21"/>
                <w:highlight w:val="none"/>
                <w:lang w:val="en-US" w:eastAsia="zh-CN"/>
              </w:rPr>
              <w:t>（m）</w:t>
            </w:r>
          </w:p>
        </w:tc>
        <w:tc>
          <w:tcPr>
            <w:tcW w:w="554" w:type="pct"/>
            <w:vMerge w:val="restart"/>
            <w:tcBorders>
              <w:tl2br w:val="nil"/>
              <w:tr2bl w:val="nil"/>
            </w:tcBorders>
            <w:vAlign w:val="center"/>
          </w:tcPr>
          <w:p w14:paraId="16E7684D">
            <w:pPr>
              <w:pStyle w:val="29"/>
              <w:jc w:val="center"/>
              <w:rPr>
                <w:rFonts w:ascii="Times New Roman" w:hAnsi="Times New Roman"/>
                <w:b/>
                <w:bCs/>
                <w:sz w:val="21"/>
                <w:szCs w:val="21"/>
                <w:highlight w:val="none"/>
              </w:rPr>
            </w:pPr>
            <w:r>
              <w:rPr>
                <w:rFonts w:hint="eastAsia" w:ascii="Times New Roman" w:hAnsi="Times New Roman" w:cs="Times New Roman"/>
                <w:b/>
                <w:bCs/>
                <w:color w:val="auto"/>
                <w:sz w:val="21"/>
                <w:szCs w:val="21"/>
                <w:highlight w:val="none"/>
                <w:lang w:val="en-US" w:eastAsia="zh-CN"/>
              </w:rPr>
              <w:t>花管埋深（m）</w:t>
            </w:r>
          </w:p>
        </w:tc>
        <w:tc>
          <w:tcPr>
            <w:tcW w:w="554" w:type="pct"/>
            <w:vMerge w:val="restart"/>
            <w:tcBorders>
              <w:tl2br w:val="nil"/>
              <w:tr2bl w:val="nil"/>
            </w:tcBorders>
            <w:vAlign w:val="center"/>
          </w:tcPr>
          <w:p w14:paraId="0E42BB64">
            <w:pPr>
              <w:pStyle w:val="29"/>
              <w:jc w:val="center"/>
              <w:rPr>
                <w:rFonts w:ascii="Times New Roman" w:hAnsi="Times New Roman"/>
                <w:b/>
                <w:bCs/>
                <w:sz w:val="21"/>
                <w:szCs w:val="21"/>
                <w:highlight w:val="none"/>
              </w:rPr>
            </w:pPr>
            <w:r>
              <w:rPr>
                <w:rFonts w:hint="default" w:ascii="Times New Roman" w:hAnsi="Times New Roman" w:cs="Times New Roman"/>
                <w:b/>
                <w:bCs/>
                <w:color w:val="auto"/>
                <w:sz w:val="21"/>
                <w:szCs w:val="21"/>
                <w:highlight w:val="none"/>
              </w:rPr>
              <w:t>地下水类型</w:t>
            </w:r>
          </w:p>
        </w:tc>
      </w:tr>
      <w:tr w14:paraId="323512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5" w:type="pct"/>
            <w:vMerge w:val="continue"/>
            <w:tcBorders>
              <w:bottom w:val="single" w:color="auto" w:sz="12" w:space="0"/>
              <w:tl2br w:val="nil"/>
              <w:tr2bl w:val="nil"/>
            </w:tcBorders>
            <w:vAlign w:val="center"/>
          </w:tcPr>
          <w:p w14:paraId="3197DCD9">
            <w:pPr>
              <w:widowControl/>
              <w:spacing w:line="240" w:lineRule="auto"/>
              <w:jc w:val="center"/>
              <w:rPr>
                <w:b/>
                <w:kern w:val="0"/>
                <w:sz w:val="21"/>
                <w:szCs w:val="21"/>
                <w:highlight w:val="none"/>
              </w:rPr>
            </w:pPr>
          </w:p>
        </w:tc>
        <w:tc>
          <w:tcPr>
            <w:tcW w:w="763" w:type="pct"/>
            <w:vMerge w:val="continue"/>
            <w:tcBorders>
              <w:bottom w:val="single" w:color="auto" w:sz="12" w:space="0"/>
              <w:tl2br w:val="nil"/>
              <w:tr2bl w:val="nil"/>
            </w:tcBorders>
            <w:vAlign w:val="center"/>
          </w:tcPr>
          <w:p w14:paraId="2191B35D">
            <w:pPr>
              <w:widowControl/>
              <w:spacing w:line="240" w:lineRule="auto"/>
              <w:jc w:val="center"/>
              <w:rPr>
                <w:b/>
                <w:kern w:val="0"/>
                <w:sz w:val="21"/>
                <w:szCs w:val="21"/>
                <w:highlight w:val="none"/>
              </w:rPr>
            </w:pPr>
          </w:p>
        </w:tc>
        <w:tc>
          <w:tcPr>
            <w:tcW w:w="623" w:type="pct"/>
            <w:tcBorders>
              <w:bottom w:val="single" w:color="auto" w:sz="12" w:space="0"/>
              <w:tl2br w:val="nil"/>
              <w:tr2bl w:val="nil"/>
            </w:tcBorders>
            <w:vAlign w:val="center"/>
          </w:tcPr>
          <w:p w14:paraId="22C5F869">
            <w:pPr>
              <w:spacing w:line="240" w:lineRule="auto"/>
              <w:jc w:val="center"/>
              <w:rPr>
                <w:b/>
                <w:bCs/>
                <w:color w:val="000000"/>
                <w:kern w:val="0"/>
                <w:sz w:val="21"/>
                <w:szCs w:val="21"/>
                <w:highlight w:val="none"/>
              </w:rPr>
            </w:pPr>
            <w:r>
              <w:rPr>
                <w:b/>
                <w:bCs/>
                <w:sz w:val="21"/>
                <w:szCs w:val="21"/>
                <w:highlight w:val="none"/>
              </w:rPr>
              <w:t>经度（°）</w:t>
            </w:r>
          </w:p>
        </w:tc>
        <w:tc>
          <w:tcPr>
            <w:tcW w:w="568" w:type="pct"/>
            <w:tcBorders>
              <w:bottom w:val="single" w:color="auto" w:sz="12" w:space="0"/>
              <w:tl2br w:val="nil"/>
              <w:tr2bl w:val="nil"/>
            </w:tcBorders>
            <w:vAlign w:val="center"/>
          </w:tcPr>
          <w:p w14:paraId="24640566">
            <w:pPr>
              <w:spacing w:line="240" w:lineRule="auto"/>
              <w:jc w:val="center"/>
              <w:rPr>
                <w:b/>
                <w:bCs/>
                <w:color w:val="000000"/>
                <w:kern w:val="0"/>
                <w:sz w:val="21"/>
                <w:szCs w:val="21"/>
                <w:highlight w:val="none"/>
              </w:rPr>
            </w:pPr>
            <w:r>
              <w:rPr>
                <w:b/>
                <w:bCs/>
                <w:sz w:val="21"/>
                <w:szCs w:val="21"/>
                <w:highlight w:val="none"/>
              </w:rPr>
              <w:t>纬度（°）</w:t>
            </w:r>
          </w:p>
        </w:tc>
        <w:tc>
          <w:tcPr>
            <w:tcW w:w="415" w:type="pct"/>
            <w:vMerge w:val="continue"/>
            <w:tcBorders>
              <w:bottom w:val="single" w:color="auto" w:sz="12" w:space="0"/>
              <w:tl2br w:val="nil"/>
              <w:tr2bl w:val="nil"/>
            </w:tcBorders>
            <w:vAlign w:val="center"/>
          </w:tcPr>
          <w:p w14:paraId="0632AC2A">
            <w:pPr>
              <w:spacing w:line="240" w:lineRule="auto"/>
              <w:jc w:val="center"/>
              <w:rPr>
                <w:b/>
                <w:color w:val="000000"/>
                <w:kern w:val="0"/>
                <w:sz w:val="21"/>
                <w:szCs w:val="21"/>
                <w:highlight w:val="none"/>
              </w:rPr>
            </w:pPr>
          </w:p>
        </w:tc>
        <w:tc>
          <w:tcPr>
            <w:tcW w:w="491" w:type="pct"/>
            <w:vMerge w:val="continue"/>
            <w:tcBorders>
              <w:bottom w:val="single" w:color="auto" w:sz="12" w:space="0"/>
              <w:tl2br w:val="nil"/>
              <w:tr2bl w:val="nil"/>
            </w:tcBorders>
            <w:vAlign w:val="center"/>
          </w:tcPr>
          <w:p w14:paraId="337C595E">
            <w:pPr>
              <w:widowControl/>
              <w:spacing w:line="240" w:lineRule="auto"/>
              <w:jc w:val="center"/>
              <w:rPr>
                <w:b/>
                <w:kern w:val="0"/>
                <w:sz w:val="21"/>
                <w:szCs w:val="21"/>
                <w:highlight w:val="none"/>
              </w:rPr>
            </w:pPr>
          </w:p>
        </w:tc>
        <w:tc>
          <w:tcPr>
            <w:tcW w:w="504" w:type="pct"/>
            <w:vMerge w:val="continue"/>
            <w:tcBorders>
              <w:bottom w:val="single" w:color="auto" w:sz="12" w:space="0"/>
              <w:tl2br w:val="nil"/>
              <w:tr2bl w:val="nil"/>
            </w:tcBorders>
            <w:vAlign w:val="center"/>
          </w:tcPr>
          <w:p w14:paraId="49CB6813">
            <w:pPr>
              <w:widowControl/>
              <w:spacing w:line="240" w:lineRule="auto"/>
              <w:jc w:val="center"/>
              <w:rPr>
                <w:b/>
                <w:kern w:val="0"/>
                <w:sz w:val="21"/>
                <w:szCs w:val="21"/>
                <w:highlight w:val="none"/>
              </w:rPr>
            </w:pPr>
          </w:p>
        </w:tc>
        <w:tc>
          <w:tcPr>
            <w:tcW w:w="554" w:type="pct"/>
            <w:vMerge w:val="continue"/>
            <w:tcBorders>
              <w:bottom w:val="single" w:color="auto" w:sz="12" w:space="0"/>
              <w:tl2br w:val="nil"/>
              <w:tr2bl w:val="nil"/>
            </w:tcBorders>
            <w:vAlign w:val="center"/>
          </w:tcPr>
          <w:p w14:paraId="7E26B4E8">
            <w:pPr>
              <w:widowControl/>
              <w:spacing w:line="240" w:lineRule="auto"/>
              <w:jc w:val="center"/>
              <w:rPr>
                <w:b/>
                <w:kern w:val="0"/>
                <w:sz w:val="21"/>
                <w:szCs w:val="21"/>
                <w:highlight w:val="none"/>
              </w:rPr>
            </w:pPr>
          </w:p>
        </w:tc>
        <w:tc>
          <w:tcPr>
            <w:tcW w:w="554" w:type="pct"/>
            <w:vMerge w:val="continue"/>
            <w:tcBorders>
              <w:bottom w:val="single" w:color="auto" w:sz="12" w:space="0"/>
              <w:tl2br w:val="nil"/>
              <w:tr2bl w:val="nil"/>
            </w:tcBorders>
            <w:vAlign w:val="center"/>
          </w:tcPr>
          <w:p w14:paraId="0961EA5F">
            <w:pPr>
              <w:widowControl/>
              <w:spacing w:line="240" w:lineRule="auto"/>
              <w:jc w:val="center"/>
              <w:rPr>
                <w:b/>
                <w:kern w:val="0"/>
                <w:sz w:val="21"/>
                <w:szCs w:val="21"/>
                <w:highlight w:val="none"/>
              </w:rPr>
            </w:pPr>
          </w:p>
        </w:tc>
      </w:tr>
      <w:tr w14:paraId="28D5A9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tcBorders>
              <w:top w:val="single" w:color="auto" w:sz="12" w:space="0"/>
            </w:tcBorders>
            <w:vAlign w:val="center"/>
          </w:tcPr>
          <w:p w14:paraId="330A8050">
            <w:pPr>
              <w:spacing w:line="240" w:lineRule="auto"/>
              <w:jc w:val="center"/>
              <w:rPr>
                <w:kern w:val="0"/>
                <w:sz w:val="21"/>
                <w:szCs w:val="21"/>
                <w:highlight w:val="none"/>
              </w:rPr>
            </w:pPr>
            <w:r>
              <w:rPr>
                <w:rFonts w:hint="eastAsia"/>
                <w:sz w:val="21"/>
                <w:szCs w:val="21"/>
                <w:highlight w:val="none"/>
              </w:rPr>
              <w:t>HH</w:t>
            </w:r>
            <w:r>
              <w:rPr>
                <w:sz w:val="21"/>
                <w:szCs w:val="21"/>
                <w:highlight w:val="none"/>
              </w:rPr>
              <w:t>-W1</w:t>
            </w:r>
          </w:p>
        </w:tc>
        <w:tc>
          <w:tcPr>
            <w:tcW w:w="763" w:type="pct"/>
            <w:tcBorders>
              <w:top w:val="single" w:color="auto" w:sz="12" w:space="0"/>
            </w:tcBorders>
            <w:vAlign w:val="center"/>
          </w:tcPr>
          <w:p w14:paraId="622816AB">
            <w:pPr>
              <w:spacing w:line="240" w:lineRule="auto"/>
              <w:jc w:val="center"/>
              <w:rPr>
                <w:kern w:val="0"/>
                <w:sz w:val="21"/>
                <w:szCs w:val="21"/>
                <w:highlight w:val="none"/>
              </w:rPr>
            </w:pPr>
            <w:r>
              <w:rPr>
                <w:rFonts w:hint="eastAsia"/>
                <w:sz w:val="21"/>
                <w:szCs w:val="21"/>
                <w:highlight w:val="none"/>
              </w:rPr>
              <w:t>/</w:t>
            </w:r>
          </w:p>
        </w:tc>
        <w:tc>
          <w:tcPr>
            <w:tcW w:w="623" w:type="pct"/>
            <w:tcBorders>
              <w:top w:val="single" w:color="auto" w:sz="12" w:space="0"/>
            </w:tcBorders>
            <w:vAlign w:val="center"/>
          </w:tcPr>
          <w:p w14:paraId="7C79AE67">
            <w:pPr>
              <w:spacing w:line="240" w:lineRule="auto"/>
              <w:jc w:val="center"/>
              <w:rPr>
                <w:bCs/>
                <w:color w:val="000000"/>
                <w:kern w:val="0"/>
                <w:sz w:val="21"/>
                <w:szCs w:val="21"/>
                <w:highlight w:val="none"/>
              </w:rPr>
            </w:pPr>
            <w:r>
              <w:rPr>
                <w:rFonts w:hint="eastAsia"/>
                <w:sz w:val="21"/>
                <w:szCs w:val="21"/>
                <w:highlight w:val="none"/>
              </w:rPr>
              <w:t xml:space="preserve">115.053361 </w:t>
            </w:r>
          </w:p>
        </w:tc>
        <w:tc>
          <w:tcPr>
            <w:tcW w:w="568" w:type="pct"/>
            <w:tcBorders>
              <w:top w:val="single" w:color="auto" w:sz="12" w:space="0"/>
            </w:tcBorders>
            <w:vAlign w:val="center"/>
          </w:tcPr>
          <w:p w14:paraId="092D8BDF">
            <w:pPr>
              <w:spacing w:line="240" w:lineRule="auto"/>
              <w:jc w:val="center"/>
              <w:rPr>
                <w:bCs/>
                <w:color w:val="000000"/>
                <w:kern w:val="0"/>
                <w:sz w:val="21"/>
                <w:szCs w:val="21"/>
                <w:highlight w:val="none"/>
              </w:rPr>
            </w:pPr>
            <w:r>
              <w:rPr>
                <w:rFonts w:hint="eastAsia"/>
                <w:sz w:val="21"/>
                <w:szCs w:val="21"/>
                <w:highlight w:val="none"/>
              </w:rPr>
              <w:t xml:space="preserve">30.255393 </w:t>
            </w:r>
          </w:p>
        </w:tc>
        <w:tc>
          <w:tcPr>
            <w:tcW w:w="415" w:type="pct"/>
            <w:tcBorders>
              <w:top w:val="single" w:color="auto" w:sz="12" w:space="0"/>
            </w:tcBorders>
            <w:vAlign w:val="center"/>
          </w:tcPr>
          <w:p w14:paraId="33FC2CB1">
            <w:pPr>
              <w:spacing w:line="240" w:lineRule="auto"/>
              <w:jc w:val="center"/>
              <w:rPr>
                <w:sz w:val="21"/>
                <w:szCs w:val="21"/>
                <w:highlight w:val="none"/>
              </w:rPr>
            </w:pPr>
            <w:r>
              <w:rPr>
                <w:rFonts w:hint="eastAsia"/>
                <w:sz w:val="21"/>
                <w:szCs w:val="21"/>
                <w:highlight w:val="none"/>
              </w:rPr>
              <w:t>6.0</w:t>
            </w:r>
          </w:p>
        </w:tc>
        <w:tc>
          <w:tcPr>
            <w:tcW w:w="491" w:type="pct"/>
            <w:tcBorders>
              <w:top w:val="single" w:color="auto" w:sz="12" w:space="0"/>
            </w:tcBorders>
            <w:vAlign w:val="center"/>
          </w:tcPr>
          <w:p w14:paraId="42F14D0E">
            <w:pPr>
              <w:spacing w:line="240" w:lineRule="auto"/>
              <w:jc w:val="center"/>
              <w:rPr>
                <w:sz w:val="21"/>
                <w:szCs w:val="21"/>
                <w:highlight w:val="none"/>
              </w:rPr>
            </w:pPr>
            <w:r>
              <w:rPr>
                <w:rFonts w:hint="eastAsia"/>
                <w:sz w:val="21"/>
                <w:szCs w:val="21"/>
                <w:highlight w:val="none"/>
              </w:rPr>
              <w:t>3.5</w:t>
            </w:r>
          </w:p>
        </w:tc>
        <w:tc>
          <w:tcPr>
            <w:tcW w:w="504" w:type="pct"/>
            <w:tcBorders>
              <w:top w:val="single" w:color="auto" w:sz="12" w:space="0"/>
            </w:tcBorders>
            <w:vAlign w:val="center"/>
          </w:tcPr>
          <w:p w14:paraId="322E43A6">
            <w:pPr>
              <w:widowControl/>
              <w:spacing w:line="240" w:lineRule="auto"/>
              <w:jc w:val="center"/>
              <w:rPr>
                <w:bCs/>
                <w:kern w:val="0"/>
                <w:sz w:val="21"/>
                <w:szCs w:val="21"/>
                <w:highlight w:val="none"/>
              </w:rPr>
            </w:pPr>
            <w:r>
              <w:rPr>
                <w:rFonts w:hint="eastAsia"/>
                <w:bCs/>
                <w:color w:val="000000"/>
                <w:kern w:val="0"/>
                <w:sz w:val="21"/>
                <w:szCs w:val="21"/>
                <w:highlight w:val="none"/>
              </w:rPr>
              <w:t>5.0</w:t>
            </w:r>
          </w:p>
        </w:tc>
        <w:tc>
          <w:tcPr>
            <w:tcW w:w="554" w:type="pct"/>
            <w:tcBorders>
              <w:top w:val="single" w:color="auto" w:sz="12" w:space="0"/>
            </w:tcBorders>
            <w:vAlign w:val="center"/>
          </w:tcPr>
          <w:p w14:paraId="317C6DD1">
            <w:pPr>
              <w:widowControl/>
              <w:spacing w:line="240" w:lineRule="auto"/>
              <w:jc w:val="center"/>
              <w:rPr>
                <w:rFonts w:hint="default" w:eastAsia="宋体"/>
                <w:color w:val="000000"/>
                <w:kern w:val="0"/>
                <w:sz w:val="21"/>
                <w:szCs w:val="21"/>
                <w:highlight w:val="none"/>
                <w:lang w:val="en-US" w:eastAsia="zh-CN"/>
              </w:rPr>
            </w:pPr>
            <w:r>
              <w:rPr>
                <w:rFonts w:hint="eastAsia"/>
                <w:color w:val="000000"/>
                <w:kern w:val="0"/>
                <w:sz w:val="21"/>
                <w:szCs w:val="21"/>
                <w:highlight w:val="none"/>
                <w:lang w:val="en-US" w:eastAsia="zh-CN"/>
              </w:rPr>
              <w:t>3.0~5.5</w:t>
            </w:r>
          </w:p>
        </w:tc>
        <w:tc>
          <w:tcPr>
            <w:tcW w:w="554" w:type="pct"/>
            <w:tcBorders>
              <w:top w:val="single" w:color="auto" w:sz="12" w:space="0"/>
            </w:tcBorders>
            <w:vAlign w:val="center"/>
          </w:tcPr>
          <w:p w14:paraId="00C01079">
            <w:pPr>
              <w:widowControl/>
              <w:spacing w:line="240" w:lineRule="auto"/>
              <w:jc w:val="center"/>
              <w:rPr>
                <w:kern w:val="0"/>
                <w:sz w:val="21"/>
                <w:szCs w:val="21"/>
                <w:highlight w:val="none"/>
              </w:rPr>
            </w:pPr>
            <w:r>
              <w:rPr>
                <w:color w:val="000000"/>
                <w:kern w:val="0"/>
                <w:sz w:val="21"/>
                <w:szCs w:val="21"/>
                <w:highlight w:val="none"/>
              </w:rPr>
              <w:t>潜水</w:t>
            </w:r>
          </w:p>
        </w:tc>
      </w:tr>
      <w:tr w14:paraId="7161FE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5" w:type="pct"/>
            <w:vAlign w:val="center"/>
          </w:tcPr>
          <w:p w14:paraId="0B61E93F">
            <w:pPr>
              <w:spacing w:line="240" w:lineRule="auto"/>
              <w:jc w:val="center"/>
              <w:rPr>
                <w:kern w:val="0"/>
                <w:sz w:val="21"/>
                <w:szCs w:val="21"/>
                <w:highlight w:val="none"/>
              </w:rPr>
            </w:pPr>
            <w:r>
              <w:rPr>
                <w:rFonts w:hint="eastAsia"/>
                <w:sz w:val="21"/>
                <w:szCs w:val="21"/>
                <w:highlight w:val="none"/>
              </w:rPr>
              <w:t>HH</w:t>
            </w:r>
            <w:r>
              <w:rPr>
                <w:sz w:val="21"/>
                <w:szCs w:val="21"/>
                <w:highlight w:val="none"/>
              </w:rPr>
              <w:t xml:space="preserve"> -W2</w:t>
            </w:r>
          </w:p>
        </w:tc>
        <w:tc>
          <w:tcPr>
            <w:tcW w:w="763" w:type="pct"/>
            <w:vAlign w:val="center"/>
          </w:tcPr>
          <w:p w14:paraId="668BE9BD">
            <w:pPr>
              <w:spacing w:line="240" w:lineRule="auto"/>
              <w:jc w:val="center"/>
              <w:rPr>
                <w:kern w:val="0"/>
                <w:sz w:val="21"/>
                <w:szCs w:val="21"/>
                <w:highlight w:val="none"/>
              </w:rPr>
            </w:pPr>
            <w:r>
              <w:rPr>
                <w:rFonts w:hint="eastAsia"/>
                <w:sz w:val="21"/>
                <w:szCs w:val="21"/>
                <w:highlight w:val="none"/>
              </w:rPr>
              <w:t>HH-JJ-1</w:t>
            </w:r>
          </w:p>
        </w:tc>
        <w:tc>
          <w:tcPr>
            <w:tcW w:w="623" w:type="pct"/>
            <w:vAlign w:val="center"/>
          </w:tcPr>
          <w:p w14:paraId="716DB6D1">
            <w:pPr>
              <w:spacing w:line="240" w:lineRule="auto"/>
              <w:jc w:val="center"/>
              <w:rPr>
                <w:bCs/>
                <w:color w:val="000000"/>
                <w:kern w:val="0"/>
                <w:sz w:val="21"/>
                <w:szCs w:val="21"/>
                <w:highlight w:val="none"/>
              </w:rPr>
            </w:pPr>
            <w:r>
              <w:rPr>
                <w:rFonts w:hint="eastAsia"/>
                <w:sz w:val="21"/>
                <w:szCs w:val="21"/>
                <w:highlight w:val="none"/>
              </w:rPr>
              <w:t xml:space="preserve">115.032402 </w:t>
            </w:r>
          </w:p>
        </w:tc>
        <w:tc>
          <w:tcPr>
            <w:tcW w:w="568" w:type="pct"/>
            <w:vAlign w:val="center"/>
          </w:tcPr>
          <w:p w14:paraId="1C71F4E9">
            <w:pPr>
              <w:spacing w:line="240" w:lineRule="auto"/>
              <w:jc w:val="center"/>
              <w:rPr>
                <w:bCs/>
                <w:color w:val="000000"/>
                <w:kern w:val="0"/>
                <w:sz w:val="21"/>
                <w:szCs w:val="21"/>
                <w:highlight w:val="none"/>
              </w:rPr>
            </w:pPr>
            <w:r>
              <w:rPr>
                <w:rFonts w:hint="eastAsia"/>
                <w:sz w:val="21"/>
                <w:szCs w:val="21"/>
                <w:highlight w:val="none"/>
              </w:rPr>
              <w:t xml:space="preserve">30.275830 </w:t>
            </w:r>
          </w:p>
        </w:tc>
        <w:tc>
          <w:tcPr>
            <w:tcW w:w="415" w:type="pct"/>
            <w:vAlign w:val="center"/>
          </w:tcPr>
          <w:p w14:paraId="573C74E8">
            <w:pPr>
              <w:spacing w:line="240" w:lineRule="auto"/>
              <w:jc w:val="center"/>
              <w:rPr>
                <w:sz w:val="21"/>
                <w:szCs w:val="21"/>
                <w:highlight w:val="none"/>
              </w:rPr>
            </w:pPr>
            <w:r>
              <w:rPr>
                <w:rFonts w:hint="eastAsia"/>
                <w:sz w:val="21"/>
                <w:szCs w:val="21"/>
                <w:highlight w:val="none"/>
              </w:rPr>
              <w:t>8.0</w:t>
            </w:r>
          </w:p>
        </w:tc>
        <w:tc>
          <w:tcPr>
            <w:tcW w:w="491" w:type="pct"/>
            <w:vAlign w:val="center"/>
          </w:tcPr>
          <w:p w14:paraId="798B2F85">
            <w:pPr>
              <w:spacing w:line="240" w:lineRule="auto"/>
              <w:jc w:val="center"/>
              <w:rPr>
                <w:sz w:val="21"/>
                <w:szCs w:val="21"/>
                <w:highlight w:val="none"/>
              </w:rPr>
            </w:pPr>
            <w:r>
              <w:rPr>
                <w:rFonts w:hint="eastAsia"/>
                <w:sz w:val="21"/>
                <w:szCs w:val="21"/>
                <w:highlight w:val="none"/>
              </w:rPr>
              <w:t>6.0</w:t>
            </w:r>
          </w:p>
        </w:tc>
        <w:tc>
          <w:tcPr>
            <w:tcW w:w="504" w:type="pct"/>
            <w:vAlign w:val="center"/>
          </w:tcPr>
          <w:p w14:paraId="66D6BDDB">
            <w:pPr>
              <w:widowControl/>
              <w:spacing w:line="240" w:lineRule="auto"/>
              <w:jc w:val="center"/>
              <w:rPr>
                <w:color w:val="000000"/>
                <w:kern w:val="0"/>
                <w:sz w:val="21"/>
                <w:szCs w:val="21"/>
                <w:highlight w:val="none"/>
              </w:rPr>
            </w:pPr>
            <w:r>
              <w:rPr>
                <w:rFonts w:hint="eastAsia"/>
                <w:bCs/>
                <w:color w:val="000000"/>
                <w:kern w:val="0"/>
                <w:sz w:val="21"/>
                <w:szCs w:val="21"/>
                <w:highlight w:val="none"/>
              </w:rPr>
              <w:t>2.0</w:t>
            </w:r>
          </w:p>
        </w:tc>
        <w:tc>
          <w:tcPr>
            <w:tcW w:w="554" w:type="pct"/>
            <w:vAlign w:val="center"/>
          </w:tcPr>
          <w:p w14:paraId="47AD9F76">
            <w:pPr>
              <w:widowControl/>
              <w:spacing w:line="240" w:lineRule="auto"/>
              <w:jc w:val="center"/>
              <w:rPr>
                <w:rFonts w:hint="default" w:eastAsia="宋体"/>
                <w:color w:val="000000"/>
                <w:kern w:val="0"/>
                <w:sz w:val="21"/>
                <w:szCs w:val="21"/>
                <w:highlight w:val="none"/>
                <w:lang w:val="en-US" w:eastAsia="zh-CN"/>
              </w:rPr>
            </w:pPr>
            <w:r>
              <w:rPr>
                <w:rFonts w:hint="eastAsia"/>
                <w:color w:val="000000"/>
                <w:kern w:val="0"/>
                <w:sz w:val="21"/>
                <w:szCs w:val="21"/>
                <w:highlight w:val="none"/>
                <w:lang w:val="en-US" w:eastAsia="zh-CN"/>
              </w:rPr>
              <w:t>5.0~7.5</w:t>
            </w:r>
          </w:p>
        </w:tc>
        <w:tc>
          <w:tcPr>
            <w:tcW w:w="554" w:type="pct"/>
            <w:vAlign w:val="center"/>
          </w:tcPr>
          <w:p w14:paraId="5DFF65A2">
            <w:pPr>
              <w:widowControl/>
              <w:spacing w:line="240" w:lineRule="auto"/>
              <w:jc w:val="center"/>
              <w:rPr>
                <w:color w:val="000000"/>
                <w:kern w:val="0"/>
                <w:sz w:val="21"/>
                <w:szCs w:val="21"/>
                <w:highlight w:val="none"/>
              </w:rPr>
            </w:pPr>
            <w:r>
              <w:rPr>
                <w:color w:val="000000"/>
                <w:kern w:val="0"/>
                <w:sz w:val="21"/>
                <w:szCs w:val="21"/>
                <w:highlight w:val="none"/>
              </w:rPr>
              <w:t>潜水</w:t>
            </w:r>
          </w:p>
        </w:tc>
      </w:tr>
    </w:tbl>
    <w:p w14:paraId="0F5115D7">
      <w:pPr>
        <w:widowControl/>
        <w:spacing w:line="240" w:lineRule="auto"/>
        <w:rPr>
          <w:b/>
          <w:kern w:val="0"/>
          <w:sz w:val="18"/>
          <w:szCs w:val="18"/>
          <w:highlight w:val="none"/>
        </w:rPr>
      </w:pPr>
      <w:r>
        <w:rPr>
          <w:b/>
          <w:kern w:val="0"/>
          <w:sz w:val="18"/>
          <w:szCs w:val="18"/>
          <w:highlight w:val="none"/>
        </w:rPr>
        <w:t>备注：①初见水位和稳定水位均为距离地面的距离。</w:t>
      </w:r>
    </w:p>
    <w:p w14:paraId="4AFF5B6A">
      <w:pPr>
        <w:pStyle w:val="4"/>
        <w:tabs>
          <w:tab w:val="left" w:leader="dot" w:pos="0"/>
          <w:tab w:val="clear" w:pos="425"/>
        </w:tabs>
        <w:rPr>
          <w:highlight w:val="none"/>
        </w:rPr>
      </w:pPr>
      <w:bookmarkStart w:id="32" w:name="_Toc26189"/>
      <w:r>
        <w:rPr>
          <w:highlight w:val="none"/>
        </w:rPr>
        <w:t>实验室分析</w:t>
      </w:r>
      <w:bookmarkEnd w:id="32"/>
    </w:p>
    <w:p w14:paraId="3FDA0D7A">
      <w:pPr>
        <w:ind w:left="1" w:firstLine="480" w:firstLineChars="200"/>
        <w:rPr>
          <w:highlight w:val="none"/>
        </w:rPr>
      </w:pPr>
      <w:r>
        <w:rPr>
          <w:highlight w:val="none"/>
        </w:rPr>
        <w:t>本次调查共送检</w:t>
      </w:r>
      <w:r>
        <w:rPr>
          <w:rFonts w:hint="eastAsia"/>
          <w:highlight w:val="none"/>
        </w:rPr>
        <w:t>11个</w:t>
      </w:r>
      <w:r>
        <w:rPr>
          <w:highlight w:val="none"/>
        </w:rPr>
        <w:t>土壤样品、1个平行盲样和</w:t>
      </w:r>
      <w:r>
        <w:rPr>
          <w:rFonts w:hint="eastAsia"/>
          <w:color w:val="000000"/>
          <w:kern w:val="0"/>
          <w:highlight w:val="none"/>
        </w:rPr>
        <w:t>2</w:t>
      </w:r>
      <w:r>
        <w:rPr>
          <w:color w:val="000000"/>
          <w:kern w:val="0"/>
          <w:highlight w:val="none"/>
        </w:rPr>
        <w:t>个运输空白样</w:t>
      </w:r>
      <w:r>
        <w:rPr>
          <w:rFonts w:hint="eastAsia"/>
          <w:color w:val="000000"/>
          <w:kern w:val="0"/>
          <w:highlight w:val="none"/>
          <w:lang w:eastAsia="zh-CN"/>
        </w:rPr>
        <w:t>，共计</w:t>
      </w:r>
      <w:r>
        <w:rPr>
          <w:rFonts w:hint="eastAsia"/>
          <w:color w:val="000000"/>
          <w:kern w:val="0"/>
          <w:highlight w:val="none"/>
          <w:lang w:val="en-US" w:eastAsia="zh-CN"/>
        </w:rPr>
        <w:t>14个土壤样品</w:t>
      </w:r>
      <w:r>
        <w:rPr>
          <w:highlight w:val="none"/>
        </w:rPr>
        <w:t>，土壤样品中所有铬（六价）测试工作委托第三方实验室武汉仲联诚鉴检测技术有限公司承担，其余测试项目均委托苏伊士环境检测技术（上海）有限公司</w:t>
      </w:r>
      <w:r>
        <w:rPr>
          <w:rFonts w:hint="eastAsia"/>
          <w:highlight w:val="none"/>
        </w:rPr>
        <w:t>北京</w:t>
      </w:r>
      <w:r>
        <w:rPr>
          <w:highlight w:val="none"/>
        </w:rPr>
        <w:t>分公司承担；</w:t>
      </w:r>
      <w:r>
        <w:rPr>
          <w:rFonts w:hint="eastAsia"/>
          <w:highlight w:val="none"/>
          <w:lang w:val="en-US" w:eastAsia="zh-CN"/>
        </w:rPr>
        <w:t>2个</w:t>
      </w:r>
      <w:r>
        <w:rPr>
          <w:highlight w:val="none"/>
        </w:rPr>
        <w:t>地下水样品均委托武汉仲联诚鉴检测技术有限公司承担。</w:t>
      </w:r>
    </w:p>
    <w:p w14:paraId="09C2FCC7">
      <w:pPr>
        <w:pStyle w:val="5"/>
        <w:tabs>
          <w:tab w:val="left" w:pos="425"/>
        </w:tabs>
        <w:spacing w:before="120"/>
        <w:rPr>
          <w:bCs w:val="0"/>
          <w:highlight w:val="none"/>
        </w:rPr>
      </w:pPr>
      <w:r>
        <w:rPr>
          <w:bCs w:val="0"/>
          <w:highlight w:val="none"/>
        </w:rPr>
        <w:t>检测单位介绍</w:t>
      </w:r>
    </w:p>
    <w:p w14:paraId="5B459E7D">
      <w:pPr>
        <w:ind w:left="1" w:firstLine="480" w:firstLineChars="200"/>
        <w:rPr>
          <w:highlight w:val="none"/>
        </w:rPr>
      </w:pPr>
      <w:r>
        <w:rPr>
          <w:highlight w:val="none"/>
        </w:rPr>
        <w:t>委托开展样品测试的第三方检测单位（苏伊士环境检测技术（上海）有限公司北京分公司、武汉仲联诚鉴检测技术有限公司均具有CMA计量认证，可提供现场采样以及现场监测服务。</w:t>
      </w:r>
    </w:p>
    <w:p w14:paraId="1A3F7453">
      <w:pPr>
        <w:ind w:left="1" w:firstLine="480" w:firstLineChars="200"/>
        <w:rPr>
          <w:highlight w:val="none"/>
        </w:rPr>
      </w:pPr>
      <w:r>
        <w:rPr>
          <w:highlight w:val="none"/>
        </w:rPr>
        <w:t>检测单位资质证书见附件2。</w:t>
      </w:r>
    </w:p>
    <w:p w14:paraId="2779693C">
      <w:pPr>
        <w:pStyle w:val="5"/>
        <w:tabs>
          <w:tab w:val="left" w:pos="425"/>
        </w:tabs>
        <w:spacing w:before="120"/>
        <w:rPr>
          <w:highlight w:val="none"/>
        </w:rPr>
      </w:pPr>
      <w:r>
        <w:rPr>
          <w:highlight w:val="none"/>
        </w:rPr>
        <w:t>监测分析方法</w:t>
      </w:r>
    </w:p>
    <w:p w14:paraId="5C224F12">
      <w:pPr>
        <w:ind w:left="1" w:firstLine="480" w:firstLineChars="200"/>
        <w:rPr>
          <w:highlight w:val="none"/>
        </w:rPr>
      </w:pPr>
      <w:r>
        <w:rPr>
          <w:highlight w:val="none"/>
        </w:rPr>
        <w:t>土壤样品各检测指标检测方法和检出限详见表4-4-1。</w:t>
      </w:r>
    </w:p>
    <w:p w14:paraId="353B6407">
      <w:pPr>
        <w:ind w:left="1" w:firstLine="480" w:firstLineChars="200"/>
        <w:rPr>
          <w:highlight w:val="none"/>
        </w:rPr>
      </w:pPr>
      <w:r>
        <w:rPr>
          <w:highlight w:val="none"/>
        </w:rPr>
        <w:t>地下水样品各检测指标检测方法和检出限详见表4-4-2。</w:t>
      </w:r>
    </w:p>
    <w:p w14:paraId="4D5CC8C1">
      <w:pPr>
        <w:spacing w:before="165" w:beforeLines="50" w:line="240" w:lineRule="auto"/>
        <w:jc w:val="center"/>
        <w:rPr>
          <w:rFonts w:eastAsia="黑体"/>
          <w:b/>
          <w:bCs/>
          <w:color w:val="000000"/>
          <w:highlight w:val="none"/>
        </w:rPr>
      </w:pPr>
      <w:r>
        <w:rPr>
          <w:rFonts w:eastAsia="黑体"/>
          <w:b/>
          <w:bCs/>
          <w:color w:val="000000"/>
          <w:highlight w:val="none"/>
        </w:rPr>
        <w:t>表4-4-1  土壤监测分析方法及检出限汇总</w:t>
      </w:r>
    </w:p>
    <w:tbl>
      <w:tblPr>
        <w:tblStyle w:val="21"/>
        <w:tblW w:w="97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5"/>
        <w:gridCol w:w="763"/>
        <w:gridCol w:w="1807"/>
        <w:gridCol w:w="3568"/>
        <w:gridCol w:w="1476"/>
        <w:gridCol w:w="1429"/>
      </w:tblGrid>
      <w:tr w14:paraId="332A36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atLeast"/>
          <w:tblHeader/>
          <w:jc w:val="center"/>
        </w:trPr>
        <w:tc>
          <w:tcPr>
            <w:tcW w:w="755" w:type="dxa"/>
            <w:tcBorders>
              <w:bottom w:val="single" w:color="000000" w:sz="4" w:space="0"/>
              <w:tl2br w:val="nil"/>
              <w:tr2bl w:val="nil"/>
            </w:tcBorders>
            <w:vAlign w:val="center"/>
          </w:tcPr>
          <w:p w14:paraId="45BCC840">
            <w:pPr>
              <w:overflowPunct w:val="0"/>
              <w:autoSpaceDE w:val="0"/>
              <w:autoSpaceDN w:val="0"/>
              <w:adjustRightInd w:val="0"/>
              <w:spacing w:line="240" w:lineRule="auto"/>
              <w:jc w:val="center"/>
              <w:textAlignment w:val="baseline"/>
              <w:rPr>
                <w:b/>
                <w:color w:val="000000"/>
                <w:sz w:val="21"/>
                <w:szCs w:val="21"/>
                <w:highlight w:val="none"/>
              </w:rPr>
            </w:pPr>
            <w:r>
              <w:rPr>
                <w:b/>
                <w:color w:val="000000"/>
                <w:sz w:val="21"/>
                <w:szCs w:val="21"/>
                <w:highlight w:val="none"/>
              </w:rPr>
              <w:t>类型</w:t>
            </w:r>
          </w:p>
        </w:tc>
        <w:tc>
          <w:tcPr>
            <w:tcW w:w="2570" w:type="dxa"/>
            <w:gridSpan w:val="2"/>
            <w:tcBorders>
              <w:bottom w:val="single" w:color="000000" w:sz="4" w:space="0"/>
              <w:tl2br w:val="nil"/>
              <w:tr2bl w:val="nil"/>
            </w:tcBorders>
            <w:vAlign w:val="center"/>
          </w:tcPr>
          <w:p w14:paraId="45C38518">
            <w:pPr>
              <w:overflowPunct w:val="0"/>
              <w:autoSpaceDE w:val="0"/>
              <w:autoSpaceDN w:val="0"/>
              <w:adjustRightInd w:val="0"/>
              <w:spacing w:line="240" w:lineRule="auto"/>
              <w:jc w:val="center"/>
              <w:textAlignment w:val="baseline"/>
              <w:rPr>
                <w:b/>
                <w:color w:val="000000"/>
                <w:sz w:val="21"/>
                <w:szCs w:val="21"/>
                <w:highlight w:val="none"/>
              </w:rPr>
            </w:pPr>
            <w:r>
              <w:rPr>
                <w:b/>
                <w:color w:val="000000"/>
                <w:sz w:val="21"/>
                <w:szCs w:val="21"/>
                <w:highlight w:val="none"/>
              </w:rPr>
              <w:t>监测污染指标</w:t>
            </w:r>
          </w:p>
        </w:tc>
        <w:tc>
          <w:tcPr>
            <w:tcW w:w="3568" w:type="dxa"/>
            <w:tcBorders>
              <w:bottom w:val="single" w:color="000000" w:sz="4" w:space="0"/>
              <w:tl2br w:val="nil"/>
              <w:tr2bl w:val="nil"/>
            </w:tcBorders>
            <w:vAlign w:val="center"/>
          </w:tcPr>
          <w:p w14:paraId="39409DAB">
            <w:pPr>
              <w:overflowPunct w:val="0"/>
              <w:autoSpaceDE w:val="0"/>
              <w:autoSpaceDN w:val="0"/>
              <w:adjustRightInd w:val="0"/>
              <w:spacing w:line="240" w:lineRule="auto"/>
              <w:jc w:val="center"/>
              <w:textAlignment w:val="baseline"/>
              <w:rPr>
                <w:b/>
                <w:color w:val="000000"/>
                <w:sz w:val="21"/>
                <w:szCs w:val="21"/>
                <w:highlight w:val="none"/>
              </w:rPr>
            </w:pPr>
            <w:r>
              <w:rPr>
                <w:b/>
                <w:color w:val="000000"/>
                <w:sz w:val="21"/>
                <w:szCs w:val="21"/>
                <w:highlight w:val="none"/>
              </w:rPr>
              <w:t>分析方法及依据</w:t>
            </w:r>
          </w:p>
        </w:tc>
        <w:tc>
          <w:tcPr>
            <w:tcW w:w="1476" w:type="dxa"/>
            <w:tcBorders>
              <w:bottom w:val="single" w:color="000000" w:sz="4" w:space="0"/>
              <w:tl2br w:val="nil"/>
              <w:tr2bl w:val="nil"/>
            </w:tcBorders>
            <w:vAlign w:val="center"/>
          </w:tcPr>
          <w:p w14:paraId="43F1580B">
            <w:pPr>
              <w:overflowPunct w:val="0"/>
              <w:autoSpaceDE w:val="0"/>
              <w:autoSpaceDN w:val="0"/>
              <w:adjustRightInd w:val="0"/>
              <w:spacing w:line="240" w:lineRule="auto"/>
              <w:jc w:val="center"/>
              <w:textAlignment w:val="baseline"/>
              <w:rPr>
                <w:b/>
                <w:color w:val="000000"/>
                <w:sz w:val="21"/>
                <w:szCs w:val="21"/>
                <w:highlight w:val="none"/>
              </w:rPr>
            </w:pPr>
            <w:r>
              <w:rPr>
                <w:b/>
                <w:color w:val="000000"/>
                <w:sz w:val="21"/>
                <w:szCs w:val="21"/>
                <w:highlight w:val="none"/>
              </w:rPr>
              <w:t>标准编号</w:t>
            </w:r>
          </w:p>
        </w:tc>
        <w:tc>
          <w:tcPr>
            <w:tcW w:w="1429" w:type="dxa"/>
            <w:tcBorders>
              <w:bottom w:val="single" w:color="000000" w:sz="4" w:space="0"/>
              <w:tl2br w:val="nil"/>
              <w:tr2bl w:val="nil"/>
            </w:tcBorders>
            <w:vAlign w:val="center"/>
          </w:tcPr>
          <w:p w14:paraId="12268A68">
            <w:pPr>
              <w:overflowPunct w:val="0"/>
              <w:autoSpaceDE w:val="0"/>
              <w:autoSpaceDN w:val="0"/>
              <w:adjustRightInd w:val="0"/>
              <w:spacing w:line="240" w:lineRule="auto"/>
              <w:jc w:val="center"/>
              <w:textAlignment w:val="baseline"/>
              <w:rPr>
                <w:b/>
                <w:color w:val="000000"/>
                <w:sz w:val="21"/>
                <w:szCs w:val="21"/>
                <w:highlight w:val="none"/>
              </w:rPr>
            </w:pPr>
            <w:r>
              <w:rPr>
                <w:b/>
                <w:color w:val="000000"/>
                <w:sz w:val="21"/>
                <w:szCs w:val="21"/>
                <w:highlight w:val="none"/>
              </w:rPr>
              <w:t>检出限</w:t>
            </w:r>
            <w:r>
              <w:rPr>
                <w:b/>
                <w:color w:val="000000"/>
                <w:kern w:val="0"/>
                <w:sz w:val="21"/>
                <w:szCs w:val="21"/>
                <w:highlight w:val="none"/>
              </w:rPr>
              <w:t>（mg/kg）</w:t>
            </w:r>
          </w:p>
        </w:tc>
      </w:tr>
      <w:tr w14:paraId="4DF0CC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55" w:type="dxa"/>
            <w:vMerge w:val="restart"/>
            <w:tcBorders>
              <w:top w:val="single" w:color="000000" w:sz="4" w:space="0"/>
              <w:tl2br w:val="nil"/>
              <w:tr2bl w:val="nil"/>
            </w:tcBorders>
            <w:vAlign w:val="center"/>
          </w:tcPr>
          <w:p w14:paraId="47A030AD">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土壤</w:t>
            </w:r>
          </w:p>
        </w:tc>
        <w:tc>
          <w:tcPr>
            <w:tcW w:w="2570" w:type="dxa"/>
            <w:gridSpan w:val="2"/>
            <w:tcBorders>
              <w:top w:val="single" w:color="000000" w:sz="4" w:space="0"/>
              <w:tl2br w:val="nil"/>
              <w:tr2bl w:val="nil"/>
            </w:tcBorders>
            <w:vAlign w:val="center"/>
          </w:tcPr>
          <w:p w14:paraId="232ED79C">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pH值</w:t>
            </w:r>
          </w:p>
        </w:tc>
        <w:tc>
          <w:tcPr>
            <w:tcW w:w="3568" w:type="dxa"/>
            <w:tcBorders>
              <w:top w:val="single" w:color="000000" w:sz="4" w:space="0"/>
              <w:tl2br w:val="nil"/>
              <w:tr2bl w:val="nil"/>
            </w:tcBorders>
            <w:vAlign w:val="center"/>
          </w:tcPr>
          <w:p w14:paraId="254801B8">
            <w:pPr>
              <w:widowControl/>
              <w:spacing w:line="240" w:lineRule="auto"/>
              <w:jc w:val="center"/>
              <w:rPr>
                <w:color w:val="000000"/>
                <w:kern w:val="0"/>
                <w:sz w:val="21"/>
                <w:szCs w:val="21"/>
                <w:highlight w:val="none"/>
              </w:rPr>
            </w:pPr>
            <w:r>
              <w:rPr>
                <w:color w:val="000000"/>
                <w:kern w:val="0"/>
                <w:sz w:val="21"/>
                <w:szCs w:val="21"/>
                <w:highlight w:val="none"/>
              </w:rPr>
              <w:t>土壤 pH值的测定 电位法</w:t>
            </w:r>
          </w:p>
        </w:tc>
        <w:tc>
          <w:tcPr>
            <w:tcW w:w="1476" w:type="dxa"/>
            <w:tcBorders>
              <w:top w:val="single" w:color="000000" w:sz="4" w:space="0"/>
              <w:tl2br w:val="nil"/>
              <w:tr2bl w:val="nil"/>
            </w:tcBorders>
            <w:vAlign w:val="center"/>
          </w:tcPr>
          <w:p w14:paraId="38806FAD">
            <w:pPr>
              <w:widowControl/>
              <w:spacing w:line="240" w:lineRule="auto"/>
              <w:jc w:val="center"/>
              <w:rPr>
                <w:color w:val="000000"/>
                <w:kern w:val="0"/>
                <w:sz w:val="21"/>
                <w:szCs w:val="21"/>
                <w:highlight w:val="none"/>
              </w:rPr>
            </w:pPr>
            <w:r>
              <w:rPr>
                <w:color w:val="000000"/>
                <w:kern w:val="0"/>
                <w:sz w:val="21"/>
                <w:szCs w:val="21"/>
                <w:highlight w:val="none"/>
              </w:rPr>
              <w:t>HJ 962-2018</w:t>
            </w:r>
          </w:p>
        </w:tc>
        <w:tc>
          <w:tcPr>
            <w:tcW w:w="1429" w:type="dxa"/>
            <w:tcBorders>
              <w:top w:val="single" w:color="000000" w:sz="4" w:space="0"/>
              <w:tl2br w:val="nil"/>
              <w:tr2bl w:val="nil"/>
            </w:tcBorders>
            <w:vAlign w:val="center"/>
          </w:tcPr>
          <w:p w14:paraId="1D952474">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0.01（无量纲）</w:t>
            </w:r>
          </w:p>
        </w:tc>
      </w:tr>
      <w:tr w14:paraId="18172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55" w:type="dxa"/>
            <w:vMerge w:val="continue"/>
            <w:tcBorders>
              <w:tl2br w:val="nil"/>
              <w:tr2bl w:val="nil"/>
            </w:tcBorders>
            <w:vAlign w:val="center"/>
          </w:tcPr>
          <w:p w14:paraId="22B5F3F5">
            <w:pPr>
              <w:overflowPunct w:val="0"/>
              <w:autoSpaceDE w:val="0"/>
              <w:autoSpaceDN w:val="0"/>
              <w:adjustRightInd w:val="0"/>
              <w:spacing w:line="240" w:lineRule="auto"/>
              <w:jc w:val="center"/>
              <w:textAlignment w:val="baseline"/>
              <w:rPr>
                <w:color w:val="000000"/>
                <w:sz w:val="21"/>
                <w:szCs w:val="21"/>
                <w:highlight w:val="none"/>
              </w:rPr>
            </w:pPr>
          </w:p>
        </w:tc>
        <w:tc>
          <w:tcPr>
            <w:tcW w:w="2570" w:type="dxa"/>
            <w:gridSpan w:val="2"/>
            <w:tcBorders>
              <w:tl2br w:val="nil"/>
              <w:tr2bl w:val="nil"/>
            </w:tcBorders>
            <w:vAlign w:val="center"/>
          </w:tcPr>
          <w:p w14:paraId="447B3EE2">
            <w:pPr>
              <w:overflowPunct w:val="0"/>
              <w:autoSpaceDE w:val="0"/>
              <w:autoSpaceDN w:val="0"/>
              <w:adjustRightInd w:val="0"/>
              <w:spacing w:line="240" w:lineRule="auto"/>
              <w:jc w:val="center"/>
              <w:textAlignment w:val="baseline"/>
              <w:rPr>
                <w:color w:val="000000"/>
                <w:sz w:val="21"/>
                <w:szCs w:val="21"/>
                <w:highlight w:val="none"/>
              </w:rPr>
            </w:pPr>
            <w:r>
              <w:rPr>
                <w:rFonts w:hint="eastAsia"/>
                <w:color w:val="000000"/>
                <w:sz w:val="21"/>
                <w:szCs w:val="21"/>
                <w:highlight w:val="none"/>
              </w:rPr>
              <w:t>总氟化物</w:t>
            </w:r>
          </w:p>
        </w:tc>
        <w:tc>
          <w:tcPr>
            <w:tcW w:w="3568" w:type="dxa"/>
            <w:tcBorders>
              <w:tl2br w:val="nil"/>
              <w:tr2bl w:val="nil"/>
            </w:tcBorders>
            <w:vAlign w:val="center"/>
          </w:tcPr>
          <w:p w14:paraId="28C999D0">
            <w:pPr>
              <w:widowControl/>
              <w:spacing w:line="240" w:lineRule="auto"/>
              <w:jc w:val="center"/>
              <w:rPr>
                <w:color w:val="000000"/>
                <w:kern w:val="0"/>
                <w:sz w:val="21"/>
                <w:szCs w:val="21"/>
                <w:highlight w:val="none"/>
              </w:rPr>
            </w:pPr>
            <w:r>
              <w:rPr>
                <w:sz w:val="21"/>
                <w:szCs w:val="21"/>
                <w:highlight w:val="none"/>
              </w:rPr>
              <w:t>土壤 水溶性</w:t>
            </w:r>
            <w:r>
              <w:rPr>
                <w:rFonts w:hint="eastAsia"/>
                <w:sz w:val="21"/>
                <w:szCs w:val="21"/>
                <w:highlight w:val="none"/>
              </w:rPr>
              <w:t>总氟化物</w:t>
            </w:r>
            <w:r>
              <w:rPr>
                <w:sz w:val="21"/>
                <w:szCs w:val="21"/>
                <w:highlight w:val="none"/>
              </w:rPr>
              <w:t>和</w:t>
            </w:r>
            <w:r>
              <w:rPr>
                <w:rFonts w:hint="eastAsia"/>
                <w:sz w:val="21"/>
                <w:szCs w:val="21"/>
                <w:highlight w:val="none"/>
              </w:rPr>
              <w:t>总氟化物</w:t>
            </w:r>
            <w:r>
              <w:rPr>
                <w:sz w:val="21"/>
                <w:szCs w:val="21"/>
                <w:highlight w:val="none"/>
              </w:rPr>
              <w:t>的测定 离子选择电极法</w:t>
            </w:r>
          </w:p>
        </w:tc>
        <w:tc>
          <w:tcPr>
            <w:tcW w:w="1476" w:type="dxa"/>
            <w:tcBorders>
              <w:tl2br w:val="nil"/>
              <w:tr2bl w:val="nil"/>
            </w:tcBorders>
            <w:vAlign w:val="center"/>
          </w:tcPr>
          <w:p w14:paraId="105A9D17">
            <w:pPr>
              <w:widowControl/>
              <w:spacing w:line="240" w:lineRule="auto"/>
              <w:jc w:val="center"/>
              <w:rPr>
                <w:color w:val="000000"/>
                <w:kern w:val="0"/>
                <w:sz w:val="21"/>
                <w:szCs w:val="21"/>
                <w:highlight w:val="none"/>
              </w:rPr>
            </w:pPr>
            <w:r>
              <w:rPr>
                <w:sz w:val="21"/>
                <w:szCs w:val="21"/>
                <w:highlight w:val="none"/>
              </w:rPr>
              <w:t>HJ 873-2017</w:t>
            </w:r>
          </w:p>
        </w:tc>
        <w:tc>
          <w:tcPr>
            <w:tcW w:w="1429" w:type="dxa"/>
            <w:tcBorders>
              <w:tl2br w:val="nil"/>
              <w:tr2bl w:val="nil"/>
            </w:tcBorders>
            <w:vAlign w:val="center"/>
          </w:tcPr>
          <w:p w14:paraId="7755B130">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63</w:t>
            </w:r>
          </w:p>
        </w:tc>
      </w:tr>
      <w:tr w14:paraId="44450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55" w:type="dxa"/>
            <w:vMerge w:val="continue"/>
            <w:tcBorders>
              <w:tl2br w:val="nil"/>
              <w:tr2bl w:val="nil"/>
            </w:tcBorders>
            <w:vAlign w:val="center"/>
          </w:tcPr>
          <w:p w14:paraId="50274B15">
            <w:pPr>
              <w:widowControl/>
              <w:spacing w:line="240" w:lineRule="auto"/>
              <w:jc w:val="center"/>
              <w:rPr>
                <w:color w:val="000000"/>
                <w:sz w:val="21"/>
                <w:szCs w:val="21"/>
                <w:highlight w:val="none"/>
              </w:rPr>
            </w:pPr>
          </w:p>
        </w:tc>
        <w:tc>
          <w:tcPr>
            <w:tcW w:w="2570" w:type="dxa"/>
            <w:gridSpan w:val="2"/>
            <w:tcBorders>
              <w:tl2br w:val="nil"/>
              <w:tr2bl w:val="nil"/>
            </w:tcBorders>
            <w:vAlign w:val="center"/>
          </w:tcPr>
          <w:p w14:paraId="62DD851E">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铬（六价）</w:t>
            </w:r>
          </w:p>
        </w:tc>
        <w:tc>
          <w:tcPr>
            <w:tcW w:w="3568" w:type="dxa"/>
            <w:tcBorders>
              <w:tl2br w:val="nil"/>
              <w:tr2bl w:val="nil"/>
            </w:tcBorders>
            <w:vAlign w:val="center"/>
          </w:tcPr>
          <w:p w14:paraId="4793E58C">
            <w:pPr>
              <w:widowControl/>
              <w:spacing w:line="240" w:lineRule="auto"/>
              <w:jc w:val="center"/>
              <w:rPr>
                <w:color w:val="000000"/>
                <w:sz w:val="21"/>
                <w:szCs w:val="21"/>
                <w:highlight w:val="none"/>
              </w:rPr>
            </w:pPr>
            <w:r>
              <w:rPr>
                <w:color w:val="000000"/>
                <w:kern w:val="0"/>
                <w:sz w:val="21"/>
                <w:szCs w:val="21"/>
                <w:highlight w:val="none"/>
              </w:rPr>
              <w:t>土壤和沉积物 铬（六价）的测定 碱溶液提取-火焰原子吸收分光光度法</w:t>
            </w:r>
          </w:p>
        </w:tc>
        <w:tc>
          <w:tcPr>
            <w:tcW w:w="1476" w:type="dxa"/>
            <w:tcBorders>
              <w:tl2br w:val="nil"/>
              <w:tr2bl w:val="nil"/>
            </w:tcBorders>
            <w:vAlign w:val="center"/>
          </w:tcPr>
          <w:p w14:paraId="0E467BC5">
            <w:pPr>
              <w:widowControl/>
              <w:spacing w:line="240" w:lineRule="auto"/>
              <w:jc w:val="center"/>
              <w:rPr>
                <w:color w:val="000000"/>
                <w:sz w:val="21"/>
                <w:szCs w:val="21"/>
                <w:highlight w:val="none"/>
              </w:rPr>
            </w:pPr>
            <w:r>
              <w:rPr>
                <w:color w:val="000000"/>
                <w:kern w:val="0"/>
                <w:sz w:val="21"/>
                <w:szCs w:val="21"/>
                <w:highlight w:val="none"/>
              </w:rPr>
              <w:t xml:space="preserve">HJ 1082-2019 </w:t>
            </w:r>
          </w:p>
        </w:tc>
        <w:tc>
          <w:tcPr>
            <w:tcW w:w="1429" w:type="dxa"/>
            <w:tcBorders>
              <w:tl2br w:val="nil"/>
              <w:tr2bl w:val="nil"/>
            </w:tcBorders>
            <w:vAlign w:val="center"/>
          </w:tcPr>
          <w:p w14:paraId="6865C450">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0.5</w:t>
            </w:r>
          </w:p>
        </w:tc>
      </w:tr>
      <w:tr w14:paraId="1D721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5" w:type="dxa"/>
            <w:vMerge w:val="continue"/>
            <w:tcBorders>
              <w:tl2br w:val="nil"/>
              <w:tr2bl w:val="nil"/>
            </w:tcBorders>
            <w:vAlign w:val="center"/>
          </w:tcPr>
          <w:p w14:paraId="0D00E969">
            <w:pPr>
              <w:widowControl/>
              <w:spacing w:line="240" w:lineRule="auto"/>
              <w:jc w:val="center"/>
              <w:rPr>
                <w:color w:val="000000"/>
                <w:sz w:val="21"/>
                <w:szCs w:val="21"/>
                <w:highlight w:val="none"/>
              </w:rPr>
            </w:pPr>
          </w:p>
        </w:tc>
        <w:tc>
          <w:tcPr>
            <w:tcW w:w="2570" w:type="dxa"/>
            <w:gridSpan w:val="2"/>
            <w:tcBorders>
              <w:tl2br w:val="nil"/>
              <w:tr2bl w:val="nil"/>
            </w:tcBorders>
            <w:vAlign w:val="center"/>
          </w:tcPr>
          <w:p w14:paraId="00133B3A">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铅</w:t>
            </w:r>
          </w:p>
        </w:tc>
        <w:tc>
          <w:tcPr>
            <w:tcW w:w="3568" w:type="dxa"/>
            <w:vMerge w:val="restart"/>
            <w:tcBorders>
              <w:tl2br w:val="nil"/>
              <w:tr2bl w:val="nil"/>
            </w:tcBorders>
            <w:vAlign w:val="center"/>
          </w:tcPr>
          <w:p w14:paraId="1A410E61">
            <w:pPr>
              <w:widowControl/>
              <w:spacing w:line="240" w:lineRule="auto"/>
              <w:jc w:val="center"/>
              <w:rPr>
                <w:color w:val="000000"/>
                <w:kern w:val="0"/>
                <w:sz w:val="21"/>
                <w:szCs w:val="21"/>
                <w:highlight w:val="none"/>
              </w:rPr>
            </w:pPr>
            <w:r>
              <w:rPr>
                <w:color w:val="000000"/>
                <w:kern w:val="0"/>
                <w:sz w:val="21"/>
                <w:szCs w:val="21"/>
                <w:highlight w:val="none"/>
              </w:rPr>
              <w:t>土壤质量 铅、镉的测定 石墨炉原子吸收分光光度法</w:t>
            </w:r>
          </w:p>
        </w:tc>
        <w:tc>
          <w:tcPr>
            <w:tcW w:w="1476" w:type="dxa"/>
            <w:tcBorders>
              <w:tl2br w:val="nil"/>
              <w:tr2bl w:val="nil"/>
            </w:tcBorders>
            <w:vAlign w:val="center"/>
          </w:tcPr>
          <w:p w14:paraId="64564186">
            <w:pPr>
              <w:widowControl/>
              <w:spacing w:line="240" w:lineRule="auto"/>
              <w:jc w:val="center"/>
              <w:rPr>
                <w:color w:val="000000"/>
                <w:kern w:val="0"/>
                <w:sz w:val="21"/>
                <w:szCs w:val="21"/>
                <w:highlight w:val="none"/>
              </w:rPr>
            </w:pPr>
            <w:r>
              <w:rPr>
                <w:color w:val="000000"/>
                <w:kern w:val="0"/>
                <w:sz w:val="21"/>
                <w:szCs w:val="21"/>
                <w:highlight w:val="none"/>
              </w:rPr>
              <w:t>GB/T 17141-1997</w:t>
            </w:r>
          </w:p>
        </w:tc>
        <w:tc>
          <w:tcPr>
            <w:tcW w:w="1429" w:type="dxa"/>
            <w:tcBorders>
              <w:tl2br w:val="nil"/>
              <w:tr2bl w:val="nil"/>
            </w:tcBorders>
            <w:vAlign w:val="center"/>
          </w:tcPr>
          <w:p w14:paraId="69F7C524">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0.1</w:t>
            </w:r>
          </w:p>
        </w:tc>
      </w:tr>
      <w:tr w14:paraId="24E3E7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755" w:type="dxa"/>
            <w:vMerge w:val="continue"/>
            <w:tcBorders>
              <w:tl2br w:val="nil"/>
              <w:tr2bl w:val="nil"/>
            </w:tcBorders>
            <w:vAlign w:val="center"/>
          </w:tcPr>
          <w:p w14:paraId="41CBD555">
            <w:pPr>
              <w:widowControl/>
              <w:spacing w:line="240" w:lineRule="auto"/>
              <w:jc w:val="center"/>
              <w:rPr>
                <w:color w:val="000000"/>
                <w:sz w:val="21"/>
                <w:szCs w:val="21"/>
                <w:highlight w:val="none"/>
              </w:rPr>
            </w:pPr>
          </w:p>
        </w:tc>
        <w:tc>
          <w:tcPr>
            <w:tcW w:w="2570" w:type="dxa"/>
            <w:gridSpan w:val="2"/>
            <w:tcBorders>
              <w:tl2br w:val="nil"/>
              <w:tr2bl w:val="nil"/>
            </w:tcBorders>
            <w:vAlign w:val="center"/>
          </w:tcPr>
          <w:p w14:paraId="49455B8D">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镉</w:t>
            </w:r>
          </w:p>
        </w:tc>
        <w:tc>
          <w:tcPr>
            <w:tcW w:w="3568" w:type="dxa"/>
            <w:vMerge w:val="continue"/>
            <w:tcBorders>
              <w:tl2br w:val="nil"/>
              <w:tr2bl w:val="nil"/>
            </w:tcBorders>
            <w:vAlign w:val="center"/>
          </w:tcPr>
          <w:p w14:paraId="581615D5">
            <w:pPr>
              <w:widowControl/>
              <w:spacing w:line="240" w:lineRule="auto"/>
              <w:jc w:val="center"/>
              <w:rPr>
                <w:color w:val="000000"/>
                <w:kern w:val="0"/>
                <w:sz w:val="21"/>
                <w:szCs w:val="21"/>
                <w:highlight w:val="none"/>
              </w:rPr>
            </w:pPr>
          </w:p>
        </w:tc>
        <w:tc>
          <w:tcPr>
            <w:tcW w:w="1476" w:type="dxa"/>
            <w:tcBorders>
              <w:tl2br w:val="nil"/>
              <w:tr2bl w:val="nil"/>
            </w:tcBorders>
            <w:vAlign w:val="center"/>
          </w:tcPr>
          <w:p w14:paraId="40832BD5">
            <w:pPr>
              <w:widowControl/>
              <w:spacing w:line="240" w:lineRule="auto"/>
              <w:jc w:val="center"/>
              <w:rPr>
                <w:color w:val="000000"/>
                <w:kern w:val="0"/>
                <w:sz w:val="21"/>
                <w:szCs w:val="21"/>
                <w:highlight w:val="none"/>
              </w:rPr>
            </w:pPr>
            <w:r>
              <w:rPr>
                <w:color w:val="000000"/>
                <w:sz w:val="21"/>
                <w:szCs w:val="21"/>
                <w:highlight w:val="none"/>
              </w:rPr>
              <w:t>GB/T 17141-1997</w:t>
            </w:r>
          </w:p>
        </w:tc>
        <w:tc>
          <w:tcPr>
            <w:tcW w:w="1429" w:type="dxa"/>
            <w:tcBorders>
              <w:tl2br w:val="nil"/>
              <w:tr2bl w:val="nil"/>
            </w:tcBorders>
            <w:vAlign w:val="center"/>
          </w:tcPr>
          <w:p w14:paraId="1AFA934F">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0.01</w:t>
            </w:r>
          </w:p>
        </w:tc>
      </w:tr>
      <w:tr w14:paraId="4733FD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55" w:type="dxa"/>
            <w:vMerge w:val="continue"/>
            <w:tcBorders>
              <w:tl2br w:val="nil"/>
              <w:tr2bl w:val="nil"/>
            </w:tcBorders>
            <w:vAlign w:val="center"/>
          </w:tcPr>
          <w:p w14:paraId="0C8BB76C">
            <w:pPr>
              <w:widowControl/>
              <w:spacing w:line="240" w:lineRule="auto"/>
              <w:jc w:val="center"/>
              <w:rPr>
                <w:color w:val="000000"/>
                <w:sz w:val="21"/>
                <w:szCs w:val="21"/>
                <w:highlight w:val="none"/>
              </w:rPr>
            </w:pPr>
          </w:p>
        </w:tc>
        <w:tc>
          <w:tcPr>
            <w:tcW w:w="2570" w:type="dxa"/>
            <w:gridSpan w:val="2"/>
            <w:tcBorders>
              <w:tl2br w:val="nil"/>
              <w:tr2bl w:val="nil"/>
            </w:tcBorders>
            <w:vAlign w:val="center"/>
          </w:tcPr>
          <w:p w14:paraId="4DB7BA96">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铜</w:t>
            </w:r>
          </w:p>
        </w:tc>
        <w:tc>
          <w:tcPr>
            <w:tcW w:w="3568" w:type="dxa"/>
            <w:vMerge w:val="restart"/>
            <w:tcBorders>
              <w:tl2br w:val="nil"/>
              <w:tr2bl w:val="nil"/>
            </w:tcBorders>
            <w:vAlign w:val="center"/>
          </w:tcPr>
          <w:p w14:paraId="75FDBC1B">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土壤和沉积物 铜、锌、铅、镍、铬的测定 火焰原子吸收分光光度法</w:t>
            </w:r>
          </w:p>
        </w:tc>
        <w:tc>
          <w:tcPr>
            <w:tcW w:w="1476" w:type="dxa"/>
            <w:vMerge w:val="restart"/>
            <w:tcBorders>
              <w:tl2br w:val="nil"/>
              <w:tr2bl w:val="nil"/>
            </w:tcBorders>
            <w:vAlign w:val="center"/>
          </w:tcPr>
          <w:p w14:paraId="4A163E2B">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HJ 491-2019</w:t>
            </w:r>
          </w:p>
        </w:tc>
        <w:tc>
          <w:tcPr>
            <w:tcW w:w="1429" w:type="dxa"/>
            <w:tcBorders>
              <w:tl2br w:val="nil"/>
              <w:tr2bl w:val="nil"/>
            </w:tcBorders>
            <w:vAlign w:val="center"/>
          </w:tcPr>
          <w:p w14:paraId="34D135F8">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1</w:t>
            </w:r>
          </w:p>
        </w:tc>
      </w:tr>
      <w:tr w14:paraId="163699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55" w:type="dxa"/>
            <w:vMerge w:val="continue"/>
            <w:tcBorders>
              <w:tl2br w:val="nil"/>
              <w:tr2bl w:val="nil"/>
            </w:tcBorders>
            <w:vAlign w:val="center"/>
          </w:tcPr>
          <w:p w14:paraId="72E0C43E">
            <w:pPr>
              <w:widowControl/>
              <w:spacing w:line="240" w:lineRule="auto"/>
              <w:jc w:val="center"/>
              <w:rPr>
                <w:color w:val="000000"/>
                <w:sz w:val="21"/>
                <w:szCs w:val="21"/>
                <w:highlight w:val="none"/>
              </w:rPr>
            </w:pPr>
          </w:p>
        </w:tc>
        <w:tc>
          <w:tcPr>
            <w:tcW w:w="2570" w:type="dxa"/>
            <w:gridSpan w:val="2"/>
            <w:tcBorders>
              <w:tl2br w:val="nil"/>
              <w:tr2bl w:val="nil"/>
            </w:tcBorders>
            <w:vAlign w:val="center"/>
          </w:tcPr>
          <w:p w14:paraId="63CA6098">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铬</w:t>
            </w:r>
          </w:p>
        </w:tc>
        <w:tc>
          <w:tcPr>
            <w:tcW w:w="3568" w:type="dxa"/>
            <w:vMerge w:val="continue"/>
            <w:tcBorders>
              <w:tl2br w:val="nil"/>
              <w:tr2bl w:val="nil"/>
            </w:tcBorders>
            <w:vAlign w:val="center"/>
          </w:tcPr>
          <w:p w14:paraId="50AAACE5">
            <w:pPr>
              <w:overflowPunct w:val="0"/>
              <w:autoSpaceDE w:val="0"/>
              <w:autoSpaceDN w:val="0"/>
              <w:adjustRightInd w:val="0"/>
              <w:spacing w:line="240" w:lineRule="auto"/>
              <w:jc w:val="center"/>
              <w:textAlignment w:val="baseline"/>
              <w:rPr>
                <w:color w:val="000000"/>
                <w:sz w:val="21"/>
                <w:szCs w:val="21"/>
                <w:highlight w:val="none"/>
              </w:rPr>
            </w:pPr>
          </w:p>
        </w:tc>
        <w:tc>
          <w:tcPr>
            <w:tcW w:w="1476" w:type="dxa"/>
            <w:vMerge w:val="continue"/>
            <w:tcBorders>
              <w:tl2br w:val="nil"/>
              <w:tr2bl w:val="nil"/>
            </w:tcBorders>
            <w:vAlign w:val="center"/>
          </w:tcPr>
          <w:p w14:paraId="2762968D">
            <w:pPr>
              <w:overflowPunct w:val="0"/>
              <w:autoSpaceDE w:val="0"/>
              <w:autoSpaceDN w:val="0"/>
              <w:adjustRightInd w:val="0"/>
              <w:spacing w:line="240" w:lineRule="auto"/>
              <w:jc w:val="center"/>
              <w:textAlignment w:val="baseline"/>
              <w:rPr>
                <w:color w:val="000000"/>
                <w:sz w:val="21"/>
                <w:szCs w:val="21"/>
                <w:highlight w:val="none"/>
              </w:rPr>
            </w:pPr>
          </w:p>
        </w:tc>
        <w:tc>
          <w:tcPr>
            <w:tcW w:w="1429" w:type="dxa"/>
            <w:tcBorders>
              <w:tl2br w:val="nil"/>
              <w:tr2bl w:val="nil"/>
            </w:tcBorders>
            <w:vAlign w:val="center"/>
          </w:tcPr>
          <w:p w14:paraId="26E8D264">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4</w:t>
            </w:r>
          </w:p>
        </w:tc>
      </w:tr>
      <w:tr w14:paraId="535C17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55" w:type="dxa"/>
            <w:vMerge w:val="continue"/>
            <w:tcBorders>
              <w:tl2br w:val="nil"/>
              <w:tr2bl w:val="nil"/>
            </w:tcBorders>
            <w:vAlign w:val="center"/>
          </w:tcPr>
          <w:p w14:paraId="09E21CBC">
            <w:pPr>
              <w:widowControl/>
              <w:spacing w:line="240" w:lineRule="auto"/>
              <w:jc w:val="center"/>
              <w:rPr>
                <w:color w:val="000000"/>
                <w:sz w:val="21"/>
                <w:szCs w:val="21"/>
                <w:highlight w:val="none"/>
              </w:rPr>
            </w:pPr>
          </w:p>
        </w:tc>
        <w:tc>
          <w:tcPr>
            <w:tcW w:w="2570" w:type="dxa"/>
            <w:gridSpan w:val="2"/>
            <w:tcBorders>
              <w:tl2br w:val="nil"/>
              <w:tr2bl w:val="nil"/>
            </w:tcBorders>
            <w:vAlign w:val="center"/>
          </w:tcPr>
          <w:p w14:paraId="2C6FE782">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锌</w:t>
            </w:r>
          </w:p>
        </w:tc>
        <w:tc>
          <w:tcPr>
            <w:tcW w:w="3568" w:type="dxa"/>
            <w:vMerge w:val="continue"/>
            <w:tcBorders>
              <w:tl2br w:val="nil"/>
              <w:tr2bl w:val="nil"/>
            </w:tcBorders>
            <w:vAlign w:val="center"/>
          </w:tcPr>
          <w:p w14:paraId="5011206B">
            <w:pPr>
              <w:overflowPunct w:val="0"/>
              <w:autoSpaceDE w:val="0"/>
              <w:autoSpaceDN w:val="0"/>
              <w:adjustRightInd w:val="0"/>
              <w:spacing w:line="240" w:lineRule="auto"/>
              <w:jc w:val="center"/>
              <w:textAlignment w:val="baseline"/>
              <w:rPr>
                <w:color w:val="000000"/>
                <w:sz w:val="21"/>
                <w:szCs w:val="21"/>
                <w:highlight w:val="none"/>
              </w:rPr>
            </w:pPr>
          </w:p>
        </w:tc>
        <w:tc>
          <w:tcPr>
            <w:tcW w:w="1476" w:type="dxa"/>
            <w:vMerge w:val="continue"/>
            <w:tcBorders>
              <w:tl2br w:val="nil"/>
              <w:tr2bl w:val="nil"/>
            </w:tcBorders>
            <w:vAlign w:val="center"/>
          </w:tcPr>
          <w:p w14:paraId="33E586D4">
            <w:pPr>
              <w:overflowPunct w:val="0"/>
              <w:autoSpaceDE w:val="0"/>
              <w:autoSpaceDN w:val="0"/>
              <w:adjustRightInd w:val="0"/>
              <w:spacing w:line="240" w:lineRule="auto"/>
              <w:jc w:val="center"/>
              <w:textAlignment w:val="baseline"/>
              <w:rPr>
                <w:color w:val="000000"/>
                <w:sz w:val="21"/>
                <w:szCs w:val="21"/>
                <w:highlight w:val="none"/>
              </w:rPr>
            </w:pPr>
          </w:p>
        </w:tc>
        <w:tc>
          <w:tcPr>
            <w:tcW w:w="1429" w:type="dxa"/>
            <w:tcBorders>
              <w:tl2br w:val="nil"/>
              <w:tr2bl w:val="nil"/>
            </w:tcBorders>
            <w:vAlign w:val="center"/>
          </w:tcPr>
          <w:p w14:paraId="377BC386">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1</w:t>
            </w:r>
          </w:p>
        </w:tc>
      </w:tr>
      <w:tr w14:paraId="6696BD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5" w:type="dxa"/>
            <w:vMerge w:val="continue"/>
            <w:tcBorders>
              <w:tl2br w:val="nil"/>
              <w:tr2bl w:val="nil"/>
            </w:tcBorders>
            <w:vAlign w:val="center"/>
          </w:tcPr>
          <w:p w14:paraId="66A08514">
            <w:pPr>
              <w:widowControl/>
              <w:spacing w:line="240" w:lineRule="auto"/>
              <w:jc w:val="center"/>
              <w:rPr>
                <w:color w:val="000000"/>
                <w:sz w:val="21"/>
                <w:szCs w:val="21"/>
                <w:highlight w:val="none"/>
              </w:rPr>
            </w:pPr>
          </w:p>
        </w:tc>
        <w:tc>
          <w:tcPr>
            <w:tcW w:w="2570" w:type="dxa"/>
            <w:gridSpan w:val="2"/>
            <w:tcBorders>
              <w:tl2br w:val="nil"/>
              <w:tr2bl w:val="nil"/>
            </w:tcBorders>
            <w:vAlign w:val="center"/>
          </w:tcPr>
          <w:p w14:paraId="2C585633">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镍</w:t>
            </w:r>
          </w:p>
        </w:tc>
        <w:tc>
          <w:tcPr>
            <w:tcW w:w="3568" w:type="dxa"/>
            <w:vMerge w:val="continue"/>
            <w:tcBorders>
              <w:tl2br w:val="nil"/>
              <w:tr2bl w:val="nil"/>
            </w:tcBorders>
            <w:vAlign w:val="center"/>
          </w:tcPr>
          <w:p w14:paraId="1E502430">
            <w:pPr>
              <w:overflowPunct w:val="0"/>
              <w:autoSpaceDE w:val="0"/>
              <w:autoSpaceDN w:val="0"/>
              <w:adjustRightInd w:val="0"/>
              <w:spacing w:line="240" w:lineRule="auto"/>
              <w:jc w:val="center"/>
              <w:textAlignment w:val="baseline"/>
              <w:rPr>
                <w:color w:val="000000"/>
                <w:sz w:val="21"/>
                <w:szCs w:val="21"/>
                <w:highlight w:val="none"/>
              </w:rPr>
            </w:pPr>
          </w:p>
        </w:tc>
        <w:tc>
          <w:tcPr>
            <w:tcW w:w="1476" w:type="dxa"/>
            <w:vMerge w:val="continue"/>
            <w:tcBorders>
              <w:tl2br w:val="nil"/>
              <w:tr2bl w:val="nil"/>
            </w:tcBorders>
            <w:vAlign w:val="center"/>
          </w:tcPr>
          <w:p w14:paraId="07056667">
            <w:pPr>
              <w:widowControl/>
              <w:spacing w:line="240" w:lineRule="auto"/>
              <w:jc w:val="center"/>
              <w:rPr>
                <w:color w:val="000000"/>
                <w:sz w:val="21"/>
                <w:szCs w:val="21"/>
                <w:highlight w:val="none"/>
              </w:rPr>
            </w:pPr>
          </w:p>
        </w:tc>
        <w:tc>
          <w:tcPr>
            <w:tcW w:w="1429" w:type="dxa"/>
            <w:tcBorders>
              <w:tl2br w:val="nil"/>
              <w:tr2bl w:val="nil"/>
            </w:tcBorders>
            <w:vAlign w:val="center"/>
          </w:tcPr>
          <w:p w14:paraId="36A4EF17">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3</w:t>
            </w:r>
          </w:p>
        </w:tc>
      </w:tr>
      <w:tr w14:paraId="17CAF3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755" w:type="dxa"/>
            <w:vMerge w:val="continue"/>
            <w:tcBorders>
              <w:tl2br w:val="nil"/>
              <w:tr2bl w:val="nil"/>
            </w:tcBorders>
            <w:vAlign w:val="center"/>
          </w:tcPr>
          <w:p w14:paraId="60484D67">
            <w:pPr>
              <w:widowControl/>
              <w:spacing w:line="240" w:lineRule="auto"/>
              <w:jc w:val="center"/>
              <w:rPr>
                <w:color w:val="000000"/>
                <w:sz w:val="21"/>
                <w:szCs w:val="21"/>
                <w:highlight w:val="none"/>
              </w:rPr>
            </w:pPr>
          </w:p>
        </w:tc>
        <w:tc>
          <w:tcPr>
            <w:tcW w:w="2570" w:type="dxa"/>
            <w:gridSpan w:val="2"/>
            <w:tcBorders>
              <w:tl2br w:val="nil"/>
              <w:tr2bl w:val="nil"/>
            </w:tcBorders>
            <w:vAlign w:val="center"/>
          </w:tcPr>
          <w:p w14:paraId="6BA79FE4">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汞</w:t>
            </w:r>
          </w:p>
        </w:tc>
        <w:tc>
          <w:tcPr>
            <w:tcW w:w="3568" w:type="dxa"/>
            <w:tcBorders>
              <w:tl2br w:val="nil"/>
              <w:tr2bl w:val="nil"/>
            </w:tcBorders>
            <w:vAlign w:val="center"/>
          </w:tcPr>
          <w:p w14:paraId="7D01EF23">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 xml:space="preserve">土壤质量 总汞的测定 </w:t>
            </w:r>
          </w:p>
          <w:p w14:paraId="7B460400">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冷原子吸收分光光度法</w:t>
            </w:r>
          </w:p>
        </w:tc>
        <w:tc>
          <w:tcPr>
            <w:tcW w:w="1476" w:type="dxa"/>
            <w:tcBorders>
              <w:tl2br w:val="nil"/>
              <w:tr2bl w:val="nil"/>
            </w:tcBorders>
            <w:vAlign w:val="center"/>
          </w:tcPr>
          <w:p w14:paraId="1FE37ADB">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GB/T 17136-1997</w:t>
            </w:r>
          </w:p>
        </w:tc>
        <w:tc>
          <w:tcPr>
            <w:tcW w:w="1429" w:type="dxa"/>
            <w:tcBorders>
              <w:tl2br w:val="nil"/>
              <w:tr2bl w:val="nil"/>
            </w:tcBorders>
            <w:vAlign w:val="center"/>
          </w:tcPr>
          <w:p w14:paraId="39939583">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0.05</w:t>
            </w:r>
          </w:p>
        </w:tc>
      </w:tr>
      <w:tr w14:paraId="089372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55" w:type="dxa"/>
            <w:vMerge w:val="continue"/>
            <w:tcBorders>
              <w:tl2br w:val="nil"/>
              <w:tr2bl w:val="nil"/>
            </w:tcBorders>
            <w:vAlign w:val="center"/>
          </w:tcPr>
          <w:p w14:paraId="469BF377">
            <w:pPr>
              <w:widowControl/>
              <w:spacing w:line="240" w:lineRule="auto"/>
              <w:jc w:val="center"/>
              <w:rPr>
                <w:color w:val="000000"/>
                <w:sz w:val="21"/>
                <w:szCs w:val="21"/>
                <w:highlight w:val="none"/>
              </w:rPr>
            </w:pPr>
          </w:p>
        </w:tc>
        <w:tc>
          <w:tcPr>
            <w:tcW w:w="2570" w:type="dxa"/>
            <w:gridSpan w:val="2"/>
            <w:tcBorders>
              <w:tl2br w:val="nil"/>
              <w:tr2bl w:val="nil"/>
            </w:tcBorders>
            <w:vAlign w:val="center"/>
          </w:tcPr>
          <w:p w14:paraId="10D93142">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砷</w:t>
            </w:r>
          </w:p>
        </w:tc>
        <w:tc>
          <w:tcPr>
            <w:tcW w:w="3568" w:type="dxa"/>
            <w:vMerge w:val="restart"/>
            <w:tcBorders>
              <w:tl2br w:val="nil"/>
              <w:tr2bl w:val="nil"/>
            </w:tcBorders>
            <w:vAlign w:val="center"/>
          </w:tcPr>
          <w:p w14:paraId="5AC1AD49">
            <w:pPr>
              <w:overflowPunct w:val="0"/>
              <w:autoSpaceDE w:val="0"/>
              <w:autoSpaceDN w:val="0"/>
              <w:adjustRightInd w:val="0"/>
              <w:spacing w:line="240" w:lineRule="auto"/>
              <w:jc w:val="center"/>
              <w:textAlignment w:val="baseline"/>
              <w:rPr>
                <w:color w:val="000000"/>
                <w:sz w:val="21"/>
                <w:szCs w:val="21"/>
                <w:highlight w:val="none"/>
              </w:rPr>
            </w:pPr>
            <w:r>
              <w:rPr>
                <w:color w:val="000000"/>
                <w:kern w:val="0"/>
                <w:sz w:val="21"/>
                <w:szCs w:val="21"/>
                <w:highlight w:val="none"/>
              </w:rPr>
              <w:t>土壤和沉积物 12种金属元素的测定 王水提取-电感耦合等离子体质谱法</w:t>
            </w:r>
          </w:p>
        </w:tc>
        <w:tc>
          <w:tcPr>
            <w:tcW w:w="1476" w:type="dxa"/>
            <w:vMerge w:val="restart"/>
            <w:tcBorders>
              <w:tl2br w:val="nil"/>
              <w:tr2bl w:val="nil"/>
            </w:tcBorders>
            <w:vAlign w:val="center"/>
          </w:tcPr>
          <w:p w14:paraId="43800FD6">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HJ 803-2016</w:t>
            </w:r>
          </w:p>
        </w:tc>
        <w:tc>
          <w:tcPr>
            <w:tcW w:w="1429" w:type="dxa"/>
            <w:tcBorders>
              <w:tl2br w:val="nil"/>
              <w:tr2bl w:val="nil"/>
            </w:tcBorders>
            <w:vAlign w:val="center"/>
          </w:tcPr>
          <w:p w14:paraId="368537A4">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0.6</w:t>
            </w:r>
          </w:p>
        </w:tc>
      </w:tr>
      <w:tr w14:paraId="69A41C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55" w:type="dxa"/>
            <w:vMerge w:val="continue"/>
            <w:tcBorders>
              <w:tl2br w:val="nil"/>
              <w:tr2bl w:val="nil"/>
            </w:tcBorders>
            <w:vAlign w:val="center"/>
          </w:tcPr>
          <w:p w14:paraId="2E6478FB">
            <w:pPr>
              <w:widowControl/>
              <w:spacing w:line="240" w:lineRule="auto"/>
              <w:jc w:val="center"/>
              <w:rPr>
                <w:color w:val="000000"/>
                <w:sz w:val="21"/>
                <w:szCs w:val="21"/>
                <w:highlight w:val="none"/>
              </w:rPr>
            </w:pPr>
          </w:p>
        </w:tc>
        <w:tc>
          <w:tcPr>
            <w:tcW w:w="2570" w:type="dxa"/>
            <w:gridSpan w:val="2"/>
            <w:tcBorders>
              <w:tl2br w:val="nil"/>
              <w:tr2bl w:val="nil"/>
            </w:tcBorders>
            <w:vAlign w:val="center"/>
          </w:tcPr>
          <w:p w14:paraId="4013AFF7">
            <w:pPr>
              <w:overflowPunct w:val="0"/>
              <w:autoSpaceDE w:val="0"/>
              <w:autoSpaceDN w:val="0"/>
              <w:adjustRightInd w:val="0"/>
              <w:spacing w:line="240" w:lineRule="auto"/>
              <w:jc w:val="center"/>
              <w:textAlignment w:val="baseline"/>
              <w:rPr>
                <w:color w:val="000000"/>
                <w:sz w:val="21"/>
                <w:szCs w:val="21"/>
                <w:highlight w:val="none"/>
              </w:rPr>
            </w:pPr>
            <w:r>
              <w:rPr>
                <w:rFonts w:hint="eastAsia"/>
                <w:color w:val="000000"/>
                <w:sz w:val="21"/>
                <w:szCs w:val="21"/>
                <w:highlight w:val="none"/>
              </w:rPr>
              <w:t>锑</w:t>
            </w:r>
          </w:p>
        </w:tc>
        <w:tc>
          <w:tcPr>
            <w:tcW w:w="3568" w:type="dxa"/>
            <w:vMerge w:val="continue"/>
            <w:tcBorders>
              <w:tl2br w:val="nil"/>
              <w:tr2bl w:val="nil"/>
            </w:tcBorders>
            <w:vAlign w:val="center"/>
          </w:tcPr>
          <w:p w14:paraId="3E20050C">
            <w:pPr>
              <w:overflowPunct w:val="0"/>
              <w:autoSpaceDE w:val="0"/>
              <w:autoSpaceDN w:val="0"/>
              <w:adjustRightInd w:val="0"/>
              <w:spacing w:line="240" w:lineRule="auto"/>
              <w:jc w:val="center"/>
              <w:textAlignment w:val="baseline"/>
              <w:rPr>
                <w:color w:val="000000"/>
                <w:kern w:val="0"/>
                <w:sz w:val="21"/>
                <w:szCs w:val="21"/>
                <w:highlight w:val="none"/>
              </w:rPr>
            </w:pPr>
          </w:p>
        </w:tc>
        <w:tc>
          <w:tcPr>
            <w:tcW w:w="1476" w:type="dxa"/>
            <w:vMerge w:val="continue"/>
            <w:tcBorders>
              <w:tl2br w:val="nil"/>
              <w:tr2bl w:val="nil"/>
            </w:tcBorders>
            <w:vAlign w:val="center"/>
          </w:tcPr>
          <w:p w14:paraId="75FF256C">
            <w:pPr>
              <w:overflowPunct w:val="0"/>
              <w:autoSpaceDE w:val="0"/>
              <w:autoSpaceDN w:val="0"/>
              <w:adjustRightInd w:val="0"/>
              <w:spacing w:line="240" w:lineRule="auto"/>
              <w:jc w:val="center"/>
              <w:textAlignment w:val="baseline"/>
              <w:rPr>
                <w:color w:val="000000"/>
                <w:sz w:val="21"/>
                <w:szCs w:val="21"/>
                <w:highlight w:val="none"/>
              </w:rPr>
            </w:pPr>
          </w:p>
        </w:tc>
        <w:tc>
          <w:tcPr>
            <w:tcW w:w="1429" w:type="dxa"/>
            <w:tcBorders>
              <w:tl2br w:val="nil"/>
              <w:tr2bl w:val="nil"/>
            </w:tcBorders>
            <w:vAlign w:val="center"/>
          </w:tcPr>
          <w:p w14:paraId="576D132E">
            <w:pPr>
              <w:overflowPunct w:val="0"/>
              <w:autoSpaceDE w:val="0"/>
              <w:autoSpaceDN w:val="0"/>
              <w:adjustRightInd w:val="0"/>
              <w:spacing w:line="240" w:lineRule="auto"/>
              <w:jc w:val="center"/>
              <w:textAlignment w:val="baseline"/>
              <w:rPr>
                <w:sz w:val="21"/>
                <w:szCs w:val="21"/>
                <w:highlight w:val="none"/>
              </w:rPr>
            </w:pPr>
            <w:r>
              <w:rPr>
                <w:rFonts w:hint="eastAsia"/>
                <w:sz w:val="21"/>
                <w:szCs w:val="21"/>
                <w:highlight w:val="none"/>
              </w:rPr>
              <w:t>0</w:t>
            </w:r>
            <w:r>
              <w:rPr>
                <w:sz w:val="21"/>
                <w:szCs w:val="21"/>
                <w:highlight w:val="none"/>
              </w:rPr>
              <w:t>.3</w:t>
            </w:r>
          </w:p>
        </w:tc>
      </w:tr>
      <w:tr w14:paraId="12289C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755" w:type="dxa"/>
            <w:vMerge w:val="continue"/>
            <w:tcBorders>
              <w:tl2br w:val="nil"/>
              <w:tr2bl w:val="nil"/>
            </w:tcBorders>
            <w:vAlign w:val="center"/>
          </w:tcPr>
          <w:p w14:paraId="107E888F">
            <w:pPr>
              <w:widowControl/>
              <w:spacing w:line="240" w:lineRule="auto"/>
              <w:jc w:val="center"/>
              <w:rPr>
                <w:color w:val="000000"/>
                <w:sz w:val="21"/>
                <w:szCs w:val="21"/>
                <w:highlight w:val="none"/>
              </w:rPr>
            </w:pPr>
          </w:p>
        </w:tc>
        <w:tc>
          <w:tcPr>
            <w:tcW w:w="2570" w:type="dxa"/>
            <w:gridSpan w:val="2"/>
            <w:tcBorders>
              <w:tl2br w:val="nil"/>
              <w:tr2bl w:val="nil"/>
            </w:tcBorders>
            <w:vAlign w:val="center"/>
          </w:tcPr>
          <w:p w14:paraId="0F8AE19B">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石油烃（C</w:t>
            </w:r>
            <w:r>
              <w:rPr>
                <w:color w:val="000000"/>
                <w:sz w:val="21"/>
                <w:szCs w:val="21"/>
                <w:highlight w:val="none"/>
                <w:vertAlign w:val="subscript"/>
              </w:rPr>
              <w:t>10</w:t>
            </w:r>
            <w:r>
              <w:rPr>
                <w:color w:val="000000"/>
                <w:sz w:val="21"/>
                <w:szCs w:val="21"/>
                <w:highlight w:val="none"/>
              </w:rPr>
              <w:t>-C</w:t>
            </w:r>
            <w:r>
              <w:rPr>
                <w:color w:val="000000"/>
                <w:sz w:val="21"/>
                <w:szCs w:val="21"/>
                <w:highlight w:val="none"/>
                <w:vertAlign w:val="subscript"/>
              </w:rPr>
              <w:t>40</w:t>
            </w:r>
            <w:r>
              <w:rPr>
                <w:color w:val="000000"/>
                <w:sz w:val="21"/>
                <w:szCs w:val="21"/>
                <w:highlight w:val="none"/>
              </w:rPr>
              <w:t>）</w:t>
            </w:r>
          </w:p>
        </w:tc>
        <w:tc>
          <w:tcPr>
            <w:tcW w:w="3568" w:type="dxa"/>
            <w:tcBorders>
              <w:tl2br w:val="nil"/>
              <w:tr2bl w:val="nil"/>
            </w:tcBorders>
            <w:vAlign w:val="center"/>
          </w:tcPr>
          <w:p w14:paraId="6BA04CCE">
            <w:pPr>
              <w:overflowPunct w:val="0"/>
              <w:autoSpaceDE w:val="0"/>
              <w:autoSpaceDN w:val="0"/>
              <w:adjustRightInd w:val="0"/>
              <w:spacing w:line="240" w:lineRule="auto"/>
              <w:jc w:val="center"/>
              <w:textAlignment w:val="baseline"/>
              <w:rPr>
                <w:color w:val="000000"/>
                <w:kern w:val="0"/>
                <w:sz w:val="21"/>
                <w:szCs w:val="21"/>
                <w:highlight w:val="none"/>
              </w:rPr>
            </w:pPr>
            <w:r>
              <w:rPr>
                <w:sz w:val="21"/>
                <w:szCs w:val="21"/>
                <w:highlight w:val="none"/>
              </w:rPr>
              <w:t>土壤和沉积物 挥发性有机物的测定 吹扫捕集/气相色谱-质谱法</w:t>
            </w:r>
          </w:p>
        </w:tc>
        <w:tc>
          <w:tcPr>
            <w:tcW w:w="1476" w:type="dxa"/>
            <w:tcBorders>
              <w:tl2br w:val="nil"/>
              <w:tr2bl w:val="nil"/>
            </w:tcBorders>
            <w:vAlign w:val="center"/>
          </w:tcPr>
          <w:p w14:paraId="4E06E75A">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HJ 605-2011</w:t>
            </w:r>
          </w:p>
        </w:tc>
        <w:tc>
          <w:tcPr>
            <w:tcW w:w="1429" w:type="dxa"/>
            <w:tcBorders>
              <w:tl2br w:val="nil"/>
              <w:tr2bl w:val="nil"/>
            </w:tcBorders>
            <w:vAlign w:val="center"/>
          </w:tcPr>
          <w:p w14:paraId="3E9A03FF">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6</w:t>
            </w:r>
          </w:p>
        </w:tc>
      </w:tr>
      <w:tr w14:paraId="254B70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55" w:type="dxa"/>
            <w:vMerge w:val="continue"/>
            <w:tcBorders>
              <w:tl2br w:val="nil"/>
              <w:tr2bl w:val="nil"/>
            </w:tcBorders>
            <w:vAlign w:val="center"/>
          </w:tcPr>
          <w:p w14:paraId="698DB1E8">
            <w:pPr>
              <w:widowControl/>
              <w:spacing w:line="240" w:lineRule="auto"/>
              <w:jc w:val="center"/>
              <w:rPr>
                <w:color w:val="000000"/>
                <w:sz w:val="21"/>
                <w:szCs w:val="21"/>
                <w:highlight w:val="none"/>
              </w:rPr>
            </w:pPr>
          </w:p>
        </w:tc>
        <w:tc>
          <w:tcPr>
            <w:tcW w:w="763" w:type="dxa"/>
            <w:vMerge w:val="restart"/>
            <w:tcBorders>
              <w:tl2br w:val="nil"/>
              <w:tr2bl w:val="nil"/>
            </w:tcBorders>
            <w:vAlign w:val="center"/>
          </w:tcPr>
          <w:p w14:paraId="348E0246">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挥发性有机物</w:t>
            </w:r>
          </w:p>
        </w:tc>
        <w:tc>
          <w:tcPr>
            <w:tcW w:w="1807" w:type="dxa"/>
            <w:tcBorders>
              <w:tl2br w:val="nil"/>
              <w:tr2bl w:val="nil"/>
            </w:tcBorders>
            <w:vAlign w:val="center"/>
          </w:tcPr>
          <w:p w14:paraId="25C966E2">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苯</w:t>
            </w:r>
          </w:p>
        </w:tc>
        <w:tc>
          <w:tcPr>
            <w:tcW w:w="3568" w:type="dxa"/>
            <w:vMerge w:val="restart"/>
            <w:tcBorders>
              <w:tl2br w:val="nil"/>
              <w:tr2bl w:val="nil"/>
            </w:tcBorders>
            <w:vAlign w:val="center"/>
          </w:tcPr>
          <w:p w14:paraId="479898A1">
            <w:pPr>
              <w:widowControl/>
              <w:spacing w:line="240" w:lineRule="auto"/>
              <w:jc w:val="center"/>
              <w:rPr>
                <w:color w:val="000000"/>
                <w:kern w:val="0"/>
                <w:sz w:val="21"/>
                <w:szCs w:val="21"/>
                <w:highlight w:val="none"/>
              </w:rPr>
            </w:pPr>
            <w:r>
              <w:rPr>
                <w:color w:val="000000"/>
                <w:kern w:val="0"/>
                <w:sz w:val="21"/>
                <w:szCs w:val="21"/>
                <w:highlight w:val="none"/>
              </w:rPr>
              <w:t xml:space="preserve">土壤和沉积物 挥发性有机物的测定 </w:t>
            </w:r>
          </w:p>
          <w:p w14:paraId="2D4C80EF">
            <w:pPr>
              <w:widowControl/>
              <w:spacing w:line="240" w:lineRule="auto"/>
              <w:jc w:val="center"/>
              <w:rPr>
                <w:color w:val="000000"/>
                <w:sz w:val="21"/>
                <w:szCs w:val="21"/>
                <w:highlight w:val="none"/>
              </w:rPr>
            </w:pPr>
            <w:r>
              <w:rPr>
                <w:color w:val="000000"/>
                <w:kern w:val="0"/>
                <w:sz w:val="21"/>
                <w:szCs w:val="21"/>
                <w:highlight w:val="none"/>
              </w:rPr>
              <w:t>吹扫捕集/气相色谱-质谱法</w:t>
            </w:r>
          </w:p>
        </w:tc>
        <w:tc>
          <w:tcPr>
            <w:tcW w:w="1476" w:type="dxa"/>
            <w:vMerge w:val="restart"/>
            <w:tcBorders>
              <w:tl2br w:val="nil"/>
              <w:tr2bl w:val="nil"/>
            </w:tcBorders>
            <w:vAlign w:val="center"/>
          </w:tcPr>
          <w:p w14:paraId="1890CFDE">
            <w:pPr>
              <w:widowControl/>
              <w:spacing w:line="240" w:lineRule="auto"/>
              <w:jc w:val="center"/>
              <w:rPr>
                <w:color w:val="000000"/>
                <w:sz w:val="21"/>
                <w:szCs w:val="21"/>
                <w:highlight w:val="none"/>
              </w:rPr>
            </w:pPr>
            <w:r>
              <w:rPr>
                <w:color w:val="000000"/>
                <w:kern w:val="0"/>
                <w:sz w:val="21"/>
                <w:szCs w:val="21"/>
                <w:highlight w:val="none"/>
              </w:rPr>
              <w:t>HJ 605-2011</w:t>
            </w:r>
          </w:p>
        </w:tc>
        <w:tc>
          <w:tcPr>
            <w:tcW w:w="1429" w:type="dxa"/>
            <w:tcBorders>
              <w:tl2br w:val="nil"/>
              <w:tr2bl w:val="nil"/>
            </w:tcBorders>
            <w:vAlign w:val="center"/>
          </w:tcPr>
          <w:p w14:paraId="612A11A6">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3879C0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55" w:type="dxa"/>
            <w:vMerge w:val="continue"/>
            <w:tcBorders>
              <w:tl2br w:val="nil"/>
              <w:tr2bl w:val="nil"/>
            </w:tcBorders>
            <w:vAlign w:val="center"/>
          </w:tcPr>
          <w:p w14:paraId="0C941C8B">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40224D8D">
            <w:pPr>
              <w:widowControl/>
              <w:spacing w:line="240" w:lineRule="auto"/>
              <w:jc w:val="center"/>
              <w:rPr>
                <w:color w:val="000000"/>
                <w:sz w:val="21"/>
                <w:szCs w:val="21"/>
                <w:highlight w:val="none"/>
              </w:rPr>
            </w:pPr>
          </w:p>
        </w:tc>
        <w:tc>
          <w:tcPr>
            <w:tcW w:w="1807" w:type="dxa"/>
            <w:tcBorders>
              <w:tl2br w:val="nil"/>
              <w:tr2bl w:val="nil"/>
            </w:tcBorders>
            <w:vAlign w:val="center"/>
          </w:tcPr>
          <w:p w14:paraId="66DFDF20">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甲苯</w:t>
            </w:r>
          </w:p>
        </w:tc>
        <w:tc>
          <w:tcPr>
            <w:tcW w:w="3568" w:type="dxa"/>
            <w:vMerge w:val="continue"/>
            <w:tcBorders>
              <w:tl2br w:val="nil"/>
              <w:tr2bl w:val="nil"/>
            </w:tcBorders>
            <w:vAlign w:val="center"/>
          </w:tcPr>
          <w:p w14:paraId="562905AA">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48C9F0B1">
            <w:pPr>
              <w:widowControl/>
              <w:spacing w:line="240" w:lineRule="auto"/>
              <w:jc w:val="center"/>
              <w:rPr>
                <w:color w:val="000000"/>
                <w:sz w:val="21"/>
                <w:szCs w:val="21"/>
                <w:highlight w:val="none"/>
              </w:rPr>
            </w:pPr>
          </w:p>
        </w:tc>
        <w:tc>
          <w:tcPr>
            <w:tcW w:w="1429" w:type="dxa"/>
            <w:tcBorders>
              <w:tl2br w:val="nil"/>
              <w:tr2bl w:val="nil"/>
            </w:tcBorders>
            <w:vAlign w:val="center"/>
          </w:tcPr>
          <w:p w14:paraId="6D984862">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78BD12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55" w:type="dxa"/>
            <w:vMerge w:val="continue"/>
            <w:tcBorders>
              <w:tl2br w:val="nil"/>
              <w:tr2bl w:val="nil"/>
            </w:tcBorders>
            <w:vAlign w:val="center"/>
          </w:tcPr>
          <w:p w14:paraId="6E9383D7">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77A21DA6">
            <w:pPr>
              <w:widowControl/>
              <w:spacing w:line="240" w:lineRule="auto"/>
              <w:jc w:val="center"/>
              <w:rPr>
                <w:color w:val="000000"/>
                <w:sz w:val="21"/>
                <w:szCs w:val="21"/>
                <w:highlight w:val="none"/>
              </w:rPr>
            </w:pPr>
          </w:p>
        </w:tc>
        <w:tc>
          <w:tcPr>
            <w:tcW w:w="1807" w:type="dxa"/>
            <w:tcBorders>
              <w:tl2br w:val="nil"/>
              <w:tr2bl w:val="nil"/>
            </w:tcBorders>
            <w:vAlign w:val="center"/>
          </w:tcPr>
          <w:p w14:paraId="58C7379C">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乙苯</w:t>
            </w:r>
          </w:p>
        </w:tc>
        <w:tc>
          <w:tcPr>
            <w:tcW w:w="3568" w:type="dxa"/>
            <w:vMerge w:val="continue"/>
            <w:tcBorders>
              <w:tl2br w:val="nil"/>
              <w:tr2bl w:val="nil"/>
            </w:tcBorders>
            <w:vAlign w:val="center"/>
          </w:tcPr>
          <w:p w14:paraId="7155E0C9">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365006B4">
            <w:pPr>
              <w:widowControl/>
              <w:spacing w:line="240" w:lineRule="auto"/>
              <w:jc w:val="center"/>
              <w:rPr>
                <w:color w:val="000000"/>
                <w:sz w:val="21"/>
                <w:szCs w:val="21"/>
                <w:highlight w:val="none"/>
              </w:rPr>
            </w:pPr>
          </w:p>
        </w:tc>
        <w:tc>
          <w:tcPr>
            <w:tcW w:w="1429" w:type="dxa"/>
            <w:tcBorders>
              <w:tl2br w:val="nil"/>
              <w:tr2bl w:val="nil"/>
            </w:tcBorders>
            <w:vAlign w:val="center"/>
          </w:tcPr>
          <w:p w14:paraId="061F3672">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596FF0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755" w:type="dxa"/>
            <w:vMerge w:val="continue"/>
            <w:tcBorders>
              <w:tl2br w:val="nil"/>
              <w:tr2bl w:val="nil"/>
            </w:tcBorders>
            <w:vAlign w:val="center"/>
          </w:tcPr>
          <w:p w14:paraId="7E848EE3">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4E54FC32">
            <w:pPr>
              <w:widowControl/>
              <w:spacing w:line="240" w:lineRule="auto"/>
              <w:jc w:val="center"/>
              <w:rPr>
                <w:color w:val="000000"/>
                <w:sz w:val="21"/>
                <w:szCs w:val="21"/>
                <w:highlight w:val="none"/>
              </w:rPr>
            </w:pPr>
          </w:p>
        </w:tc>
        <w:tc>
          <w:tcPr>
            <w:tcW w:w="1807" w:type="dxa"/>
            <w:tcBorders>
              <w:tl2br w:val="nil"/>
              <w:tr2bl w:val="nil"/>
            </w:tcBorders>
            <w:vAlign w:val="center"/>
          </w:tcPr>
          <w:p w14:paraId="140E63C1">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间-二甲苯和对-二甲苯</w:t>
            </w:r>
          </w:p>
        </w:tc>
        <w:tc>
          <w:tcPr>
            <w:tcW w:w="3568" w:type="dxa"/>
            <w:vMerge w:val="continue"/>
            <w:tcBorders>
              <w:tl2br w:val="nil"/>
              <w:tr2bl w:val="nil"/>
            </w:tcBorders>
            <w:vAlign w:val="center"/>
          </w:tcPr>
          <w:p w14:paraId="0571C767">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0B5BDCD8">
            <w:pPr>
              <w:widowControl/>
              <w:spacing w:line="240" w:lineRule="auto"/>
              <w:jc w:val="center"/>
              <w:rPr>
                <w:color w:val="000000"/>
                <w:sz w:val="21"/>
                <w:szCs w:val="21"/>
                <w:highlight w:val="none"/>
              </w:rPr>
            </w:pPr>
          </w:p>
        </w:tc>
        <w:tc>
          <w:tcPr>
            <w:tcW w:w="1429" w:type="dxa"/>
            <w:tcBorders>
              <w:tl2br w:val="nil"/>
              <w:tr2bl w:val="nil"/>
            </w:tcBorders>
            <w:vAlign w:val="center"/>
          </w:tcPr>
          <w:p w14:paraId="51CF4AF7">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02DC5D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55" w:type="dxa"/>
            <w:vMerge w:val="continue"/>
            <w:tcBorders>
              <w:tl2br w:val="nil"/>
              <w:tr2bl w:val="nil"/>
            </w:tcBorders>
            <w:vAlign w:val="center"/>
          </w:tcPr>
          <w:p w14:paraId="5F6A7F5C">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2780D535">
            <w:pPr>
              <w:widowControl/>
              <w:spacing w:line="240" w:lineRule="auto"/>
              <w:jc w:val="center"/>
              <w:rPr>
                <w:color w:val="000000"/>
                <w:sz w:val="21"/>
                <w:szCs w:val="21"/>
                <w:highlight w:val="none"/>
              </w:rPr>
            </w:pPr>
          </w:p>
        </w:tc>
        <w:tc>
          <w:tcPr>
            <w:tcW w:w="1807" w:type="dxa"/>
            <w:tcBorders>
              <w:tl2br w:val="nil"/>
              <w:tr2bl w:val="nil"/>
            </w:tcBorders>
            <w:vAlign w:val="center"/>
          </w:tcPr>
          <w:p w14:paraId="6C3F5F01">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邻-二甲苯</w:t>
            </w:r>
          </w:p>
        </w:tc>
        <w:tc>
          <w:tcPr>
            <w:tcW w:w="3568" w:type="dxa"/>
            <w:vMerge w:val="continue"/>
            <w:tcBorders>
              <w:tl2br w:val="nil"/>
              <w:tr2bl w:val="nil"/>
            </w:tcBorders>
            <w:vAlign w:val="center"/>
          </w:tcPr>
          <w:p w14:paraId="2D6ACCAA">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415BB64A">
            <w:pPr>
              <w:widowControl/>
              <w:spacing w:line="240" w:lineRule="auto"/>
              <w:jc w:val="center"/>
              <w:rPr>
                <w:color w:val="000000"/>
                <w:sz w:val="21"/>
                <w:szCs w:val="21"/>
                <w:highlight w:val="none"/>
              </w:rPr>
            </w:pPr>
          </w:p>
        </w:tc>
        <w:tc>
          <w:tcPr>
            <w:tcW w:w="1429" w:type="dxa"/>
            <w:tcBorders>
              <w:tl2br w:val="nil"/>
              <w:tr2bl w:val="nil"/>
            </w:tcBorders>
            <w:vAlign w:val="center"/>
          </w:tcPr>
          <w:p w14:paraId="03FC2429">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5B976C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55" w:type="dxa"/>
            <w:vMerge w:val="continue"/>
            <w:tcBorders>
              <w:tl2br w:val="nil"/>
              <w:tr2bl w:val="nil"/>
            </w:tcBorders>
            <w:vAlign w:val="center"/>
          </w:tcPr>
          <w:p w14:paraId="468DF4AA">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75D09296">
            <w:pPr>
              <w:widowControl/>
              <w:spacing w:line="240" w:lineRule="auto"/>
              <w:jc w:val="center"/>
              <w:rPr>
                <w:color w:val="000000"/>
                <w:sz w:val="21"/>
                <w:szCs w:val="21"/>
                <w:highlight w:val="none"/>
              </w:rPr>
            </w:pPr>
          </w:p>
        </w:tc>
        <w:tc>
          <w:tcPr>
            <w:tcW w:w="1807" w:type="dxa"/>
            <w:tcBorders>
              <w:tl2br w:val="nil"/>
              <w:tr2bl w:val="nil"/>
            </w:tcBorders>
            <w:vAlign w:val="center"/>
          </w:tcPr>
          <w:p w14:paraId="53F46234">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苯乙烯</w:t>
            </w:r>
          </w:p>
        </w:tc>
        <w:tc>
          <w:tcPr>
            <w:tcW w:w="3568" w:type="dxa"/>
            <w:vMerge w:val="continue"/>
            <w:tcBorders>
              <w:tl2br w:val="nil"/>
              <w:tr2bl w:val="nil"/>
            </w:tcBorders>
            <w:vAlign w:val="center"/>
          </w:tcPr>
          <w:p w14:paraId="1F90D1D0">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6EA0D0BF">
            <w:pPr>
              <w:widowControl/>
              <w:spacing w:line="240" w:lineRule="auto"/>
              <w:jc w:val="center"/>
              <w:rPr>
                <w:color w:val="000000"/>
                <w:sz w:val="21"/>
                <w:szCs w:val="21"/>
                <w:highlight w:val="none"/>
              </w:rPr>
            </w:pPr>
          </w:p>
        </w:tc>
        <w:tc>
          <w:tcPr>
            <w:tcW w:w="1429" w:type="dxa"/>
            <w:tcBorders>
              <w:tl2br w:val="nil"/>
              <w:tr2bl w:val="nil"/>
            </w:tcBorders>
            <w:vAlign w:val="center"/>
          </w:tcPr>
          <w:p w14:paraId="3C3B43FC">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4C30A4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55" w:type="dxa"/>
            <w:vMerge w:val="continue"/>
            <w:tcBorders>
              <w:tl2br w:val="nil"/>
              <w:tr2bl w:val="nil"/>
            </w:tcBorders>
            <w:vAlign w:val="center"/>
          </w:tcPr>
          <w:p w14:paraId="33A38D18">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02350B45">
            <w:pPr>
              <w:widowControl/>
              <w:spacing w:line="240" w:lineRule="auto"/>
              <w:jc w:val="center"/>
              <w:rPr>
                <w:color w:val="000000"/>
                <w:sz w:val="21"/>
                <w:szCs w:val="21"/>
                <w:highlight w:val="none"/>
              </w:rPr>
            </w:pPr>
          </w:p>
        </w:tc>
        <w:tc>
          <w:tcPr>
            <w:tcW w:w="1807" w:type="dxa"/>
            <w:tcBorders>
              <w:tl2br w:val="nil"/>
              <w:tr2bl w:val="nil"/>
            </w:tcBorders>
            <w:vAlign w:val="center"/>
          </w:tcPr>
          <w:p w14:paraId="4EEED0E7">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氯甲烷</w:t>
            </w:r>
          </w:p>
        </w:tc>
        <w:tc>
          <w:tcPr>
            <w:tcW w:w="3568" w:type="dxa"/>
            <w:vMerge w:val="continue"/>
            <w:tcBorders>
              <w:tl2br w:val="nil"/>
              <w:tr2bl w:val="nil"/>
            </w:tcBorders>
            <w:vAlign w:val="center"/>
          </w:tcPr>
          <w:p w14:paraId="25E0984C">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5FFFAF86">
            <w:pPr>
              <w:widowControl/>
              <w:spacing w:line="240" w:lineRule="auto"/>
              <w:jc w:val="center"/>
              <w:rPr>
                <w:color w:val="000000"/>
                <w:sz w:val="21"/>
                <w:szCs w:val="21"/>
                <w:highlight w:val="none"/>
              </w:rPr>
            </w:pPr>
          </w:p>
        </w:tc>
        <w:tc>
          <w:tcPr>
            <w:tcW w:w="1429" w:type="dxa"/>
            <w:tcBorders>
              <w:tl2br w:val="nil"/>
              <w:tr2bl w:val="nil"/>
            </w:tcBorders>
            <w:vAlign w:val="center"/>
          </w:tcPr>
          <w:p w14:paraId="147ADF58">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0.1</w:t>
            </w:r>
          </w:p>
        </w:tc>
      </w:tr>
      <w:tr w14:paraId="0A0647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37353D73">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610A4649">
            <w:pPr>
              <w:widowControl/>
              <w:spacing w:line="240" w:lineRule="auto"/>
              <w:jc w:val="center"/>
              <w:rPr>
                <w:color w:val="000000"/>
                <w:sz w:val="21"/>
                <w:szCs w:val="21"/>
                <w:highlight w:val="none"/>
              </w:rPr>
            </w:pPr>
          </w:p>
        </w:tc>
        <w:tc>
          <w:tcPr>
            <w:tcW w:w="1807" w:type="dxa"/>
            <w:tcBorders>
              <w:tl2br w:val="nil"/>
              <w:tr2bl w:val="nil"/>
            </w:tcBorders>
            <w:vAlign w:val="center"/>
          </w:tcPr>
          <w:p w14:paraId="652525F5">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氯乙烯</w:t>
            </w:r>
          </w:p>
        </w:tc>
        <w:tc>
          <w:tcPr>
            <w:tcW w:w="3568" w:type="dxa"/>
            <w:vMerge w:val="continue"/>
            <w:tcBorders>
              <w:tl2br w:val="nil"/>
              <w:tr2bl w:val="nil"/>
            </w:tcBorders>
            <w:vAlign w:val="center"/>
          </w:tcPr>
          <w:p w14:paraId="7867FFC7">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16C609C4">
            <w:pPr>
              <w:widowControl/>
              <w:spacing w:line="240" w:lineRule="auto"/>
              <w:jc w:val="center"/>
              <w:rPr>
                <w:color w:val="000000"/>
                <w:sz w:val="21"/>
                <w:szCs w:val="21"/>
                <w:highlight w:val="none"/>
              </w:rPr>
            </w:pPr>
          </w:p>
        </w:tc>
        <w:tc>
          <w:tcPr>
            <w:tcW w:w="1429" w:type="dxa"/>
            <w:tcBorders>
              <w:tl2br w:val="nil"/>
              <w:tr2bl w:val="nil"/>
            </w:tcBorders>
            <w:vAlign w:val="center"/>
          </w:tcPr>
          <w:p w14:paraId="12B918D8">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0.1</w:t>
            </w:r>
          </w:p>
        </w:tc>
      </w:tr>
      <w:tr w14:paraId="3F3431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755" w:type="dxa"/>
            <w:vMerge w:val="continue"/>
            <w:tcBorders>
              <w:tl2br w:val="nil"/>
              <w:tr2bl w:val="nil"/>
            </w:tcBorders>
            <w:vAlign w:val="center"/>
          </w:tcPr>
          <w:p w14:paraId="744FA895">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723E3153">
            <w:pPr>
              <w:widowControl/>
              <w:spacing w:line="240" w:lineRule="auto"/>
              <w:jc w:val="center"/>
              <w:rPr>
                <w:color w:val="000000"/>
                <w:sz w:val="21"/>
                <w:szCs w:val="21"/>
                <w:highlight w:val="none"/>
              </w:rPr>
            </w:pPr>
          </w:p>
        </w:tc>
        <w:tc>
          <w:tcPr>
            <w:tcW w:w="1807" w:type="dxa"/>
            <w:tcBorders>
              <w:tl2br w:val="nil"/>
              <w:tr2bl w:val="nil"/>
            </w:tcBorders>
            <w:vAlign w:val="center"/>
          </w:tcPr>
          <w:p w14:paraId="68F563C5">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1,1-二氯乙烯</w:t>
            </w:r>
          </w:p>
        </w:tc>
        <w:tc>
          <w:tcPr>
            <w:tcW w:w="3568" w:type="dxa"/>
            <w:vMerge w:val="continue"/>
            <w:tcBorders>
              <w:tl2br w:val="nil"/>
              <w:tr2bl w:val="nil"/>
            </w:tcBorders>
            <w:vAlign w:val="center"/>
          </w:tcPr>
          <w:p w14:paraId="2CE4606C">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1E1AD620">
            <w:pPr>
              <w:widowControl/>
              <w:spacing w:line="240" w:lineRule="auto"/>
              <w:jc w:val="center"/>
              <w:rPr>
                <w:color w:val="000000"/>
                <w:sz w:val="21"/>
                <w:szCs w:val="21"/>
                <w:highlight w:val="none"/>
              </w:rPr>
            </w:pPr>
          </w:p>
        </w:tc>
        <w:tc>
          <w:tcPr>
            <w:tcW w:w="1429" w:type="dxa"/>
            <w:tcBorders>
              <w:tl2br w:val="nil"/>
              <w:tr2bl w:val="nil"/>
            </w:tcBorders>
            <w:vAlign w:val="center"/>
          </w:tcPr>
          <w:p w14:paraId="6CE71B6C">
            <w:pPr>
              <w:overflowPunct w:val="0"/>
              <w:autoSpaceDE w:val="0"/>
              <w:autoSpaceDN w:val="0"/>
              <w:adjustRightInd w:val="0"/>
              <w:spacing w:line="240" w:lineRule="auto"/>
              <w:jc w:val="center"/>
              <w:textAlignment w:val="baseline"/>
              <w:rPr>
                <w:b/>
                <w:bCs/>
                <w:color w:val="000000"/>
                <w:sz w:val="21"/>
                <w:szCs w:val="21"/>
                <w:highlight w:val="none"/>
              </w:rPr>
            </w:pPr>
            <w:r>
              <w:rPr>
                <w:sz w:val="21"/>
                <w:szCs w:val="21"/>
                <w:highlight w:val="none"/>
              </w:rPr>
              <w:t>0.05</w:t>
            </w:r>
          </w:p>
        </w:tc>
      </w:tr>
      <w:tr w14:paraId="59148A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55" w:type="dxa"/>
            <w:vMerge w:val="continue"/>
            <w:tcBorders>
              <w:tl2br w:val="nil"/>
              <w:tr2bl w:val="nil"/>
            </w:tcBorders>
            <w:vAlign w:val="center"/>
          </w:tcPr>
          <w:p w14:paraId="78C21C13">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39E3BFE5">
            <w:pPr>
              <w:widowControl/>
              <w:spacing w:line="240" w:lineRule="auto"/>
              <w:jc w:val="center"/>
              <w:rPr>
                <w:color w:val="000000"/>
                <w:sz w:val="21"/>
                <w:szCs w:val="21"/>
                <w:highlight w:val="none"/>
              </w:rPr>
            </w:pPr>
          </w:p>
        </w:tc>
        <w:tc>
          <w:tcPr>
            <w:tcW w:w="1807" w:type="dxa"/>
            <w:tcBorders>
              <w:tl2br w:val="nil"/>
              <w:tr2bl w:val="nil"/>
            </w:tcBorders>
            <w:vAlign w:val="center"/>
          </w:tcPr>
          <w:p w14:paraId="1BB3C916">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二氯甲烷</w:t>
            </w:r>
          </w:p>
        </w:tc>
        <w:tc>
          <w:tcPr>
            <w:tcW w:w="3568" w:type="dxa"/>
            <w:vMerge w:val="continue"/>
            <w:tcBorders>
              <w:tl2br w:val="nil"/>
              <w:tr2bl w:val="nil"/>
            </w:tcBorders>
            <w:vAlign w:val="center"/>
          </w:tcPr>
          <w:p w14:paraId="1471FAC0">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3BF00BE4">
            <w:pPr>
              <w:widowControl/>
              <w:spacing w:line="240" w:lineRule="auto"/>
              <w:jc w:val="center"/>
              <w:rPr>
                <w:color w:val="000000"/>
                <w:sz w:val="21"/>
                <w:szCs w:val="21"/>
                <w:highlight w:val="none"/>
              </w:rPr>
            </w:pPr>
          </w:p>
        </w:tc>
        <w:tc>
          <w:tcPr>
            <w:tcW w:w="1429" w:type="dxa"/>
            <w:tcBorders>
              <w:tl2br w:val="nil"/>
              <w:tr2bl w:val="nil"/>
            </w:tcBorders>
            <w:vAlign w:val="center"/>
          </w:tcPr>
          <w:p w14:paraId="154CEA27">
            <w:pPr>
              <w:overflowPunct w:val="0"/>
              <w:autoSpaceDE w:val="0"/>
              <w:autoSpaceDN w:val="0"/>
              <w:adjustRightInd w:val="0"/>
              <w:spacing w:line="240" w:lineRule="auto"/>
              <w:jc w:val="center"/>
              <w:textAlignment w:val="baseline"/>
              <w:rPr>
                <w:b/>
                <w:bCs/>
                <w:color w:val="000000"/>
                <w:sz w:val="21"/>
                <w:szCs w:val="21"/>
                <w:highlight w:val="none"/>
              </w:rPr>
            </w:pPr>
            <w:r>
              <w:rPr>
                <w:sz w:val="21"/>
                <w:szCs w:val="21"/>
                <w:highlight w:val="none"/>
              </w:rPr>
              <w:t>0.05</w:t>
            </w:r>
          </w:p>
        </w:tc>
      </w:tr>
      <w:tr w14:paraId="6BFF36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1244C15B">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533A1A11">
            <w:pPr>
              <w:widowControl/>
              <w:spacing w:line="240" w:lineRule="auto"/>
              <w:jc w:val="center"/>
              <w:rPr>
                <w:color w:val="000000"/>
                <w:sz w:val="21"/>
                <w:szCs w:val="21"/>
                <w:highlight w:val="none"/>
              </w:rPr>
            </w:pPr>
          </w:p>
        </w:tc>
        <w:tc>
          <w:tcPr>
            <w:tcW w:w="1807" w:type="dxa"/>
            <w:tcBorders>
              <w:tl2br w:val="nil"/>
              <w:tr2bl w:val="nil"/>
            </w:tcBorders>
            <w:vAlign w:val="center"/>
          </w:tcPr>
          <w:p w14:paraId="746933E9">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反式-1,2-二氯乙烯</w:t>
            </w:r>
          </w:p>
        </w:tc>
        <w:tc>
          <w:tcPr>
            <w:tcW w:w="3568" w:type="dxa"/>
            <w:vMerge w:val="continue"/>
            <w:tcBorders>
              <w:tl2br w:val="nil"/>
              <w:tr2bl w:val="nil"/>
            </w:tcBorders>
            <w:vAlign w:val="center"/>
          </w:tcPr>
          <w:p w14:paraId="1B80B46D">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35823BFE">
            <w:pPr>
              <w:widowControl/>
              <w:spacing w:line="240" w:lineRule="auto"/>
              <w:jc w:val="center"/>
              <w:rPr>
                <w:color w:val="000000"/>
                <w:sz w:val="21"/>
                <w:szCs w:val="21"/>
                <w:highlight w:val="none"/>
              </w:rPr>
            </w:pPr>
          </w:p>
        </w:tc>
        <w:tc>
          <w:tcPr>
            <w:tcW w:w="1429" w:type="dxa"/>
            <w:tcBorders>
              <w:tl2br w:val="nil"/>
              <w:tr2bl w:val="nil"/>
            </w:tcBorders>
            <w:vAlign w:val="center"/>
          </w:tcPr>
          <w:p w14:paraId="6EF9EBA3">
            <w:pPr>
              <w:overflowPunct w:val="0"/>
              <w:autoSpaceDE w:val="0"/>
              <w:autoSpaceDN w:val="0"/>
              <w:adjustRightInd w:val="0"/>
              <w:spacing w:line="240" w:lineRule="auto"/>
              <w:jc w:val="center"/>
              <w:textAlignment w:val="baseline"/>
              <w:rPr>
                <w:b/>
                <w:bCs/>
                <w:color w:val="000000"/>
                <w:sz w:val="21"/>
                <w:szCs w:val="21"/>
                <w:highlight w:val="none"/>
              </w:rPr>
            </w:pPr>
            <w:r>
              <w:rPr>
                <w:sz w:val="21"/>
                <w:szCs w:val="21"/>
                <w:highlight w:val="none"/>
              </w:rPr>
              <w:t>0.05</w:t>
            </w:r>
          </w:p>
        </w:tc>
      </w:tr>
      <w:tr w14:paraId="4C5C15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08FBA837">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72DDA22E">
            <w:pPr>
              <w:widowControl/>
              <w:spacing w:line="240" w:lineRule="auto"/>
              <w:jc w:val="center"/>
              <w:rPr>
                <w:color w:val="000000"/>
                <w:sz w:val="21"/>
                <w:szCs w:val="21"/>
                <w:highlight w:val="none"/>
              </w:rPr>
            </w:pPr>
          </w:p>
        </w:tc>
        <w:tc>
          <w:tcPr>
            <w:tcW w:w="1807" w:type="dxa"/>
            <w:tcBorders>
              <w:tl2br w:val="nil"/>
              <w:tr2bl w:val="nil"/>
            </w:tcBorders>
            <w:vAlign w:val="center"/>
          </w:tcPr>
          <w:p w14:paraId="1D58C804">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1,1-二氯乙烷</w:t>
            </w:r>
          </w:p>
        </w:tc>
        <w:tc>
          <w:tcPr>
            <w:tcW w:w="3568" w:type="dxa"/>
            <w:vMerge w:val="continue"/>
            <w:tcBorders>
              <w:tl2br w:val="nil"/>
              <w:tr2bl w:val="nil"/>
            </w:tcBorders>
            <w:vAlign w:val="center"/>
          </w:tcPr>
          <w:p w14:paraId="312F17DB">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6BF43C01">
            <w:pPr>
              <w:widowControl/>
              <w:spacing w:line="240" w:lineRule="auto"/>
              <w:jc w:val="center"/>
              <w:rPr>
                <w:color w:val="000000"/>
                <w:sz w:val="21"/>
                <w:szCs w:val="21"/>
                <w:highlight w:val="none"/>
              </w:rPr>
            </w:pPr>
          </w:p>
        </w:tc>
        <w:tc>
          <w:tcPr>
            <w:tcW w:w="1429" w:type="dxa"/>
            <w:tcBorders>
              <w:tl2br w:val="nil"/>
              <w:tr2bl w:val="nil"/>
            </w:tcBorders>
            <w:vAlign w:val="center"/>
          </w:tcPr>
          <w:p w14:paraId="6EDBA78A">
            <w:pPr>
              <w:overflowPunct w:val="0"/>
              <w:autoSpaceDE w:val="0"/>
              <w:autoSpaceDN w:val="0"/>
              <w:adjustRightInd w:val="0"/>
              <w:spacing w:line="240" w:lineRule="auto"/>
              <w:jc w:val="center"/>
              <w:textAlignment w:val="baseline"/>
              <w:rPr>
                <w:b/>
                <w:bCs/>
                <w:color w:val="000000"/>
                <w:sz w:val="21"/>
                <w:szCs w:val="21"/>
                <w:highlight w:val="none"/>
              </w:rPr>
            </w:pPr>
            <w:r>
              <w:rPr>
                <w:sz w:val="21"/>
                <w:szCs w:val="21"/>
                <w:highlight w:val="none"/>
              </w:rPr>
              <w:t>0.05</w:t>
            </w:r>
          </w:p>
        </w:tc>
      </w:tr>
      <w:tr w14:paraId="0AB6E5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71EE7B10">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38353B36">
            <w:pPr>
              <w:widowControl/>
              <w:spacing w:line="240" w:lineRule="auto"/>
              <w:jc w:val="center"/>
              <w:rPr>
                <w:color w:val="000000"/>
                <w:sz w:val="21"/>
                <w:szCs w:val="21"/>
                <w:highlight w:val="none"/>
              </w:rPr>
            </w:pPr>
          </w:p>
        </w:tc>
        <w:tc>
          <w:tcPr>
            <w:tcW w:w="1807" w:type="dxa"/>
            <w:tcBorders>
              <w:tl2br w:val="nil"/>
              <w:tr2bl w:val="nil"/>
            </w:tcBorders>
            <w:vAlign w:val="center"/>
          </w:tcPr>
          <w:p w14:paraId="264058F8">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顺式-1,2-二氯乙烯</w:t>
            </w:r>
          </w:p>
        </w:tc>
        <w:tc>
          <w:tcPr>
            <w:tcW w:w="3568" w:type="dxa"/>
            <w:vMerge w:val="continue"/>
            <w:tcBorders>
              <w:tl2br w:val="nil"/>
              <w:tr2bl w:val="nil"/>
            </w:tcBorders>
            <w:vAlign w:val="center"/>
          </w:tcPr>
          <w:p w14:paraId="59A0E2DD">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26C1BCE2">
            <w:pPr>
              <w:widowControl/>
              <w:spacing w:line="240" w:lineRule="auto"/>
              <w:jc w:val="center"/>
              <w:rPr>
                <w:color w:val="000000"/>
                <w:sz w:val="21"/>
                <w:szCs w:val="21"/>
                <w:highlight w:val="none"/>
              </w:rPr>
            </w:pPr>
          </w:p>
        </w:tc>
        <w:tc>
          <w:tcPr>
            <w:tcW w:w="1429" w:type="dxa"/>
            <w:tcBorders>
              <w:tl2br w:val="nil"/>
              <w:tr2bl w:val="nil"/>
            </w:tcBorders>
            <w:vAlign w:val="center"/>
          </w:tcPr>
          <w:p w14:paraId="5E9D79E7">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6B7BD3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07097E1E">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48AE6D22">
            <w:pPr>
              <w:widowControl/>
              <w:spacing w:line="240" w:lineRule="auto"/>
              <w:jc w:val="center"/>
              <w:rPr>
                <w:color w:val="000000"/>
                <w:sz w:val="21"/>
                <w:szCs w:val="21"/>
                <w:highlight w:val="none"/>
              </w:rPr>
            </w:pPr>
          </w:p>
        </w:tc>
        <w:tc>
          <w:tcPr>
            <w:tcW w:w="1807" w:type="dxa"/>
            <w:tcBorders>
              <w:tl2br w:val="nil"/>
              <w:tr2bl w:val="nil"/>
            </w:tcBorders>
            <w:vAlign w:val="center"/>
          </w:tcPr>
          <w:p w14:paraId="66331FF6">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1,1,1-三氯乙烷</w:t>
            </w:r>
          </w:p>
        </w:tc>
        <w:tc>
          <w:tcPr>
            <w:tcW w:w="3568" w:type="dxa"/>
            <w:vMerge w:val="continue"/>
            <w:tcBorders>
              <w:tl2br w:val="nil"/>
              <w:tr2bl w:val="nil"/>
            </w:tcBorders>
            <w:vAlign w:val="center"/>
          </w:tcPr>
          <w:p w14:paraId="54A781BA">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413B0228">
            <w:pPr>
              <w:widowControl/>
              <w:spacing w:line="240" w:lineRule="auto"/>
              <w:jc w:val="center"/>
              <w:rPr>
                <w:color w:val="000000"/>
                <w:sz w:val="21"/>
                <w:szCs w:val="21"/>
                <w:highlight w:val="none"/>
              </w:rPr>
            </w:pPr>
          </w:p>
        </w:tc>
        <w:tc>
          <w:tcPr>
            <w:tcW w:w="1429" w:type="dxa"/>
            <w:tcBorders>
              <w:tl2br w:val="nil"/>
              <w:tr2bl w:val="nil"/>
            </w:tcBorders>
            <w:vAlign w:val="center"/>
          </w:tcPr>
          <w:p w14:paraId="57AEA029">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768CF4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5A8D7494">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1C7F36F6">
            <w:pPr>
              <w:widowControl/>
              <w:spacing w:line="240" w:lineRule="auto"/>
              <w:jc w:val="center"/>
              <w:rPr>
                <w:color w:val="000000"/>
                <w:sz w:val="21"/>
                <w:szCs w:val="21"/>
                <w:highlight w:val="none"/>
              </w:rPr>
            </w:pPr>
          </w:p>
        </w:tc>
        <w:tc>
          <w:tcPr>
            <w:tcW w:w="1807" w:type="dxa"/>
            <w:tcBorders>
              <w:tl2br w:val="nil"/>
              <w:tr2bl w:val="nil"/>
            </w:tcBorders>
            <w:vAlign w:val="center"/>
          </w:tcPr>
          <w:p w14:paraId="3E10D997">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四氯化碳</w:t>
            </w:r>
          </w:p>
        </w:tc>
        <w:tc>
          <w:tcPr>
            <w:tcW w:w="3568" w:type="dxa"/>
            <w:vMerge w:val="continue"/>
            <w:tcBorders>
              <w:tl2br w:val="nil"/>
              <w:tr2bl w:val="nil"/>
            </w:tcBorders>
            <w:vAlign w:val="center"/>
          </w:tcPr>
          <w:p w14:paraId="2DCDD319">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07F706B4">
            <w:pPr>
              <w:widowControl/>
              <w:spacing w:line="240" w:lineRule="auto"/>
              <w:jc w:val="center"/>
              <w:rPr>
                <w:color w:val="000000"/>
                <w:sz w:val="21"/>
                <w:szCs w:val="21"/>
                <w:highlight w:val="none"/>
              </w:rPr>
            </w:pPr>
          </w:p>
        </w:tc>
        <w:tc>
          <w:tcPr>
            <w:tcW w:w="1429" w:type="dxa"/>
            <w:tcBorders>
              <w:tl2br w:val="nil"/>
              <w:tr2bl w:val="nil"/>
            </w:tcBorders>
            <w:vAlign w:val="center"/>
          </w:tcPr>
          <w:p w14:paraId="6E7AE5E3">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34766F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4FAC99B1">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4AF56AFB">
            <w:pPr>
              <w:widowControl/>
              <w:spacing w:line="240" w:lineRule="auto"/>
              <w:jc w:val="center"/>
              <w:rPr>
                <w:color w:val="000000"/>
                <w:sz w:val="21"/>
                <w:szCs w:val="21"/>
                <w:highlight w:val="none"/>
              </w:rPr>
            </w:pPr>
          </w:p>
        </w:tc>
        <w:tc>
          <w:tcPr>
            <w:tcW w:w="1807" w:type="dxa"/>
            <w:tcBorders>
              <w:tl2br w:val="nil"/>
              <w:tr2bl w:val="nil"/>
            </w:tcBorders>
            <w:vAlign w:val="center"/>
          </w:tcPr>
          <w:p w14:paraId="0F893609">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1,2-二氯乙烷</w:t>
            </w:r>
          </w:p>
        </w:tc>
        <w:tc>
          <w:tcPr>
            <w:tcW w:w="3568" w:type="dxa"/>
            <w:vMerge w:val="continue"/>
            <w:tcBorders>
              <w:tl2br w:val="nil"/>
              <w:tr2bl w:val="nil"/>
            </w:tcBorders>
            <w:vAlign w:val="center"/>
          </w:tcPr>
          <w:p w14:paraId="203C0F76">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7CC78297">
            <w:pPr>
              <w:widowControl/>
              <w:spacing w:line="240" w:lineRule="auto"/>
              <w:jc w:val="center"/>
              <w:rPr>
                <w:color w:val="000000"/>
                <w:sz w:val="21"/>
                <w:szCs w:val="21"/>
                <w:highlight w:val="none"/>
              </w:rPr>
            </w:pPr>
          </w:p>
        </w:tc>
        <w:tc>
          <w:tcPr>
            <w:tcW w:w="1429" w:type="dxa"/>
            <w:tcBorders>
              <w:tl2br w:val="nil"/>
              <w:tr2bl w:val="nil"/>
            </w:tcBorders>
            <w:vAlign w:val="center"/>
          </w:tcPr>
          <w:p w14:paraId="0BDB6B5F">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656238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475B077D">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628E1CC6">
            <w:pPr>
              <w:widowControl/>
              <w:spacing w:line="240" w:lineRule="auto"/>
              <w:jc w:val="center"/>
              <w:rPr>
                <w:color w:val="000000"/>
                <w:sz w:val="21"/>
                <w:szCs w:val="21"/>
                <w:highlight w:val="none"/>
              </w:rPr>
            </w:pPr>
          </w:p>
        </w:tc>
        <w:tc>
          <w:tcPr>
            <w:tcW w:w="1807" w:type="dxa"/>
            <w:tcBorders>
              <w:tl2br w:val="nil"/>
              <w:tr2bl w:val="nil"/>
            </w:tcBorders>
            <w:vAlign w:val="center"/>
          </w:tcPr>
          <w:p w14:paraId="52BBC50A">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三氯乙烯</w:t>
            </w:r>
          </w:p>
        </w:tc>
        <w:tc>
          <w:tcPr>
            <w:tcW w:w="3568" w:type="dxa"/>
            <w:vMerge w:val="continue"/>
            <w:tcBorders>
              <w:tl2br w:val="nil"/>
              <w:tr2bl w:val="nil"/>
            </w:tcBorders>
            <w:vAlign w:val="center"/>
          </w:tcPr>
          <w:p w14:paraId="2BBA461F">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4300FD00">
            <w:pPr>
              <w:widowControl/>
              <w:spacing w:line="240" w:lineRule="auto"/>
              <w:jc w:val="center"/>
              <w:rPr>
                <w:color w:val="000000"/>
                <w:sz w:val="21"/>
                <w:szCs w:val="21"/>
                <w:highlight w:val="none"/>
              </w:rPr>
            </w:pPr>
          </w:p>
        </w:tc>
        <w:tc>
          <w:tcPr>
            <w:tcW w:w="1429" w:type="dxa"/>
            <w:tcBorders>
              <w:tl2br w:val="nil"/>
              <w:tr2bl w:val="nil"/>
            </w:tcBorders>
            <w:vAlign w:val="center"/>
          </w:tcPr>
          <w:p w14:paraId="2CC35556">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49E00B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689FA86A">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48C625C0">
            <w:pPr>
              <w:widowControl/>
              <w:spacing w:line="240" w:lineRule="auto"/>
              <w:jc w:val="center"/>
              <w:rPr>
                <w:color w:val="000000"/>
                <w:sz w:val="21"/>
                <w:szCs w:val="21"/>
                <w:highlight w:val="none"/>
              </w:rPr>
            </w:pPr>
          </w:p>
        </w:tc>
        <w:tc>
          <w:tcPr>
            <w:tcW w:w="1807" w:type="dxa"/>
            <w:tcBorders>
              <w:tl2br w:val="nil"/>
              <w:tr2bl w:val="nil"/>
            </w:tcBorders>
            <w:vAlign w:val="center"/>
          </w:tcPr>
          <w:p w14:paraId="442427EE">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1,2-二氯丙烷</w:t>
            </w:r>
          </w:p>
        </w:tc>
        <w:tc>
          <w:tcPr>
            <w:tcW w:w="3568" w:type="dxa"/>
            <w:vMerge w:val="continue"/>
            <w:tcBorders>
              <w:tl2br w:val="nil"/>
              <w:tr2bl w:val="nil"/>
            </w:tcBorders>
            <w:vAlign w:val="center"/>
          </w:tcPr>
          <w:p w14:paraId="442182B6">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182474EC">
            <w:pPr>
              <w:widowControl/>
              <w:spacing w:line="240" w:lineRule="auto"/>
              <w:jc w:val="center"/>
              <w:rPr>
                <w:color w:val="000000"/>
                <w:sz w:val="21"/>
                <w:szCs w:val="21"/>
                <w:highlight w:val="none"/>
              </w:rPr>
            </w:pPr>
          </w:p>
        </w:tc>
        <w:tc>
          <w:tcPr>
            <w:tcW w:w="1429" w:type="dxa"/>
            <w:tcBorders>
              <w:tl2br w:val="nil"/>
              <w:tr2bl w:val="nil"/>
            </w:tcBorders>
            <w:vAlign w:val="center"/>
          </w:tcPr>
          <w:p w14:paraId="622B21C3">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47A109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1EAE6719">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3F0CED89">
            <w:pPr>
              <w:widowControl/>
              <w:spacing w:line="240" w:lineRule="auto"/>
              <w:jc w:val="center"/>
              <w:rPr>
                <w:color w:val="000000"/>
                <w:sz w:val="21"/>
                <w:szCs w:val="21"/>
                <w:highlight w:val="none"/>
              </w:rPr>
            </w:pPr>
          </w:p>
        </w:tc>
        <w:tc>
          <w:tcPr>
            <w:tcW w:w="1807" w:type="dxa"/>
            <w:tcBorders>
              <w:tl2br w:val="nil"/>
              <w:tr2bl w:val="nil"/>
            </w:tcBorders>
            <w:vAlign w:val="center"/>
          </w:tcPr>
          <w:p w14:paraId="22CD8793">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1,1,2-三氯乙烷</w:t>
            </w:r>
          </w:p>
        </w:tc>
        <w:tc>
          <w:tcPr>
            <w:tcW w:w="3568" w:type="dxa"/>
            <w:vMerge w:val="continue"/>
            <w:tcBorders>
              <w:tl2br w:val="nil"/>
              <w:tr2bl w:val="nil"/>
            </w:tcBorders>
            <w:vAlign w:val="center"/>
          </w:tcPr>
          <w:p w14:paraId="28D2E4C0">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5173D5E1">
            <w:pPr>
              <w:widowControl/>
              <w:spacing w:line="240" w:lineRule="auto"/>
              <w:jc w:val="center"/>
              <w:rPr>
                <w:color w:val="000000"/>
                <w:sz w:val="21"/>
                <w:szCs w:val="21"/>
                <w:highlight w:val="none"/>
              </w:rPr>
            </w:pPr>
          </w:p>
        </w:tc>
        <w:tc>
          <w:tcPr>
            <w:tcW w:w="1429" w:type="dxa"/>
            <w:tcBorders>
              <w:tl2br w:val="nil"/>
              <w:tr2bl w:val="nil"/>
            </w:tcBorders>
            <w:vAlign w:val="center"/>
          </w:tcPr>
          <w:p w14:paraId="56C83FA7">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588A0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31BD3938">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55545DC8">
            <w:pPr>
              <w:widowControl/>
              <w:spacing w:line="240" w:lineRule="auto"/>
              <w:jc w:val="center"/>
              <w:rPr>
                <w:color w:val="000000"/>
                <w:sz w:val="21"/>
                <w:szCs w:val="21"/>
                <w:highlight w:val="none"/>
              </w:rPr>
            </w:pPr>
          </w:p>
        </w:tc>
        <w:tc>
          <w:tcPr>
            <w:tcW w:w="1807" w:type="dxa"/>
            <w:tcBorders>
              <w:tl2br w:val="nil"/>
              <w:tr2bl w:val="nil"/>
            </w:tcBorders>
            <w:vAlign w:val="center"/>
          </w:tcPr>
          <w:p w14:paraId="0C232FEA">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四氯乙烯</w:t>
            </w:r>
          </w:p>
        </w:tc>
        <w:tc>
          <w:tcPr>
            <w:tcW w:w="3568" w:type="dxa"/>
            <w:vMerge w:val="continue"/>
            <w:tcBorders>
              <w:tl2br w:val="nil"/>
              <w:tr2bl w:val="nil"/>
            </w:tcBorders>
            <w:vAlign w:val="center"/>
          </w:tcPr>
          <w:p w14:paraId="23747A11">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62643852">
            <w:pPr>
              <w:widowControl/>
              <w:spacing w:line="240" w:lineRule="auto"/>
              <w:jc w:val="center"/>
              <w:rPr>
                <w:color w:val="000000"/>
                <w:sz w:val="21"/>
                <w:szCs w:val="21"/>
                <w:highlight w:val="none"/>
              </w:rPr>
            </w:pPr>
          </w:p>
        </w:tc>
        <w:tc>
          <w:tcPr>
            <w:tcW w:w="1429" w:type="dxa"/>
            <w:tcBorders>
              <w:tl2br w:val="nil"/>
              <w:tr2bl w:val="nil"/>
            </w:tcBorders>
            <w:vAlign w:val="center"/>
          </w:tcPr>
          <w:p w14:paraId="1AC181F4">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10CCBD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3000CB20">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27CDF399">
            <w:pPr>
              <w:widowControl/>
              <w:spacing w:line="240" w:lineRule="auto"/>
              <w:jc w:val="center"/>
              <w:rPr>
                <w:color w:val="000000"/>
                <w:sz w:val="21"/>
                <w:szCs w:val="21"/>
                <w:highlight w:val="none"/>
              </w:rPr>
            </w:pPr>
          </w:p>
        </w:tc>
        <w:tc>
          <w:tcPr>
            <w:tcW w:w="1807" w:type="dxa"/>
            <w:tcBorders>
              <w:tl2br w:val="nil"/>
              <w:tr2bl w:val="nil"/>
            </w:tcBorders>
            <w:vAlign w:val="center"/>
          </w:tcPr>
          <w:p w14:paraId="6FD9CFDC">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1,1,1,2-四氯乙烷</w:t>
            </w:r>
          </w:p>
        </w:tc>
        <w:tc>
          <w:tcPr>
            <w:tcW w:w="3568" w:type="dxa"/>
            <w:vMerge w:val="continue"/>
            <w:tcBorders>
              <w:tl2br w:val="nil"/>
              <w:tr2bl w:val="nil"/>
            </w:tcBorders>
            <w:vAlign w:val="center"/>
          </w:tcPr>
          <w:p w14:paraId="14E98B93">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0E3403DE">
            <w:pPr>
              <w:widowControl/>
              <w:spacing w:line="240" w:lineRule="auto"/>
              <w:jc w:val="center"/>
              <w:rPr>
                <w:color w:val="000000"/>
                <w:sz w:val="21"/>
                <w:szCs w:val="21"/>
                <w:highlight w:val="none"/>
              </w:rPr>
            </w:pPr>
          </w:p>
        </w:tc>
        <w:tc>
          <w:tcPr>
            <w:tcW w:w="1429" w:type="dxa"/>
            <w:tcBorders>
              <w:tl2br w:val="nil"/>
              <w:tr2bl w:val="nil"/>
            </w:tcBorders>
            <w:vAlign w:val="center"/>
          </w:tcPr>
          <w:p w14:paraId="74EB0CA8">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65168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6E14F2CC">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573AC091">
            <w:pPr>
              <w:widowControl/>
              <w:spacing w:line="240" w:lineRule="auto"/>
              <w:jc w:val="center"/>
              <w:rPr>
                <w:color w:val="000000"/>
                <w:sz w:val="21"/>
                <w:szCs w:val="21"/>
                <w:highlight w:val="none"/>
              </w:rPr>
            </w:pPr>
          </w:p>
        </w:tc>
        <w:tc>
          <w:tcPr>
            <w:tcW w:w="1807" w:type="dxa"/>
            <w:tcBorders>
              <w:tl2br w:val="nil"/>
              <w:tr2bl w:val="nil"/>
            </w:tcBorders>
            <w:vAlign w:val="center"/>
          </w:tcPr>
          <w:p w14:paraId="45658689">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1,1,2,2-四氯乙烷</w:t>
            </w:r>
          </w:p>
        </w:tc>
        <w:tc>
          <w:tcPr>
            <w:tcW w:w="3568" w:type="dxa"/>
            <w:vMerge w:val="continue"/>
            <w:tcBorders>
              <w:tl2br w:val="nil"/>
              <w:tr2bl w:val="nil"/>
            </w:tcBorders>
            <w:vAlign w:val="center"/>
          </w:tcPr>
          <w:p w14:paraId="63C8A770">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659D6EC7">
            <w:pPr>
              <w:widowControl/>
              <w:spacing w:line="240" w:lineRule="auto"/>
              <w:jc w:val="center"/>
              <w:rPr>
                <w:color w:val="000000"/>
                <w:sz w:val="21"/>
                <w:szCs w:val="21"/>
                <w:highlight w:val="none"/>
              </w:rPr>
            </w:pPr>
          </w:p>
        </w:tc>
        <w:tc>
          <w:tcPr>
            <w:tcW w:w="1429" w:type="dxa"/>
            <w:tcBorders>
              <w:tl2br w:val="nil"/>
              <w:tr2bl w:val="nil"/>
            </w:tcBorders>
            <w:vAlign w:val="center"/>
          </w:tcPr>
          <w:p w14:paraId="6EF3BB28">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754D12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2FCBA866">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52B91071">
            <w:pPr>
              <w:widowControl/>
              <w:spacing w:line="240" w:lineRule="auto"/>
              <w:jc w:val="center"/>
              <w:rPr>
                <w:color w:val="000000"/>
                <w:sz w:val="21"/>
                <w:szCs w:val="21"/>
                <w:highlight w:val="none"/>
              </w:rPr>
            </w:pPr>
          </w:p>
        </w:tc>
        <w:tc>
          <w:tcPr>
            <w:tcW w:w="1807" w:type="dxa"/>
            <w:tcBorders>
              <w:tl2br w:val="nil"/>
              <w:tr2bl w:val="nil"/>
            </w:tcBorders>
            <w:vAlign w:val="center"/>
          </w:tcPr>
          <w:p w14:paraId="5E8C249D">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1,2,3-三氯丙烷</w:t>
            </w:r>
          </w:p>
        </w:tc>
        <w:tc>
          <w:tcPr>
            <w:tcW w:w="3568" w:type="dxa"/>
            <w:vMerge w:val="continue"/>
            <w:tcBorders>
              <w:tl2br w:val="nil"/>
              <w:tr2bl w:val="nil"/>
            </w:tcBorders>
            <w:vAlign w:val="center"/>
          </w:tcPr>
          <w:p w14:paraId="6F01661C">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1F56342C">
            <w:pPr>
              <w:widowControl/>
              <w:spacing w:line="240" w:lineRule="auto"/>
              <w:jc w:val="center"/>
              <w:rPr>
                <w:color w:val="000000"/>
                <w:sz w:val="21"/>
                <w:szCs w:val="21"/>
                <w:highlight w:val="none"/>
              </w:rPr>
            </w:pPr>
          </w:p>
        </w:tc>
        <w:tc>
          <w:tcPr>
            <w:tcW w:w="1429" w:type="dxa"/>
            <w:tcBorders>
              <w:tl2br w:val="nil"/>
              <w:tr2bl w:val="nil"/>
            </w:tcBorders>
            <w:vAlign w:val="center"/>
          </w:tcPr>
          <w:p w14:paraId="0CE34B15">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2A53CE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707DA152">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03CFD028">
            <w:pPr>
              <w:widowControl/>
              <w:spacing w:line="240" w:lineRule="auto"/>
              <w:jc w:val="center"/>
              <w:rPr>
                <w:color w:val="000000"/>
                <w:sz w:val="21"/>
                <w:szCs w:val="21"/>
                <w:highlight w:val="none"/>
              </w:rPr>
            </w:pPr>
          </w:p>
        </w:tc>
        <w:tc>
          <w:tcPr>
            <w:tcW w:w="1807" w:type="dxa"/>
            <w:tcBorders>
              <w:tl2br w:val="nil"/>
              <w:tr2bl w:val="nil"/>
            </w:tcBorders>
            <w:vAlign w:val="center"/>
          </w:tcPr>
          <w:p w14:paraId="208471D1">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氯苯</w:t>
            </w:r>
          </w:p>
        </w:tc>
        <w:tc>
          <w:tcPr>
            <w:tcW w:w="3568" w:type="dxa"/>
            <w:vMerge w:val="continue"/>
            <w:tcBorders>
              <w:tl2br w:val="nil"/>
              <w:tr2bl w:val="nil"/>
            </w:tcBorders>
            <w:vAlign w:val="center"/>
          </w:tcPr>
          <w:p w14:paraId="7E1D54B5">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12011E36">
            <w:pPr>
              <w:widowControl/>
              <w:spacing w:line="240" w:lineRule="auto"/>
              <w:jc w:val="center"/>
              <w:rPr>
                <w:color w:val="000000"/>
                <w:sz w:val="21"/>
                <w:szCs w:val="21"/>
                <w:highlight w:val="none"/>
              </w:rPr>
            </w:pPr>
          </w:p>
        </w:tc>
        <w:tc>
          <w:tcPr>
            <w:tcW w:w="1429" w:type="dxa"/>
            <w:tcBorders>
              <w:tl2br w:val="nil"/>
              <w:tr2bl w:val="nil"/>
            </w:tcBorders>
            <w:vAlign w:val="center"/>
          </w:tcPr>
          <w:p w14:paraId="562733F0">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23A63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52BCC037">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7F3EE265">
            <w:pPr>
              <w:widowControl/>
              <w:spacing w:line="240" w:lineRule="auto"/>
              <w:jc w:val="center"/>
              <w:rPr>
                <w:color w:val="000000"/>
                <w:sz w:val="21"/>
                <w:szCs w:val="21"/>
                <w:highlight w:val="none"/>
              </w:rPr>
            </w:pPr>
          </w:p>
        </w:tc>
        <w:tc>
          <w:tcPr>
            <w:tcW w:w="1807" w:type="dxa"/>
            <w:tcBorders>
              <w:tl2br w:val="nil"/>
              <w:tr2bl w:val="nil"/>
            </w:tcBorders>
            <w:vAlign w:val="center"/>
          </w:tcPr>
          <w:p w14:paraId="3BC1D762">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1,4-二氯苯</w:t>
            </w:r>
          </w:p>
        </w:tc>
        <w:tc>
          <w:tcPr>
            <w:tcW w:w="3568" w:type="dxa"/>
            <w:vMerge w:val="continue"/>
            <w:tcBorders>
              <w:tl2br w:val="nil"/>
              <w:tr2bl w:val="nil"/>
            </w:tcBorders>
            <w:vAlign w:val="center"/>
          </w:tcPr>
          <w:p w14:paraId="48BE5C4C">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5DA16084">
            <w:pPr>
              <w:widowControl/>
              <w:spacing w:line="240" w:lineRule="auto"/>
              <w:jc w:val="center"/>
              <w:rPr>
                <w:color w:val="000000"/>
                <w:sz w:val="21"/>
                <w:szCs w:val="21"/>
                <w:highlight w:val="none"/>
              </w:rPr>
            </w:pPr>
          </w:p>
        </w:tc>
        <w:tc>
          <w:tcPr>
            <w:tcW w:w="1429" w:type="dxa"/>
            <w:tcBorders>
              <w:tl2br w:val="nil"/>
              <w:tr2bl w:val="nil"/>
            </w:tcBorders>
            <w:vAlign w:val="center"/>
          </w:tcPr>
          <w:p w14:paraId="3965E6B2">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064E1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00B9801E">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21217F19">
            <w:pPr>
              <w:widowControl/>
              <w:spacing w:line="240" w:lineRule="auto"/>
              <w:jc w:val="center"/>
              <w:rPr>
                <w:color w:val="000000"/>
                <w:sz w:val="21"/>
                <w:szCs w:val="21"/>
                <w:highlight w:val="none"/>
              </w:rPr>
            </w:pPr>
          </w:p>
        </w:tc>
        <w:tc>
          <w:tcPr>
            <w:tcW w:w="1807" w:type="dxa"/>
            <w:tcBorders>
              <w:tl2br w:val="nil"/>
              <w:tr2bl w:val="nil"/>
            </w:tcBorders>
            <w:vAlign w:val="center"/>
          </w:tcPr>
          <w:p w14:paraId="4713808D">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1,2-二氯苯</w:t>
            </w:r>
          </w:p>
        </w:tc>
        <w:tc>
          <w:tcPr>
            <w:tcW w:w="3568" w:type="dxa"/>
            <w:vMerge w:val="continue"/>
            <w:tcBorders>
              <w:tl2br w:val="nil"/>
              <w:tr2bl w:val="nil"/>
            </w:tcBorders>
            <w:vAlign w:val="center"/>
          </w:tcPr>
          <w:p w14:paraId="7A18FFD9">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0A3A1408">
            <w:pPr>
              <w:widowControl/>
              <w:spacing w:line="240" w:lineRule="auto"/>
              <w:jc w:val="center"/>
              <w:rPr>
                <w:color w:val="000000"/>
                <w:sz w:val="21"/>
                <w:szCs w:val="21"/>
                <w:highlight w:val="none"/>
              </w:rPr>
            </w:pPr>
          </w:p>
        </w:tc>
        <w:tc>
          <w:tcPr>
            <w:tcW w:w="1429" w:type="dxa"/>
            <w:tcBorders>
              <w:tl2br w:val="nil"/>
              <w:tr2bl w:val="nil"/>
            </w:tcBorders>
            <w:vAlign w:val="center"/>
          </w:tcPr>
          <w:p w14:paraId="005CD9D8">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0.05</w:t>
            </w:r>
          </w:p>
        </w:tc>
      </w:tr>
      <w:tr w14:paraId="111796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3656B90B">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30B7CA74">
            <w:pPr>
              <w:widowControl/>
              <w:spacing w:line="240" w:lineRule="auto"/>
              <w:jc w:val="center"/>
              <w:rPr>
                <w:color w:val="000000"/>
                <w:sz w:val="21"/>
                <w:szCs w:val="21"/>
                <w:highlight w:val="none"/>
              </w:rPr>
            </w:pPr>
          </w:p>
        </w:tc>
        <w:tc>
          <w:tcPr>
            <w:tcW w:w="1807" w:type="dxa"/>
            <w:tcBorders>
              <w:tl2br w:val="nil"/>
              <w:tr2bl w:val="nil"/>
            </w:tcBorders>
            <w:vAlign w:val="center"/>
          </w:tcPr>
          <w:p w14:paraId="209C3A6C">
            <w:pPr>
              <w:overflowPunct w:val="0"/>
              <w:autoSpaceDE w:val="0"/>
              <w:autoSpaceDN w:val="0"/>
              <w:adjustRightInd w:val="0"/>
              <w:spacing w:line="240" w:lineRule="auto"/>
              <w:jc w:val="center"/>
              <w:textAlignment w:val="baseline"/>
              <w:rPr>
                <w:color w:val="000000"/>
                <w:sz w:val="21"/>
                <w:szCs w:val="21"/>
                <w:highlight w:val="none"/>
              </w:rPr>
            </w:pPr>
            <w:r>
              <w:rPr>
                <w:rFonts w:hint="eastAsia"/>
                <w:color w:val="000000"/>
                <w:sz w:val="21"/>
                <w:szCs w:val="21"/>
                <w:highlight w:val="none"/>
              </w:rPr>
              <w:t>氯仿</w:t>
            </w:r>
            <w:r>
              <w:rPr>
                <w:color w:val="000000"/>
                <w:sz w:val="21"/>
                <w:szCs w:val="21"/>
                <w:highlight w:val="none"/>
              </w:rPr>
              <w:t>(氯仿)</w:t>
            </w:r>
          </w:p>
        </w:tc>
        <w:tc>
          <w:tcPr>
            <w:tcW w:w="3568" w:type="dxa"/>
            <w:vMerge w:val="continue"/>
            <w:tcBorders>
              <w:tl2br w:val="nil"/>
              <w:tr2bl w:val="nil"/>
            </w:tcBorders>
            <w:vAlign w:val="center"/>
          </w:tcPr>
          <w:p w14:paraId="07A20976">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4B5D11F6">
            <w:pPr>
              <w:widowControl/>
              <w:spacing w:line="240" w:lineRule="auto"/>
              <w:jc w:val="center"/>
              <w:rPr>
                <w:color w:val="000000"/>
                <w:sz w:val="21"/>
                <w:szCs w:val="21"/>
                <w:highlight w:val="none"/>
              </w:rPr>
            </w:pPr>
          </w:p>
        </w:tc>
        <w:tc>
          <w:tcPr>
            <w:tcW w:w="1429" w:type="dxa"/>
            <w:tcBorders>
              <w:tl2br w:val="nil"/>
              <w:tr2bl w:val="nil"/>
            </w:tcBorders>
            <w:vAlign w:val="center"/>
          </w:tcPr>
          <w:p w14:paraId="2E2C1983">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0.05</w:t>
            </w:r>
          </w:p>
        </w:tc>
      </w:tr>
      <w:tr w14:paraId="0A4B8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618F19BF">
            <w:pPr>
              <w:widowControl/>
              <w:spacing w:line="240" w:lineRule="auto"/>
              <w:jc w:val="center"/>
              <w:rPr>
                <w:color w:val="000000"/>
                <w:sz w:val="21"/>
                <w:szCs w:val="21"/>
                <w:highlight w:val="none"/>
              </w:rPr>
            </w:pPr>
          </w:p>
        </w:tc>
        <w:tc>
          <w:tcPr>
            <w:tcW w:w="763" w:type="dxa"/>
            <w:vMerge w:val="restart"/>
            <w:tcBorders>
              <w:tl2br w:val="nil"/>
              <w:tr2bl w:val="nil"/>
            </w:tcBorders>
            <w:vAlign w:val="center"/>
          </w:tcPr>
          <w:p w14:paraId="381B678F">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半挥发性有机物</w:t>
            </w:r>
          </w:p>
        </w:tc>
        <w:tc>
          <w:tcPr>
            <w:tcW w:w="1807" w:type="dxa"/>
            <w:tcBorders>
              <w:tl2br w:val="nil"/>
              <w:tr2bl w:val="nil"/>
            </w:tcBorders>
            <w:vAlign w:val="center"/>
          </w:tcPr>
          <w:p w14:paraId="44157C05">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2-氯酚</w:t>
            </w:r>
          </w:p>
        </w:tc>
        <w:tc>
          <w:tcPr>
            <w:tcW w:w="3568" w:type="dxa"/>
            <w:vMerge w:val="restart"/>
            <w:tcBorders>
              <w:tl2br w:val="nil"/>
              <w:tr2bl w:val="nil"/>
            </w:tcBorders>
            <w:vAlign w:val="center"/>
          </w:tcPr>
          <w:p w14:paraId="43CB9443">
            <w:pPr>
              <w:widowControl/>
              <w:spacing w:line="240" w:lineRule="auto"/>
              <w:jc w:val="center"/>
              <w:rPr>
                <w:color w:val="000000"/>
                <w:sz w:val="21"/>
                <w:szCs w:val="21"/>
                <w:highlight w:val="none"/>
              </w:rPr>
            </w:pPr>
            <w:r>
              <w:rPr>
                <w:color w:val="000000"/>
                <w:kern w:val="0"/>
                <w:sz w:val="21"/>
                <w:szCs w:val="21"/>
                <w:highlight w:val="none"/>
              </w:rPr>
              <w:t>土壤和沉积物 半挥发性有机物的测定 气相色谱-质谱法</w:t>
            </w:r>
          </w:p>
        </w:tc>
        <w:tc>
          <w:tcPr>
            <w:tcW w:w="1476" w:type="dxa"/>
            <w:vMerge w:val="restart"/>
            <w:tcBorders>
              <w:tl2br w:val="nil"/>
              <w:tr2bl w:val="nil"/>
            </w:tcBorders>
            <w:vAlign w:val="center"/>
          </w:tcPr>
          <w:p w14:paraId="5EE2ED24">
            <w:pPr>
              <w:widowControl/>
              <w:spacing w:line="240" w:lineRule="auto"/>
              <w:jc w:val="center"/>
              <w:rPr>
                <w:color w:val="000000"/>
                <w:sz w:val="21"/>
                <w:szCs w:val="21"/>
                <w:highlight w:val="none"/>
              </w:rPr>
            </w:pPr>
            <w:r>
              <w:rPr>
                <w:color w:val="000000"/>
                <w:kern w:val="0"/>
                <w:sz w:val="21"/>
                <w:szCs w:val="21"/>
                <w:highlight w:val="none"/>
              </w:rPr>
              <w:t>HJ 834-2017</w:t>
            </w:r>
          </w:p>
        </w:tc>
        <w:tc>
          <w:tcPr>
            <w:tcW w:w="1429" w:type="dxa"/>
            <w:tcBorders>
              <w:tl2br w:val="nil"/>
              <w:tr2bl w:val="nil"/>
            </w:tcBorders>
            <w:vAlign w:val="center"/>
          </w:tcPr>
          <w:p w14:paraId="1F3A0A06">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0.06</w:t>
            </w:r>
          </w:p>
        </w:tc>
      </w:tr>
      <w:tr w14:paraId="45A95D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120CB8DE">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5FE97B3D">
            <w:pPr>
              <w:widowControl/>
              <w:spacing w:line="240" w:lineRule="auto"/>
              <w:jc w:val="center"/>
              <w:rPr>
                <w:color w:val="000000"/>
                <w:sz w:val="21"/>
                <w:szCs w:val="21"/>
                <w:highlight w:val="none"/>
              </w:rPr>
            </w:pPr>
          </w:p>
        </w:tc>
        <w:tc>
          <w:tcPr>
            <w:tcW w:w="1807" w:type="dxa"/>
            <w:tcBorders>
              <w:tl2br w:val="nil"/>
              <w:tr2bl w:val="nil"/>
            </w:tcBorders>
            <w:vAlign w:val="center"/>
          </w:tcPr>
          <w:p w14:paraId="3579F611">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萘</w:t>
            </w:r>
          </w:p>
        </w:tc>
        <w:tc>
          <w:tcPr>
            <w:tcW w:w="3568" w:type="dxa"/>
            <w:vMerge w:val="continue"/>
            <w:tcBorders>
              <w:tl2br w:val="nil"/>
              <w:tr2bl w:val="nil"/>
            </w:tcBorders>
            <w:vAlign w:val="center"/>
          </w:tcPr>
          <w:p w14:paraId="5E887AD1">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0D7EA8EF">
            <w:pPr>
              <w:widowControl/>
              <w:spacing w:line="240" w:lineRule="auto"/>
              <w:jc w:val="center"/>
              <w:rPr>
                <w:color w:val="000000"/>
                <w:sz w:val="21"/>
                <w:szCs w:val="21"/>
                <w:highlight w:val="none"/>
              </w:rPr>
            </w:pPr>
          </w:p>
        </w:tc>
        <w:tc>
          <w:tcPr>
            <w:tcW w:w="1429" w:type="dxa"/>
            <w:tcBorders>
              <w:tl2br w:val="nil"/>
              <w:tr2bl w:val="nil"/>
            </w:tcBorders>
            <w:vAlign w:val="center"/>
          </w:tcPr>
          <w:p w14:paraId="3EF659B9">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0.09</w:t>
            </w:r>
          </w:p>
        </w:tc>
      </w:tr>
      <w:tr w14:paraId="07CE2D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2E44B9E6">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441C8DDB">
            <w:pPr>
              <w:widowControl/>
              <w:spacing w:line="240" w:lineRule="auto"/>
              <w:jc w:val="center"/>
              <w:rPr>
                <w:color w:val="000000"/>
                <w:sz w:val="21"/>
                <w:szCs w:val="21"/>
                <w:highlight w:val="none"/>
              </w:rPr>
            </w:pPr>
          </w:p>
        </w:tc>
        <w:tc>
          <w:tcPr>
            <w:tcW w:w="1807" w:type="dxa"/>
            <w:tcBorders>
              <w:tl2br w:val="nil"/>
              <w:tr2bl w:val="nil"/>
            </w:tcBorders>
            <w:vAlign w:val="center"/>
          </w:tcPr>
          <w:p w14:paraId="45B88E09">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苯并(a)蒽</w:t>
            </w:r>
          </w:p>
        </w:tc>
        <w:tc>
          <w:tcPr>
            <w:tcW w:w="3568" w:type="dxa"/>
            <w:vMerge w:val="continue"/>
            <w:tcBorders>
              <w:tl2br w:val="nil"/>
              <w:tr2bl w:val="nil"/>
            </w:tcBorders>
            <w:vAlign w:val="center"/>
          </w:tcPr>
          <w:p w14:paraId="509D42BA">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633D7873">
            <w:pPr>
              <w:widowControl/>
              <w:spacing w:line="240" w:lineRule="auto"/>
              <w:jc w:val="center"/>
              <w:rPr>
                <w:color w:val="000000"/>
                <w:sz w:val="21"/>
                <w:szCs w:val="21"/>
                <w:highlight w:val="none"/>
              </w:rPr>
            </w:pPr>
          </w:p>
        </w:tc>
        <w:tc>
          <w:tcPr>
            <w:tcW w:w="1429" w:type="dxa"/>
            <w:tcBorders>
              <w:tl2br w:val="nil"/>
              <w:tr2bl w:val="nil"/>
            </w:tcBorders>
            <w:vAlign w:val="center"/>
          </w:tcPr>
          <w:p w14:paraId="64FF863B">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0.1</w:t>
            </w:r>
          </w:p>
        </w:tc>
      </w:tr>
      <w:tr w14:paraId="70772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5" w:type="dxa"/>
            <w:vMerge w:val="continue"/>
            <w:tcBorders>
              <w:tl2br w:val="nil"/>
              <w:tr2bl w:val="nil"/>
            </w:tcBorders>
            <w:vAlign w:val="center"/>
          </w:tcPr>
          <w:p w14:paraId="27565152">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08274750">
            <w:pPr>
              <w:widowControl/>
              <w:spacing w:line="240" w:lineRule="auto"/>
              <w:jc w:val="center"/>
              <w:rPr>
                <w:color w:val="000000"/>
                <w:sz w:val="21"/>
                <w:szCs w:val="21"/>
                <w:highlight w:val="none"/>
              </w:rPr>
            </w:pPr>
          </w:p>
        </w:tc>
        <w:tc>
          <w:tcPr>
            <w:tcW w:w="1807" w:type="dxa"/>
            <w:tcBorders>
              <w:tl2br w:val="nil"/>
              <w:tr2bl w:val="nil"/>
            </w:tcBorders>
            <w:vAlign w:val="center"/>
          </w:tcPr>
          <w:p w14:paraId="7B1F9B95">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䓛</w:t>
            </w:r>
          </w:p>
        </w:tc>
        <w:tc>
          <w:tcPr>
            <w:tcW w:w="3568" w:type="dxa"/>
            <w:vMerge w:val="continue"/>
            <w:tcBorders>
              <w:tl2br w:val="nil"/>
              <w:tr2bl w:val="nil"/>
            </w:tcBorders>
            <w:vAlign w:val="center"/>
          </w:tcPr>
          <w:p w14:paraId="1327AC49">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30B9984E">
            <w:pPr>
              <w:widowControl/>
              <w:spacing w:line="240" w:lineRule="auto"/>
              <w:jc w:val="center"/>
              <w:rPr>
                <w:color w:val="000000"/>
                <w:sz w:val="21"/>
                <w:szCs w:val="21"/>
                <w:highlight w:val="none"/>
              </w:rPr>
            </w:pPr>
          </w:p>
        </w:tc>
        <w:tc>
          <w:tcPr>
            <w:tcW w:w="1429" w:type="dxa"/>
            <w:tcBorders>
              <w:tl2br w:val="nil"/>
              <w:tr2bl w:val="nil"/>
            </w:tcBorders>
            <w:vAlign w:val="center"/>
          </w:tcPr>
          <w:p w14:paraId="5133D498">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0.1</w:t>
            </w:r>
          </w:p>
        </w:tc>
      </w:tr>
      <w:tr w14:paraId="458B3B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1325DA27">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6611F7E0">
            <w:pPr>
              <w:widowControl/>
              <w:spacing w:line="240" w:lineRule="auto"/>
              <w:jc w:val="center"/>
              <w:rPr>
                <w:color w:val="000000"/>
                <w:sz w:val="21"/>
                <w:szCs w:val="21"/>
                <w:highlight w:val="none"/>
              </w:rPr>
            </w:pPr>
          </w:p>
        </w:tc>
        <w:tc>
          <w:tcPr>
            <w:tcW w:w="1807" w:type="dxa"/>
            <w:tcBorders>
              <w:tl2br w:val="nil"/>
              <w:tr2bl w:val="nil"/>
            </w:tcBorders>
            <w:vAlign w:val="center"/>
          </w:tcPr>
          <w:p w14:paraId="49958FDD">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苯并(b)荧蒽</w:t>
            </w:r>
          </w:p>
        </w:tc>
        <w:tc>
          <w:tcPr>
            <w:tcW w:w="3568" w:type="dxa"/>
            <w:vMerge w:val="continue"/>
            <w:tcBorders>
              <w:tl2br w:val="nil"/>
              <w:tr2bl w:val="nil"/>
            </w:tcBorders>
            <w:vAlign w:val="center"/>
          </w:tcPr>
          <w:p w14:paraId="201FEBD3">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29A90C8D">
            <w:pPr>
              <w:widowControl/>
              <w:spacing w:line="240" w:lineRule="auto"/>
              <w:jc w:val="center"/>
              <w:rPr>
                <w:color w:val="000000"/>
                <w:sz w:val="21"/>
                <w:szCs w:val="21"/>
                <w:highlight w:val="none"/>
              </w:rPr>
            </w:pPr>
          </w:p>
        </w:tc>
        <w:tc>
          <w:tcPr>
            <w:tcW w:w="1429" w:type="dxa"/>
            <w:tcBorders>
              <w:tl2br w:val="nil"/>
              <w:tr2bl w:val="nil"/>
            </w:tcBorders>
            <w:vAlign w:val="center"/>
          </w:tcPr>
          <w:p w14:paraId="6FE96416">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0.2</w:t>
            </w:r>
          </w:p>
        </w:tc>
      </w:tr>
      <w:tr w14:paraId="5A9148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50CDFD8F">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772FD83C">
            <w:pPr>
              <w:widowControl/>
              <w:spacing w:line="240" w:lineRule="auto"/>
              <w:jc w:val="center"/>
              <w:rPr>
                <w:color w:val="000000"/>
                <w:sz w:val="21"/>
                <w:szCs w:val="21"/>
                <w:highlight w:val="none"/>
              </w:rPr>
            </w:pPr>
          </w:p>
        </w:tc>
        <w:tc>
          <w:tcPr>
            <w:tcW w:w="1807" w:type="dxa"/>
            <w:tcBorders>
              <w:tl2br w:val="nil"/>
              <w:tr2bl w:val="nil"/>
            </w:tcBorders>
            <w:vAlign w:val="center"/>
          </w:tcPr>
          <w:p w14:paraId="78828296">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苯并(k)荧蒽</w:t>
            </w:r>
          </w:p>
        </w:tc>
        <w:tc>
          <w:tcPr>
            <w:tcW w:w="3568" w:type="dxa"/>
            <w:vMerge w:val="continue"/>
            <w:tcBorders>
              <w:tl2br w:val="nil"/>
              <w:tr2bl w:val="nil"/>
            </w:tcBorders>
            <w:vAlign w:val="center"/>
          </w:tcPr>
          <w:p w14:paraId="24EBC1A1">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60295271">
            <w:pPr>
              <w:widowControl/>
              <w:spacing w:line="240" w:lineRule="auto"/>
              <w:jc w:val="center"/>
              <w:rPr>
                <w:color w:val="000000"/>
                <w:sz w:val="21"/>
                <w:szCs w:val="21"/>
                <w:highlight w:val="none"/>
              </w:rPr>
            </w:pPr>
          </w:p>
        </w:tc>
        <w:tc>
          <w:tcPr>
            <w:tcW w:w="1429" w:type="dxa"/>
            <w:tcBorders>
              <w:tl2br w:val="nil"/>
              <w:tr2bl w:val="nil"/>
            </w:tcBorders>
            <w:vAlign w:val="center"/>
          </w:tcPr>
          <w:p w14:paraId="483E3D5C">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0.1</w:t>
            </w:r>
          </w:p>
        </w:tc>
      </w:tr>
      <w:tr w14:paraId="0734C7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27360211">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6C679BEB">
            <w:pPr>
              <w:widowControl/>
              <w:spacing w:line="240" w:lineRule="auto"/>
              <w:jc w:val="center"/>
              <w:rPr>
                <w:color w:val="000000"/>
                <w:sz w:val="21"/>
                <w:szCs w:val="21"/>
                <w:highlight w:val="none"/>
              </w:rPr>
            </w:pPr>
          </w:p>
        </w:tc>
        <w:tc>
          <w:tcPr>
            <w:tcW w:w="1807" w:type="dxa"/>
            <w:tcBorders>
              <w:tl2br w:val="nil"/>
              <w:tr2bl w:val="nil"/>
            </w:tcBorders>
            <w:vAlign w:val="center"/>
          </w:tcPr>
          <w:p w14:paraId="69475952">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苯并(a)芘</w:t>
            </w:r>
          </w:p>
        </w:tc>
        <w:tc>
          <w:tcPr>
            <w:tcW w:w="3568" w:type="dxa"/>
            <w:vMerge w:val="continue"/>
            <w:tcBorders>
              <w:tl2br w:val="nil"/>
              <w:tr2bl w:val="nil"/>
            </w:tcBorders>
            <w:vAlign w:val="center"/>
          </w:tcPr>
          <w:p w14:paraId="3538E1E5">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6487AA39">
            <w:pPr>
              <w:widowControl/>
              <w:spacing w:line="240" w:lineRule="auto"/>
              <w:jc w:val="center"/>
              <w:rPr>
                <w:color w:val="000000"/>
                <w:sz w:val="21"/>
                <w:szCs w:val="21"/>
                <w:highlight w:val="none"/>
              </w:rPr>
            </w:pPr>
          </w:p>
        </w:tc>
        <w:tc>
          <w:tcPr>
            <w:tcW w:w="1429" w:type="dxa"/>
            <w:tcBorders>
              <w:tl2br w:val="nil"/>
              <w:tr2bl w:val="nil"/>
            </w:tcBorders>
            <w:vAlign w:val="center"/>
          </w:tcPr>
          <w:p w14:paraId="492AEDAC">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0.1</w:t>
            </w:r>
          </w:p>
        </w:tc>
      </w:tr>
      <w:tr w14:paraId="745C9C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5B0A6382">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5F56CD04">
            <w:pPr>
              <w:widowControl/>
              <w:spacing w:line="240" w:lineRule="auto"/>
              <w:jc w:val="center"/>
              <w:rPr>
                <w:color w:val="000000"/>
                <w:sz w:val="21"/>
                <w:szCs w:val="21"/>
                <w:highlight w:val="none"/>
              </w:rPr>
            </w:pPr>
          </w:p>
        </w:tc>
        <w:tc>
          <w:tcPr>
            <w:tcW w:w="1807" w:type="dxa"/>
            <w:tcBorders>
              <w:tl2br w:val="nil"/>
              <w:tr2bl w:val="nil"/>
            </w:tcBorders>
            <w:vAlign w:val="center"/>
          </w:tcPr>
          <w:p w14:paraId="532EA812">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茚并(1,2,3-cd)芘</w:t>
            </w:r>
          </w:p>
        </w:tc>
        <w:tc>
          <w:tcPr>
            <w:tcW w:w="3568" w:type="dxa"/>
            <w:vMerge w:val="continue"/>
            <w:tcBorders>
              <w:tl2br w:val="nil"/>
              <w:tr2bl w:val="nil"/>
            </w:tcBorders>
            <w:vAlign w:val="center"/>
          </w:tcPr>
          <w:p w14:paraId="6D5DC9C6">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7440D946">
            <w:pPr>
              <w:widowControl/>
              <w:spacing w:line="240" w:lineRule="auto"/>
              <w:jc w:val="center"/>
              <w:rPr>
                <w:color w:val="000000"/>
                <w:sz w:val="21"/>
                <w:szCs w:val="21"/>
                <w:highlight w:val="none"/>
              </w:rPr>
            </w:pPr>
          </w:p>
        </w:tc>
        <w:tc>
          <w:tcPr>
            <w:tcW w:w="1429" w:type="dxa"/>
            <w:tcBorders>
              <w:tl2br w:val="nil"/>
              <w:tr2bl w:val="nil"/>
            </w:tcBorders>
            <w:vAlign w:val="center"/>
          </w:tcPr>
          <w:p w14:paraId="61465C19">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0.1</w:t>
            </w:r>
          </w:p>
        </w:tc>
      </w:tr>
      <w:tr w14:paraId="6E8E41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33F070E6">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750ED68A">
            <w:pPr>
              <w:widowControl/>
              <w:spacing w:line="240" w:lineRule="auto"/>
              <w:jc w:val="center"/>
              <w:rPr>
                <w:color w:val="000000"/>
                <w:sz w:val="21"/>
                <w:szCs w:val="21"/>
                <w:highlight w:val="none"/>
              </w:rPr>
            </w:pPr>
          </w:p>
        </w:tc>
        <w:tc>
          <w:tcPr>
            <w:tcW w:w="1807" w:type="dxa"/>
            <w:tcBorders>
              <w:tl2br w:val="nil"/>
              <w:tr2bl w:val="nil"/>
            </w:tcBorders>
            <w:vAlign w:val="center"/>
          </w:tcPr>
          <w:p w14:paraId="4EAF07F2">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二苯并(a,h)蒽</w:t>
            </w:r>
          </w:p>
        </w:tc>
        <w:tc>
          <w:tcPr>
            <w:tcW w:w="3568" w:type="dxa"/>
            <w:vMerge w:val="continue"/>
            <w:tcBorders>
              <w:tl2br w:val="nil"/>
              <w:tr2bl w:val="nil"/>
            </w:tcBorders>
            <w:vAlign w:val="center"/>
          </w:tcPr>
          <w:p w14:paraId="782E7CFA">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5F0B1704">
            <w:pPr>
              <w:widowControl/>
              <w:spacing w:line="240" w:lineRule="auto"/>
              <w:jc w:val="center"/>
              <w:rPr>
                <w:color w:val="000000"/>
                <w:sz w:val="21"/>
                <w:szCs w:val="21"/>
                <w:highlight w:val="none"/>
              </w:rPr>
            </w:pPr>
          </w:p>
        </w:tc>
        <w:tc>
          <w:tcPr>
            <w:tcW w:w="1429" w:type="dxa"/>
            <w:tcBorders>
              <w:tl2br w:val="nil"/>
              <w:tr2bl w:val="nil"/>
            </w:tcBorders>
            <w:vAlign w:val="center"/>
          </w:tcPr>
          <w:p w14:paraId="3CF50519">
            <w:pPr>
              <w:overflowPunct w:val="0"/>
              <w:autoSpaceDE w:val="0"/>
              <w:autoSpaceDN w:val="0"/>
              <w:adjustRightInd w:val="0"/>
              <w:spacing w:line="240" w:lineRule="auto"/>
              <w:jc w:val="center"/>
              <w:textAlignment w:val="baseline"/>
              <w:rPr>
                <w:color w:val="000000"/>
                <w:sz w:val="21"/>
                <w:szCs w:val="21"/>
                <w:highlight w:val="none"/>
              </w:rPr>
            </w:pPr>
            <w:r>
              <w:rPr>
                <w:sz w:val="21"/>
                <w:szCs w:val="21"/>
                <w:highlight w:val="none"/>
              </w:rPr>
              <w:t>0.1</w:t>
            </w:r>
          </w:p>
        </w:tc>
      </w:tr>
      <w:tr w14:paraId="41A7A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35077821">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671023BB">
            <w:pPr>
              <w:widowControl/>
              <w:spacing w:line="240" w:lineRule="auto"/>
              <w:jc w:val="center"/>
              <w:rPr>
                <w:color w:val="000000"/>
                <w:sz w:val="21"/>
                <w:szCs w:val="21"/>
                <w:highlight w:val="none"/>
              </w:rPr>
            </w:pPr>
          </w:p>
        </w:tc>
        <w:tc>
          <w:tcPr>
            <w:tcW w:w="1807" w:type="dxa"/>
            <w:tcBorders>
              <w:tl2br w:val="nil"/>
              <w:tr2bl w:val="nil"/>
            </w:tcBorders>
            <w:vAlign w:val="center"/>
          </w:tcPr>
          <w:p w14:paraId="52416236">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硝基苯</w:t>
            </w:r>
          </w:p>
        </w:tc>
        <w:tc>
          <w:tcPr>
            <w:tcW w:w="3568" w:type="dxa"/>
            <w:vMerge w:val="continue"/>
            <w:tcBorders>
              <w:tl2br w:val="nil"/>
              <w:tr2bl w:val="nil"/>
            </w:tcBorders>
            <w:vAlign w:val="center"/>
          </w:tcPr>
          <w:p w14:paraId="1A6BA19D">
            <w:pPr>
              <w:widowControl/>
              <w:spacing w:line="240" w:lineRule="auto"/>
              <w:jc w:val="center"/>
              <w:rPr>
                <w:color w:val="000000"/>
                <w:sz w:val="21"/>
                <w:szCs w:val="21"/>
                <w:highlight w:val="none"/>
              </w:rPr>
            </w:pPr>
          </w:p>
        </w:tc>
        <w:tc>
          <w:tcPr>
            <w:tcW w:w="1476" w:type="dxa"/>
            <w:vMerge w:val="continue"/>
            <w:tcBorders>
              <w:tl2br w:val="nil"/>
              <w:tr2bl w:val="nil"/>
            </w:tcBorders>
            <w:vAlign w:val="center"/>
          </w:tcPr>
          <w:p w14:paraId="7D4D6A9F">
            <w:pPr>
              <w:widowControl/>
              <w:spacing w:line="240" w:lineRule="auto"/>
              <w:jc w:val="center"/>
              <w:rPr>
                <w:color w:val="000000"/>
                <w:sz w:val="21"/>
                <w:szCs w:val="21"/>
                <w:highlight w:val="none"/>
              </w:rPr>
            </w:pPr>
          </w:p>
        </w:tc>
        <w:tc>
          <w:tcPr>
            <w:tcW w:w="1429" w:type="dxa"/>
            <w:tcBorders>
              <w:tl2br w:val="nil"/>
              <w:tr2bl w:val="nil"/>
            </w:tcBorders>
            <w:vAlign w:val="center"/>
          </w:tcPr>
          <w:p w14:paraId="58DDFD36">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0.09</w:t>
            </w:r>
          </w:p>
        </w:tc>
      </w:tr>
      <w:tr w14:paraId="5A1A70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55" w:type="dxa"/>
            <w:vMerge w:val="continue"/>
            <w:tcBorders>
              <w:tl2br w:val="nil"/>
              <w:tr2bl w:val="nil"/>
            </w:tcBorders>
            <w:vAlign w:val="center"/>
          </w:tcPr>
          <w:p w14:paraId="71096C13">
            <w:pPr>
              <w:widowControl/>
              <w:spacing w:line="240" w:lineRule="auto"/>
              <w:jc w:val="center"/>
              <w:rPr>
                <w:color w:val="000000"/>
                <w:sz w:val="21"/>
                <w:szCs w:val="21"/>
                <w:highlight w:val="none"/>
              </w:rPr>
            </w:pPr>
          </w:p>
        </w:tc>
        <w:tc>
          <w:tcPr>
            <w:tcW w:w="763" w:type="dxa"/>
            <w:vMerge w:val="continue"/>
            <w:tcBorders>
              <w:tl2br w:val="nil"/>
              <w:tr2bl w:val="nil"/>
            </w:tcBorders>
            <w:vAlign w:val="center"/>
          </w:tcPr>
          <w:p w14:paraId="521FB580">
            <w:pPr>
              <w:widowControl/>
              <w:spacing w:line="240" w:lineRule="auto"/>
              <w:jc w:val="center"/>
              <w:rPr>
                <w:color w:val="000000"/>
                <w:sz w:val="21"/>
                <w:szCs w:val="21"/>
                <w:highlight w:val="none"/>
              </w:rPr>
            </w:pPr>
          </w:p>
        </w:tc>
        <w:tc>
          <w:tcPr>
            <w:tcW w:w="1807" w:type="dxa"/>
            <w:tcBorders>
              <w:tl2br w:val="nil"/>
              <w:tr2bl w:val="nil"/>
            </w:tcBorders>
            <w:vAlign w:val="center"/>
          </w:tcPr>
          <w:p w14:paraId="23D3AA54">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苯胺</w:t>
            </w:r>
          </w:p>
        </w:tc>
        <w:tc>
          <w:tcPr>
            <w:tcW w:w="3568" w:type="dxa"/>
            <w:tcBorders>
              <w:tl2br w:val="nil"/>
              <w:tr2bl w:val="nil"/>
            </w:tcBorders>
            <w:vAlign w:val="center"/>
          </w:tcPr>
          <w:p w14:paraId="1D7162E3">
            <w:pPr>
              <w:widowControl/>
              <w:spacing w:line="240" w:lineRule="auto"/>
              <w:jc w:val="center"/>
              <w:rPr>
                <w:color w:val="000000"/>
                <w:sz w:val="21"/>
                <w:szCs w:val="21"/>
                <w:highlight w:val="none"/>
              </w:rPr>
            </w:pPr>
            <w:r>
              <w:rPr>
                <w:color w:val="000000"/>
                <w:sz w:val="21"/>
                <w:szCs w:val="21"/>
                <w:highlight w:val="none"/>
              </w:rPr>
              <w:t>半挥发性有机化合物的测定 气相色谱-质谱法</w:t>
            </w:r>
          </w:p>
        </w:tc>
        <w:tc>
          <w:tcPr>
            <w:tcW w:w="1476" w:type="dxa"/>
            <w:tcBorders>
              <w:tl2br w:val="nil"/>
              <w:tr2bl w:val="nil"/>
            </w:tcBorders>
            <w:vAlign w:val="center"/>
          </w:tcPr>
          <w:p w14:paraId="3C986BE6">
            <w:pPr>
              <w:widowControl/>
              <w:spacing w:line="240" w:lineRule="auto"/>
              <w:jc w:val="center"/>
              <w:rPr>
                <w:color w:val="000000"/>
                <w:sz w:val="21"/>
                <w:szCs w:val="21"/>
                <w:highlight w:val="none"/>
              </w:rPr>
            </w:pPr>
            <w:r>
              <w:rPr>
                <w:color w:val="000000"/>
                <w:sz w:val="21"/>
                <w:szCs w:val="21"/>
                <w:highlight w:val="none"/>
              </w:rPr>
              <w:t>USEPA 8270E Rev.6 (2017.2)</w:t>
            </w:r>
          </w:p>
        </w:tc>
        <w:tc>
          <w:tcPr>
            <w:tcW w:w="1429" w:type="dxa"/>
            <w:tcBorders>
              <w:tl2br w:val="nil"/>
              <w:tr2bl w:val="nil"/>
            </w:tcBorders>
            <w:vAlign w:val="center"/>
          </w:tcPr>
          <w:p w14:paraId="7945BB9D">
            <w:pPr>
              <w:overflowPunct w:val="0"/>
              <w:autoSpaceDE w:val="0"/>
              <w:autoSpaceDN w:val="0"/>
              <w:adjustRightInd w:val="0"/>
              <w:spacing w:line="240" w:lineRule="auto"/>
              <w:jc w:val="center"/>
              <w:textAlignment w:val="baseline"/>
              <w:rPr>
                <w:color w:val="000000"/>
                <w:sz w:val="21"/>
                <w:szCs w:val="21"/>
                <w:highlight w:val="none"/>
              </w:rPr>
            </w:pPr>
            <w:r>
              <w:rPr>
                <w:color w:val="000000"/>
                <w:sz w:val="21"/>
                <w:szCs w:val="21"/>
                <w:highlight w:val="none"/>
              </w:rPr>
              <w:t>0.1</w:t>
            </w:r>
          </w:p>
        </w:tc>
      </w:tr>
    </w:tbl>
    <w:p w14:paraId="4C62D03E">
      <w:pPr>
        <w:adjustRightInd w:val="0"/>
        <w:snapToGrid w:val="0"/>
        <w:spacing w:line="240" w:lineRule="auto"/>
        <w:rPr>
          <w:b/>
          <w:bCs/>
          <w:sz w:val="18"/>
          <w:szCs w:val="18"/>
          <w:highlight w:val="none"/>
        </w:rPr>
      </w:pPr>
      <w:r>
        <w:rPr>
          <w:b/>
          <w:bCs/>
          <w:sz w:val="18"/>
          <w:szCs w:val="18"/>
          <w:highlight w:val="none"/>
        </w:rPr>
        <w:t>注：①检出限均为检测单位给出的报告限，下同</w:t>
      </w:r>
      <w:r>
        <w:rPr>
          <w:rFonts w:hint="eastAsia"/>
          <w:b/>
          <w:bCs/>
          <w:sz w:val="18"/>
          <w:szCs w:val="18"/>
          <w:highlight w:val="none"/>
        </w:rPr>
        <w:t>。</w:t>
      </w:r>
    </w:p>
    <w:p w14:paraId="444F5667">
      <w:pPr>
        <w:spacing w:before="165" w:beforeLines="50" w:line="240" w:lineRule="auto"/>
        <w:jc w:val="center"/>
        <w:rPr>
          <w:b/>
          <w:bCs/>
          <w:highlight w:val="none"/>
        </w:rPr>
      </w:pPr>
      <w:r>
        <w:rPr>
          <w:b/>
          <w:bCs/>
          <w:highlight w:val="none"/>
        </w:rPr>
        <w:t>表4-4-2  地下水监测分析方法及检出限汇总</w:t>
      </w:r>
    </w:p>
    <w:tbl>
      <w:tblPr>
        <w:tblStyle w:val="21"/>
        <w:tblW w:w="961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38"/>
        <w:gridCol w:w="1407"/>
        <w:gridCol w:w="3470"/>
        <w:gridCol w:w="2475"/>
        <w:gridCol w:w="1222"/>
      </w:tblGrid>
      <w:tr w14:paraId="3A48D8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blHeader/>
          <w:jc w:val="center"/>
        </w:trPr>
        <w:tc>
          <w:tcPr>
            <w:tcW w:w="1038" w:type="dxa"/>
            <w:tcBorders>
              <w:bottom w:val="single" w:color="auto" w:sz="12" w:space="0"/>
            </w:tcBorders>
            <w:shd w:val="clear" w:color="auto" w:fill="auto"/>
            <w:tcMar>
              <w:top w:w="15" w:type="dxa"/>
              <w:left w:w="15" w:type="dxa"/>
              <w:right w:w="15" w:type="dxa"/>
            </w:tcMar>
            <w:vAlign w:val="center"/>
          </w:tcPr>
          <w:p w14:paraId="465EC1CC">
            <w:pPr>
              <w:widowControl/>
              <w:spacing w:line="240" w:lineRule="auto"/>
              <w:jc w:val="center"/>
              <w:textAlignment w:val="top"/>
              <w:rPr>
                <w:b/>
                <w:bCs/>
                <w:color w:val="000000"/>
                <w:sz w:val="21"/>
                <w:szCs w:val="21"/>
                <w:highlight w:val="none"/>
              </w:rPr>
            </w:pPr>
            <w:r>
              <w:rPr>
                <w:b/>
                <w:bCs/>
                <w:color w:val="000000"/>
                <w:kern w:val="0"/>
                <w:sz w:val="21"/>
                <w:szCs w:val="21"/>
                <w:highlight w:val="none"/>
                <w:lang w:bidi="ar"/>
              </w:rPr>
              <w:t>样品类型</w:t>
            </w:r>
          </w:p>
        </w:tc>
        <w:tc>
          <w:tcPr>
            <w:tcW w:w="1407" w:type="dxa"/>
            <w:tcBorders>
              <w:bottom w:val="single" w:color="auto" w:sz="12" w:space="0"/>
            </w:tcBorders>
            <w:shd w:val="clear" w:color="auto" w:fill="auto"/>
            <w:tcMar>
              <w:top w:w="15" w:type="dxa"/>
              <w:left w:w="15" w:type="dxa"/>
              <w:right w:w="15" w:type="dxa"/>
            </w:tcMar>
            <w:vAlign w:val="center"/>
          </w:tcPr>
          <w:p w14:paraId="5790E043">
            <w:pPr>
              <w:widowControl/>
              <w:spacing w:line="240" w:lineRule="auto"/>
              <w:jc w:val="center"/>
              <w:textAlignment w:val="top"/>
              <w:rPr>
                <w:b/>
                <w:bCs/>
                <w:color w:val="000000"/>
                <w:sz w:val="21"/>
                <w:szCs w:val="21"/>
                <w:highlight w:val="none"/>
              </w:rPr>
            </w:pPr>
            <w:r>
              <w:rPr>
                <w:b/>
                <w:bCs/>
                <w:color w:val="000000"/>
                <w:kern w:val="0"/>
                <w:sz w:val="21"/>
                <w:szCs w:val="21"/>
                <w:highlight w:val="none"/>
                <w:lang w:bidi="ar"/>
              </w:rPr>
              <w:t>检测项目</w:t>
            </w:r>
          </w:p>
        </w:tc>
        <w:tc>
          <w:tcPr>
            <w:tcW w:w="3470" w:type="dxa"/>
            <w:tcBorders>
              <w:bottom w:val="single" w:color="auto" w:sz="12" w:space="0"/>
            </w:tcBorders>
            <w:shd w:val="clear" w:color="auto" w:fill="auto"/>
            <w:tcMar>
              <w:top w:w="15" w:type="dxa"/>
              <w:left w:w="15" w:type="dxa"/>
              <w:right w:w="15" w:type="dxa"/>
            </w:tcMar>
            <w:vAlign w:val="center"/>
          </w:tcPr>
          <w:p w14:paraId="4E410B32">
            <w:pPr>
              <w:widowControl/>
              <w:spacing w:line="240" w:lineRule="auto"/>
              <w:jc w:val="center"/>
              <w:textAlignment w:val="top"/>
              <w:rPr>
                <w:b/>
                <w:bCs/>
                <w:color w:val="000000"/>
                <w:sz w:val="21"/>
                <w:szCs w:val="21"/>
                <w:highlight w:val="none"/>
              </w:rPr>
            </w:pPr>
            <w:r>
              <w:rPr>
                <w:b/>
                <w:bCs/>
                <w:color w:val="000000"/>
                <w:kern w:val="0"/>
                <w:sz w:val="21"/>
                <w:szCs w:val="21"/>
                <w:highlight w:val="none"/>
                <w:lang w:bidi="ar"/>
              </w:rPr>
              <w:t>分析方法及依据</w:t>
            </w:r>
          </w:p>
        </w:tc>
        <w:tc>
          <w:tcPr>
            <w:tcW w:w="2475" w:type="dxa"/>
            <w:tcBorders>
              <w:bottom w:val="single" w:color="auto" w:sz="12" w:space="0"/>
            </w:tcBorders>
            <w:shd w:val="clear" w:color="auto" w:fill="auto"/>
            <w:noWrap/>
            <w:tcMar>
              <w:top w:w="15" w:type="dxa"/>
              <w:left w:w="15" w:type="dxa"/>
              <w:right w:w="15" w:type="dxa"/>
            </w:tcMar>
            <w:vAlign w:val="center"/>
          </w:tcPr>
          <w:p w14:paraId="319FA862">
            <w:pPr>
              <w:widowControl/>
              <w:spacing w:line="240" w:lineRule="auto"/>
              <w:jc w:val="center"/>
              <w:textAlignment w:val="top"/>
              <w:rPr>
                <w:b/>
                <w:bCs/>
                <w:color w:val="000000"/>
                <w:sz w:val="21"/>
                <w:szCs w:val="21"/>
                <w:highlight w:val="none"/>
              </w:rPr>
            </w:pPr>
            <w:r>
              <w:rPr>
                <w:b/>
                <w:bCs/>
                <w:color w:val="000000"/>
                <w:kern w:val="0"/>
                <w:sz w:val="21"/>
                <w:szCs w:val="21"/>
                <w:highlight w:val="none"/>
                <w:lang w:bidi="ar"/>
              </w:rPr>
              <w:t>标准编号</w:t>
            </w:r>
          </w:p>
        </w:tc>
        <w:tc>
          <w:tcPr>
            <w:tcW w:w="1222" w:type="dxa"/>
            <w:tcBorders>
              <w:bottom w:val="single" w:color="auto" w:sz="12" w:space="0"/>
            </w:tcBorders>
            <w:shd w:val="clear" w:color="auto" w:fill="auto"/>
            <w:tcMar>
              <w:top w:w="15" w:type="dxa"/>
              <w:left w:w="15" w:type="dxa"/>
              <w:right w:w="15" w:type="dxa"/>
            </w:tcMar>
            <w:vAlign w:val="center"/>
          </w:tcPr>
          <w:p w14:paraId="58FD8EA0">
            <w:pPr>
              <w:widowControl/>
              <w:spacing w:line="240" w:lineRule="auto"/>
              <w:jc w:val="center"/>
              <w:textAlignment w:val="top"/>
              <w:rPr>
                <w:b/>
                <w:bCs/>
                <w:color w:val="000000"/>
                <w:sz w:val="21"/>
                <w:szCs w:val="21"/>
                <w:highlight w:val="none"/>
              </w:rPr>
            </w:pPr>
            <w:r>
              <w:rPr>
                <w:b/>
                <w:bCs/>
                <w:color w:val="000000"/>
                <w:kern w:val="0"/>
                <w:sz w:val="21"/>
                <w:szCs w:val="21"/>
                <w:highlight w:val="none"/>
                <w:lang w:bidi="ar"/>
              </w:rPr>
              <w:t>检出限</w:t>
            </w:r>
          </w:p>
        </w:tc>
      </w:tr>
      <w:tr w14:paraId="67F8B2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restart"/>
            <w:tcBorders>
              <w:top w:val="single" w:color="auto" w:sz="12" w:space="0"/>
              <w:tl2br w:val="nil"/>
              <w:tr2bl w:val="nil"/>
            </w:tcBorders>
            <w:shd w:val="clear" w:color="auto" w:fill="auto"/>
            <w:tcMar>
              <w:top w:w="15" w:type="dxa"/>
              <w:left w:w="15" w:type="dxa"/>
              <w:right w:w="15" w:type="dxa"/>
            </w:tcMar>
            <w:vAlign w:val="center"/>
          </w:tcPr>
          <w:p w14:paraId="0099E48B">
            <w:pPr>
              <w:widowControl/>
              <w:spacing w:line="240" w:lineRule="auto"/>
              <w:jc w:val="center"/>
              <w:textAlignment w:val="top"/>
              <w:rPr>
                <w:color w:val="000000"/>
                <w:sz w:val="21"/>
                <w:szCs w:val="21"/>
                <w:highlight w:val="none"/>
              </w:rPr>
            </w:pPr>
            <w:r>
              <w:rPr>
                <w:color w:val="000000"/>
                <w:kern w:val="0"/>
                <w:sz w:val="21"/>
                <w:szCs w:val="21"/>
                <w:highlight w:val="none"/>
                <w:lang w:bidi="ar"/>
              </w:rPr>
              <w:t>地下水</w:t>
            </w:r>
          </w:p>
        </w:tc>
        <w:tc>
          <w:tcPr>
            <w:tcW w:w="1407" w:type="dxa"/>
            <w:tcBorders>
              <w:top w:val="single" w:color="auto" w:sz="12" w:space="0"/>
              <w:tl2br w:val="nil"/>
              <w:tr2bl w:val="nil"/>
            </w:tcBorders>
            <w:shd w:val="clear" w:color="auto" w:fill="auto"/>
            <w:tcMar>
              <w:top w:w="15" w:type="dxa"/>
              <w:left w:w="15" w:type="dxa"/>
              <w:right w:w="15" w:type="dxa"/>
            </w:tcMar>
            <w:vAlign w:val="center"/>
          </w:tcPr>
          <w:p w14:paraId="09A1837A">
            <w:pPr>
              <w:widowControl/>
              <w:spacing w:line="240" w:lineRule="auto"/>
              <w:jc w:val="center"/>
              <w:textAlignment w:val="top"/>
              <w:rPr>
                <w:color w:val="000000"/>
                <w:sz w:val="21"/>
                <w:szCs w:val="21"/>
                <w:highlight w:val="none"/>
              </w:rPr>
            </w:pPr>
            <w:r>
              <w:rPr>
                <w:color w:val="000000"/>
                <w:kern w:val="0"/>
                <w:sz w:val="21"/>
                <w:szCs w:val="21"/>
                <w:highlight w:val="none"/>
                <w:lang w:bidi="ar"/>
              </w:rPr>
              <w:t>pH值</w:t>
            </w:r>
          </w:p>
        </w:tc>
        <w:tc>
          <w:tcPr>
            <w:tcW w:w="3470" w:type="dxa"/>
            <w:tcBorders>
              <w:top w:val="single" w:color="auto" w:sz="12" w:space="0"/>
              <w:tl2br w:val="nil"/>
              <w:tr2bl w:val="nil"/>
            </w:tcBorders>
            <w:shd w:val="clear" w:color="auto" w:fill="auto"/>
            <w:tcMar>
              <w:top w:w="15" w:type="dxa"/>
              <w:left w:w="15" w:type="dxa"/>
              <w:right w:w="15" w:type="dxa"/>
            </w:tcMar>
            <w:vAlign w:val="center"/>
          </w:tcPr>
          <w:p w14:paraId="2F26709C">
            <w:pPr>
              <w:widowControl/>
              <w:spacing w:line="240" w:lineRule="auto"/>
              <w:jc w:val="center"/>
              <w:textAlignment w:val="top"/>
              <w:rPr>
                <w:color w:val="000000"/>
                <w:sz w:val="21"/>
                <w:szCs w:val="21"/>
                <w:highlight w:val="none"/>
              </w:rPr>
            </w:pPr>
            <w:r>
              <w:rPr>
                <w:color w:val="000000"/>
                <w:kern w:val="0"/>
                <w:sz w:val="21"/>
                <w:szCs w:val="21"/>
                <w:highlight w:val="none"/>
                <w:lang w:bidi="ar"/>
              </w:rPr>
              <w:t>水质 pH 值的测定 玻璃电极法</w:t>
            </w:r>
          </w:p>
        </w:tc>
        <w:tc>
          <w:tcPr>
            <w:tcW w:w="2475" w:type="dxa"/>
            <w:tcBorders>
              <w:top w:val="single" w:color="auto" w:sz="12" w:space="0"/>
              <w:tl2br w:val="nil"/>
              <w:tr2bl w:val="nil"/>
            </w:tcBorders>
            <w:shd w:val="clear" w:color="auto" w:fill="auto"/>
            <w:noWrap/>
            <w:tcMar>
              <w:top w:w="15" w:type="dxa"/>
              <w:left w:w="15" w:type="dxa"/>
              <w:right w:w="15" w:type="dxa"/>
            </w:tcMar>
            <w:vAlign w:val="center"/>
          </w:tcPr>
          <w:p w14:paraId="4190D099">
            <w:pPr>
              <w:widowControl/>
              <w:spacing w:line="240" w:lineRule="auto"/>
              <w:jc w:val="center"/>
              <w:textAlignment w:val="top"/>
              <w:rPr>
                <w:color w:val="000000"/>
                <w:sz w:val="21"/>
                <w:szCs w:val="21"/>
                <w:highlight w:val="none"/>
              </w:rPr>
            </w:pPr>
            <w:r>
              <w:rPr>
                <w:color w:val="000000"/>
                <w:kern w:val="0"/>
                <w:sz w:val="21"/>
                <w:szCs w:val="21"/>
                <w:highlight w:val="none"/>
                <w:lang w:bidi="ar"/>
              </w:rPr>
              <w:t>GB 6920-1986</w:t>
            </w:r>
          </w:p>
        </w:tc>
        <w:tc>
          <w:tcPr>
            <w:tcW w:w="1222" w:type="dxa"/>
            <w:tcBorders>
              <w:top w:val="single" w:color="auto" w:sz="12" w:space="0"/>
              <w:tl2br w:val="nil"/>
              <w:tr2bl w:val="nil"/>
            </w:tcBorders>
            <w:shd w:val="clear" w:color="auto" w:fill="auto"/>
            <w:tcMar>
              <w:top w:w="15" w:type="dxa"/>
              <w:left w:w="15" w:type="dxa"/>
              <w:right w:w="15" w:type="dxa"/>
            </w:tcMar>
            <w:vAlign w:val="center"/>
          </w:tcPr>
          <w:p w14:paraId="7C09935C">
            <w:pPr>
              <w:widowControl/>
              <w:spacing w:line="240" w:lineRule="auto"/>
              <w:jc w:val="center"/>
              <w:textAlignment w:val="top"/>
              <w:rPr>
                <w:rFonts w:hint="eastAsia" w:eastAsia="宋体"/>
                <w:color w:val="000000"/>
                <w:sz w:val="21"/>
                <w:szCs w:val="21"/>
                <w:highlight w:val="none"/>
                <w:lang w:val="en-US" w:eastAsia="zh-CN"/>
              </w:rPr>
            </w:pPr>
            <w:r>
              <w:rPr>
                <w:color w:val="000000"/>
                <w:kern w:val="0"/>
                <w:sz w:val="21"/>
                <w:szCs w:val="21"/>
                <w:highlight w:val="none"/>
                <w:lang w:bidi="ar"/>
              </w:rPr>
              <w:t>/</w:t>
            </w:r>
            <w:r>
              <w:rPr>
                <w:rFonts w:hint="eastAsia"/>
                <w:color w:val="000000"/>
                <w:kern w:val="0"/>
                <w:sz w:val="21"/>
                <w:szCs w:val="21"/>
                <w:highlight w:val="none"/>
                <w:vertAlign w:val="superscript"/>
                <w:lang w:val="en-US" w:eastAsia="zh-CN" w:bidi="ar"/>
              </w:rPr>
              <w:t>①</w:t>
            </w:r>
          </w:p>
        </w:tc>
      </w:tr>
      <w:tr w14:paraId="681CC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6EEFBBC5">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059AA0F3">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总硬度</w:t>
            </w:r>
          </w:p>
        </w:tc>
        <w:tc>
          <w:tcPr>
            <w:tcW w:w="3470" w:type="dxa"/>
            <w:tcBorders>
              <w:tl2br w:val="nil"/>
              <w:tr2bl w:val="nil"/>
            </w:tcBorders>
            <w:shd w:val="clear" w:color="auto" w:fill="auto"/>
            <w:tcMar>
              <w:top w:w="15" w:type="dxa"/>
              <w:left w:w="15" w:type="dxa"/>
              <w:right w:w="15" w:type="dxa"/>
            </w:tcMar>
            <w:vAlign w:val="center"/>
          </w:tcPr>
          <w:p w14:paraId="18AFFD51">
            <w:pPr>
              <w:widowControl/>
              <w:spacing w:line="240" w:lineRule="auto"/>
              <w:jc w:val="center"/>
              <w:textAlignment w:val="top"/>
              <w:rPr>
                <w:color w:val="000000"/>
                <w:sz w:val="21"/>
                <w:szCs w:val="21"/>
                <w:highlight w:val="none"/>
              </w:rPr>
            </w:pPr>
            <w:r>
              <w:rPr>
                <w:color w:val="000000"/>
                <w:kern w:val="0"/>
                <w:sz w:val="21"/>
                <w:szCs w:val="21"/>
                <w:highlight w:val="none"/>
                <w:lang w:bidi="ar"/>
              </w:rPr>
              <w:t>生活饮用水标准检验方法 感官性状</w:t>
            </w:r>
            <w:r>
              <w:rPr>
                <w:color w:val="000000"/>
                <w:kern w:val="0"/>
                <w:sz w:val="21"/>
                <w:szCs w:val="21"/>
                <w:highlight w:val="none"/>
                <w:lang w:bidi="ar"/>
              </w:rPr>
              <w:br w:type="textWrapping"/>
            </w:r>
            <w:r>
              <w:rPr>
                <w:color w:val="000000"/>
                <w:kern w:val="0"/>
                <w:sz w:val="21"/>
                <w:szCs w:val="21"/>
                <w:highlight w:val="none"/>
                <w:lang w:bidi="ar"/>
              </w:rPr>
              <w:t>和物理指标 乙二胺四乙酸二钠滴定法</w:t>
            </w:r>
          </w:p>
        </w:tc>
        <w:tc>
          <w:tcPr>
            <w:tcW w:w="2475" w:type="dxa"/>
            <w:tcBorders>
              <w:tl2br w:val="nil"/>
              <w:tr2bl w:val="nil"/>
            </w:tcBorders>
            <w:shd w:val="clear" w:color="auto" w:fill="auto"/>
            <w:noWrap/>
            <w:tcMar>
              <w:top w:w="15" w:type="dxa"/>
              <w:left w:w="15" w:type="dxa"/>
              <w:right w:w="15" w:type="dxa"/>
            </w:tcMar>
            <w:vAlign w:val="center"/>
          </w:tcPr>
          <w:p w14:paraId="45A2ED24">
            <w:pPr>
              <w:widowControl/>
              <w:spacing w:line="240" w:lineRule="auto"/>
              <w:jc w:val="center"/>
              <w:textAlignment w:val="top"/>
              <w:rPr>
                <w:color w:val="000000"/>
                <w:sz w:val="21"/>
                <w:szCs w:val="21"/>
                <w:highlight w:val="none"/>
              </w:rPr>
            </w:pPr>
            <w:r>
              <w:rPr>
                <w:color w:val="000000"/>
                <w:kern w:val="0"/>
                <w:sz w:val="21"/>
                <w:szCs w:val="21"/>
                <w:highlight w:val="none"/>
                <w:lang w:bidi="ar"/>
              </w:rPr>
              <w:t>GB/T 5750.4-2006</w:t>
            </w:r>
          </w:p>
        </w:tc>
        <w:tc>
          <w:tcPr>
            <w:tcW w:w="1222" w:type="dxa"/>
            <w:tcBorders>
              <w:tl2br w:val="nil"/>
              <w:tr2bl w:val="nil"/>
            </w:tcBorders>
            <w:shd w:val="clear" w:color="auto" w:fill="auto"/>
            <w:tcMar>
              <w:top w:w="15" w:type="dxa"/>
              <w:left w:w="15" w:type="dxa"/>
              <w:right w:w="15" w:type="dxa"/>
            </w:tcMar>
            <w:vAlign w:val="center"/>
          </w:tcPr>
          <w:p w14:paraId="27D48420">
            <w:pPr>
              <w:widowControl/>
              <w:spacing w:line="240" w:lineRule="auto"/>
              <w:jc w:val="center"/>
              <w:textAlignment w:val="center"/>
              <w:rPr>
                <w:color w:val="000000"/>
                <w:sz w:val="21"/>
                <w:szCs w:val="21"/>
                <w:highlight w:val="none"/>
              </w:rPr>
            </w:pPr>
            <w:r>
              <w:rPr>
                <w:color w:val="000000"/>
                <w:kern w:val="0"/>
                <w:sz w:val="21"/>
                <w:szCs w:val="21"/>
                <w:highlight w:val="none"/>
                <w:lang w:bidi="ar"/>
              </w:rPr>
              <w:t>1.0mg/L</w:t>
            </w:r>
          </w:p>
        </w:tc>
      </w:tr>
      <w:tr w14:paraId="4C35E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26DD90E4">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38F92203">
            <w:pPr>
              <w:widowControl/>
              <w:spacing w:line="240" w:lineRule="auto"/>
              <w:jc w:val="center"/>
              <w:textAlignment w:val="top"/>
              <w:rPr>
                <w:color w:val="000000"/>
                <w:sz w:val="21"/>
                <w:szCs w:val="21"/>
                <w:highlight w:val="none"/>
              </w:rPr>
            </w:pPr>
            <w:r>
              <w:rPr>
                <w:color w:val="000000"/>
                <w:kern w:val="0"/>
                <w:sz w:val="21"/>
                <w:szCs w:val="21"/>
                <w:highlight w:val="none"/>
                <w:lang w:bidi="ar"/>
              </w:rPr>
              <w:t>溶解性总固体</w:t>
            </w:r>
          </w:p>
        </w:tc>
        <w:tc>
          <w:tcPr>
            <w:tcW w:w="3470" w:type="dxa"/>
            <w:tcBorders>
              <w:tl2br w:val="nil"/>
              <w:tr2bl w:val="nil"/>
            </w:tcBorders>
            <w:shd w:val="clear" w:color="auto" w:fill="auto"/>
            <w:tcMar>
              <w:top w:w="15" w:type="dxa"/>
              <w:left w:w="15" w:type="dxa"/>
              <w:right w:w="15" w:type="dxa"/>
            </w:tcMar>
            <w:vAlign w:val="center"/>
          </w:tcPr>
          <w:p w14:paraId="3EB43447">
            <w:pPr>
              <w:widowControl/>
              <w:spacing w:line="240" w:lineRule="auto"/>
              <w:jc w:val="center"/>
              <w:textAlignment w:val="top"/>
              <w:rPr>
                <w:color w:val="000000"/>
                <w:sz w:val="21"/>
                <w:szCs w:val="21"/>
                <w:highlight w:val="none"/>
              </w:rPr>
            </w:pPr>
            <w:r>
              <w:rPr>
                <w:color w:val="000000"/>
                <w:kern w:val="0"/>
                <w:sz w:val="21"/>
                <w:szCs w:val="21"/>
                <w:highlight w:val="none"/>
                <w:lang w:bidi="ar"/>
              </w:rPr>
              <w:t>生活饮用水标准检验方法 感观性状</w:t>
            </w:r>
            <w:r>
              <w:rPr>
                <w:color w:val="000000"/>
                <w:kern w:val="0"/>
                <w:sz w:val="21"/>
                <w:szCs w:val="21"/>
                <w:highlight w:val="none"/>
                <w:lang w:bidi="ar"/>
              </w:rPr>
              <w:br w:type="textWrapping"/>
            </w:r>
            <w:r>
              <w:rPr>
                <w:color w:val="000000"/>
                <w:kern w:val="0"/>
                <w:sz w:val="21"/>
                <w:szCs w:val="21"/>
                <w:highlight w:val="none"/>
                <w:lang w:bidi="ar"/>
              </w:rPr>
              <w:t>和物理指标 称量法 称量法</w:t>
            </w:r>
          </w:p>
        </w:tc>
        <w:tc>
          <w:tcPr>
            <w:tcW w:w="2475" w:type="dxa"/>
            <w:tcBorders>
              <w:tl2br w:val="nil"/>
              <w:tr2bl w:val="nil"/>
            </w:tcBorders>
            <w:shd w:val="clear" w:color="auto" w:fill="auto"/>
            <w:noWrap/>
            <w:tcMar>
              <w:top w:w="15" w:type="dxa"/>
              <w:left w:w="15" w:type="dxa"/>
              <w:right w:w="15" w:type="dxa"/>
            </w:tcMar>
            <w:vAlign w:val="center"/>
          </w:tcPr>
          <w:p w14:paraId="377ED16D">
            <w:pPr>
              <w:widowControl/>
              <w:spacing w:line="240" w:lineRule="auto"/>
              <w:jc w:val="center"/>
              <w:textAlignment w:val="top"/>
              <w:rPr>
                <w:color w:val="000000"/>
                <w:sz w:val="21"/>
                <w:szCs w:val="21"/>
                <w:highlight w:val="none"/>
              </w:rPr>
            </w:pPr>
            <w:r>
              <w:rPr>
                <w:color w:val="000000"/>
                <w:kern w:val="0"/>
                <w:sz w:val="21"/>
                <w:szCs w:val="21"/>
                <w:highlight w:val="none"/>
                <w:lang w:bidi="ar"/>
              </w:rPr>
              <w:t>GB/T 5750.4-2006</w:t>
            </w:r>
          </w:p>
        </w:tc>
        <w:tc>
          <w:tcPr>
            <w:tcW w:w="1222" w:type="dxa"/>
            <w:tcBorders>
              <w:tl2br w:val="nil"/>
              <w:tr2bl w:val="nil"/>
            </w:tcBorders>
            <w:shd w:val="clear" w:color="auto" w:fill="auto"/>
            <w:tcMar>
              <w:top w:w="15" w:type="dxa"/>
              <w:left w:w="15" w:type="dxa"/>
              <w:right w:w="15" w:type="dxa"/>
            </w:tcMar>
            <w:vAlign w:val="center"/>
          </w:tcPr>
          <w:p w14:paraId="089758BB">
            <w:pPr>
              <w:widowControl/>
              <w:spacing w:line="240" w:lineRule="auto"/>
              <w:jc w:val="center"/>
              <w:textAlignment w:val="center"/>
              <w:rPr>
                <w:color w:val="000000"/>
                <w:sz w:val="21"/>
                <w:szCs w:val="21"/>
                <w:highlight w:val="none"/>
              </w:rPr>
            </w:pPr>
            <w:r>
              <w:rPr>
                <w:color w:val="000000"/>
                <w:kern w:val="0"/>
                <w:sz w:val="21"/>
                <w:szCs w:val="21"/>
                <w:highlight w:val="none"/>
                <w:lang w:bidi="ar"/>
              </w:rPr>
              <w:t>/</w:t>
            </w:r>
          </w:p>
        </w:tc>
      </w:tr>
      <w:tr w14:paraId="7AACBA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3DF8BAE1">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12039354">
            <w:pPr>
              <w:widowControl/>
              <w:spacing w:line="240" w:lineRule="auto"/>
              <w:jc w:val="center"/>
              <w:textAlignment w:val="top"/>
              <w:rPr>
                <w:color w:val="000000"/>
                <w:sz w:val="21"/>
                <w:szCs w:val="21"/>
                <w:highlight w:val="none"/>
              </w:rPr>
            </w:pPr>
            <w:r>
              <w:rPr>
                <w:color w:val="000000"/>
                <w:kern w:val="0"/>
                <w:sz w:val="21"/>
                <w:szCs w:val="21"/>
                <w:highlight w:val="none"/>
                <w:lang w:bidi="ar"/>
              </w:rPr>
              <w:t>耗氧量</w:t>
            </w:r>
          </w:p>
        </w:tc>
        <w:tc>
          <w:tcPr>
            <w:tcW w:w="3470" w:type="dxa"/>
            <w:tcBorders>
              <w:tl2br w:val="nil"/>
              <w:tr2bl w:val="nil"/>
            </w:tcBorders>
            <w:shd w:val="clear" w:color="auto" w:fill="auto"/>
            <w:tcMar>
              <w:top w:w="15" w:type="dxa"/>
              <w:left w:w="15" w:type="dxa"/>
              <w:right w:w="15" w:type="dxa"/>
            </w:tcMar>
            <w:vAlign w:val="center"/>
          </w:tcPr>
          <w:p w14:paraId="3E9C6A4F">
            <w:pPr>
              <w:widowControl/>
              <w:spacing w:line="240" w:lineRule="auto"/>
              <w:jc w:val="center"/>
              <w:textAlignment w:val="top"/>
              <w:rPr>
                <w:color w:val="000000"/>
                <w:sz w:val="21"/>
                <w:szCs w:val="21"/>
                <w:highlight w:val="none"/>
              </w:rPr>
            </w:pPr>
            <w:r>
              <w:rPr>
                <w:color w:val="000000"/>
                <w:kern w:val="0"/>
                <w:sz w:val="21"/>
                <w:szCs w:val="21"/>
                <w:highlight w:val="none"/>
                <w:lang w:bidi="ar"/>
              </w:rPr>
              <w:t>水质 耗氧量的测定</w:t>
            </w:r>
          </w:p>
        </w:tc>
        <w:tc>
          <w:tcPr>
            <w:tcW w:w="2475" w:type="dxa"/>
            <w:tcBorders>
              <w:tl2br w:val="nil"/>
              <w:tr2bl w:val="nil"/>
            </w:tcBorders>
            <w:shd w:val="clear" w:color="auto" w:fill="auto"/>
            <w:noWrap/>
            <w:tcMar>
              <w:top w:w="15" w:type="dxa"/>
              <w:left w:w="15" w:type="dxa"/>
              <w:right w:w="15" w:type="dxa"/>
            </w:tcMar>
            <w:vAlign w:val="center"/>
          </w:tcPr>
          <w:p w14:paraId="202C8A4B">
            <w:pPr>
              <w:widowControl/>
              <w:spacing w:line="240" w:lineRule="auto"/>
              <w:jc w:val="center"/>
              <w:textAlignment w:val="top"/>
              <w:rPr>
                <w:color w:val="000000"/>
                <w:sz w:val="21"/>
                <w:szCs w:val="21"/>
                <w:highlight w:val="none"/>
              </w:rPr>
            </w:pPr>
            <w:r>
              <w:rPr>
                <w:color w:val="000000"/>
                <w:kern w:val="0"/>
                <w:sz w:val="21"/>
                <w:szCs w:val="21"/>
                <w:highlight w:val="none"/>
                <w:lang w:bidi="ar"/>
              </w:rPr>
              <w:t>GB 11892-1989</w:t>
            </w:r>
          </w:p>
        </w:tc>
        <w:tc>
          <w:tcPr>
            <w:tcW w:w="1222" w:type="dxa"/>
            <w:tcBorders>
              <w:tl2br w:val="nil"/>
              <w:tr2bl w:val="nil"/>
            </w:tcBorders>
            <w:shd w:val="clear" w:color="auto" w:fill="auto"/>
            <w:tcMar>
              <w:top w:w="15" w:type="dxa"/>
              <w:left w:w="15" w:type="dxa"/>
              <w:right w:w="15" w:type="dxa"/>
            </w:tcMar>
            <w:vAlign w:val="center"/>
          </w:tcPr>
          <w:p w14:paraId="2770BAEA">
            <w:pPr>
              <w:widowControl/>
              <w:spacing w:line="240" w:lineRule="auto"/>
              <w:jc w:val="center"/>
              <w:textAlignment w:val="top"/>
              <w:rPr>
                <w:color w:val="000000"/>
                <w:sz w:val="21"/>
                <w:szCs w:val="21"/>
                <w:highlight w:val="none"/>
              </w:rPr>
            </w:pPr>
            <w:r>
              <w:rPr>
                <w:color w:val="000000"/>
                <w:kern w:val="0"/>
                <w:sz w:val="21"/>
                <w:szCs w:val="21"/>
                <w:highlight w:val="none"/>
                <w:lang w:bidi="ar"/>
              </w:rPr>
              <w:t>0.125mg/L</w:t>
            </w:r>
          </w:p>
        </w:tc>
      </w:tr>
      <w:tr w14:paraId="10DCBD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060613C0">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77C06F76">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硫酸盐</w:t>
            </w:r>
          </w:p>
        </w:tc>
        <w:tc>
          <w:tcPr>
            <w:tcW w:w="3470" w:type="dxa"/>
            <w:vMerge w:val="restart"/>
            <w:tcBorders>
              <w:tl2br w:val="nil"/>
              <w:tr2bl w:val="nil"/>
            </w:tcBorders>
            <w:shd w:val="clear" w:color="auto" w:fill="auto"/>
            <w:tcMar>
              <w:top w:w="15" w:type="dxa"/>
              <w:left w:w="15" w:type="dxa"/>
              <w:right w:w="15" w:type="dxa"/>
            </w:tcMar>
            <w:vAlign w:val="center"/>
          </w:tcPr>
          <w:p w14:paraId="37A488E6">
            <w:pPr>
              <w:widowControl/>
              <w:spacing w:line="240" w:lineRule="auto"/>
              <w:jc w:val="center"/>
              <w:textAlignment w:val="bottom"/>
              <w:rPr>
                <w:color w:val="000000"/>
                <w:sz w:val="21"/>
                <w:szCs w:val="21"/>
                <w:highlight w:val="none"/>
              </w:rPr>
            </w:pPr>
            <w:r>
              <w:rPr>
                <w:color w:val="000000"/>
                <w:kern w:val="0"/>
                <w:sz w:val="21"/>
                <w:szCs w:val="21"/>
                <w:highlight w:val="none"/>
                <w:lang w:bidi="ar"/>
              </w:rPr>
              <w:t xml:space="preserve">水质 </w:t>
            </w:r>
            <w:r>
              <w:rPr>
                <w:rStyle w:val="61"/>
                <w:rFonts w:hint="default" w:ascii="Times New Roman" w:hAnsi="Times New Roman" w:cs="Times New Roman"/>
                <w:sz w:val="21"/>
                <w:szCs w:val="21"/>
                <w:highlight w:val="none"/>
                <w:lang w:bidi="ar"/>
              </w:rPr>
              <w:t>无机阴离子（</w:t>
            </w:r>
            <w:r>
              <w:rPr>
                <w:color w:val="000000"/>
                <w:kern w:val="0"/>
                <w:sz w:val="21"/>
                <w:szCs w:val="21"/>
                <w:highlight w:val="none"/>
                <w:lang w:bidi="ar"/>
              </w:rPr>
              <w:t>F</w:t>
            </w:r>
            <w:r>
              <w:rPr>
                <w:color w:val="000000"/>
                <w:kern w:val="0"/>
                <w:sz w:val="21"/>
                <w:szCs w:val="21"/>
                <w:highlight w:val="none"/>
                <w:vertAlign w:val="superscript"/>
                <w:lang w:bidi="ar"/>
              </w:rPr>
              <w:t>-</w:t>
            </w:r>
            <w:r>
              <w:rPr>
                <w:rStyle w:val="61"/>
                <w:rFonts w:hint="default" w:ascii="Times New Roman" w:hAnsi="Times New Roman" w:cs="Times New Roman"/>
                <w:sz w:val="21"/>
                <w:szCs w:val="21"/>
                <w:highlight w:val="none"/>
                <w:lang w:bidi="ar"/>
              </w:rPr>
              <w:t>、</w:t>
            </w:r>
            <w:r>
              <w:rPr>
                <w:color w:val="000000"/>
                <w:kern w:val="0"/>
                <w:sz w:val="21"/>
                <w:szCs w:val="21"/>
                <w:highlight w:val="none"/>
                <w:lang w:bidi="ar"/>
              </w:rPr>
              <w:t>Cl</w:t>
            </w:r>
            <w:r>
              <w:rPr>
                <w:color w:val="000000"/>
                <w:kern w:val="0"/>
                <w:sz w:val="21"/>
                <w:szCs w:val="21"/>
                <w:highlight w:val="none"/>
                <w:vertAlign w:val="superscript"/>
                <w:lang w:bidi="ar"/>
              </w:rPr>
              <w:t>-</w:t>
            </w:r>
            <w:r>
              <w:rPr>
                <w:rStyle w:val="61"/>
                <w:rFonts w:hint="default" w:ascii="Times New Roman" w:hAnsi="Times New Roman" w:cs="Times New Roman"/>
                <w:sz w:val="21"/>
                <w:szCs w:val="21"/>
                <w:highlight w:val="none"/>
                <w:lang w:bidi="ar"/>
              </w:rPr>
              <w:t>、</w:t>
            </w:r>
            <w:r>
              <w:rPr>
                <w:color w:val="000000"/>
                <w:kern w:val="0"/>
                <w:sz w:val="21"/>
                <w:szCs w:val="21"/>
                <w:highlight w:val="none"/>
                <w:lang w:bidi="ar"/>
              </w:rPr>
              <w:t>Br</w:t>
            </w:r>
            <w:r>
              <w:rPr>
                <w:color w:val="000000"/>
                <w:kern w:val="0"/>
                <w:sz w:val="21"/>
                <w:szCs w:val="21"/>
                <w:highlight w:val="none"/>
                <w:vertAlign w:val="superscript"/>
                <w:lang w:bidi="ar"/>
              </w:rPr>
              <w:t>-</w:t>
            </w:r>
            <w:r>
              <w:rPr>
                <w:rStyle w:val="61"/>
                <w:rFonts w:hint="default" w:ascii="Times New Roman" w:hAnsi="Times New Roman" w:cs="Times New Roman"/>
                <w:sz w:val="21"/>
                <w:szCs w:val="21"/>
                <w:highlight w:val="none"/>
                <w:lang w:bidi="ar"/>
              </w:rPr>
              <w:t>、</w:t>
            </w:r>
            <w:r>
              <w:rPr>
                <w:color w:val="000000"/>
                <w:kern w:val="0"/>
                <w:sz w:val="21"/>
                <w:szCs w:val="21"/>
                <w:highlight w:val="none"/>
                <w:lang w:bidi="ar"/>
              </w:rPr>
              <w:t>NO</w:t>
            </w:r>
            <w:r>
              <w:rPr>
                <w:color w:val="000000"/>
                <w:kern w:val="0"/>
                <w:sz w:val="21"/>
                <w:szCs w:val="21"/>
                <w:highlight w:val="none"/>
                <w:vertAlign w:val="subscript"/>
                <w:lang w:bidi="ar"/>
              </w:rPr>
              <w:t>2</w:t>
            </w:r>
            <w:r>
              <w:rPr>
                <w:color w:val="000000"/>
                <w:kern w:val="0"/>
                <w:sz w:val="21"/>
                <w:szCs w:val="21"/>
                <w:highlight w:val="none"/>
                <w:vertAlign w:val="superscript"/>
                <w:lang w:bidi="ar"/>
              </w:rPr>
              <w:t>-</w:t>
            </w:r>
            <w:r>
              <w:rPr>
                <w:rStyle w:val="61"/>
                <w:rFonts w:hint="default" w:ascii="Times New Roman" w:hAnsi="Times New Roman" w:cs="Times New Roman"/>
                <w:sz w:val="21"/>
                <w:szCs w:val="21"/>
                <w:highlight w:val="none"/>
                <w:lang w:bidi="ar"/>
              </w:rPr>
              <w:t>、</w:t>
            </w:r>
            <w:r>
              <w:rPr>
                <w:color w:val="000000"/>
                <w:kern w:val="0"/>
                <w:sz w:val="21"/>
                <w:szCs w:val="21"/>
                <w:highlight w:val="none"/>
                <w:lang w:bidi="ar"/>
              </w:rPr>
              <w:t>NO</w:t>
            </w:r>
            <w:r>
              <w:rPr>
                <w:color w:val="000000"/>
                <w:kern w:val="0"/>
                <w:sz w:val="21"/>
                <w:szCs w:val="21"/>
                <w:highlight w:val="none"/>
                <w:vertAlign w:val="subscript"/>
                <w:lang w:bidi="ar"/>
              </w:rPr>
              <w:t>3</w:t>
            </w:r>
            <w:r>
              <w:rPr>
                <w:color w:val="000000"/>
                <w:kern w:val="0"/>
                <w:sz w:val="21"/>
                <w:szCs w:val="21"/>
                <w:highlight w:val="none"/>
                <w:vertAlign w:val="superscript"/>
                <w:lang w:bidi="ar"/>
              </w:rPr>
              <w:t>-</w:t>
            </w:r>
            <w:r>
              <w:rPr>
                <w:rStyle w:val="61"/>
                <w:rFonts w:hint="default" w:ascii="Times New Roman" w:hAnsi="Times New Roman" w:cs="Times New Roman"/>
                <w:sz w:val="21"/>
                <w:szCs w:val="21"/>
                <w:highlight w:val="none"/>
                <w:lang w:bidi="ar"/>
              </w:rPr>
              <w:t>、</w:t>
            </w:r>
            <w:r>
              <w:rPr>
                <w:color w:val="000000"/>
                <w:kern w:val="0"/>
                <w:sz w:val="21"/>
                <w:szCs w:val="21"/>
                <w:highlight w:val="none"/>
                <w:lang w:bidi="ar"/>
              </w:rPr>
              <w:t>PO</w:t>
            </w:r>
            <w:r>
              <w:rPr>
                <w:color w:val="000000"/>
                <w:kern w:val="0"/>
                <w:sz w:val="21"/>
                <w:szCs w:val="21"/>
                <w:highlight w:val="none"/>
                <w:vertAlign w:val="subscript"/>
                <w:lang w:bidi="ar"/>
              </w:rPr>
              <w:t>4</w:t>
            </w:r>
            <w:r>
              <w:rPr>
                <w:color w:val="000000"/>
                <w:kern w:val="0"/>
                <w:sz w:val="21"/>
                <w:szCs w:val="21"/>
                <w:highlight w:val="none"/>
                <w:vertAlign w:val="superscript"/>
                <w:lang w:bidi="ar"/>
              </w:rPr>
              <w:t>3-</w:t>
            </w:r>
            <w:r>
              <w:rPr>
                <w:rStyle w:val="61"/>
                <w:rFonts w:hint="default" w:ascii="Times New Roman" w:hAnsi="Times New Roman" w:cs="Times New Roman"/>
                <w:sz w:val="21"/>
                <w:szCs w:val="21"/>
                <w:highlight w:val="none"/>
                <w:lang w:bidi="ar"/>
              </w:rPr>
              <w:t>、</w:t>
            </w:r>
            <w:r>
              <w:rPr>
                <w:color w:val="000000"/>
                <w:kern w:val="0"/>
                <w:sz w:val="21"/>
                <w:szCs w:val="21"/>
                <w:highlight w:val="none"/>
                <w:lang w:bidi="ar"/>
              </w:rPr>
              <w:t>SO</w:t>
            </w:r>
            <w:r>
              <w:rPr>
                <w:color w:val="000000"/>
                <w:kern w:val="0"/>
                <w:sz w:val="21"/>
                <w:szCs w:val="21"/>
                <w:highlight w:val="none"/>
                <w:vertAlign w:val="subscript"/>
                <w:lang w:bidi="ar"/>
              </w:rPr>
              <w:t>3</w:t>
            </w:r>
            <w:r>
              <w:rPr>
                <w:color w:val="000000"/>
                <w:kern w:val="0"/>
                <w:sz w:val="21"/>
                <w:szCs w:val="21"/>
                <w:highlight w:val="none"/>
                <w:vertAlign w:val="superscript"/>
                <w:lang w:bidi="ar"/>
              </w:rPr>
              <w:t>2-</w:t>
            </w:r>
            <w:r>
              <w:rPr>
                <w:rStyle w:val="61"/>
                <w:rFonts w:hint="default" w:ascii="Times New Roman" w:hAnsi="Times New Roman" w:cs="Times New Roman"/>
                <w:sz w:val="21"/>
                <w:szCs w:val="21"/>
                <w:highlight w:val="none"/>
                <w:lang w:bidi="ar"/>
              </w:rPr>
              <w:t>、</w:t>
            </w:r>
            <w:r>
              <w:rPr>
                <w:color w:val="000000"/>
                <w:kern w:val="0"/>
                <w:sz w:val="21"/>
                <w:szCs w:val="21"/>
                <w:highlight w:val="none"/>
                <w:lang w:bidi="ar"/>
              </w:rPr>
              <w:t>SO</w:t>
            </w:r>
            <w:r>
              <w:rPr>
                <w:color w:val="000000"/>
                <w:kern w:val="0"/>
                <w:sz w:val="21"/>
                <w:szCs w:val="21"/>
                <w:highlight w:val="none"/>
                <w:vertAlign w:val="subscript"/>
                <w:lang w:bidi="ar"/>
              </w:rPr>
              <w:t>4</w:t>
            </w:r>
            <w:r>
              <w:rPr>
                <w:color w:val="000000"/>
                <w:kern w:val="0"/>
                <w:sz w:val="21"/>
                <w:szCs w:val="21"/>
                <w:highlight w:val="none"/>
                <w:vertAlign w:val="superscript"/>
                <w:lang w:bidi="ar"/>
              </w:rPr>
              <w:t>2-</w:t>
            </w:r>
            <w:r>
              <w:rPr>
                <w:rStyle w:val="61"/>
                <w:rFonts w:hint="default" w:ascii="Times New Roman" w:hAnsi="Times New Roman" w:cs="Times New Roman"/>
                <w:sz w:val="21"/>
                <w:szCs w:val="21"/>
                <w:highlight w:val="none"/>
                <w:lang w:bidi="ar"/>
              </w:rPr>
              <w:t>）的测定离子色谱法</w:t>
            </w:r>
          </w:p>
        </w:tc>
        <w:tc>
          <w:tcPr>
            <w:tcW w:w="2475" w:type="dxa"/>
            <w:vMerge w:val="restart"/>
            <w:tcBorders>
              <w:tl2br w:val="nil"/>
              <w:tr2bl w:val="nil"/>
            </w:tcBorders>
            <w:shd w:val="clear" w:color="auto" w:fill="auto"/>
            <w:noWrap/>
            <w:tcMar>
              <w:top w:w="15" w:type="dxa"/>
              <w:left w:w="15" w:type="dxa"/>
              <w:right w:w="15" w:type="dxa"/>
            </w:tcMar>
            <w:vAlign w:val="center"/>
          </w:tcPr>
          <w:p w14:paraId="4E352949">
            <w:pPr>
              <w:widowControl/>
              <w:spacing w:line="240" w:lineRule="auto"/>
              <w:jc w:val="center"/>
              <w:textAlignment w:val="top"/>
              <w:rPr>
                <w:color w:val="000000"/>
                <w:sz w:val="21"/>
                <w:szCs w:val="21"/>
                <w:highlight w:val="none"/>
              </w:rPr>
            </w:pPr>
            <w:r>
              <w:rPr>
                <w:color w:val="000000"/>
                <w:kern w:val="0"/>
                <w:sz w:val="21"/>
                <w:szCs w:val="21"/>
                <w:highlight w:val="none"/>
                <w:lang w:bidi="ar"/>
              </w:rPr>
              <w:t>HJ 84-2016</w:t>
            </w:r>
          </w:p>
        </w:tc>
        <w:tc>
          <w:tcPr>
            <w:tcW w:w="1222" w:type="dxa"/>
            <w:tcBorders>
              <w:tl2br w:val="nil"/>
              <w:tr2bl w:val="nil"/>
            </w:tcBorders>
            <w:shd w:val="clear" w:color="auto" w:fill="auto"/>
            <w:tcMar>
              <w:top w:w="15" w:type="dxa"/>
              <w:left w:w="15" w:type="dxa"/>
              <w:right w:w="15" w:type="dxa"/>
            </w:tcMar>
            <w:vAlign w:val="center"/>
          </w:tcPr>
          <w:p w14:paraId="1A9B4D19">
            <w:pPr>
              <w:widowControl/>
              <w:spacing w:line="240" w:lineRule="auto"/>
              <w:jc w:val="center"/>
              <w:textAlignment w:val="top"/>
              <w:rPr>
                <w:color w:val="000000"/>
                <w:sz w:val="21"/>
                <w:szCs w:val="21"/>
                <w:highlight w:val="none"/>
              </w:rPr>
            </w:pPr>
            <w:r>
              <w:rPr>
                <w:color w:val="000000"/>
                <w:kern w:val="0"/>
                <w:sz w:val="21"/>
                <w:szCs w:val="21"/>
                <w:highlight w:val="none"/>
                <w:lang w:bidi="ar"/>
              </w:rPr>
              <w:t>0.018mg/L</w:t>
            </w:r>
          </w:p>
        </w:tc>
      </w:tr>
      <w:tr w14:paraId="1B4711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743C7387">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0A3412F7">
            <w:pPr>
              <w:widowControl/>
              <w:spacing w:line="240" w:lineRule="auto"/>
              <w:jc w:val="center"/>
              <w:textAlignment w:val="top"/>
              <w:rPr>
                <w:color w:val="000000"/>
                <w:sz w:val="21"/>
                <w:szCs w:val="21"/>
                <w:highlight w:val="none"/>
              </w:rPr>
            </w:pPr>
            <w:r>
              <w:rPr>
                <w:color w:val="000000"/>
                <w:kern w:val="0"/>
                <w:sz w:val="21"/>
                <w:szCs w:val="21"/>
                <w:highlight w:val="none"/>
                <w:lang w:bidi="ar"/>
              </w:rPr>
              <w:t>硝酸盐</w:t>
            </w:r>
            <w:r>
              <w:rPr>
                <w:color w:val="000000"/>
                <w:kern w:val="0"/>
                <w:sz w:val="21"/>
                <w:szCs w:val="21"/>
                <w:highlight w:val="none"/>
                <w:lang w:bidi="ar"/>
              </w:rPr>
              <w:br w:type="textWrapping"/>
            </w:r>
            <w:r>
              <w:rPr>
                <w:color w:val="000000"/>
                <w:kern w:val="0"/>
                <w:sz w:val="21"/>
                <w:szCs w:val="21"/>
                <w:highlight w:val="none"/>
                <w:lang w:bidi="ar"/>
              </w:rPr>
              <w:t>(以氮计)</w:t>
            </w:r>
          </w:p>
        </w:tc>
        <w:tc>
          <w:tcPr>
            <w:tcW w:w="3470" w:type="dxa"/>
            <w:vMerge w:val="continue"/>
            <w:tcBorders>
              <w:tl2br w:val="nil"/>
              <w:tr2bl w:val="nil"/>
            </w:tcBorders>
            <w:shd w:val="clear" w:color="auto" w:fill="auto"/>
            <w:tcMar>
              <w:top w:w="15" w:type="dxa"/>
              <w:left w:w="15" w:type="dxa"/>
              <w:right w:w="15" w:type="dxa"/>
            </w:tcMar>
            <w:vAlign w:val="center"/>
          </w:tcPr>
          <w:p w14:paraId="22489DD6">
            <w:pPr>
              <w:spacing w:line="240" w:lineRule="auto"/>
              <w:jc w:val="center"/>
              <w:rPr>
                <w:color w:val="000000"/>
                <w:sz w:val="21"/>
                <w:szCs w:val="21"/>
                <w:highlight w:val="none"/>
              </w:rPr>
            </w:pPr>
          </w:p>
        </w:tc>
        <w:tc>
          <w:tcPr>
            <w:tcW w:w="2475" w:type="dxa"/>
            <w:vMerge w:val="continue"/>
            <w:tcBorders>
              <w:tl2br w:val="nil"/>
              <w:tr2bl w:val="nil"/>
            </w:tcBorders>
            <w:shd w:val="clear" w:color="auto" w:fill="auto"/>
            <w:noWrap/>
            <w:tcMar>
              <w:top w:w="15" w:type="dxa"/>
              <w:left w:w="15" w:type="dxa"/>
              <w:right w:w="15" w:type="dxa"/>
            </w:tcMar>
            <w:vAlign w:val="center"/>
          </w:tcPr>
          <w:p w14:paraId="3C60B9CE">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7E994F99">
            <w:pPr>
              <w:widowControl/>
              <w:spacing w:line="240" w:lineRule="auto"/>
              <w:jc w:val="center"/>
              <w:textAlignment w:val="top"/>
              <w:rPr>
                <w:color w:val="000000"/>
                <w:sz w:val="21"/>
                <w:szCs w:val="21"/>
                <w:highlight w:val="none"/>
              </w:rPr>
            </w:pPr>
            <w:r>
              <w:rPr>
                <w:color w:val="000000"/>
                <w:kern w:val="0"/>
                <w:sz w:val="21"/>
                <w:szCs w:val="21"/>
                <w:highlight w:val="none"/>
                <w:lang w:bidi="ar"/>
              </w:rPr>
              <w:t>0.004mg/L</w:t>
            </w:r>
          </w:p>
        </w:tc>
      </w:tr>
      <w:tr w14:paraId="5C7EBA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49C808C0">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0E363496">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氯化物</w:t>
            </w:r>
          </w:p>
        </w:tc>
        <w:tc>
          <w:tcPr>
            <w:tcW w:w="3470" w:type="dxa"/>
            <w:vMerge w:val="continue"/>
            <w:tcBorders>
              <w:tl2br w:val="nil"/>
              <w:tr2bl w:val="nil"/>
            </w:tcBorders>
            <w:shd w:val="clear" w:color="auto" w:fill="auto"/>
            <w:tcMar>
              <w:top w:w="15" w:type="dxa"/>
              <w:left w:w="15" w:type="dxa"/>
              <w:right w:w="15" w:type="dxa"/>
            </w:tcMar>
            <w:vAlign w:val="center"/>
          </w:tcPr>
          <w:p w14:paraId="1202776B">
            <w:pPr>
              <w:spacing w:line="240" w:lineRule="auto"/>
              <w:jc w:val="center"/>
              <w:rPr>
                <w:color w:val="000000"/>
                <w:sz w:val="21"/>
                <w:szCs w:val="21"/>
                <w:highlight w:val="none"/>
              </w:rPr>
            </w:pPr>
          </w:p>
        </w:tc>
        <w:tc>
          <w:tcPr>
            <w:tcW w:w="2475" w:type="dxa"/>
            <w:vMerge w:val="continue"/>
            <w:tcBorders>
              <w:tl2br w:val="nil"/>
              <w:tr2bl w:val="nil"/>
            </w:tcBorders>
            <w:shd w:val="clear" w:color="auto" w:fill="auto"/>
            <w:noWrap/>
            <w:tcMar>
              <w:top w:w="15" w:type="dxa"/>
              <w:left w:w="15" w:type="dxa"/>
              <w:right w:w="15" w:type="dxa"/>
            </w:tcMar>
            <w:vAlign w:val="center"/>
          </w:tcPr>
          <w:p w14:paraId="1191247A">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7446BC30">
            <w:pPr>
              <w:widowControl/>
              <w:spacing w:line="240" w:lineRule="auto"/>
              <w:jc w:val="center"/>
              <w:textAlignment w:val="top"/>
              <w:rPr>
                <w:color w:val="000000"/>
                <w:sz w:val="21"/>
                <w:szCs w:val="21"/>
                <w:highlight w:val="none"/>
              </w:rPr>
            </w:pPr>
            <w:r>
              <w:rPr>
                <w:color w:val="000000"/>
                <w:kern w:val="0"/>
                <w:sz w:val="21"/>
                <w:szCs w:val="21"/>
                <w:highlight w:val="none"/>
                <w:lang w:bidi="ar"/>
              </w:rPr>
              <w:t>0.007mg/L</w:t>
            </w:r>
          </w:p>
        </w:tc>
      </w:tr>
      <w:tr w14:paraId="103A56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34543BE8">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629E2281">
            <w:pPr>
              <w:widowControl/>
              <w:spacing w:line="240" w:lineRule="auto"/>
              <w:jc w:val="center"/>
              <w:textAlignment w:val="top"/>
              <w:rPr>
                <w:rFonts w:eastAsia="����"/>
                <w:color w:val="000000"/>
                <w:sz w:val="21"/>
                <w:szCs w:val="21"/>
                <w:highlight w:val="none"/>
              </w:rPr>
            </w:pPr>
            <w:r>
              <w:rPr>
                <w:rFonts w:hint="eastAsia"/>
                <w:color w:val="000000"/>
                <w:kern w:val="0"/>
                <w:sz w:val="21"/>
                <w:szCs w:val="21"/>
                <w:highlight w:val="none"/>
                <w:lang w:bidi="ar"/>
              </w:rPr>
              <w:t>氟化物</w:t>
            </w:r>
          </w:p>
        </w:tc>
        <w:tc>
          <w:tcPr>
            <w:tcW w:w="3470" w:type="dxa"/>
            <w:vMerge w:val="continue"/>
            <w:tcBorders>
              <w:tl2br w:val="nil"/>
              <w:tr2bl w:val="nil"/>
            </w:tcBorders>
            <w:shd w:val="clear" w:color="auto" w:fill="auto"/>
            <w:tcMar>
              <w:top w:w="15" w:type="dxa"/>
              <w:left w:w="15" w:type="dxa"/>
              <w:right w:w="15" w:type="dxa"/>
            </w:tcMar>
            <w:vAlign w:val="center"/>
          </w:tcPr>
          <w:p w14:paraId="7618CD1C">
            <w:pPr>
              <w:spacing w:line="240" w:lineRule="auto"/>
              <w:jc w:val="center"/>
              <w:rPr>
                <w:color w:val="000000"/>
                <w:sz w:val="21"/>
                <w:szCs w:val="21"/>
                <w:highlight w:val="none"/>
              </w:rPr>
            </w:pPr>
          </w:p>
        </w:tc>
        <w:tc>
          <w:tcPr>
            <w:tcW w:w="2475" w:type="dxa"/>
            <w:vMerge w:val="continue"/>
            <w:tcBorders>
              <w:tl2br w:val="nil"/>
              <w:tr2bl w:val="nil"/>
            </w:tcBorders>
            <w:shd w:val="clear" w:color="auto" w:fill="auto"/>
            <w:noWrap/>
            <w:tcMar>
              <w:top w:w="15" w:type="dxa"/>
              <w:left w:w="15" w:type="dxa"/>
              <w:right w:w="15" w:type="dxa"/>
            </w:tcMar>
            <w:vAlign w:val="center"/>
          </w:tcPr>
          <w:p w14:paraId="54684FC9">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535F4AC8">
            <w:pPr>
              <w:widowControl/>
              <w:spacing w:line="240" w:lineRule="auto"/>
              <w:jc w:val="center"/>
              <w:textAlignment w:val="top"/>
              <w:rPr>
                <w:color w:val="000000"/>
                <w:sz w:val="21"/>
                <w:szCs w:val="21"/>
                <w:highlight w:val="none"/>
              </w:rPr>
            </w:pPr>
            <w:r>
              <w:rPr>
                <w:color w:val="000000"/>
                <w:kern w:val="0"/>
                <w:sz w:val="21"/>
                <w:szCs w:val="21"/>
                <w:highlight w:val="none"/>
                <w:lang w:bidi="ar"/>
              </w:rPr>
              <w:t>0.006mg/L</w:t>
            </w:r>
          </w:p>
        </w:tc>
      </w:tr>
      <w:tr w14:paraId="12714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44F645D5">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2F55164F">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挥发酚</w:t>
            </w:r>
          </w:p>
        </w:tc>
        <w:tc>
          <w:tcPr>
            <w:tcW w:w="3470" w:type="dxa"/>
            <w:tcBorders>
              <w:tl2br w:val="nil"/>
              <w:tr2bl w:val="nil"/>
            </w:tcBorders>
            <w:shd w:val="clear" w:color="auto" w:fill="auto"/>
            <w:tcMar>
              <w:top w:w="15" w:type="dxa"/>
              <w:left w:w="15" w:type="dxa"/>
              <w:right w:w="15" w:type="dxa"/>
            </w:tcMar>
            <w:vAlign w:val="center"/>
          </w:tcPr>
          <w:p w14:paraId="270F5776">
            <w:pPr>
              <w:widowControl/>
              <w:spacing w:line="240" w:lineRule="auto"/>
              <w:jc w:val="center"/>
              <w:textAlignment w:val="top"/>
              <w:rPr>
                <w:color w:val="000000"/>
                <w:sz w:val="21"/>
                <w:szCs w:val="21"/>
                <w:highlight w:val="none"/>
              </w:rPr>
            </w:pPr>
            <w:r>
              <w:rPr>
                <w:color w:val="000000"/>
                <w:kern w:val="0"/>
                <w:sz w:val="21"/>
                <w:szCs w:val="21"/>
                <w:highlight w:val="none"/>
                <w:lang w:bidi="ar"/>
              </w:rPr>
              <w:t>水质 挥发酚的测定 4-氨基安替比林分光光度法</w:t>
            </w:r>
          </w:p>
        </w:tc>
        <w:tc>
          <w:tcPr>
            <w:tcW w:w="2475" w:type="dxa"/>
            <w:tcBorders>
              <w:tl2br w:val="nil"/>
              <w:tr2bl w:val="nil"/>
            </w:tcBorders>
            <w:shd w:val="clear" w:color="auto" w:fill="auto"/>
            <w:noWrap/>
            <w:tcMar>
              <w:top w:w="15" w:type="dxa"/>
              <w:left w:w="15" w:type="dxa"/>
              <w:right w:w="15" w:type="dxa"/>
            </w:tcMar>
            <w:vAlign w:val="center"/>
          </w:tcPr>
          <w:p w14:paraId="0ABD9137">
            <w:pPr>
              <w:widowControl/>
              <w:spacing w:line="240" w:lineRule="auto"/>
              <w:jc w:val="center"/>
              <w:textAlignment w:val="top"/>
              <w:rPr>
                <w:color w:val="000000"/>
                <w:sz w:val="21"/>
                <w:szCs w:val="21"/>
                <w:highlight w:val="none"/>
              </w:rPr>
            </w:pPr>
            <w:r>
              <w:rPr>
                <w:color w:val="000000"/>
                <w:kern w:val="0"/>
                <w:sz w:val="21"/>
                <w:szCs w:val="21"/>
                <w:highlight w:val="none"/>
                <w:lang w:bidi="ar"/>
              </w:rPr>
              <w:t>HJ 503-2009</w:t>
            </w:r>
          </w:p>
        </w:tc>
        <w:tc>
          <w:tcPr>
            <w:tcW w:w="1222" w:type="dxa"/>
            <w:tcBorders>
              <w:tl2br w:val="nil"/>
              <w:tr2bl w:val="nil"/>
            </w:tcBorders>
            <w:shd w:val="clear" w:color="auto" w:fill="auto"/>
            <w:tcMar>
              <w:top w:w="15" w:type="dxa"/>
              <w:left w:w="15" w:type="dxa"/>
              <w:right w:w="15" w:type="dxa"/>
            </w:tcMar>
            <w:vAlign w:val="center"/>
          </w:tcPr>
          <w:p w14:paraId="276526AE">
            <w:pPr>
              <w:widowControl/>
              <w:spacing w:line="240" w:lineRule="auto"/>
              <w:jc w:val="center"/>
              <w:textAlignment w:val="top"/>
              <w:rPr>
                <w:color w:val="000000"/>
                <w:sz w:val="21"/>
                <w:szCs w:val="21"/>
                <w:highlight w:val="none"/>
              </w:rPr>
            </w:pPr>
            <w:r>
              <w:rPr>
                <w:color w:val="000000"/>
                <w:kern w:val="0"/>
                <w:sz w:val="21"/>
                <w:szCs w:val="21"/>
                <w:highlight w:val="none"/>
                <w:lang w:bidi="ar"/>
              </w:rPr>
              <w:t>0.0003mg/L</w:t>
            </w:r>
          </w:p>
        </w:tc>
      </w:tr>
      <w:tr w14:paraId="5812DF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4F723D6C">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4FC64158">
            <w:pPr>
              <w:widowControl/>
              <w:spacing w:line="240" w:lineRule="auto"/>
              <w:jc w:val="center"/>
              <w:textAlignment w:val="top"/>
              <w:rPr>
                <w:color w:val="000000"/>
                <w:sz w:val="21"/>
                <w:szCs w:val="21"/>
                <w:highlight w:val="none"/>
              </w:rPr>
            </w:pPr>
            <w:r>
              <w:rPr>
                <w:color w:val="000000"/>
                <w:kern w:val="0"/>
                <w:sz w:val="21"/>
                <w:szCs w:val="21"/>
                <w:highlight w:val="none"/>
                <w:lang w:bidi="ar"/>
              </w:rPr>
              <w:t>阴离子表</w:t>
            </w:r>
            <w:r>
              <w:rPr>
                <w:color w:val="000000"/>
                <w:kern w:val="0"/>
                <w:sz w:val="21"/>
                <w:szCs w:val="21"/>
                <w:highlight w:val="none"/>
                <w:lang w:bidi="ar"/>
              </w:rPr>
              <w:br w:type="textWrapping"/>
            </w:r>
            <w:r>
              <w:rPr>
                <w:color w:val="000000"/>
                <w:kern w:val="0"/>
                <w:sz w:val="21"/>
                <w:szCs w:val="21"/>
                <w:highlight w:val="none"/>
                <w:lang w:bidi="ar"/>
              </w:rPr>
              <w:t>面活性剂</w:t>
            </w:r>
          </w:p>
        </w:tc>
        <w:tc>
          <w:tcPr>
            <w:tcW w:w="3470" w:type="dxa"/>
            <w:tcBorders>
              <w:tl2br w:val="nil"/>
              <w:tr2bl w:val="nil"/>
            </w:tcBorders>
            <w:shd w:val="clear" w:color="auto" w:fill="auto"/>
            <w:tcMar>
              <w:top w:w="15" w:type="dxa"/>
              <w:left w:w="15" w:type="dxa"/>
              <w:right w:w="15" w:type="dxa"/>
            </w:tcMar>
            <w:vAlign w:val="center"/>
          </w:tcPr>
          <w:p w14:paraId="63C4376C">
            <w:pPr>
              <w:widowControl/>
              <w:spacing w:line="240" w:lineRule="auto"/>
              <w:jc w:val="center"/>
              <w:textAlignment w:val="top"/>
              <w:rPr>
                <w:color w:val="000000"/>
                <w:sz w:val="21"/>
                <w:szCs w:val="21"/>
                <w:highlight w:val="none"/>
              </w:rPr>
            </w:pPr>
            <w:r>
              <w:rPr>
                <w:color w:val="000000"/>
                <w:kern w:val="0"/>
                <w:sz w:val="21"/>
                <w:szCs w:val="21"/>
                <w:highlight w:val="none"/>
                <w:lang w:bidi="ar"/>
              </w:rPr>
              <w:t>水质 阴离子表面活性剂的测定</w:t>
            </w:r>
            <w:r>
              <w:rPr>
                <w:color w:val="000000"/>
                <w:kern w:val="0"/>
                <w:sz w:val="21"/>
                <w:szCs w:val="21"/>
                <w:highlight w:val="none"/>
                <w:lang w:bidi="ar"/>
              </w:rPr>
              <w:br w:type="textWrapping"/>
            </w:r>
            <w:r>
              <w:rPr>
                <w:color w:val="000000"/>
                <w:kern w:val="0"/>
                <w:sz w:val="21"/>
                <w:szCs w:val="21"/>
                <w:highlight w:val="none"/>
                <w:lang w:bidi="ar"/>
              </w:rPr>
              <w:t>亚甲蓝分光光度法</w:t>
            </w:r>
          </w:p>
        </w:tc>
        <w:tc>
          <w:tcPr>
            <w:tcW w:w="2475" w:type="dxa"/>
            <w:tcBorders>
              <w:tl2br w:val="nil"/>
              <w:tr2bl w:val="nil"/>
            </w:tcBorders>
            <w:shd w:val="clear" w:color="auto" w:fill="auto"/>
            <w:noWrap/>
            <w:tcMar>
              <w:top w:w="15" w:type="dxa"/>
              <w:left w:w="15" w:type="dxa"/>
              <w:right w:w="15" w:type="dxa"/>
            </w:tcMar>
            <w:vAlign w:val="center"/>
          </w:tcPr>
          <w:p w14:paraId="087D3C17">
            <w:pPr>
              <w:widowControl/>
              <w:spacing w:line="240" w:lineRule="auto"/>
              <w:jc w:val="center"/>
              <w:textAlignment w:val="top"/>
              <w:rPr>
                <w:color w:val="000000"/>
                <w:sz w:val="21"/>
                <w:szCs w:val="21"/>
                <w:highlight w:val="none"/>
              </w:rPr>
            </w:pPr>
            <w:r>
              <w:rPr>
                <w:color w:val="000000"/>
                <w:kern w:val="0"/>
                <w:sz w:val="21"/>
                <w:szCs w:val="21"/>
                <w:highlight w:val="none"/>
                <w:lang w:bidi="ar"/>
              </w:rPr>
              <w:t>GB 7494-1987</w:t>
            </w:r>
          </w:p>
        </w:tc>
        <w:tc>
          <w:tcPr>
            <w:tcW w:w="1222" w:type="dxa"/>
            <w:tcBorders>
              <w:tl2br w:val="nil"/>
              <w:tr2bl w:val="nil"/>
            </w:tcBorders>
            <w:shd w:val="clear" w:color="auto" w:fill="auto"/>
            <w:tcMar>
              <w:top w:w="15" w:type="dxa"/>
              <w:left w:w="15" w:type="dxa"/>
              <w:right w:w="15" w:type="dxa"/>
            </w:tcMar>
            <w:vAlign w:val="center"/>
          </w:tcPr>
          <w:p w14:paraId="33C328C7">
            <w:pPr>
              <w:widowControl/>
              <w:spacing w:line="240" w:lineRule="auto"/>
              <w:jc w:val="center"/>
              <w:textAlignment w:val="top"/>
              <w:rPr>
                <w:color w:val="000000"/>
                <w:sz w:val="21"/>
                <w:szCs w:val="21"/>
                <w:highlight w:val="none"/>
              </w:rPr>
            </w:pPr>
            <w:r>
              <w:rPr>
                <w:color w:val="000000"/>
                <w:kern w:val="0"/>
                <w:sz w:val="21"/>
                <w:szCs w:val="21"/>
                <w:highlight w:val="none"/>
                <w:lang w:bidi="ar"/>
              </w:rPr>
              <w:t>0.05mg/L</w:t>
            </w:r>
          </w:p>
        </w:tc>
      </w:tr>
      <w:tr w14:paraId="3D6E71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7A7E0B29">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1B291CC4">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氨氮</w:t>
            </w:r>
          </w:p>
        </w:tc>
        <w:tc>
          <w:tcPr>
            <w:tcW w:w="3470" w:type="dxa"/>
            <w:tcBorders>
              <w:tl2br w:val="nil"/>
              <w:tr2bl w:val="nil"/>
            </w:tcBorders>
            <w:shd w:val="clear" w:color="auto" w:fill="auto"/>
            <w:tcMar>
              <w:top w:w="15" w:type="dxa"/>
              <w:left w:w="15" w:type="dxa"/>
              <w:right w:w="15" w:type="dxa"/>
            </w:tcMar>
            <w:vAlign w:val="center"/>
          </w:tcPr>
          <w:p w14:paraId="35BF0BAC">
            <w:pPr>
              <w:widowControl/>
              <w:spacing w:line="240" w:lineRule="auto"/>
              <w:jc w:val="center"/>
              <w:textAlignment w:val="top"/>
              <w:rPr>
                <w:color w:val="000000"/>
                <w:sz w:val="21"/>
                <w:szCs w:val="21"/>
                <w:highlight w:val="none"/>
              </w:rPr>
            </w:pPr>
            <w:r>
              <w:rPr>
                <w:color w:val="000000"/>
                <w:kern w:val="0"/>
                <w:sz w:val="21"/>
                <w:szCs w:val="21"/>
                <w:highlight w:val="none"/>
                <w:lang w:bidi="ar"/>
              </w:rPr>
              <w:t>生活饮用水标准检验方法 无机非金</w:t>
            </w:r>
            <w:r>
              <w:rPr>
                <w:color w:val="000000"/>
                <w:kern w:val="0"/>
                <w:sz w:val="21"/>
                <w:szCs w:val="21"/>
                <w:highlight w:val="none"/>
                <w:lang w:bidi="ar"/>
              </w:rPr>
              <w:br w:type="textWrapping"/>
            </w:r>
            <w:r>
              <w:rPr>
                <w:color w:val="000000"/>
                <w:kern w:val="0"/>
                <w:sz w:val="21"/>
                <w:szCs w:val="21"/>
                <w:highlight w:val="none"/>
                <w:lang w:bidi="ar"/>
              </w:rPr>
              <w:t>属指标 纳氏试剂分光光度法</w:t>
            </w:r>
          </w:p>
        </w:tc>
        <w:tc>
          <w:tcPr>
            <w:tcW w:w="2475" w:type="dxa"/>
            <w:tcBorders>
              <w:tl2br w:val="nil"/>
              <w:tr2bl w:val="nil"/>
            </w:tcBorders>
            <w:shd w:val="clear" w:color="auto" w:fill="auto"/>
            <w:noWrap/>
            <w:tcMar>
              <w:top w:w="15" w:type="dxa"/>
              <w:left w:w="15" w:type="dxa"/>
              <w:right w:w="15" w:type="dxa"/>
            </w:tcMar>
            <w:vAlign w:val="center"/>
          </w:tcPr>
          <w:p w14:paraId="730F8C0B">
            <w:pPr>
              <w:widowControl/>
              <w:spacing w:line="240" w:lineRule="auto"/>
              <w:jc w:val="center"/>
              <w:textAlignment w:val="top"/>
              <w:rPr>
                <w:color w:val="000000"/>
                <w:sz w:val="21"/>
                <w:szCs w:val="21"/>
                <w:highlight w:val="none"/>
              </w:rPr>
            </w:pPr>
            <w:r>
              <w:rPr>
                <w:color w:val="000000"/>
                <w:kern w:val="0"/>
                <w:sz w:val="21"/>
                <w:szCs w:val="21"/>
                <w:highlight w:val="none"/>
                <w:lang w:bidi="ar"/>
              </w:rPr>
              <w:t>GB/T 5750.5-2006</w:t>
            </w:r>
          </w:p>
        </w:tc>
        <w:tc>
          <w:tcPr>
            <w:tcW w:w="1222" w:type="dxa"/>
            <w:tcBorders>
              <w:tl2br w:val="nil"/>
              <w:tr2bl w:val="nil"/>
            </w:tcBorders>
            <w:shd w:val="clear" w:color="auto" w:fill="auto"/>
            <w:tcMar>
              <w:top w:w="15" w:type="dxa"/>
              <w:left w:w="15" w:type="dxa"/>
              <w:right w:w="15" w:type="dxa"/>
            </w:tcMar>
            <w:vAlign w:val="center"/>
          </w:tcPr>
          <w:p w14:paraId="56EE1431">
            <w:pPr>
              <w:widowControl/>
              <w:spacing w:line="240" w:lineRule="auto"/>
              <w:jc w:val="center"/>
              <w:textAlignment w:val="center"/>
              <w:rPr>
                <w:color w:val="000000"/>
                <w:sz w:val="21"/>
                <w:szCs w:val="21"/>
                <w:highlight w:val="none"/>
              </w:rPr>
            </w:pPr>
            <w:r>
              <w:rPr>
                <w:color w:val="000000"/>
                <w:kern w:val="0"/>
                <w:sz w:val="21"/>
                <w:szCs w:val="21"/>
                <w:highlight w:val="none"/>
                <w:lang w:bidi="ar"/>
              </w:rPr>
              <w:t>0.02mg/L</w:t>
            </w:r>
          </w:p>
        </w:tc>
      </w:tr>
      <w:tr w14:paraId="21FAE6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5ECCD998">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61B5CAEB">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硫化物</w:t>
            </w:r>
          </w:p>
        </w:tc>
        <w:tc>
          <w:tcPr>
            <w:tcW w:w="3470" w:type="dxa"/>
            <w:tcBorders>
              <w:tl2br w:val="nil"/>
              <w:tr2bl w:val="nil"/>
            </w:tcBorders>
            <w:shd w:val="clear" w:color="auto" w:fill="auto"/>
            <w:tcMar>
              <w:top w:w="15" w:type="dxa"/>
              <w:left w:w="15" w:type="dxa"/>
              <w:right w:w="15" w:type="dxa"/>
            </w:tcMar>
            <w:vAlign w:val="center"/>
          </w:tcPr>
          <w:p w14:paraId="33F6739E">
            <w:pPr>
              <w:widowControl/>
              <w:spacing w:line="240" w:lineRule="auto"/>
              <w:jc w:val="center"/>
              <w:textAlignment w:val="top"/>
              <w:rPr>
                <w:color w:val="000000"/>
                <w:sz w:val="21"/>
                <w:szCs w:val="21"/>
                <w:highlight w:val="none"/>
              </w:rPr>
            </w:pPr>
            <w:r>
              <w:rPr>
                <w:color w:val="000000"/>
                <w:kern w:val="0"/>
                <w:sz w:val="21"/>
                <w:szCs w:val="21"/>
                <w:highlight w:val="none"/>
                <w:lang w:bidi="ar"/>
              </w:rPr>
              <w:t>水质 硫化物的测定 亚甲基蓝分光光度法</w:t>
            </w:r>
          </w:p>
        </w:tc>
        <w:tc>
          <w:tcPr>
            <w:tcW w:w="2475" w:type="dxa"/>
            <w:tcBorders>
              <w:tl2br w:val="nil"/>
              <w:tr2bl w:val="nil"/>
            </w:tcBorders>
            <w:shd w:val="clear" w:color="auto" w:fill="auto"/>
            <w:noWrap/>
            <w:tcMar>
              <w:top w:w="15" w:type="dxa"/>
              <w:left w:w="15" w:type="dxa"/>
              <w:right w:w="15" w:type="dxa"/>
            </w:tcMar>
            <w:vAlign w:val="center"/>
          </w:tcPr>
          <w:p w14:paraId="474F5138">
            <w:pPr>
              <w:widowControl/>
              <w:spacing w:line="240" w:lineRule="auto"/>
              <w:jc w:val="center"/>
              <w:textAlignment w:val="top"/>
              <w:rPr>
                <w:color w:val="000000"/>
                <w:sz w:val="21"/>
                <w:szCs w:val="21"/>
                <w:highlight w:val="none"/>
              </w:rPr>
            </w:pPr>
            <w:r>
              <w:rPr>
                <w:color w:val="000000"/>
                <w:kern w:val="0"/>
                <w:sz w:val="21"/>
                <w:szCs w:val="21"/>
                <w:highlight w:val="none"/>
                <w:lang w:bidi="ar"/>
              </w:rPr>
              <w:t>GB/T 16489-1996</w:t>
            </w:r>
          </w:p>
        </w:tc>
        <w:tc>
          <w:tcPr>
            <w:tcW w:w="1222" w:type="dxa"/>
            <w:tcBorders>
              <w:tl2br w:val="nil"/>
              <w:tr2bl w:val="nil"/>
            </w:tcBorders>
            <w:shd w:val="clear" w:color="auto" w:fill="auto"/>
            <w:tcMar>
              <w:top w:w="15" w:type="dxa"/>
              <w:left w:w="15" w:type="dxa"/>
              <w:right w:w="15" w:type="dxa"/>
            </w:tcMar>
            <w:vAlign w:val="center"/>
          </w:tcPr>
          <w:p w14:paraId="14A7CA1F">
            <w:pPr>
              <w:widowControl/>
              <w:spacing w:line="240" w:lineRule="auto"/>
              <w:jc w:val="center"/>
              <w:textAlignment w:val="top"/>
              <w:rPr>
                <w:color w:val="000000"/>
                <w:sz w:val="21"/>
                <w:szCs w:val="21"/>
                <w:highlight w:val="none"/>
              </w:rPr>
            </w:pPr>
            <w:r>
              <w:rPr>
                <w:color w:val="000000"/>
                <w:kern w:val="0"/>
                <w:sz w:val="21"/>
                <w:szCs w:val="21"/>
                <w:highlight w:val="none"/>
                <w:lang w:bidi="ar"/>
              </w:rPr>
              <w:t>0.005mg/L</w:t>
            </w:r>
          </w:p>
        </w:tc>
      </w:tr>
      <w:tr w14:paraId="6AF041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197E28D3">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2019D8CF">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亚硝酸盐氮</w:t>
            </w:r>
          </w:p>
        </w:tc>
        <w:tc>
          <w:tcPr>
            <w:tcW w:w="3470" w:type="dxa"/>
            <w:tcBorders>
              <w:tl2br w:val="nil"/>
              <w:tr2bl w:val="nil"/>
            </w:tcBorders>
            <w:shd w:val="clear" w:color="auto" w:fill="auto"/>
            <w:tcMar>
              <w:top w:w="15" w:type="dxa"/>
              <w:left w:w="15" w:type="dxa"/>
              <w:right w:w="15" w:type="dxa"/>
            </w:tcMar>
            <w:vAlign w:val="center"/>
          </w:tcPr>
          <w:p w14:paraId="6DD64377">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 xml:space="preserve">生活饮用水标准检验方法 </w:t>
            </w:r>
          </w:p>
          <w:p w14:paraId="6730AB55">
            <w:pPr>
              <w:widowControl/>
              <w:spacing w:line="240" w:lineRule="auto"/>
              <w:jc w:val="center"/>
              <w:textAlignment w:val="top"/>
              <w:rPr>
                <w:color w:val="000000"/>
                <w:sz w:val="21"/>
                <w:szCs w:val="21"/>
                <w:highlight w:val="none"/>
              </w:rPr>
            </w:pPr>
            <w:r>
              <w:rPr>
                <w:color w:val="000000"/>
                <w:kern w:val="0"/>
                <w:sz w:val="21"/>
                <w:szCs w:val="21"/>
                <w:highlight w:val="none"/>
                <w:lang w:bidi="ar"/>
              </w:rPr>
              <w:t>无机非金属指标 重氮偶合分光光度法</w:t>
            </w:r>
          </w:p>
        </w:tc>
        <w:tc>
          <w:tcPr>
            <w:tcW w:w="2475" w:type="dxa"/>
            <w:tcBorders>
              <w:tl2br w:val="nil"/>
              <w:tr2bl w:val="nil"/>
            </w:tcBorders>
            <w:shd w:val="clear" w:color="auto" w:fill="auto"/>
            <w:tcMar>
              <w:top w:w="15" w:type="dxa"/>
              <w:left w:w="15" w:type="dxa"/>
              <w:right w:w="15" w:type="dxa"/>
            </w:tcMar>
            <w:vAlign w:val="center"/>
          </w:tcPr>
          <w:p w14:paraId="10D499E0">
            <w:pPr>
              <w:widowControl/>
              <w:spacing w:line="240" w:lineRule="auto"/>
              <w:jc w:val="center"/>
              <w:textAlignment w:val="top"/>
              <w:rPr>
                <w:color w:val="000000"/>
                <w:sz w:val="21"/>
                <w:szCs w:val="21"/>
                <w:highlight w:val="none"/>
              </w:rPr>
            </w:pPr>
            <w:r>
              <w:rPr>
                <w:color w:val="000000"/>
                <w:kern w:val="0"/>
                <w:sz w:val="21"/>
                <w:szCs w:val="21"/>
                <w:highlight w:val="none"/>
                <w:lang w:bidi="ar"/>
              </w:rPr>
              <w:t>GB/T 5750.5-2006</w:t>
            </w:r>
          </w:p>
        </w:tc>
        <w:tc>
          <w:tcPr>
            <w:tcW w:w="1222" w:type="dxa"/>
            <w:tcBorders>
              <w:tl2br w:val="nil"/>
              <w:tr2bl w:val="nil"/>
            </w:tcBorders>
            <w:shd w:val="clear" w:color="auto" w:fill="auto"/>
            <w:tcMar>
              <w:top w:w="15" w:type="dxa"/>
              <w:left w:w="15" w:type="dxa"/>
              <w:right w:w="15" w:type="dxa"/>
            </w:tcMar>
            <w:vAlign w:val="center"/>
          </w:tcPr>
          <w:p w14:paraId="07809B49">
            <w:pPr>
              <w:widowControl/>
              <w:spacing w:line="240" w:lineRule="auto"/>
              <w:jc w:val="center"/>
              <w:textAlignment w:val="center"/>
              <w:rPr>
                <w:color w:val="000000"/>
                <w:sz w:val="21"/>
                <w:szCs w:val="21"/>
                <w:highlight w:val="none"/>
              </w:rPr>
            </w:pPr>
            <w:r>
              <w:rPr>
                <w:color w:val="000000"/>
                <w:kern w:val="0"/>
                <w:sz w:val="21"/>
                <w:szCs w:val="21"/>
                <w:highlight w:val="none"/>
                <w:lang w:bidi="ar"/>
              </w:rPr>
              <w:t>0.001mg/L</w:t>
            </w:r>
          </w:p>
        </w:tc>
      </w:tr>
      <w:tr w14:paraId="0D8C42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284DCA46">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357BB73F">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氰化物</w:t>
            </w:r>
          </w:p>
        </w:tc>
        <w:tc>
          <w:tcPr>
            <w:tcW w:w="3470" w:type="dxa"/>
            <w:tcBorders>
              <w:tl2br w:val="nil"/>
              <w:tr2bl w:val="nil"/>
            </w:tcBorders>
            <w:shd w:val="clear" w:color="auto" w:fill="auto"/>
            <w:tcMar>
              <w:top w:w="15" w:type="dxa"/>
              <w:left w:w="15" w:type="dxa"/>
              <w:right w:w="15" w:type="dxa"/>
            </w:tcMar>
            <w:vAlign w:val="center"/>
          </w:tcPr>
          <w:p w14:paraId="171C83C1">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 xml:space="preserve">生活饮用水标准检验方法 </w:t>
            </w:r>
          </w:p>
          <w:p w14:paraId="3821DCD7">
            <w:pPr>
              <w:widowControl/>
              <w:spacing w:line="240" w:lineRule="auto"/>
              <w:jc w:val="center"/>
              <w:textAlignment w:val="top"/>
              <w:rPr>
                <w:color w:val="000000"/>
                <w:sz w:val="21"/>
                <w:szCs w:val="21"/>
                <w:highlight w:val="none"/>
              </w:rPr>
            </w:pPr>
            <w:r>
              <w:rPr>
                <w:color w:val="000000"/>
                <w:kern w:val="0"/>
                <w:sz w:val="21"/>
                <w:szCs w:val="21"/>
                <w:highlight w:val="none"/>
                <w:lang w:bidi="ar"/>
              </w:rPr>
              <w:t>无机非金属指标 异烟酸-吡唑酮分光光度法</w:t>
            </w:r>
          </w:p>
        </w:tc>
        <w:tc>
          <w:tcPr>
            <w:tcW w:w="2475" w:type="dxa"/>
            <w:tcBorders>
              <w:tl2br w:val="nil"/>
              <w:tr2bl w:val="nil"/>
            </w:tcBorders>
            <w:shd w:val="clear" w:color="auto" w:fill="auto"/>
            <w:tcMar>
              <w:top w:w="15" w:type="dxa"/>
              <w:left w:w="15" w:type="dxa"/>
              <w:right w:w="15" w:type="dxa"/>
            </w:tcMar>
            <w:vAlign w:val="center"/>
          </w:tcPr>
          <w:p w14:paraId="7579925E">
            <w:pPr>
              <w:widowControl/>
              <w:spacing w:line="240" w:lineRule="auto"/>
              <w:jc w:val="center"/>
              <w:textAlignment w:val="top"/>
              <w:rPr>
                <w:color w:val="000000"/>
                <w:sz w:val="21"/>
                <w:szCs w:val="21"/>
                <w:highlight w:val="none"/>
              </w:rPr>
            </w:pPr>
            <w:r>
              <w:rPr>
                <w:color w:val="000000"/>
                <w:kern w:val="0"/>
                <w:sz w:val="21"/>
                <w:szCs w:val="21"/>
                <w:highlight w:val="none"/>
                <w:lang w:bidi="ar"/>
              </w:rPr>
              <w:t>GB/T 5750.5-2006</w:t>
            </w:r>
          </w:p>
        </w:tc>
        <w:tc>
          <w:tcPr>
            <w:tcW w:w="1222" w:type="dxa"/>
            <w:tcBorders>
              <w:tl2br w:val="nil"/>
              <w:tr2bl w:val="nil"/>
            </w:tcBorders>
            <w:shd w:val="clear" w:color="auto" w:fill="auto"/>
            <w:tcMar>
              <w:top w:w="15" w:type="dxa"/>
              <w:left w:w="15" w:type="dxa"/>
              <w:right w:w="15" w:type="dxa"/>
            </w:tcMar>
            <w:vAlign w:val="center"/>
          </w:tcPr>
          <w:p w14:paraId="78306048">
            <w:pPr>
              <w:widowControl/>
              <w:spacing w:line="240" w:lineRule="auto"/>
              <w:jc w:val="center"/>
              <w:textAlignment w:val="center"/>
              <w:rPr>
                <w:color w:val="000000"/>
                <w:sz w:val="21"/>
                <w:szCs w:val="21"/>
                <w:highlight w:val="none"/>
              </w:rPr>
            </w:pPr>
            <w:r>
              <w:rPr>
                <w:color w:val="000000"/>
                <w:kern w:val="0"/>
                <w:sz w:val="21"/>
                <w:szCs w:val="21"/>
                <w:highlight w:val="none"/>
                <w:lang w:bidi="ar"/>
              </w:rPr>
              <w:t>0.002mg/L</w:t>
            </w:r>
          </w:p>
        </w:tc>
      </w:tr>
      <w:tr w14:paraId="401F01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436957D1">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3E1E205D">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铁</w:t>
            </w:r>
          </w:p>
        </w:tc>
        <w:tc>
          <w:tcPr>
            <w:tcW w:w="3470" w:type="dxa"/>
            <w:vMerge w:val="restart"/>
            <w:tcBorders>
              <w:tl2br w:val="nil"/>
              <w:tr2bl w:val="nil"/>
            </w:tcBorders>
            <w:shd w:val="clear" w:color="auto" w:fill="auto"/>
            <w:tcMar>
              <w:top w:w="15" w:type="dxa"/>
              <w:left w:w="15" w:type="dxa"/>
              <w:right w:w="15" w:type="dxa"/>
            </w:tcMar>
            <w:vAlign w:val="center"/>
          </w:tcPr>
          <w:p w14:paraId="5B204B09">
            <w:pPr>
              <w:widowControl/>
              <w:spacing w:line="240" w:lineRule="auto"/>
              <w:jc w:val="center"/>
              <w:textAlignment w:val="bottom"/>
              <w:rPr>
                <w:rStyle w:val="61"/>
                <w:rFonts w:hint="default" w:ascii="Times New Roman" w:hAnsi="Times New Roman" w:cs="Times New Roman"/>
                <w:sz w:val="21"/>
                <w:szCs w:val="21"/>
                <w:highlight w:val="none"/>
                <w:lang w:bidi="ar"/>
              </w:rPr>
            </w:pPr>
            <w:r>
              <w:rPr>
                <w:color w:val="000000"/>
                <w:kern w:val="0"/>
                <w:sz w:val="21"/>
                <w:szCs w:val="21"/>
                <w:highlight w:val="none"/>
                <w:lang w:bidi="ar"/>
              </w:rPr>
              <w:t xml:space="preserve">生活饮用水标准检验方法 </w:t>
            </w:r>
            <w:r>
              <w:rPr>
                <w:rStyle w:val="61"/>
                <w:rFonts w:hint="default" w:ascii="Times New Roman" w:hAnsi="Times New Roman" w:cs="Times New Roman"/>
                <w:sz w:val="21"/>
                <w:szCs w:val="21"/>
                <w:highlight w:val="none"/>
                <w:lang w:bidi="ar"/>
              </w:rPr>
              <w:t>金属指标</w:t>
            </w:r>
          </w:p>
          <w:p w14:paraId="64D7692E">
            <w:pPr>
              <w:widowControl/>
              <w:spacing w:line="240" w:lineRule="auto"/>
              <w:jc w:val="center"/>
              <w:textAlignment w:val="bottom"/>
              <w:rPr>
                <w:color w:val="000000"/>
                <w:sz w:val="21"/>
                <w:szCs w:val="21"/>
                <w:highlight w:val="none"/>
              </w:rPr>
            </w:pPr>
            <w:r>
              <w:rPr>
                <w:rStyle w:val="61"/>
                <w:rFonts w:hint="default" w:ascii="Times New Roman" w:hAnsi="Times New Roman" w:cs="Times New Roman"/>
                <w:sz w:val="21"/>
                <w:szCs w:val="21"/>
                <w:highlight w:val="none"/>
                <w:lang w:bidi="ar"/>
              </w:rPr>
              <w:t>电感耦合等离子体发射光谱法</w:t>
            </w:r>
          </w:p>
        </w:tc>
        <w:tc>
          <w:tcPr>
            <w:tcW w:w="2475" w:type="dxa"/>
            <w:vMerge w:val="restart"/>
            <w:tcBorders>
              <w:tl2br w:val="nil"/>
              <w:tr2bl w:val="nil"/>
            </w:tcBorders>
            <w:shd w:val="clear" w:color="auto" w:fill="auto"/>
            <w:tcMar>
              <w:top w:w="15" w:type="dxa"/>
              <w:left w:w="15" w:type="dxa"/>
              <w:right w:w="15" w:type="dxa"/>
            </w:tcMar>
            <w:vAlign w:val="center"/>
          </w:tcPr>
          <w:p w14:paraId="1BCEFF33">
            <w:pPr>
              <w:widowControl/>
              <w:spacing w:line="240" w:lineRule="auto"/>
              <w:jc w:val="center"/>
              <w:textAlignment w:val="top"/>
              <w:rPr>
                <w:color w:val="000000"/>
                <w:sz w:val="21"/>
                <w:szCs w:val="21"/>
                <w:highlight w:val="none"/>
              </w:rPr>
            </w:pPr>
            <w:r>
              <w:rPr>
                <w:color w:val="000000"/>
                <w:kern w:val="0"/>
                <w:sz w:val="21"/>
                <w:szCs w:val="21"/>
                <w:highlight w:val="none"/>
                <w:lang w:bidi="ar"/>
              </w:rPr>
              <w:t>GB/T 5750.6-2006</w:t>
            </w:r>
          </w:p>
        </w:tc>
        <w:tc>
          <w:tcPr>
            <w:tcW w:w="1222" w:type="dxa"/>
            <w:tcBorders>
              <w:tl2br w:val="nil"/>
              <w:tr2bl w:val="nil"/>
            </w:tcBorders>
            <w:shd w:val="clear" w:color="auto" w:fill="auto"/>
            <w:tcMar>
              <w:top w:w="15" w:type="dxa"/>
              <w:left w:w="15" w:type="dxa"/>
              <w:right w:w="15" w:type="dxa"/>
            </w:tcMar>
            <w:vAlign w:val="center"/>
          </w:tcPr>
          <w:p w14:paraId="75EF2F4E">
            <w:pPr>
              <w:widowControl/>
              <w:spacing w:line="240" w:lineRule="auto"/>
              <w:jc w:val="center"/>
              <w:textAlignment w:val="top"/>
              <w:rPr>
                <w:color w:val="000000"/>
                <w:sz w:val="21"/>
                <w:szCs w:val="21"/>
                <w:highlight w:val="none"/>
              </w:rPr>
            </w:pPr>
            <w:r>
              <w:rPr>
                <w:color w:val="000000"/>
                <w:kern w:val="0"/>
                <w:sz w:val="21"/>
                <w:szCs w:val="21"/>
                <w:highlight w:val="none"/>
                <w:lang w:bidi="ar"/>
              </w:rPr>
              <w:t>0.0045mg/L</w:t>
            </w:r>
          </w:p>
        </w:tc>
      </w:tr>
      <w:tr w14:paraId="423A05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5CCB0538">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5E67628E">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锰</w:t>
            </w:r>
          </w:p>
        </w:tc>
        <w:tc>
          <w:tcPr>
            <w:tcW w:w="3470" w:type="dxa"/>
            <w:vMerge w:val="continue"/>
            <w:tcBorders>
              <w:tl2br w:val="nil"/>
              <w:tr2bl w:val="nil"/>
            </w:tcBorders>
            <w:shd w:val="clear" w:color="auto" w:fill="auto"/>
            <w:tcMar>
              <w:top w:w="15" w:type="dxa"/>
              <w:left w:w="15" w:type="dxa"/>
              <w:right w:w="15" w:type="dxa"/>
            </w:tcMar>
            <w:vAlign w:val="center"/>
          </w:tcPr>
          <w:p w14:paraId="58230EF1">
            <w:pPr>
              <w:spacing w:line="240" w:lineRule="auto"/>
              <w:jc w:val="center"/>
              <w:rPr>
                <w:color w:val="000000"/>
                <w:sz w:val="21"/>
                <w:szCs w:val="21"/>
                <w:highlight w:val="none"/>
              </w:rPr>
            </w:pPr>
          </w:p>
        </w:tc>
        <w:tc>
          <w:tcPr>
            <w:tcW w:w="2475" w:type="dxa"/>
            <w:vMerge w:val="continue"/>
            <w:tcBorders>
              <w:tl2br w:val="nil"/>
              <w:tr2bl w:val="nil"/>
            </w:tcBorders>
            <w:shd w:val="clear" w:color="auto" w:fill="auto"/>
            <w:tcMar>
              <w:top w:w="15" w:type="dxa"/>
              <w:left w:w="15" w:type="dxa"/>
              <w:right w:w="15" w:type="dxa"/>
            </w:tcMar>
            <w:vAlign w:val="center"/>
          </w:tcPr>
          <w:p w14:paraId="3FC02AC0">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5DBA53A7">
            <w:pPr>
              <w:widowControl/>
              <w:spacing w:line="240" w:lineRule="auto"/>
              <w:jc w:val="center"/>
              <w:textAlignment w:val="top"/>
              <w:rPr>
                <w:color w:val="000000"/>
                <w:sz w:val="21"/>
                <w:szCs w:val="21"/>
                <w:highlight w:val="none"/>
              </w:rPr>
            </w:pPr>
            <w:r>
              <w:rPr>
                <w:color w:val="000000"/>
                <w:kern w:val="0"/>
                <w:sz w:val="21"/>
                <w:szCs w:val="21"/>
                <w:highlight w:val="none"/>
                <w:lang w:bidi="ar"/>
              </w:rPr>
              <w:t>0.0005mg/L</w:t>
            </w:r>
          </w:p>
        </w:tc>
      </w:tr>
      <w:tr w14:paraId="3A9B11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761083C5">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6DE05B22">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铜</w:t>
            </w:r>
          </w:p>
        </w:tc>
        <w:tc>
          <w:tcPr>
            <w:tcW w:w="3470" w:type="dxa"/>
            <w:vMerge w:val="continue"/>
            <w:tcBorders>
              <w:tl2br w:val="nil"/>
              <w:tr2bl w:val="nil"/>
            </w:tcBorders>
            <w:shd w:val="clear" w:color="auto" w:fill="auto"/>
            <w:tcMar>
              <w:top w:w="15" w:type="dxa"/>
              <w:left w:w="15" w:type="dxa"/>
              <w:right w:w="15" w:type="dxa"/>
            </w:tcMar>
            <w:vAlign w:val="center"/>
          </w:tcPr>
          <w:p w14:paraId="5050BF32">
            <w:pPr>
              <w:spacing w:line="240" w:lineRule="auto"/>
              <w:jc w:val="center"/>
              <w:rPr>
                <w:color w:val="000000"/>
                <w:sz w:val="21"/>
                <w:szCs w:val="21"/>
                <w:highlight w:val="none"/>
              </w:rPr>
            </w:pPr>
          </w:p>
        </w:tc>
        <w:tc>
          <w:tcPr>
            <w:tcW w:w="2475" w:type="dxa"/>
            <w:vMerge w:val="continue"/>
            <w:tcBorders>
              <w:tl2br w:val="nil"/>
              <w:tr2bl w:val="nil"/>
            </w:tcBorders>
            <w:shd w:val="clear" w:color="auto" w:fill="auto"/>
            <w:tcMar>
              <w:top w:w="15" w:type="dxa"/>
              <w:left w:w="15" w:type="dxa"/>
              <w:right w:w="15" w:type="dxa"/>
            </w:tcMar>
            <w:vAlign w:val="center"/>
          </w:tcPr>
          <w:p w14:paraId="50A704F6">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2FFFB13B">
            <w:pPr>
              <w:widowControl/>
              <w:spacing w:line="240" w:lineRule="auto"/>
              <w:jc w:val="center"/>
              <w:textAlignment w:val="top"/>
              <w:rPr>
                <w:color w:val="000000"/>
                <w:sz w:val="21"/>
                <w:szCs w:val="21"/>
                <w:highlight w:val="none"/>
              </w:rPr>
            </w:pPr>
            <w:r>
              <w:rPr>
                <w:color w:val="000000"/>
                <w:kern w:val="0"/>
                <w:sz w:val="21"/>
                <w:szCs w:val="21"/>
                <w:highlight w:val="none"/>
                <w:lang w:bidi="ar"/>
              </w:rPr>
              <w:t>0.009mg/L</w:t>
            </w:r>
          </w:p>
        </w:tc>
      </w:tr>
      <w:tr w14:paraId="68B0AF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0CB6A422">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4E45B0C8">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铝</w:t>
            </w:r>
          </w:p>
        </w:tc>
        <w:tc>
          <w:tcPr>
            <w:tcW w:w="3470" w:type="dxa"/>
            <w:vMerge w:val="continue"/>
            <w:tcBorders>
              <w:tl2br w:val="nil"/>
              <w:tr2bl w:val="nil"/>
            </w:tcBorders>
            <w:shd w:val="clear" w:color="auto" w:fill="auto"/>
            <w:tcMar>
              <w:top w:w="15" w:type="dxa"/>
              <w:left w:w="15" w:type="dxa"/>
              <w:right w:w="15" w:type="dxa"/>
            </w:tcMar>
            <w:vAlign w:val="center"/>
          </w:tcPr>
          <w:p w14:paraId="6FB3438B">
            <w:pPr>
              <w:spacing w:line="240" w:lineRule="auto"/>
              <w:jc w:val="center"/>
              <w:rPr>
                <w:color w:val="000000"/>
                <w:sz w:val="21"/>
                <w:szCs w:val="21"/>
                <w:highlight w:val="none"/>
              </w:rPr>
            </w:pPr>
          </w:p>
        </w:tc>
        <w:tc>
          <w:tcPr>
            <w:tcW w:w="2475" w:type="dxa"/>
            <w:vMerge w:val="continue"/>
            <w:tcBorders>
              <w:tl2br w:val="nil"/>
              <w:tr2bl w:val="nil"/>
            </w:tcBorders>
            <w:shd w:val="clear" w:color="auto" w:fill="auto"/>
            <w:tcMar>
              <w:top w:w="15" w:type="dxa"/>
              <w:left w:w="15" w:type="dxa"/>
              <w:right w:w="15" w:type="dxa"/>
            </w:tcMar>
            <w:vAlign w:val="center"/>
          </w:tcPr>
          <w:p w14:paraId="502A88D1">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0249DD27">
            <w:pPr>
              <w:widowControl/>
              <w:spacing w:line="240" w:lineRule="auto"/>
              <w:jc w:val="center"/>
              <w:textAlignment w:val="top"/>
              <w:rPr>
                <w:color w:val="000000"/>
                <w:sz w:val="21"/>
                <w:szCs w:val="21"/>
                <w:highlight w:val="none"/>
              </w:rPr>
            </w:pPr>
            <w:r>
              <w:rPr>
                <w:color w:val="000000"/>
                <w:kern w:val="0"/>
                <w:sz w:val="21"/>
                <w:szCs w:val="21"/>
                <w:highlight w:val="none"/>
                <w:lang w:bidi="ar"/>
              </w:rPr>
              <w:t>0.040mg/L</w:t>
            </w:r>
          </w:p>
        </w:tc>
      </w:tr>
      <w:tr w14:paraId="2B0F4A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2E418158">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44497C4F">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钠</w:t>
            </w:r>
          </w:p>
        </w:tc>
        <w:tc>
          <w:tcPr>
            <w:tcW w:w="3470" w:type="dxa"/>
            <w:vMerge w:val="continue"/>
            <w:tcBorders>
              <w:tl2br w:val="nil"/>
              <w:tr2bl w:val="nil"/>
            </w:tcBorders>
            <w:shd w:val="clear" w:color="auto" w:fill="auto"/>
            <w:tcMar>
              <w:top w:w="15" w:type="dxa"/>
              <w:left w:w="15" w:type="dxa"/>
              <w:right w:w="15" w:type="dxa"/>
            </w:tcMar>
            <w:vAlign w:val="center"/>
          </w:tcPr>
          <w:p w14:paraId="451685E0">
            <w:pPr>
              <w:spacing w:line="240" w:lineRule="auto"/>
              <w:jc w:val="center"/>
              <w:rPr>
                <w:color w:val="000000"/>
                <w:sz w:val="21"/>
                <w:szCs w:val="21"/>
                <w:highlight w:val="none"/>
              </w:rPr>
            </w:pPr>
          </w:p>
        </w:tc>
        <w:tc>
          <w:tcPr>
            <w:tcW w:w="2475" w:type="dxa"/>
            <w:vMerge w:val="continue"/>
            <w:tcBorders>
              <w:tl2br w:val="nil"/>
              <w:tr2bl w:val="nil"/>
            </w:tcBorders>
            <w:shd w:val="clear" w:color="auto" w:fill="auto"/>
            <w:tcMar>
              <w:top w:w="15" w:type="dxa"/>
              <w:left w:w="15" w:type="dxa"/>
              <w:right w:w="15" w:type="dxa"/>
            </w:tcMar>
            <w:vAlign w:val="center"/>
          </w:tcPr>
          <w:p w14:paraId="7AC3E070">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3C2C8496">
            <w:pPr>
              <w:widowControl/>
              <w:spacing w:line="240" w:lineRule="auto"/>
              <w:jc w:val="center"/>
              <w:textAlignment w:val="top"/>
              <w:rPr>
                <w:color w:val="000000"/>
                <w:sz w:val="21"/>
                <w:szCs w:val="21"/>
                <w:highlight w:val="none"/>
              </w:rPr>
            </w:pPr>
            <w:r>
              <w:rPr>
                <w:color w:val="000000"/>
                <w:kern w:val="0"/>
                <w:sz w:val="21"/>
                <w:szCs w:val="21"/>
                <w:highlight w:val="none"/>
                <w:lang w:bidi="ar"/>
              </w:rPr>
              <w:t>0.005mg/L</w:t>
            </w:r>
          </w:p>
        </w:tc>
      </w:tr>
      <w:tr w14:paraId="4A0784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5DCCB306">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58E36F62">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锌</w:t>
            </w:r>
          </w:p>
        </w:tc>
        <w:tc>
          <w:tcPr>
            <w:tcW w:w="3470" w:type="dxa"/>
            <w:vMerge w:val="continue"/>
            <w:tcBorders>
              <w:tl2br w:val="nil"/>
              <w:tr2bl w:val="nil"/>
            </w:tcBorders>
            <w:shd w:val="clear" w:color="auto" w:fill="auto"/>
            <w:tcMar>
              <w:top w:w="15" w:type="dxa"/>
              <w:left w:w="15" w:type="dxa"/>
              <w:right w:w="15" w:type="dxa"/>
            </w:tcMar>
            <w:vAlign w:val="center"/>
          </w:tcPr>
          <w:p w14:paraId="076609F9">
            <w:pPr>
              <w:spacing w:line="240" w:lineRule="auto"/>
              <w:jc w:val="center"/>
              <w:rPr>
                <w:color w:val="000000"/>
                <w:sz w:val="21"/>
                <w:szCs w:val="21"/>
                <w:highlight w:val="none"/>
              </w:rPr>
            </w:pPr>
          </w:p>
        </w:tc>
        <w:tc>
          <w:tcPr>
            <w:tcW w:w="2475" w:type="dxa"/>
            <w:vMerge w:val="continue"/>
            <w:tcBorders>
              <w:tl2br w:val="nil"/>
              <w:tr2bl w:val="nil"/>
            </w:tcBorders>
            <w:shd w:val="clear" w:color="auto" w:fill="auto"/>
            <w:tcMar>
              <w:top w:w="15" w:type="dxa"/>
              <w:left w:w="15" w:type="dxa"/>
              <w:right w:w="15" w:type="dxa"/>
            </w:tcMar>
            <w:vAlign w:val="center"/>
          </w:tcPr>
          <w:p w14:paraId="1B931531">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25E7DFDE">
            <w:pPr>
              <w:widowControl/>
              <w:spacing w:line="240" w:lineRule="auto"/>
              <w:jc w:val="center"/>
              <w:textAlignment w:val="top"/>
              <w:rPr>
                <w:color w:val="000000"/>
                <w:sz w:val="21"/>
                <w:szCs w:val="21"/>
                <w:highlight w:val="none"/>
              </w:rPr>
            </w:pPr>
            <w:r>
              <w:rPr>
                <w:color w:val="000000"/>
                <w:kern w:val="0"/>
                <w:sz w:val="21"/>
                <w:szCs w:val="21"/>
                <w:highlight w:val="none"/>
                <w:lang w:bidi="ar"/>
              </w:rPr>
              <w:t>0.001mg/L</w:t>
            </w:r>
          </w:p>
        </w:tc>
      </w:tr>
      <w:tr w14:paraId="30EAC9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78BD9BD9">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3815828A">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铬</w:t>
            </w:r>
          </w:p>
        </w:tc>
        <w:tc>
          <w:tcPr>
            <w:tcW w:w="3470" w:type="dxa"/>
            <w:vMerge w:val="continue"/>
            <w:tcBorders>
              <w:tl2br w:val="nil"/>
              <w:tr2bl w:val="nil"/>
            </w:tcBorders>
            <w:shd w:val="clear" w:color="auto" w:fill="auto"/>
            <w:tcMar>
              <w:top w:w="15" w:type="dxa"/>
              <w:left w:w="15" w:type="dxa"/>
              <w:right w:w="15" w:type="dxa"/>
            </w:tcMar>
            <w:vAlign w:val="center"/>
          </w:tcPr>
          <w:p w14:paraId="51445BE6">
            <w:pPr>
              <w:spacing w:line="240" w:lineRule="auto"/>
              <w:jc w:val="center"/>
              <w:rPr>
                <w:color w:val="000000"/>
                <w:sz w:val="21"/>
                <w:szCs w:val="21"/>
                <w:highlight w:val="none"/>
              </w:rPr>
            </w:pPr>
          </w:p>
        </w:tc>
        <w:tc>
          <w:tcPr>
            <w:tcW w:w="2475" w:type="dxa"/>
            <w:vMerge w:val="continue"/>
            <w:tcBorders>
              <w:tl2br w:val="nil"/>
              <w:tr2bl w:val="nil"/>
            </w:tcBorders>
            <w:shd w:val="clear" w:color="auto" w:fill="auto"/>
            <w:tcMar>
              <w:top w:w="15" w:type="dxa"/>
              <w:left w:w="15" w:type="dxa"/>
              <w:right w:w="15" w:type="dxa"/>
            </w:tcMar>
            <w:vAlign w:val="center"/>
          </w:tcPr>
          <w:p w14:paraId="5086908C">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500ABAA4">
            <w:pPr>
              <w:widowControl/>
              <w:spacing w:line="240" w:lineRule="auto"/>
              <w:jc w:val="center"/>
              <w:textAlignment w:val="top"/>
              <w:rPr>
                <w:color w:val="000000"/>
                <w:sz w:val="21"/>
                <w:szCs w:val="21"/>
                <w:highlight w:val="none"/>
              </w:rPr>
            </w:pPr>
            <w:r>
              <w:rPr>
                <w:color w:val="000000"/>
                <w:kern w:val="0"/>
                <w:sz w:val="21"/>
                <w:szCs w:val="21"/>
                <w:highlight w:val="none"/>
                <w:lang w:bidi="ar"/>
              </w:rPr>
              <w:t>0.019mg/L</w:t>
            </w:r>
          </w:p>
        </w:tc>
      </w:tr>
      <w:tr w14:paraId="4D8669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10C803A4">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227AA6D1">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汞</w:t>
            </w:r>
          </w:p>
        </w:tc>
        <w:tc>
          <w:tcPr>
            <w:tcW w:w="3470" w:type="dxa"/>
            <w:vMerge w:val="restart"/>
            <w:tcBorders>
              <w:tl2br w:val="nil"/>
              <w:tr2bl w:val="nil"/>
            </w:tcBorders>
            <w:shd w:val="clear" w:color="auto" w:fill="auto"/>
            <w:tcMar>
              <w:top w:w="15" w:type="dxa"/>
              <w:left w:w="15" w:type="dxa"/>
              <w:right w:w="15" w:type="dxa"/>
            </w:tcMar>
            <w:vAlign w:val="center"/>
          </w:tcPr>
          <w:p w14:paraId="4C66518C">
            <w:pPr>
              <w:widowControl/>
              <w:spacing w:line="240" w:lineRule="auto"/>
              <w:jc w:val="center"/>
              <w:textAlignment w:val="bottom"/>
              <w:rPr>
                <w:color w:val="000000"/>
                <w:kern w:val="0"/>
                <w:sz w:val="21"/>
                <w:szCs w:val="21"/>
                <w:highlight w:val="none"/>
                <w:lang w:bidi="ar"/>
              </w:rPr>
            </w:pPr>
            <w:r>
              <w:rPr>
                <w:color w:val="000000"/>
                <w:kern w:val="0"/>
                <w:sz w:val="21"/>
                <w:szCs w:val="21"/>
                <w:highlight w:val="none"/>
                <w:lang w:bidi="ar"/>
              </w:rPr>
              <w:t xml:space="preserve">水质 </w:t>
            </w:r>
            <w:r>
              <w:rPr>
                <w:rStyle w:val="61"/>
                <w:rFonts w:hint="default" w:ascii="Times New Roman" w:hAnsi="Times New Roman" w:cs="Times New Roman"/>
                <w:sz w:val="21"/>
                <w:szCs w:val="21"/>
                <w:highlight w:val="none"/>
                <w:lang w:bidi="ar"/>
              </w:rPr>
              <w:t>汞、砷、硒、铋和锑的测定</w:t>
            </w:r>
            <w:r>
              <w:rPr>
                <w:color w:val="000000"/>
                <w:kern w:val="0"/>
                <w:sz w:val="21"/>
                <w:szCs w:val="21"/>
                <w:highlight w:val="none"/>
                <w:lang w:bidi="ar"/>
              </w:rPr>
              <w:t xml:space="preserve"> </w:t>
            </w:r>
          </w:p>
          <w:p w14:paraId="51A90563">
            <w:pPr>
              <w:widowControl/>
              <w:spacing w:line="240" w:lineRule="auto"/>
              <w:jc w:val="center"/>
              <w:textAlignment w:val="bottom"/>
              <w:rPr>
                <w:color w:val="000000"/>
                <w:sz w:val="21"/>
                <w:szCs w:val="21"/>
                <w:highlight w:val="none"/>
              </w:rPr>
            </w:pPr>
            <w:r>
              <w:rPr>
                <w:rStyle w:val="61"/>
                <w:rFonts w:hint="default" w:ascii="Times New Roman" w:hAnsi="Times New Roman" w:cs="Times New Roman"/>
                <w:sz w:val="21"/>
                <w:szCs w:val="21"/>
                <w:highlight w:val="none"/>
                <w:lang w:bidi="ar"/>
              </w:rPr>
              <w:t>原子荧光法</w:t>
            </w:r>
          </w:p>
        </w:tc>
        <w:tc>
          <w:tcPr>
            <w:tcW w:w="2475" w:type="dxa"/>
            <w:vMerge w:val="restart"/>
            <w:tcBorders>
              <w:tl2br w:val="nil"/>
              <w:tr2bl w:val="nil"/>
            </w:tcBorders>
            <w:shd w:val="clear" w:color="auto" w:fill="auto"/>
            <w:noWrap/>
            <w:tcMar>
              <w:top w:w="15" w:type="dxa"/>
              <w:left w:w="15" w:type="dxa"/>
              <w:right w:w="15" w:type="dxa"/>
            </w:tcMar>
            <w:vAlign w:val="center"/>
          </w:tcPr>
          <w:p w14:paraId="3B101F71">
            <w:pPr>
              <w:widowControl/>
              <w:spacing w:line="240" w:lineRule="auto"/>
              <w:jc w:val="center"/>
              <w:textAlignment w:val="top"/>
              <w:rPr>
                <w:color w:val="000000"/>
                <w:sz w:val="21"/>
                <w:szCs w:val="21"/>
                <w:highlight w:val="none"/>
              </w:rPr>
            </w:pPr>
            <w:r>
              <w:rPr>
                <w:color w:val="000000"/>
                <w:kern w:val="0"/>
                <w:sz w:val="21"/>
                <w:szCs w:val="21"/>
                <w:highlight w:val="none"/>
                <w:lang w:bidi="ar"/>
              </w:rPr>
              <w:t>HJ 694-2014</w:t>
            </w:r>
          </w:p>
        </w:tc>
        <w:tc>
          <w:tcPr>
            <w:tcW w:w="1222" w:type="dxa"/>
            <w:tcBorders>
              <w:tl2br w:val="nil"/>
              <w:tr2bl w:val="nil"/>
            </w:tcBorders>
            <w:shd w:val="clear" w:color="auto" w:fill="auto"/>
            <w:tcMar>
              <w:top w:w="15" w:type="dxa"/>
              <w:left w:w="15" w:type="dxa"/>
              <w:right w:w="15" w:type="dxa"/>
            </w:tcMar>
            <w:vAlign w:val="center"/>
          </w:tcPr>
          <w:p w14:paraId="7F92F578">
            <w:pPr>
              <w:widowControl/>
              <w:spacing w:line="240" w:lineRule="auto"/>
              <w:jc w:val="center"/>
              <w:textAlignment w:val="top"/>
              <w:rPr>
                <w:color w:val="000000"/>
                <w:sz w:val="21"/>
                <w:szCs w:val="21"/>
                <w:highlight w:val="none"/>
              </w:rPr>
            </w:pPr>
            <w:r>
              <w:rPr>
                <w:color w:val="000000"/>
                <w:kern w:val="0"/>
                <w:sz w:val="21"/>
                <w:szCs w:val="21"/>
                <w:highlight w:val="none"/>
                <w:lang w:bidi="ar"/>
              </w:rPr>
              <w:t>0.00004mg/L</w:t>
            </w:r>
          </w:p>
        </w:tc>
      </w:tr>
      <w:tr w14:paraId="743C66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5855336F">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7FD354CC">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砷</w:t>
            </w:r>
          </w:p>
        </w:tc>
        <w:tc>
          <w:tcPr>
            <w:tcW w:w="3470" w:type="dxa"/>
            <w:vMerge w:val="continue"/>
            <w:tcBorders>
              <w:tl2br w:val="nil"/>
              <w:tr2bl w:val="nil"/>
            </w:tcBorders>
            <w:shd w:val="clear" w:color="auto" w:fill="auto"/>
            <w:tcMar>
              <w:top w:w="15" w:type="dxa"/>
              <w:left w:w="15" w:type="dxa"/>
              <w:right w:w="15" w:type="dxa"/>
            </w:tcMar>
            <w:vAlign w:val="center"/>
          </w:tcPr>
          <w:p w14:paraId="41FA6205">
            <w:pPr>
              <w:spacing w:line="240" w:lineRule="auto"/>
              <w:jc w:val="center"/>
              <w:rPr>
                <w:color w:val="000000"/>
                <w:sz w:val="21"/>
                <w:szCs w:val="21"/>
                <w:highlight w:val="none"/>
              </w:rPr>
            </w:pPr>
          </w:p>
        </w:tc>
        <w:tc>
          <w:tcPr>
            <w:tcW w:w="2475" w:type="dxa"/>
            <w:vMerge w:val="continue"/>
            <w:tcBorders>
              <w:tl2br w:val="nil"/>
              <w:tr2bl w:val="nil"/>
            </w:tcBorders>
            <w:shd w:val="clear" w:color="auto" w:fill="auto"/>
            <w:noWrap/>
            <w:tcMar>
              <w:top w:w="15" w:type="dxa"/>
              <w:left w:w="15" w:type="dxa"/>
              <w:right w:w="15" w:type="dxa"/>
            </w:tcMar>
            <w:vAlign w:val="center"/>
          </w:tcPr>
          <w:p w14:paraId="589C78CC">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51C26974">
            <w:pPr>
              <w:widowControl/>
              <w:spacing w:line="240" w:lineRule="auto"/>
              <w:jc w:val="center"/>
              <w:textAlignment w:val="top"/>
              <w:rPr>
                <w:color w:val="000000"/>
                <w:sz w:val="21"/>
                <w:szCs w:val="21"/>
                <w:highlight w:val="none"/>
              </w:rPr>
            </w:pPr>
            <w:r>
              <w:rPr>
                <w:color w:val="000000"/>
                <w:kern w:val="0"/>
                <w:sz w:val="21"/>
                <w:szCs w:val="21"/>
                <w:highlight w:val="none"/>
                <w:lang w:bidi="ar"/>
              </w:rPr>
              <w:t>0.0003mg/L</w:t>
            </w:r>
          </w:p>
        </w:tc>
      </w:tr>
      <w:tr w14:paraId="53EDBD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5002DD4E">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6D725518">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硒</w:t>
            </w:r>
          </w:p>
        </w:tc>
        <w:tc>
          <w:tcPr>
            <w:tcW w:w="3470" w:type="dxa"/>
            <w:vMerge w:val="continue"/>
            <w:tcBorders>
              <w:tl2br w:val="nil"/>
              <w:tr2bl w:val="nil"/>
            </w:tcBorders>
            <w:shd w:val="clear" w:color="auto" w:fill="auto"/>
            <w:tcMar>
              <w:top w:w="15" w:type="dxa"/>
              <w:left w:w="15" w:type="dxa"/>
              <w:right w:w="15" w:type="dxa"/>
            </w:tcMar>
            <w:vAlign w:val="center"/>
          </w:tcPr>
          <w:p w14:paraId="584630A9">
            <w:pPr>
              <w:spacing w:line="240" w:lineRule="auto"/>
              <w:jc w:val="center"/>
              <w:rPr>
                <w:color w:val="000000"/>
                <w:sz w:val="21"/>
                <w:szCs w:val="21"/>
                <w:highlight w:val="none"/>
              </w:rPr>
            </w:pPr>
          </w:p>
        </w:tc>
        <w:tc>
          <w:tcPr>
            <w:tcW w:w="2475" w:type="dxa"/>
            <w:vMerge w:val="continue"/>
            <w:tcBorders>
              <w:tl2br w:val="nil"/>
              <w:tr2bl w:val="nil"/>
            </w:tcBorders>
            <w:shd w:val="clear" w:color="auto" w:fill="auto"/>
            <w:noWrap/>
            <w:tcMar>
              <w:top w:w="15" w:type="dxa"/>
              <w:left w:w="15" w:type="dxa"/>
              <w:right w:w="15" w:type="dxa"/>
            </w:tcMar>
            <w:vAlign w:val="center"/>
          </w:tcPr>
          <w:p w14:paraId="713C073B">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4F5C5303">
            <w:pPr>
              <w:widowControl/>
              <w:spacing w:line="240" w:lineRule="auto"/>
              <w:jc w:val="center"/>
              <w:textAlignment w:val="top"/>
              <w:rPr>
                <w:color w:val="000000"/>
                <w:sz w:val="21"/>
                <w:szCs w:val="21"/>
                <w:highlight w:val="none"/>
              </w:rPr>
            </w:pPr>
            <w:r>
              <w:rPr>
                <w:color w:val="000000"/>
                <w:kern w:val="0"/>
                <w:sz w:val="21"/>
                <w:szCs w:val="21"/>
                <w:highlight w:val="none"/>
                <w:lang w:bidi="ar"/>
              </w:rPr>
              <w:t>0.0004mg/L</w:t>
            </w:r>
          </w:p>
        </w:tc>
      </w:tr>
      <w:tr w14:paraId="59932D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57EC662B">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646D8D52">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铅</w:t>
            </w:r>
          </w:p>
        </w:tc>
        <w:tc>
          <w:tcPr>
            <w:tcW w:w="3470" w:type="dxa"/>
            <w:tcBorders>
              <w:tl2br w:val="nil"/>
              <w:tr2bl w:val="nil"/>
            </w:tcBorders>
            <w:shd w:val="clear" w:color="auto" w:fill="auto"/>
            <w:tcMar>
              <w:top w:w="15" w:type="dxa"/>
              <w:left w:w="15" w:type="dxa"/>
              <w:right w:w="15" w:type="dxa"/>
            </w:tcMar>
            <w:vAlign w:val="center"/>
          </w:tcPr>
          <w:p w14:paraId="5371821C">
            <w:pPr>
              <w:widowControl/>
              <w:spacing w:line="240" w:lineRule="auto"/>
              <w:jc w:val="center"/>
              <w:textAlignment w:val="top"/>
              <w:rPr>
                <w:color w:val="000000"/>
                <w:sz w:val="21"/>
                <w:szCs w:val="21"/>
                <w:highlight w:val="none"/>
              </w:rPr>
            </w:pPr>
            <w:r>
              <w:rPr>
                <w:color w:val="000000"/>
                <w:kern w:val="0"/>
                <w:sz w:val="21"/>
                <w:szCs w:val="21"/>
                <w:highlight w:val="none"/>
                <w:lang w:bidi="ar"/>
              </w:rPr>
              <w:t>生活饮用水标准检验方法 金属指标</w:t>
            </w:r>
            <w:r>
              <w:rPr>
                <w:color w:val="000000"/>
                <w:kern w:val="0"/>
                <w:sz w:val="21"/>
                <w:szCs w:val="21"/>
                <w:highlight w:val="none"/>
                <w:lang w:bidi="ar"/>
              </w:rPr>
              <w:br w:type="textWrapping"/>
            </w:r>
            <w:r>
              <w:rPr>
                <w:color w:val="000000"/>
                <w:kern w:val="0"/>
                <w:sz w:val="21"/>
                <w:szCs w:val="21"/>
                <w:highlight w:val="none"/>
                <w:lang w:bidi="ar"/>
              </w:rPr>
              <w:t>无火焰原子吸收分光光度法</w:t>
            </w:r>
          </w:p>
        </w:tc>
        <w:tc>
          <w:tcPr>
            <w:tcW w:w="2475" w:type="dxa"/>
            <w:tcBorders>
              <w:tl2br w:val="nil"/>
              <w:tr2bl w:val="nil"/>
            </w:tcBorders>
            <w:shd w:val="clear" w:color="auto" w:fill="auto"/>
            <w:noWrap/>
            <w:tcMar>
              <w:top w:w="15" w:type="dxa"/>
              <w:left w:w="15" w:type="dxa"/>
              <w:right w:w="15" w:type="dxa"/>
            </w:tcMar>
            <w:vAlign w:val="center"/>
          </w:tcPr>
          <w:p w14:paraId="6DC49E46">
            <w:pPr>
              <w:spacing w:line="240" w:lineRule="auto"/>
              <w:jc w:val="center"/>
              <w:rPr>
                <w:color w:val="000000"/>
                <w:sz w:val="21"/>
                <w:szCs w:val="21"/>
                <w:highlight w:val="none"/>
              </w:rPr>
            </w:pPr>
            <w:r>
              <w:rPr>
                <w:color w:val="000000"/>
                <w:kern w:val="0"/>
                <w:sz w:val="21"/>
                <w:szCs w:val="21"/>
                <w:highlight w:val="none"/>
                <w:lang w:bidi="ar"/>
              </w:rPr>
              <w:t>GB/T 5750.6-2006</w:t>
            </w:r>
          </w:p>
        </w:tc>
        <w:tc>
          <w:tcPr>
            <w:tcW w:w="1222" w:type="dxa"/>
            <w:tcBorders>
              <w:tl2br w:val="nil"/>
              <w:tr2bl w:val="nil"/>
            </w:tcBorders>
            <w:shd w:val="clear" w:color="auto" w:fill="auto"/>
            <w:tcMar>
              <w:top w:w="15" w:type="dxa"/>
              <w:left w:w="15" w:type="dxa"/>
              <w:right w:w="15" w:type="dxa"/>
            </w:tcMar>
            <w:vAlign w:val="center"/>
          </w:tcPr>
          <w:p w14:paraId="3FA05E58">
            <w:pPr>
              <w:widowControl/>
              <w:spacing w:line="240" w:lineRule="auto"/>
              <w:jc w:val="center"/>
              <w:textAlignment w:val="top"/>
              <w:rPr>
                <w:color w:val="000000"/>
                <w:sz w:val="21"/>
                <w:szCs w:val="21"/>
                <w:highlight w:val="none"/>
              </w:rPr>
            </w:pPr>
            <w:r>
              <w:rPr>
                <w:color w:val="000000"/>
                <w:kern w:val="0"/>
                <w:sz w:val="21"/>
                <w:szCs w:val="21"/>
                <w:highlight w:val="none"/>
                <w:lang w:bidi="ar"/>
              </w:rPr>
              <w:t>0.0025mg/L</w:t>
            </w:r>
          </w:p>
        </w:tc>
      </w:tr>
      <w:tr w14:paraId="319A3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4EC66575">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1D95CE3A">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镉</w:t>
            </w:r>
          </w:p>
        </w:tc>
        <w:tc>
          <w:tcPr>
            <w:tcW w:w="3470" w:type="dxa"/>
            <w:tcBorders>
              <w:tl2br w:val="nil"/>
              <w:tr2bl w:val="nil"/>
            </w:tcBorders>
            <w:shd w:val="clear" w:color="auto" w:fill="auto"/>
            <w:tcMar>
              <w:top w:w="15" w:type="dxa"/>
              <w:left w:w="15" w:type="dxa"/>
              <w:right w:w="15" w:type="dxa"/>
            </w:tcMar>
            <w:vAlign w:val="center"/>
          </w:tcPr>
          <w:p w14:paraId="7C91FDAF">
            <w:pPr>
              <w:widowControl/>
              <w:spacing w:line="240" w:lineRule="auto"/>
              <w:jc w:val="center"/>
              <w:textAlignment w:val="top"/>
              <w:rPr>
                <w:color w:val="000000"/>
                <w:sz w:val="21"/>
                <w:szCs w:val="21"/>
                <w:highlight w:val="none"/>
              </w:rPr>
            </w:pPr>
            <w:r>
              <w:rPr>
                <w:color w:val="000000"/>
                <w:kern w:val="0"/>
                <w:sz w:val="21"/>
                <w:szCs w:val="21"/>
                <w:highlight w:val="none"/>
                <w:lang w:bidi="ar"/>
              </w:rPr>
              <w:t>生活饮用水标准检验方法 金属指标</w:t>
            </w:r>
            <w:r>
              <w:rPr>
                <w:color w:val="000000"/>
                <w:kern w:val="0"/>
                <w:sz w:val="21"/>
                <w:szCs w:val="21"/>
                <w:highlight w:val="none"/>
                <w:lang w:bidi="ar"/>
              </w:rPr>
              <w:br w:type="textWrapping"/>
            </w:r>
            <w:r>
              <w:rPr>
                <w:color w:val="000000"/>
                <w:kern w:val="0"/>
                <w:sz w:val="21"/>
                <w:szCs w:val="21"/>
                <w:highlight w:val="none"/>
                <w:lang w:bidi="ar"/>
              </w:rPr>
              <w:t>无火焰原子吸收分光光度法</w:t>
            </w:r>
          </w:p>
        </w:tc>
        <w:tc>
          <w:tcPr>
            <w:tcW w:w="2475" w:type="dxa"/>
            <w:tcBorders>
              <w:tl2br w:val="nil"/>
              <w:tr2bl w:val="nil"/>
            </w:tcBorders>
            <w:shd w:val="clear" w:color="auto" w:fill="auto"/>
            <w:tcMar>
              <w:top w:w="15" w:type="dxa"/>
              <w:left w:w="15" w:type="dxa"/>
              <w:right w:w="15" w:type="dxa"/>
            </w:tcMar>
            <w:vAlign w:val="center"/>
          </w:tcPr>
          <w:p w14:paraId="705D7682">
            <w:pPr>
              <w:widowControl/>
              <w:spacing w:line="240" w:lineRule="auto"/>
              <w:jc w:val="center"/>
              <w:textAlignment w:val="top"/>
              <w:rPr>
                <w:color w:val="000000"/>
                <w:sz w:val="21"/>
                <w:szCs w:val="21"/>
                <w:highlight w:val="none"/>
              </w:rPr>
            </w:pPr>
            <w:r>
              <w:rPr>
                <w:color w:val="000000"/>
                <w:kern w:val="0"/>
                <w:sz w:val="21"/>
                <w:szCs w:val="21"/>
                <w:highlight w:val="none"/>
                <w:lang w:bidi="ar"/>
              </w:rPr>
              <w:t>GB/T 5750.6-2006</w:t>
            </w:r>
          </w:p>
        </w:tc>
        <w:tc>
          <w:tcPr>
            <w:tcW w:w="1222" w:type="dxa"/>
            <w:tcBorders>
              <w:tl2br w:val="nil"/>
              <w:tr2bl w:val="nil"/>
            </w:tcBorders>
            <w:shd w:val="clear" w:color="auto" w:fill="auto"/>
            <w:tcMar>
              <w:top w:w="15" w:type="dxa"/>
              <w:left w:w="15" w:type="dxa"/>
              <w:right w:w="15" w:type="dxa"/>
            </w:tcMar>
            <w:vAlign w:val="center"/>
          </w:tcPr>
          <w:p w14:paraId="0F81732F">
            <w:pPr>
              <w:widowControl/>
              <w:spacing w:line="240" w:lineRule="auto"/>
              <w:jc w:val="center"/>
              <w:textAlignment w:val="top"/>
              <w:rPr>
                <w:color w:val="000000"/>
                <w:sz w:val="21"/>
                <w:szCs w:val="21"/>
                <w:highlight w:val="none"/>
              </w:rPr>
            </w:pPr>
            <w:r>
              <w:rPr>
                <w:color w:val="000000"/>
                <w:kern w:val="0"/>
                <w:sz w:val="21"/>
                <w:szCs w:val="21"/>
                <w:highlight w:val="none"/>
                <w:lang w:bidi="ar"/>
              </w:rPr>
              <w:t>0.0005mg/L</w:t>
            </w:r>
          </w:p>
        </w:tc>
      </w:tr>
      <w:tr w14:paraId="2DD10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084A9B9E">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54D6DC8C">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铬（六价）</w:t>
            </w:r>
          </w:p>
        </w:tc>
        <w:tc>
          <w:tcPr>
            <w:tcW w:w="3470" w:type="dxa"/>
            <w:tcBorders>
              <w:tl2br w:val="nil"/>
              <w:tr2bl w:val="nil"/>
            </w:tcBorders>
            <w:shd w:val="clear" w:color="auto" w:fill="auto"/>
            <w:tcMar>
              <w:top w:w="15" w:type="dxa"/>
              <w:left w:w="15" w:type="dxa"/>
              <w:right w:w="15" w:type="dxa"/>
            </w:tcMar>
            <w:vAlign w:val="center"/>
          </w:tcPr>
          <w:p w14:paraId="4C25E9FB">
            <w:pPr>
              <w:widowControl/>
              <w:spacing w:line="240" w:lineRule="auto"/>
              <w:jc w:val="center"/>
              <w:textAlignment w:val="top"/>
              <w:rPr>
                <w:color w:val="000000"/>
                <w:sz w:val="21"/>
                <w:szCs w:val="21"/>
                <w:highlight w:val="none"/>
              </w:rPr>
            </w:pPr>
            <w:r>
              <w:rPr>
                <w:color w:val="000000"/>
                <w:kern w:val="0"/>
                <w:sz w:val="21"/>
                <w:szCs w:val="21"/>
                <w:highlight w:val="none"/>
                <w:lang w:bidi="ar"/>
              </w:rPr>
              <w:t>生活饮用水标准检验方法 金属指标</w:t>
            </w:r>
            <w:r>
              <w:rPr>
                <w:color w:val="000000"/>
                <w:kern w:val="0"/>
                <w:sz w:val="21"/>
                <w:szCs w:val="21"/>
                <w:highlight w:val="none"/>
                <w:lang w:bidi="ar"/>
              </w:rPr>
              <w:br w:type="textWrapping"/>
            </w:r>
            <w:r>
              <w:rPr>
                <w:color w:val="000000"/>
                <w:kern w:val="0"/>
                <w:sz w:val="21"/>
                <w:szCs w:val="21"/>
                <w:highlight w:val="none"/>
                <w:lang w:bidi="ar"/>
              </w:rPr>
              <w:t>二苯碳酰二肼分光光度法</w:t>
            </w:r>
          </w:p>
        </w:tc>
        <w:tc>
          <w:tcPr>
            <w:tcW w:w="2475" w:type="dxa"/>
            <w:tcBorders>
              <w:tl2br w:val="nil"/>
              <w:tr2bl w:val="nil"/>
            </w:tcBorders>
            <w:shd w:val="clear" w:color="auto" w:fill="auto"/>
            <w:noWrap/>
            <w:tcMar>
              <w:top w:w="15" w:type="dxa"/>
              <w:left w:w="15" w:type="dxa"/>
              <w:right w:w="15" w:type="dxa"/>
            </w:tcMar>
            <w:vAlign w:val="center"/>
          </w:tcPr>
          <w:p w14:paraId="2D80238D">
            <w:pPr>
              <w:widowControl/>
              <w:spacing w:line="240" w:lineRule="auto"/>
              <w:jc w:val="center"/>
              <w:textAlignment w:val="top"/>
              <w:rPr>
                <w:color w:val="000000"/>
                <w:sz w:val="21"/>
                <w:szCs w:val="21"/>
                <w:highlight w:val="none"/>
              </w:rPr>
            </w:pPr>
            <w:r>
              <w:rPr>
                <w:color w:val="000000"/>
                <w:kern w:val="0"/>
                <w:sz w:val="21"/>
                <w:szCs w:val="21"/>
                <w:highlight w:val="none"/>
                <w:lang w:bidi="ar"/>
              </w:rPr>
              <w:t>GB/T 5750.6-2006</w:t>
            </w:r>
          </w:p>
        </w:tc>
        <w:tc>
          <w:tcPr>
            <w:tcW w:w="1222" w:type="dxa"/>
            <w:tcBorders>
              <w:tl2br w:val="nil"/>
              <w:tr2bl w:val="nil"/>
            </w:tcBorders>
            <w:shd w:val="clear" w:color="auto" w:fill="auto"/>
            <w:tcMar>
              <w:top w:w="15" w:type="dxa"/>
              <w:left w:w="15" w:type="dxa"/>
              <w:right w:w="15" w:type="dxa"/>
            </w:tcMar>
            <w:vAlign w:val="center"/>
          </w:tcPr>
          <w:p w14:paraId="74E24405">
            <w:pPr>
              <w:widowControl/>
              <w:spacing w:line="240" w:lineRule="auto"/>
              <w:jc w:val="center"/>
              <w:textAlignment w:val="top"/>
              <w:rPr>
                <w:color w:val="000000"/>
                <w:sz w:val="21"/>
                <w:szCs w:val="21"/>
                <w:highlight w:val="none"/>
              </w:rPr>
            </w:pPr>
            <w:r>
              <w:rPr>
                <w:color w:val="000000"/>
                <w:kern w:val="0"/>
                <w:sz w:val="21"/>
                <w:szCs w:val="21"/>
                <w:highlight w:val="none"/>
                <w:lang w:bidi="ar"/>
              </w:rPr>
              <w:t>0.004mg/L</w:t>
            </w:r>
          </w:p>
        </w:tc>
      </w:tr>
      <w:tr w14:paraId="3EC9DB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72C1FB63">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1383EC28">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石油类</w:t>
            </w:r>
          </w:p>
        </w:tc>
        <w:tc>
          <w:tcPr>
            <w:tcW w:w="3470" w:type="dxa"/>
            <w:tcBorders>
              <w:tl2br w:val="nil"/>
              <w:tr2bl w:val="nil"/>
            </w:tcBorders>
            <w:shd w:val="clear" w:color="auto" w:fill="auto"/>
            <w:tcMar>
              <w:top w:w="15" w:type="dxa"/>
              <w:left w:w="15" w:type="dxa"/>
              <w:right w:w="15" w:type="dxa"/>
            </w:tcMar>
            <w:vAlign w:val="center"/>
          </w:tcPr>
          <w:p w14:paraId="14EF9029">
            <w:pPr>
              <w:widowControl/>
              <w:spacing w:line="240" w:lineRule="auto"/>
              <w:jc w:val="center"/>
              <w:textAlignment w:val="top"/>
              <w:rPr>
                <w:color w:val="000000"/>
                <w:sz w:val="21"/>
                <w:szCs w:val="21"/>
                <w:highlight w:val="none"/>
              </w:rPr>
            </w:pPr>
            <w:r>
              <w:rPr>
                <w:color w:val="000000"/>
                <w:kern w:val="0"/>
                <w:sz w:val="21"/>
                <w:szCs w:val="21"/>
                <w:highlight w:val="none"/>
                <w:lang w:bidi="ar"/>
              </w:rPr>
              <w:t>水质 石油类的测定 紫外分光光度法</w:t>
            </w:r>
          </w:p>
        </w:tc>
        <w:tc>
          <w:tcPr>
            <w:tcW w:w="2475" w:type="dxa"/>
            <w:tcBorders>
              <w:tl2br w:val="nil"/>
              <w:tr2bl w:val="nil"/>
            </w:tcBorders>
            <w:shd w:val="clear" w:color="auto" w:fill="auto"/>
            <w:noWrap/>
            <w:tcMar>
              <w:top w:w="15" w:type="dxa"/>
              <w:left w:w="15" w:type="dxa"/>
              <w:right w:w="15" w:type="dxa"/>
            </w:tcMar>
            <w:vAlign w:val="center"/>
          </w:tcPr>
          <w:p w14:paraId="777F84F8">
            <w:pPr>
              <w:widowControl/>
              <w:spacing w:line="240" w:lineRule="auto"/>
              <w:jc w:val="center"/>
              <w:textAlignment w:val="top"/>
              <w:rPr>
                <w:color w:val="000000"/>
                <w:sz w:val="21"/>
                <w:szCs w:val="21"/>
                <w:highlight w:val="none"/>
              </w:rPr>
            </w:pPr>
            <w:r>
              <w:rPr>
                <w:color w:val="000000"/>
                <w:kern w:val="0"/>
                <w:sz w:val="21"/>
                <w:szCs w:val="21"/>
                <w:highlight w:val="none"/>
                <w:lang w:bidi="ar"/>
              </w:rPr>
              <w:t>HJ 970-2018</w:t>
            </w:r>
          </w:p>
        </w:tc>
        <w:tc>
          <w:tcPr>
            <w:tcW w:w="1222" w:type="dxa"/>
            <w:tcBorders>
              <w:tl2br w:val="nil"/>
              <w:tr2bl w:val="nil"/>
            </w:tcBorders>
            <w:shd w:val="clear" w:color="auto" w:fill="auto"/>
            <w:tcMar>
              <w:top w:w="15" w:type="dxa"/>
              <w:left w:w="15" w:type="dxa"/>
              <w:right w:w="15" w:type="dxa"/>
            </w:tcMar>
            <w:vAlign w:val="center"/>
          </w:tcPr>
          <w:p w14:paraId="176CAD53">
            <w:pPr>
              <w:widowControl/>
              <w:spacing w:line="240" w:lineRule="auto"/>
              <w:jc w:val="center"/>
              <w:textAlignment w:val="top"/>
              <w:rPr>
                <w:color w:val="000000"/>
                <w:sz w:val="21"/>
                <w:szCs w:val="21"/>
                <w:highlight w:val="none"/>
              </w:rPr>
            </w:pPr>
            <w:r>
              <w:rPr>
                <w:color w:val="000000"/>
                <w:kern w:val="0"/>
                <w:sz w:val="21"/>
                <w:szCs w:val="21"/>
                <w:highlight w:val="none"/>
                <w:lang w:bidi="ar"/>
              </w:rPr>
              <w:t>0.01mg/L</w:t>
            </w:r>
          </w:p>
        </w:tc>
      </w:tr>
      <w:tr w14:paraId="0DE9C9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45C74962">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3FF4E78C">
            <w:pPr>
              <w:widowControl/>
              <w:spacing w:line="240" w:lineRule="auto"/>
              <w:jc w:val="center"/>
              <w:textAlignment w:val="top"/>
              <w:rPr>
                <w:color w:val="000000"/>
                <w:sz w:val="21"/>
                <w:szCs w:val="21"/>
                <w:highlight w:val="none"/>
              </w:rPr>
            </w:pPr>
            <w:r>
              <w:rPr>
                <w:rFonts w:hint="eastAsia"/>
                <w:color w:val="000000"/>
                <w:kern w:val="0"/>
                <w:sz w:val="21"/>
                <w:szCs w:val="21"/>
                <w:highlight w:val="none"/>
                <w:lang w:bidi="ar"/>
              </w:rPr>
              <w:t>氯仿</w:t>
            </w:r>
            <w:r>
              <w:rPr>
                <w:color w:val="000000"/>
                <w:kern w:val="0"/>
                <w:sz w:val="21"/>
                <w:szCs w:val="21"/>
                <w:highlight w:val="none"/>
                <w:lang w:bidi="ar"/>
              </w:rPr>
              <w:br w:type="textWrapping"/>
            </w:r>
            <w:r>
              <w:rPr>
                <w:color w:val="000000"/>
                <w:kern w:val="0"/>
                <w:sz w:val="21"/>
                <w:szCs w:val="21"/>
                <w:highlight w:val="none"/>
                <w:lang w:bidi="ar"/>
              </w:rPr>
              <w:t>（氯仿）</w:t>
            </w:r>
          </w:p>
        </w:tc>
        <w:tc>
          <w:tcPr>
            <w:tcW w:w="3470" w:type="dxa"/>
            <w:vMerge w:val="restart"/>
            <w:tcBorders>
              <w:tl2br w:val="nil"/>
              <w:tr2bl w:val="nil"/>
            </w:tcBorders>
            <w:shd w:val="clear" w:color="auto" w:fill="auto"/>
            <w:tcMar>
              <w:top w:w="15" w:type="dxa"/>
              <w:left w:w="15" w:type="dxa"/>
              <w:right w:w="15" w:type="dxa"/>
            </w:tcMar>
            <w:vAlign w:val="center"/>
          </w:tcPr>
          <w:p w14:paraId="7A5E9F86">
            <w:pPr>
              <w:widowControl/>
              <w:spacing w:line="240" w:lineRule="auto"/>
              <w:jc w:val="center"/>
              <w:textAlignment w:val="bottom"/>
              <w:rPr>
                <w:color w:val="000000"/>
                <w:kern w:val="0"/>
                <w:sz w:val="21"/>
                <w:szCs w:val="21"/>
                <w:highlight w:val="none"/>
                <w:lang w:bidi="ar"/>
              </w:rPr>
            </w:pPr>
            <w:r>
              <w:rPr>
                <w:color w:val="000000"/>
                <w:kern w:val="0"/>
                <w:sz w:val="21"/>
                <w:szCs w:val="21"/>
                <w:highlight w:val="none"/>
                <w:lang w:bidi="ar"/>
              </w:rPr>
              <w:t xml:space="preserve">水质 </w:t>
            </w:r>
            <w:r>
              <w:rPr>
                <w:rStyle w:val="61"/>
                <w:rFonts w:hint="default" w:ascii="Times New Roman" w:hAnsi="Times New Roman" w:cs="Times New Roman"/>
                <w:sz w:val="21"/>
                <w:szCs w:val="21"/>
                <w:highlight w:val="none"/>
                <w:lang w:bidi="ar"/>
              </w:rPr>
              <w:t>挥发性有机物的测定</w:t>
            </w:r>
          </w:p>
          <w:p w14:paraId="7FE9316F">
            <w:pPr>
              <w:widowControl/>
              <w:spacing w:line="240" w:lineRule="auto"/>
              <w:jc w:val="center"/>
              <w:textAlignment w:val="bottom"/>
              <w:rPr>
                <w:color w:val="000000"/>
                <w:sz w:val="21"/>
                <w:szCs w:val="21"/>
                <w:highlight w:val="none"/>
              </w:rPr>
            </w:pPr>
            <w:r>
              <w:rPr>
                <w:rStyle w:val="61"/>
                <w:rFonts w:hint="default" w:ascii="Times New Roman" w:hAnsi="Times New Roman" w:cs="Times New Roman"/>
                <w:sz w:val="21"/>
                <w:szCs w:val="21"/>
                <w:highlight w:val="none"/>
                <w:lang w:bidi="ar"/>
              </w:rPr>
              <w:t>吹扫捕集</w:t>
            </w:r>
            <w:r>
              <w:rPr>
                <w:color w:val="000000"/>
                <w:kern w:val="0"/>
                <w:sz w:val="21"/>
                <w:szCs w:val="21"/>
                <w:highlight w:val="none"/>
                <w:lang w:bidi="ar"/>
              </w:rPr>
              <w:t xml:space="preserve">/ </w:t>
            </w:r>
            <w:r>
              <w:rPr>
                <w:rStyle w:val="61"/>
                <w:rFonts w:hint="default" w:ascii="Times New Roman" w:hAnsi="Times New Roman" w:cs="Times New Roman"/>
                <w:sz w:val="21"/>
                <w:szCs w:val="21"/>
                <w:highlight w:val="none"/>
                <w:lang w:bidi="ar"/>
              </w:rPr>
              <w:t>气相色谱</w:t>
            </w:r>
            <w:r>
              <w:rPr>
                <w:color w:val="000000"/>
                <w:kern w:val="0"/>
                <w:sz w:val="21"/>
                <w:szCs w:val="21"/>
                <w:highlight w:val="none"/>
                <w:lang w:bidi="ar"/>
              </w:rPr>
              <w:t>-</w:t>
            </w:r>
            <w:r>
              <w:rPr>
                <w:rStyle w:val="61"/>
                <w:rFonts w:hint="default" w:ascii="Times New Roman" w:hAnsi="Times New Roman" w:cs="Times New Roman"/>
                <w:sz w:val="21"/>
                <w:szCs w:val="21"/>
                <w:highlight w:val="none"/>
                <w:lang w:bidi="ar"/>
              </w:rPr>
              <w:t>质谱法</w:t>
            </w:r>
          </w:p>
        </w:tc>
        <w:tc>
          <w:tcPr>
            <w:tcW w:w="2475" w:type="dxa"/>
            <w:vMerge w:val="restart"/>
            <w:tcBorders>
              <w:tl2br w:val="nil"/>
              <w:tr2bl w:val="nil"/>
            </w:tcBorders>
            <w:shd w:val="clear" w:color="auto" w:fill="auto"/>
            <w:noWrap/>
            <w:tcMar>
              <w:top w:w="15" w:type="dxa"/>
              <w:left w:w="15" w:type="dxa"/>
              <w:right w:w="15" w:type="dxa"/>
            </w:tcMar>
            <w:vAlign w:val="center"/>
          </w:tcPr>
          <w:p w14:paraId="275923F8">
            <w:pPr>
              <w:widowControl/>
              <w:spacing w:line="240" w:lineRule="auto"/>
              <w:jc w:val="center"/>
              <w:textAlignment w:val="top"/>
              <w:rPr>
                <w:color w:val="000000"/>
                <w:sz w:val="21"/>
                <w:szCs w:val="21"/>
                <w:highlight w:val="none"/>
              </w:rPr>
            </w:pPr>
            <w:r>
              <w:rPr>
                <w:color w:val="000000"/>
                <w:kern w:val="0"/>
                <w:sz w:val="21"/>
                <w:szCs w:val="21"/>
                <w:highlight w:val="none"/>
                <w:lang w:bidi="ar"/>
              </w:rPr>
              <w:t>HJ 639-2012</w:t>
            </w:r>
          </w:p>
        </w:tc>
        <w:tc>
          <w:tcPr>
            <w:tcW w:w="1222" w:type="dxa"/>
            <w:tcBorders>
              <w:tl2br w:val="nil"/>
              <w:tr2bl w:val="nil"/>
            </w:tcBorders>
            <w:shd w:val="clear" w:color="auto" w:fill="auto"/>
            <w:tcMar>
              <w:top w:w="15" w:type="dxa"/>
              <w:left w:w="15" w:type="dxa"/>
              <w:right w:w="15" w:type="dxa"/>
            </w:tcMar>
            <w:vAlign w:val="center"/>
          </w:tcPr>
          <w:p w14:paraId="09EDC809">
            <w:pPr>
              <w:widowControl/>
              <w:spacing w:line="240" w:lineRule="auto"/>
              <w:jc w:val="center"/>
              <w:textAlignment w:val="top"/>
              <w:rPr>
                <w:color w:val="000000"/>
                <w:sz w:val="21"/>
                <w:szCs w:val="21"/>
                <w:highlight w:val="none"/>
              </w:rPr>
            </w:pPr>
            <w:r>
              <w:rPr>
                <w:color w:val="000000"/>
                <w:kern w:val="0"/>
                <w:sz w:val="21"/>
                <w:szCs w:val="21"/>
                <w:highlight w:val="none"/>
                <w:lang w:bidi="ar"/>
              </w:rPr>
              <w:t>0.0014mg/L</w:t>
            </w:r>
          </w:p>
        </w:tc>
      </w:tr>
      <w:tr w14:paraId="569C2B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277B19A6">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526148BC">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四氯化碳</w:t>
            </w:r>
          </w:p>
        </w:tc>
        <w:tc>
          <w:tcPr>
            <w:tcW w:w="3470" w:type="dxa"/>
            <w:vMerge w:val="continue"/>
            <w:tcBorders>
              <w:tl2br w:val="nil"/>
              <w:tr2bl w:val="nil"/>
            </w:tcBorders>
            <w:shd w:val="clear" w:color="auto" w:fill="auto"/>
            <w:tcMar>
              <w:top w:w="15" w:type="dxa"/>
              <w:left w:w="15" w:type="dxa"/>
              <w:right w:w="15" w:type="dxa"/>
            </w:tcMar>
            <w:vAlign w:val="center"/>
          </w:tcPr>
          <w:p w14:paraId="6AC3390A">
            <w:pPr>
              <w:spacing w:line="240" w:lineRule="auto"/>
              <w:jc w:val="center"/>
              <w:rPr>
                <w:color w:val="000000"/>
                <w:sz w:val="21"/>
                <w:szCs w:val="21"/>
                <w:highlight w:val="none"/>
              </w:rPr>
            </w:pPr>
          </w:p>
        </w:tc>
        <w:tc>
          <w:tcPr>
            <w:tcW w:w="2475" w:type="dxa"/>
            <w:vMerge w:val="continue"/>
            <w:tcBorders>
              <w:tl2br w:val="nil"/>
              <w:tr2bl w:val="nil"/>
            </w:tcBorders>
            <w:shd w:val="clear" w:color="auto" w:fill="auto"/>
            <w:noWrap/>
            <w:tcMar>
              <w:top w:w="15" w:type="dxa"/>
              <w:left w:w="15" w:type="dxa"/>
              <w:right w:w="15" w:type="dxa"/>
            </w:tcMar>
            <w:vAlign w:val="center"/>
          </w:tcPr>
          <w:p w14:paraId="57C56AF6">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5BA272DA">
            <w:pPr>
              <w:widowControl/>
              <w:spacing w:line="240" w:lineRule="auto"/>
              <w:jc w:val="center"/>
              <w:textAlignment w:val="top"/>
              <w:rPr>
                <w:color w:val="000000"/>
                <w:sz w:val="21"/>
                <w:szCs w:val="21"/>
                <w:highlight w:val="none"/>
              </w:rPr>
            </w:pPr>
            <w:r>
              <w:rPr>
                <w:color w:val="000000"/>
                <w:kern w:val="0"/>
                <w:sz w:val="21"/>
                <w:szCs w:val="21"/>
                <w:highlight w:val="none"/>
                <w:lang w:bidi="ar"/>
              </w:rPr>
              <w:t>0.0015mg/L</w:t>
            </w:r>
          </w:p>
        </w:tc>
      </w:tr>
      <w:tr w14:paraId="57729C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64346B76">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0A500EAC">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苯</w:t>
            </w:r>
          </w:p>
        </w:tc>
        <w:tc>
          <w:tcPr>
            <w:tcW w:w="3470" w:type="dxa"/>
            <w:vMerge w:val="continue"/>
            <w:tcBorders>
              <w:tl2br w:val="nil"/>
              <w:tr2bl w:val="nil"/>
            </w:tcBorders>
            <w:shd w:val="clear" w:color="auto" w:fill="auto"/>
            <w:tcMar>
              <w:top w:w="15" w:type="dxa"/>
              <w:left w:w="15" w:type="dxa"/>
              <w:right w:w="15" w:type="dxa"/>
            </w:tcMar>
            <w:vAlign w:val="center"/>
          </w:tcPr>
          <w:p w14:paraId="772DFF32">
            <w:pPr>
              <w:spacing w:line="240" w:lineRule="auto"/>
              <w:jc w:val="center"/>
              <w:rPr>
                <w:color w:val="000000"/>
                <w:sz w:val="21"/>
                <w:szCs w:val="21"/>
                <w:highlight w:val="none"/>
              </w:rPr>
            </w:pPr>
          </w:p>
        </w:tc>
        <w:tc>
          <w:tcPr>
            <w:tcW w:w="2475" w:type="dxa"/>
            <w:vMerge w:val="continue"/>
            <w:tcBorders>
              <w:tl2br w:val="nil"/>
              <w:tr2bl w:val="nil"/>
            </w:tcBorders>
            <w:shd w:val="clear" w:color="auto" w:fill="auto"/>
            <w:noWrap/>
            <w:tcMar>
              <w:top w:w="15" w:type="dxa"/>
              <w:left w:w="15" w:type="dxa"/>
              <w:right w:w="15" w:type="dxa"/>
            </w:tcMar>
            <w:vAlign w:val="center"/>
          </w:tcPr>
          <w:p w14:paraId="08C30BF6">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10959A1D">
            <w:pPr>
              <w:widowControl/>
              <w:spacing w:line="240" w:lineRule="auto"/>
              <w:jc w:val="center"/>
              <w:textAlignment w:val="top"/>
              <w:rPr>
                <w:color w:val="000000"/>
                <w:sz w:val="21"/>
                <w:szCs w:val="21"/>
                <w:highlight w:val="none"/>
              </w:rPr>
            </w:pPr>
            <w:r>
              <w:rPr>
                <w:color w:val="000000"/>
                <w:kern w:val="0"/>
                <w:sz w:val="21"/>
                <w:szCs w:val="21"/>
                <w:highlight w:val="none"/>
                <w:lang w:bidi="ar"/>
              </w:rPr>
              <w:t>0.0014mg/L</w:t>
            </w:r>
          </w:p>
        </w:tc>
      </w:tr>
      <w:tr w14:paraId="3728FF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02CF91B0">
            <w:pPr>
              <w:spacing w:line="240" w:lineRule="auto"/>
              <w:jc w:val="center"/>
              <w:rPr>
                <w:color w:val="000000"/>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1FB32982">
            <w:pPr>
              <w:widowControl/>
              <w:spacing w:line="240" w:lineRule="auto"/>
              <w:jc w:val="center"/>
              <w:textAlignment w:val="top"/>
              <w:rPr>
                <w:rFonts w:eastAsia="����"/>
                <w:color w:val="000000"/>
                <w:sz w:val="21"/>
                <w:szCs w:val="21"/>
                <w:highlight w:val="none"/>
              </w:rPr>
            </w:pPr>
            <w:r>
              <w:rPr>
                <w:color w:val="000000"/>
                <w:kern w:val="0"/>
                <w:sz w:val="21"/>
                <w:szCs w:val="21"/>
                <w:highlight w:val="none"/>
                <w:lang w:bidi="ar"/>
              </w:rPr>
              <w:t>甲苯</w:t>
            </w:r>
          </w:p>
        </w:tc>
        <w:tc>
          <w:tcPr>
            <w:tcW w:w="3470" w:type="dxa"/>
            <w:vMerge w:val="continue"/>
            <w:tcBorders>
              <w:tl2br w:val="nil"/>
              <w:tr2bl w:val="nil"/>
            </w:tcBorders>
            <w:shd w:val="clear" w:color="auto" w:fill="auto"/>
            <w:tcMar>
              <w:top w:w="15" w:type="dxa"/>
              <w:left w:w="15" w:type="dxa"/>
              <w:right w:w="15" w:type="dxa"/>
            </w:tcMar>
            <w:vAlign w:val="center"/>
          </w:tcPr>
          <w:p w14:paraId="48934AA1">
            <w:pPr>
              <w:spacing w:line="240" w:lineRule="auto"/>
              <w:jc w:val="center"/>
              <w:rPr>
                <w:color w:val="000000"/>
                <w:sz w:val="21"/>
                <w:szCs w:val="21"/>
                <w:highlight w:val="none"/>
              </w:rPr>
            </w:pPr>
          </w:p>
        </w:tc>
        <w:tc>
          <w:tcPr>
            <w:tcW w:w="2475" w:type="dxa"/>
            <w:vMerge w:val="continue"/>
            <w:tcBorders>
              <w:tl2br w:val="nil"/>
              <w:tr2bl w:val="nil"/>
            </w:tcBorders>
            <w:shd w:val="clear" w:color="auto" w:fill="auto"/>
            <w:noWrap/>
            <w:tcMar>
              <w:top w:w="15" w:type="dxa"/>
              <w:left w:w="15" w:type="dxa"/>
              <w:right w:w="15" w:type="dxa"/>
            </w:tcMar>
            <w:vAlign w:val="center"/>
          </w:tcPr>
          <w:p w14:paraId="0C63E9E0">
            <w:pPr>
              <w:spacing w:line="240" w:lineRule="auto"/>
              <w:jc w:val="center"/>
              <w:rPr>
                <w:color w:val="000000"/>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46901008">
            <w:pPr>
              <w:widowControl/>
              <w:spacing w:line="240" w:lineRule="auto"/>
              <w:jc w:val="center"/>
              <w:textAlignment w:val="top"/>
              <w:rPr>
                <w:color w:val="000000"/>
                <w:sz w:val="21"/>
                <w:szCs w:val="21"/>
                <w:highlight w:val="none"/>
              </w:rPr>
            </w:pPr>
            <w:r>
              <w:rPr>
                <w:color w:val="000000"/>
                <w:kern w:val="0"/>
                <w:sz w:val="21"/>
                <w:szCs w:val="21"/>
                <w:highlight w:val="none"/>
                <w:lang w:bidi="ar"/>
              </w:rPr>
              <w:t>0.0014mg/L</w:t>
            </w:r>
          </w:p>
        </w:tc>
      </w:tr>
    </w:tbl>
    <w:p w14:paraId="5CEA23E1">
      <w:pPr>
        <w:pStyle w:val="2"/>
        <w:keepNext w:val="0"/>
        <w:keepLines w:val="0"/>
        <w:spacing w:after="0" w:line="240" w:lineRule="auto"/>
        <w:ind w:firstLine="420"/>
        <w:rPr>
          <w:rFonts w:hint="default" w:ascii="Times New Roman" w:hAnsi="Times New Roman" w:cs="Times New Roman"/>
          <w:highlight w:val="none"/>
        </w:rPr>
      </w:pPr>
      <w:r>
        <w:rPr>
          <w:rFonts w:hint="eastAsia" w:cs="Times New Roman"/>
          <w:b/>
          <w:bCs/>
          <w:color w:val="auto"/>
          <w:sz w:val="18"/>
          <w:szCs w:val="18"/>
          <w:highlight w:val="none"/>
          <w:lang w:eastAsia="zh-CN"/>
        </w:rPr>
        <w:t>①</w:t>
      </w:r>
      <w:r>
        <w:rPr>
          <w:rFonts w:hint="default" w:ascii="Times New Roman" w:hAnsi="Times New Roman" w:cs="Times New Roman"/>
          <w:b/>
          <w:bCs/>
          <w:color w:val="auto"/>
          <w:sz w:val="18"/>
          <w:szCs w:val="18"/>
          <w:highlight w:val="none"/>
          <w:lang w:eastAsia="zh-CN"/>
        </w:rPr>
        <w:t>“</w:t>
      </w:r>
      <w:r>
        <w:rPr>
          <w:rFonts w:hint="default" w:ascii="Times New Roman" w:hAnsi="Times New Roman" w:cs="Times New Roman"/>
          <w:b/>
          <w:bCs/>
          <w:color w:val="auto"/>
          <w:sz w:val="18"/>
          <w:szCs w:val="18"/>
          <w:highlight w:val="none"/>
          <w:lang w:val="en-US" w:eastAsia="zh-CN"/>
        </w:rPr>
        <w:t>/</w:t>
      </w:r>
      <w:r>
        <w:rPr>
          <w:rFonts w:hint="default" w:ascii="Times New Roman" w:hAnsi="Times New Roman" w:cs="Times New Roman"/>
          <w:b/>
          <w:bCs/>
          <w:color w:val="auto"/>
          <w:sz w:val="18"/>
          <w:szCs w:val="18"/>
          <w:highlight w:val="none"/>
          <w:lang w:eastAsia="zh-CN"/>
        </w:rPr>
        <w:t>”代表方法未给出检出限</w:t>
      </w:r>
      <w:r>
        <w:rPr>
          <w:rFonts w:hint="eastAsia" w:cs="Times New Roman"/>
          <w:b/>
          <w:bCs/>
          <w:color w:val="auto"/>
          <w:sz w:val="18"/>
          <w:szCs w:val="18"/>
          <w:highlight w:val="none"/>
          <w:lang w:eastAsia="zh-CN"/>
        </w:rPr>
        <w:t>。</w:t>
      </w:r>
    </w:p>
    <w:p w14:paraId="49F2A4FE">
      <w:pPr>
        <w:pStyle w:val="4"/>
        <w:tabs>
          <w:tab w:val="left" w:leader="dot" w:pos="0"/>
          <w:tab w:val="clear" w:pos="425"/>
        </w:tabs>
        <w:rPr>
          <w:highlight w:val="none"/>
        </w:rPr>
      </w:pPr>
      <w:bookmarkStart w:id="33" w:name="_Toc30126"/>
      <w:r>
        <w:rPr>
          <w:highlight w:val="none"/>
        </w:rPr>
        <w:t>现场质量控制</w:t>
      </w:r>
      <w:bookmarkEnd w:id="33"/>
    </w:p>
    <w:p w14:paraId="76AB64C8">
      <w:pPr>
        <w:pStyle w:val="5"/>
        <w:tabs>
          <w:tab w:val="clear" w:pos="851"/>
        </w:tabs>
        <w:rPr>
          <w:highlight w:val="none"/>
        </w:rPr>
      </w:pPr>
      <w:r>
        <w:rPr>
          <w:highlight w:val="none"/>
        </w:rPr>
        <w:t>现场运输空白</w:t>
      </w:r>
    </w:p>
    <w:p w14:paraId="57D430F5">
      <w:pPr>
        <w:ind w:left="1" w:firstLine="480" w:firstLineChars="200"/>
        <w:rPr>
          <w:snapToGrid w:val="0"/>
          <w:color w:val="000000"/>
          <w:kern w:val="0"/>
          <w:highlight w:val="none"/>
        </w:rPr>
      </w:pPr>
      <w:r>
        <w:rPr>
          <w:snapToGrid w:val="0"/>
          <w:color w:val="000000"/>
          <w:kern w:val="0"/>
          <w:highlight w:val="none"/>
        </w:rPr>
        <w:t>按照《</w:t>
      </w:r>
      <w:r>
        <w:rPr>
          <w:rFonts w:hint="eastAsia"/>
          <w:snapToGrid w:val="0"/>
          <w:color w:val="000000"/>
          <w:kern w:val="0"/>
          <w:highlight w:val="none"/>
          <w:lang w:eastAsia="zh-CN"/>
        </w:rPr>
        <w:t>地块</w:t>
      </w:r>
      <w:r>
        <w:rPr>
          <w:snapToGrid w:val="0"/>
          <w:color w:val="000000"/>
          <w:kern w:val="0"/>
          <w:highlight w:val="none"/>
        </w:rPr>
        <w:t>土壤和地下水中挥发性有机物采样技术导则》（HJ1019-2019）相关要求，采集了</w:t>
      </w:r>
      <w:r>
        <w:rPr>
          <w:rFonts w:hint="eastAsia"/>
          <w:snapToGrid w:val="0"/>
          <w:color w:val="000000"/>
          <w:kern w:val="0"/>
          <w:highlight w:val="none"/>
        </w:rPr>
        <w:t>2</w:t>
      </w:r>
      <w:r>
        <w:rPr>
          <w:snapToGrid w:val="0"/>
          <w:color w:val="000000"/>
          <w:kern w:val="0"/>
          <w:highlight w:val="none"/>
        </w:rPr>
        <w:t>个运输空白样（TB），运输空白样品的27项挥发性有机物的检测结果均低于检出限（检测数据详见报告编号为BJ20A</w:t>
      </w:r>
      <w:r>
        <w:rPr>
          <w:rFonts w:hint="eastAsia"/>
          <w:snapToGrid w:val="0"/>
          <w:color w:val="000000"/>
          <w:kern w:val="0"/>
          <w:highlight w:val="none"/>
        </w:rPr>
        <w:t>1217和</w:t>
      </w:r>
      <w:r>
        <w:rPr>
          <w:snapToGrid w:val="0"/>
          <w:color w:val="000000"/>
          <w:kern w:val="0"/>
          <w:highlight w:val="none"/>
        </w:rPr>
        <w:t>BJ20A070</w:t>
      </w:r>
      <w:r>
        <w:rPr>
          <w:rFonts w:hint="eastAsia"/>
          <w:snapToGrid w:val="0"/>
          <w:color w:val="000000"/>
          <w:kern w:val="0"/>
          <w:highlight w:val="none"/>
        </w:rPr>
        <w:t>8</w:t>
      </w:r>
      <w:r>
        <w:rPr>
          <w:rFonts w:hint="eastAsia"/>
          <w:snapToGrid w:val="0"/>
          <w:color w:val="000000"/>
          <w:kern w:val="0"/>
          <w:highlight w:val="none"/>
          <w:lang w:val="en-US" w:eastAsia="zh-CN"/>
        </w:rPr>
        <w:t>-1</w:t>
      </w:r>
      <w:r>
        <w:rPr>
          <w:snapToGrid w:val="0"/>
          <w:color w:val="000000"/>
          <w:kern w:val="0"/>
          <w:highlight w:val="none"/>
        </w:rPr>
        <w:t>检测报告），表明待测样品运输过程中未引入污染。</w:t>
      </w:r>
    </w:p>
    <w:p w14:paraId="731BCA31">
      <w:pPr>
        <w:pStyle w:val="5"/>
        <w:tabs>
          <w:tab w:val="clear" w:pos="851"/>
        </w:tabs>
        <w:spacing w:after="0"/>
        <w:rPr>
          <w:snapToGrid w:val="0"/>
          <w:color w:val="000000"/>
          <w:kern w:val="0"/>
          <w:highlight w:val="none"/>
        </w:rPr>
      </w:pPr>
      <w:r>
        <w:rPr>
          <w:highlight w:val="none"/>
        </w:rPr>
        <w:t>土壤平行盲样质量控制</w:t>
      </w:r>
    </w:p>
    <w:p w14:paraId="65847224">
      <w:pPr>
        <w:ind w:left="1" w:firstLine="480" w:firstLineChars="200"/>
        <w:rPr>
          <w:color w:val="000000"/>
          <w:highlight w:val="none"/>
        </w:rPr>
      </w:pPr>
      <w:r>
        <w:rPr>
          <w:snapToGrid w:val="0"/>
          <w:color w:val="000000"/>
          <w:kern w:val="0"/>
          <w:highlight w:val="none"/>
        </w:rPr>
        <w:t>样品现场采集过程中，采集了1个土壤平行盲样（</w:t>
      </w:r>
      <w:r>
        <w:rPr>
          <w:rFonts w:hint="eastAsia"/>
          <w:snapToGrid w:val="0"/>
          <w:color w:val="000000"/>
          <w:kern w:val="0"/>
          <w:highlight w:val="none"/>
        </w:rPr>
        <w:t>QC-7</w:t>
      </w:r>
      <w:r>
        <w:rPr>
          <w:snapToGrid w:val="0"/>
          <w:color w:val="000000"/>
          <w:kern w:val="0"/>
          <w:highlight w:val="none"/>
        </w:rPr>
        <w:t>）送往苏伊士环境检测技术（上海）有限公司北京分公司和</w:t>
      </w:r>
      <w:r>
        <w:rPr>
          <w:highlight w:val="none"/>
        </w:rPr>
        <w:t>武汉仲联诚鉴检测技术有限公司</w:t>
      </w:r>
      <w:r>
        <w:rPr>
          <w:snapToGrid w:val="0"/>
          <w:color w:val="000000"/>
          <w:kern w:val="0"/>
          <w:highlight w:val="none"/>
        </w:rPr>
        <w:t>进行检测。</w:t>
      </w:r>
      <w:r>
        <w:rPr>
          <w:color w:val="000000"/>
          <w:highlight w:val="none"/>
        </w:rPr>
        <w:t>本次土壤</w:t>
      </w:r>
      <w:r>
        <w:rPr>
          <w:snapToGrid w:val="0"/>
          <w:color w:val="000000"/>
          <w:kern w:val="0"/>
          <w:highlight w:val="none"/>
        </w:rPr>
        <w:t>平行盲样（</w:t>
      </w:r>
      <w:r>
        <w:rPr>
          <w:rFonts w:hint="eastAsia"/>
          <w:snapToGrid w:val="0"/>
          <w:color w:val="000000"/>
          <w:kern w:val="0"/>
          <w:highlight w:val="none"/>
        </w:rPr>
        <w:t>QC-7</w:t>
      </w:r>
      <w:r>
        <w:rPr>
          <w:snapToGrid w:val="0"/>
          <w:color w:val="000000"/>
          <w:kern w:val="0"/>
          <w:highlight w:val="none"/>
        </w:rPr>
        <w:t>）</w:t>
      </w:r>
      <w:r>
        <w:rPr>
          <w:color w:val="000000"/>
          <w:highlight w:val="none"/>
        </w:rPr>
        <w:t>与对应土壤样品</w:t>
      </w:r>
      <w:r>
        <w:rPr>
          <w:rFonts w:hint="eastAsia"/>
          <w:color w:val="000000"/>
          <w:highlight w:val="none"/>
        </w:rPr>
        <w:t>HH</w:t>
      </w:r>
      <w:r>
        <w:rPr>
          <w:color w:val="000000"/>
          <w:highlight w:val="none"/>
        </w:rPr>
        <w:t>-</w:t>
      </w:r>
      <w:r>
        <w:rPr>
          <w:rFonts w:hint="eastAsia"/>
          <w:color w:val="000000"/>
          <w:highlight w:val="none"/>
        </w:rPr>
        <w:t>1</w:t>
      </w:r>
      <w:r>
        <w:rPr>
          <w:color w:val="000000"/>
          <w:highlight w:val="none"/>
        </w:rPr>
        <w:t>-</w:t>
      </w:r>
      <w:r>
        <w:rPr>
          <w:rFonts w:hint="eastAsia"/>
          <w:color w:val="000000"/>
          <w:highlight w:val="none"/>
        </w:rPr>
        <w:t>4</w:t>
      </w:r>
      <w:r>
        <w:rPr>
          <w:color w:val="000000"/>
          <w:highlight w:val="none"/>
        </w:rPr>
        <w:t>00测试项目中重金属铬（六价）、有机污染物指标均未检出，因此不进行相对偏差的分析。可检出指标的相对偏差在0%~</w:t>
      </w:r>
      <w:r>
        <w:rPr>
          <w:rFonts w:hint="eastAsia"/>
          <w:color w:val="000000"/>
          <w:highlight w:val="none"/>
        </w:rPr>
        <w:t>25.00</w:t>
      </w:r>
      <w:r>
        <w:rPr>
          <w:color w:val="000000"/>
          <w:highlight w:val="none"/>
        </w:rPr>
        <w:t>%，在允许范围内，具体质控结果见表4-5-1。</w:t>
      </w:r>
    </w:p>
    <w:p w14:paraId="2AC7017F">
      <w:pPr>
        <w:spacing w:before="165" w:beforeLines="50" w:line="240" w:lineRule="auto"/>
        <w:jc w:val="center"/>
        <w:rPr>
          <w:rFonts w:eastAsia="黑体"/>
          <w:b/>
          <w:bCs/>
          <w:color w:val="000000"/>
          <w:highlight w:val="none"/>
        </w:rPr>
      </w:pPr>
      <w:r>
        <w:rPr>
          <w:rFonts w:eastAsia="黑体"/>
          <w:b/>
          <w:bCs/>
          <w:color w:val="000000"/>
          <w:highlight w:val="none"/>
        </w:rPr>
        <w:t>表4-5-1 土壤平行盲样质控结果分析</w:t>
      </w:r>
      <w:r>
        <w:rPr>
          <w:rFonts w:hint="default" w:ascii="Times New Roman" w:hAnsi="Times New Roman" w:eastAsia="黑体" w:cs="Times New Roman"/>
          <w:b/>
          <w:bCs/>
          <w:color w:val="auto"/>
          <w:sz w:val="24"/>
          <w:highlight w:val="none"/>
          <w:lang w:eastAsia="zh-CN"/>
        </w:rPr>
        <w:t>（</w:t>
      </w:r>
      <w:r>
        <w:rPr>
          <w:rFonts w:hint="default" w:ascii="Times New Roman" w:hAnsi="Times New Roman" w:eastAsia="黑体" w:cs="Times New Roman"/>
          <w:b/>
          <w:bCs/>
          <w:color w:val="auto"/>
          <w:sz w:val="24"/>
          <w:highlight w:val="none"/>
          <w:lang w:val="en-US" w:eastAsia="zh-CN"/>
        </w:rPr>
        <w:t>QC-</w:t>
      </w:r>
      <w:r>
        <w:rPr>
          <w:rFonts w:hint="eastAsia" w:eastAsia="黑体" w:cs="Times New Roman"/>
          <w:b/>
          <w:bCs/>
          <w:color w:val="auto"/>
          <w:sz w:val="24"/>
          <w:highlight w:val="none"/>
          <w:lang w:val="en-US" w:eastAsia="zh-CN"/>
        </w:rPr>
        <w:t>7</w:t>
      </w:r>
      <w:r>
        <w:rPr>
          <w:rFonts w:hint="default" w:ascii="Times New Roman" w:hAnsi="Times New Roman" w:eastAsia="黑体" w:cs="Times New Roman"/>
          <w:b/>
          <w:bCs/>
          <w:color w:val="auto"/>
          <w:sz w:val="24"/>
          <w:highlight w:val="none"/>
          <w:lang w:eastAsia="zh-CN"/>
        </w:rPr>
        <w:t>）</w:t>
      </w:r>
    </w:p>
    <w:tbl>
      <w:tblPr>
        <w:tblStyle w:val="21"/>
        <w:tblW w:w="961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80"/>
        <w:gridCol w:w="1845"/>
        <w:gridCol w:w="980"/>
        <w:gridCol w:w="1730"/>
        <w:gridCol w:w="1817"/>
        <w:gridCol w:w="1080"/>
        <w:gridCol w:w="1080"/>
      </w:tblGrid>
      <w:tr w14:paraId="0424C7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tblHeader/>
          <w:jc w:val="center"/>
        </w:trPr>
        <w:tc>
          <w:tcPr>
            <w:tcW w:w="1080" w:type="dxa"/>
            <w:vMerge w:val="restart"/>
            <w:tcBorders>
              <w:bottom w:val="single" w:color="auto" w:sz="4" w:space="0"/>
            </w:tcBorders>
            <w:shd w:val="clear" w:color="auto" w:fill="auto"/>
            <w:noWrap/>
            <w:tcMar>
              <w:top w:w="15" w:type="dxa"/>
              <w:left w:w="15" w:type="dxa"/>
              <w:right w:w="15" w:type="dxa"/>
            </w:tcMar>
            <w:vAlign w:val="center"/>
          </w:tcPr>
          <w:p w14:paraId="63647D71">
            <w:pPr>
              <w:widowControl/>
              <w:spacing w:line="240" w:lineRule="auto"/>
              <w:jc w:val="center"/>
              <w:textAlignment w:val="center"/>
              <w:rPr>
                <w:b/>
                <w:bCs/>
                <w:sz w:val="21"/>
                <w:szCs w:val="21"/>
                <w:highlight w:val="none"/>
              </w:rPr>
            </w:pPr>
            <w:r>
              <w:rPr>
                <w:b/>
                <w:bCs/>
                <w:kern w:val="0"/>
                <w:sz w:val="21"/>
                <w:szCs w:val="21"/>
                <w:highlight w:val="none"/>
                <w:lang w:bidi="ar"/>
              </w:rPr>
              <w:t>样品类型</w:t>
            </w:r>
          </w:p>
        </w:tc>
        <w:tc>
          <w:tcPr>
            <w:tcW w:w="1845" w:type="dxa"/>
            <w:vMerge w:val="restart"/>
            <w:tcBorders>
              <w:bottom w:val="single" w:color="auto" w:sz="4" w:space="0"/>
            </w:tcBorders>
            <w:shd w:val="clear" w:color="auto" w:fill="auto"/>
            <w:noWrap/>
            <w:tcMar>
              <w:top w:w="15" w:type="dxa"/>
              <w:left w:w="15" w:type="dxa"/>
              <w:right w:w="15" w:type="dxa"/>
            </w:tcMar>
            <w:vAlign w:val="center"/>
          </w:tcPr>
          <w:p w14:paraId="480EC29A">
            <w:pPr>
              <w:widowControl/>
              <w:spacing w:line="240" w:lineRule="auto"/>
              <w:jc w:val="center"/>
              <w:textAlignment w:val="center"/>
              <w:rPr>
                <w:b/>
                <w:bCs/>
                <w:sz w:val="21"/>
                <w:szCs w:val="21"/>
                <w:highlight w:val="none"/>
              </w:rPr>
            </w:pPr>
            <w:r>
              <w:rPr>
                <w:b/>
                <w:bCs/>
                <w:kern w:val="0"/>
                <w:sz w:val="21"/>
                <w:szCs w:val="21"/>
                <w:highlight w:val="none"/>
                <w:lang w:bidi="ar"/>
              </w:rPr>
              <w:t>监测项目</w:t>
            </w:r>
          </w:p>
        </w:tc>
        <w:tc>
          <w:tcPr>
            <w:tcW w:w="2710" w:type="dxa"/>
            <w:gridSpan w:val="2"/>
            <w:tcBorders>
              <w:bottom w:val="single" w:color="auto" w:sz="4" w:space="0"/>
            </w:tcBorders>
            <w:shd w:val="clear" w:color="auto" w:fill="auto"/>
            <w:noWrap/>
            <w:tcMar>
              <w:top w:w="15" w:type="dxa"/>
              <w:left w:w="15" w:type="dxa"/>
              <w:right w:w="15" w:type="dxa"/>
            </w:tcMar>
            <w:vAlign w:val="center"/>
          </w:tcPr>
          <w:p w14:paraId="4CB03CC1">
            <w:pPr>
              <w:widowControl/>
              <w:spacing w:line="240" w:lineRule="auto"/>
              <w:jc w:val="center"/>
              <w:textAlignment w:val="center"/>
              <w:rPr>
                <w:b/>
                <w:bCs/>
                <w:sz w:val="21"/>
                <w:szCs w:val="21"/>
                <w:highlight w:val="none"/>
              </w:rPr>
            </w:pPr>
            <w:r>
              <w:rPr>
                <w:b/>
                <w:bCs/>
                <w:kern w:val="0"/>
                <w:sz w:val="21"/>
                <w:szCs w:val="21"/>
                <w:highlight w:val="none"/>
                <w:lang w:bidi="ar"/>
              </w:rPr>
              <w:t>测试结果</w:t>
            </w:r>
          </w:p>
        </w:tc>
        <w:tc>
          <w:tcPr>
            <w:tcW w:w="1817" w:type="dxa"/>
            <w:vMerge w:val="restart"/>
            <w:tcBorders>
              <w:bottom w:val="single" w:color="auto" w:sz="4" w:space="0"/>
            </w:tcBorders>
            <w:shd w:val="clear" w:color="auto" w:fill="auto"/>
            <w:noWrap/>
            <w:tcMar>
              <w:top w:w="15" w:type="dxa"/>
              <w:left w:w="15" w:type="dxa"/>
              <w:right w:w="15" w:type="dxa"/>
            </w:tcMar>
            <w:vAlign w:val="center"/>
          </w:tcPr>
          <w:p w14:paraId="4922418B">
            <w:pPr>
              <w:widowControl/>
              <w:spacing w:line="240" w:lineRule="auto"/>
              <w:jc w:val="center"/>
              <w:textAlignment w:val="center"/>
              <w:rPr>
                <w:b/>
                <w:bCs/>
                <w:sz w:val="21"/>
                <w:szCs w:val="21"/>
                <w:highlight w:val="none"/>
              </w:rPr>
            </w:pPr>
            <w:r>
              <w:rPr>
                <w:b/>
                <w:bCs/>
                <w:kern w:val="0"/>
                <w:sz w:val="21"/>
                <w:szCs w:val="21"/>
                <w:highlight w:val="none"/>
                <w:lang w:bidi="ar"/>
              </w:rPr>
              <w:t>相对偏差</w:t>
            </w:r>
          </w:p>
        </w:tc>
        <w:tc>
          <w:tcPr>
            <w:tcW w:w="1080" w:type="dxa"/>
            <w:vMerge w:val="restart"/>
            <w:tcBorders>
              <w:bottom w:val="single" w:color="auto" w:sz="4" w:space="0"/>
            </w:tcBorders>
            <w:shd w:val="clear" w:color="auto" w:fill="auto"/>
            <w:noWrap/>
            <w:tcMar>
              <w:top w:w="15" w:type="dxa"/>
              <w:left w:w="15" w:type="dxa"/>
              <w:right w:w="15" w:type="dxa"/>
            </w:tcMar>
            <w:vAlign w:val="center"/>
          </w:tcPr>
          <w:p w14:paraId="0037E030">
            <w:pPr>
              <w:widowControl/>
              <w:spacing w:line="240" w:lineRule="auto"/>
              <w:jc w:val="center"/>
              <w:textAlignment w:val="center"/>
              <w:rPr>
                <w:b/>
                <w:bCs/>
                <w:sz w:val="21"/>
                <w:szCs w:val="21"/>
                <w:highlight w:val="none"/>
              </w:rPr>
            </w:pPr>
            <w:r>
              <w:rPr>
                <w:b/>
                <w:bCs/>
                <w:kern w:val="0"/>
                <w:sz w:val="21"/>
                <w:szCs w:val="21"/>
                <w:highlight w:val="none"/>
                <w:lang w:bidi="ar"/>
              </w:rPr>
              <w:t>质控要求</w:t>
            </w:r>
            <w:r>
              <w:rPr>
                <w:b/>
                <w:bCs/>
                <w:sz w:val="21"/>
                <w:szCs w:val="21"/>
                <w:highlight w:val="none"/>
                <w:vertAlign w:val="superscript"/>
              </w:rPr>
              <w:t>①</w:t>
            </w:r>
          </w:p>
        </w:tc>
        <w:tc>
          <w:tcPr>
            <w:tcW w:w="1080" w:type="dxa"/>
            <w:vMerge w:val="restart"/>
            <w:tcBorders>
              <w:bottom w:val="single" w:color="auto" w:sz="4" w:space="0"/>
            </w:tcBorders>
            <w:shd w:val="clear" w:color="auto" w:fill="auto"/>
            <w:noWrap/>
            <w:tcMar>
              <w:top w:w="15" w:type="dxa"/>
              <w:left w:w="15" w:type="dxa"/>
              <w:right w:w="15" w:type="dxa"/>
            </w:tcMar>
            <w:vAlign w:val="center"/>
          </w:tcPr>
          <w:p w14:paraId="44A2DB2F">
            <w:pPr>
              <w:widowControl/>
              <w:spacing w:line="240" w:lineRule="auto"/>
              <w:jc w:val="center"/>
              <w:textAlignment w:val="center"/>
              <w:rPr>
                <w:b/>
                <w:bCs/>
                <w:sz w:val="21"/>
                <w:szCs w:val="21"/>
                <w:highlight w:val="none"/>
              </w:rPr>
            </w:pPr>
            <w:r>
              <w:rPr>
                <w:b/>
                <w:bCs/>
                <w:kern w:val="0"/>
                <w:sz w:val="21"/>
                <w:szCs w:val="21"/>
                <w:highlight w:val="none"/>
                <w:lang w:bidi="ar"/>
              </w:rPr>
              <w:t>结果判定</w:t>
            </w:r>
          </w:p>
        </w:tc>
      </w:tr>
      <w:tr w14:paraId="2CEC98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tblHeader/>
          <w:jc w:val="center"/>
        </w:trPr>
        <w:tc>
          <w:tcPr>
            <w:tcW w:w="1080" w:type="dxa"/>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1FCF150E">
            <w:pPr>
              <w:spacing w:line="240" w:lineRule="auto"/>
              <w:jc w:val="center"/>
              <w:rPr>
                <w:sz w:val="21"/>
                <w:szCs w:val="21"/>
                <w:highlight w:val="none"/>
              </w:rPr>
            </w:pPr>
          </w:p>
        </w:tc>
        <w:tc>
          <w:tcPr>
            <w:tcW w:w="1845" w:type="dxa"/>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4CD25696">
            <w:pPr>
              <w:spacing w:line="240" w:lineRule="auto"/>
              <w:jc w:val="center"/>
              <w:rPr>
                <w:sz w:val="21"/>
                <w:szCs w:val="21"/>
                <w:highlight w:val="none"/>
              </w:rPr>
            </w:pPr>
          </w:p>
        </w:tc>
        <w:tc>
          <w:tcPr>
            <w:tcW w:w="980" w:type="dxa"/>
            <w:tcBorders>
              <w:top w:val="single" w:color="auto" w:sz="4" w:space="0"/>
              <w:bottom w:val="single" w:color="auto" w:sz="12" w:space="0"/>
            </w:tcBorders>
            <w:shd w:val="clear" w:color="auto" w:fill="auto"/>
            <w:noWrap/>
            <w:tcMar>
              <w:top w:w="15" w:type="dxa"/>
              <w:left w:w="15" w:type="dxa"/>
              <w:right w:w="15" w:type="dxa"/>
            </w:tcMar>
            <w:vAlign w:val="center"/>
          </w:tcPr>
          <w:p w14:paraId="72ED8601">
            <w:pPr>
              <w:widowControl/>
              <w:spacing w:line="240" w:lineRule="auto"/>
              <w:jc w:val="center"/>
              <w:textAlignment w:val="center"/>
              <w:rPr>
                <w:sz w:val="21"/>
                <w:szCs w:val="21"/>
                <w:highlight w:val="none"/>
              </w:rPr>
            </w:pPr>
            <w:r>
              <w:rPr>
                <w:rFonts w:hint="eastAsia"/>
                <w:kern w:val="0"/>
                <w:sz w:val="21"/>
                <w:szCs w:val="21"/>
                <w:highlight w:val="none"/>
                <w:lang w:bidi="ar"/>
              </w:rPr>
              <w:t>QC-7</w:t>
            </w:r>
          </w:p>
        </w:tc>
        <w:tc>
          <w:tcPr>
            <w:tcW w:w="1730" w:type="dxa"/>
            <w:tcBorders>
              <w:top w:val="single" w:color="auto" w:sz="4" w:space="0"/>
              <w:bottom w:val="single" w:color="auto" w:sz="12" w:space="0"/>
            </w:tcBorders>
            <w:shd w:val="clear" w:color="auto" w:fill="auto"/>
            <w:noWrap/>
            <w:tcMar>
              <w:top w:w="15" w:type="dxa"/>
              <w:left w:w="15" w:type="dxa"/>
              <w:right w:w="15" w:type="dxa"/>
            </w:tcMar>
            <w:vAlign w:val="center"/>
          </w:tcPr>
          <w:p w14:paraId="5F679FF6">
            <w:pPr>
              <w:widowControl/>
              <w:spacing w:line="240" w:lineRule="auto"/>
              <w:jc w:val="center"/>
              <w:textAlignment w:val="center"/>
              <w:rPr>
                <w:sz w:val="21"/>
                <w:szCs w:val="21"/>
                <w:highlight w:val="none"/>
              </w:rPr>
            </w:pPr>
            <w:r>
              <w:rPr>
                <w:rFonts w:hint="eastAsia"/>
                <w:kern w:val="0"/>
                <w:sz w:val="21"/>
                <w:szCs w:val="21"/>
                <w:highlight w:val="none"/>
                <w:lang w:bidi="ar"/>
              </w:rPr>
              <w:t>HH</w:t>
            </w:r>
            <w:r>
              <w:rPr>
                <w:kern w:val="0"/>
                <w:sz w:val="21"/>
                <w:szCs w:val="21"/>
                <w:highlight w:val="none"/>
                <w:lang w:bidi="ar"/>
              </w:rPr>
              <w:t>-</w:t>
            </w:r>
            <w:r>
              <w:rPr>
                <w:rFonts w:hint="eastAsia"/>
                <w:kern w:val="0"/>
                <w:sz w:val="21"/>
                <w:szCs w:val="21"/>
                <w:highlight w:val="none"/>
                <w:lang w:bidi="ar"/>
              </w:rPr>
              <w:t>1</w:t>
            </w:r>
            <w:r>
              <w:rPr>
                <w:kern w:val="0"/>
                <w:sz w:val="21"/>
                <w:szCs w:val="21"/>
                <w:highlight w:val="none"/>
                <w:lang w:bidi="ar"/>
              </w:rPr>
              <w:t>-</w:t>
            </w:r>
            <w:r>
              <w:rPr>
                <w:rFonts w:hint="eastAsia"/>
                <w:kern w:val="0"/>
                <w:sz w:val="21"/>
                <w:szCs w:val="21"/>
                <w:highlight w:val="none"/>
                <w:lang w:bidi="ar"/>
              </w:rPr>
              <w:t>4</w:t>
            </w:r>
            <w:r>
              <w:rPr>
                <w:kern w:val="0"/>
                <w:sz w:val="21"/>
                <w:szCs w:val="21"/>
                <w:highlight w:val="none"/>
                <w:lang w:bidi="ar"/>
              </w:rPr>
              <w:t>00</w:t>
            </w:r>
          </w:p>
        </w:tc>
        <w:tc>
          <w:tcPr>
            <w:tcW w:w="1817" w:type="dxa"/>
            <w:vMerge w:val="continue"/>
            <w:tcBorders>
              <w:top w:val="single" w:color="auto" w:sz="4" w:space="0"/>
              <w:bottom w:val="single" w:color="auto" w:sz="12" w:space="0"/>
              <w:tl2br w:val="nil"/>
              <w:tr2bl w:val="nil"/>
            </w:tcBorders>
            <w:shd w:val="clear" w:color="auto" w:fill="auto"/>
            <w:noWrap/>
            <w:tcMar>
              <w:top w:w="15" w:type="dxa"/>
              <w:left w:w="15" w:type="dxa"/>
              <w:right w:w="15" w:type="dxa"/>
            </w:tcMar>
            <w:vAlign w:val="center"/>
          </w:tcPr>
          <w:p w14:paraId="351FD4E6">
            <w:pPr>
              <w:spacing w:line="240" w:lineRule="auto"/>
              <w:jc w:val="center"/>
              <w:rPr>
                <w:sz w:val="21"/>
                <w:szCs w:val="21"/>
                <w:highlight w:val="none"/>
              </w:rPr>
            </w:pPr>
          </w:p>
        </w:tc>
        <w:tc>
          <w:tcPr>
            <w:tcW w:w="1080" w:type="dxa"/>
            <w:vMerge w:val="continue"/>
            <w:tcBorders>
              <w:top w:val="single" w:color="auto" w:sz="4" w:space="0"/>
              <w:bottom w:val="single" w:color="auto" w:sz="12" w:space="0"/>
              <w:tl2br w:val="nil"/>
              <w:tr2bl w:val="nil"/>
            </w:tcBorders>
            <w:shd w:val="clear" w:color="auto" w:fill="auto"/>
            <w:noWrap/>
            <w:tcMar>
              <w:top w:w="15" w:type="dxa"/>
              <w:left w:w="15" w:type="dxa"/>
              <w:right w:w="15" w:type="dxa"/>
            </w:tcMar>
            <w:vAlign w:val="center"/>
          </w:tcPr>
          <w:p w14:paraId="40604560">
            <w:pPr>
              <w:spacing w:line="240" w:lineRule="auto"/>
              <w:jc w:val="center"/>
              <w:rPr>
                <w:sz w:val="21"/>
                <w:szCs w:val="21"/>
                <w:highlight w:val="none"/>
              </w:rPr>
            </w:pPr>
          </w:p>
        </w:tc>
        <w:tc>
          <w:tcPr>
            <w:tcW w:w="1080" w:type="dxa"/>
            <w:vMerge w:val="continue"/>
            <w:tcBorders>
              <w:top w:val="single" w:color="auto" w:sz="4" w:space="0"/>
              <w:bottom w:val="single" w:color="auto" w:sz="12" w:space="0"/>
              <w:tl2br w:val="nil"/>
              <w:tr2bl w:val="nil"/>
            </w:tcBorders>
            <w:shd w:val="clear" w:color="auto" w:fill="auto"/>
            <w:noWrap/>
            <w:tcMar>
              <w:top w:w="15" w:type="dxa"/>
              <w:left w:w="15" w:type="dxa"/>
              <w:right w:w="15" w:type="dxa"/>
            </w:tcMar>
            <w:vAlign w:val="center"/>
          </w:tcPr>
          <w:p w14:paraId="5C4FFB11">
            <w:pPr>
              <w:spacing w:line="240" w:lineRule="auto"/>
              <w:jc w:val="center"/>
              <w:rPr>
                <w:sz w:val="21"/>
                <w:szCs w:val="21"/>
                <w:highlight w:val="none"/>
              </w:rPr>
            </w:pPr>
          </w:p>
        </w:tc>
      </w:tr>
      <w:tr w14:paraId="089E93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restart"/>
            <w:tcBorders>
              <w:top w:val="single" w:color="auto" w:sz="12" w:space="0"/>
              <w:tl2br w:val="nil"/>
              <w:tr2bl w:val="nil"/>
            </w:tcBorders>
            <w:shd w:val="clear" w:color="auto" w:fill="auto"/>
            <w:noWrap/>
            <w:tcMar>
              <w:top w:w="15" w:type="dxa"/>
              <w:left w:w="15" w:type="dxa"/>
              <w:right w:w="15" w:type="dxa"/>
            </w:tcMar>
            <w:vAlign w:val="center"/>
          </w:tcPr>
          <w:p w14:paraId="7C6D932A">
            <w:pPr>
              <w:widowControl/>
              <w:spacing w:line="240" w:lineRule="auto"/>
              <w:jc w:val="center"/>
              <w:textAlignment w:val="center"/>
              <w:rPr>
                <w:sz w:val="21"/>
                <w:szCs w:val="21"/>
                <w:highlight w:val="none"/>
              </w:rPr>
            </w:pPr>
            <w:r>
              <w:rPr>
                <w:kern w:val="0"/>
                <w:sz w:val="21"/>
                <w:szCs w:val="21"/>
                <w:highlight w:val="none"/>
                <w:lang w:bidi="ar"/>
              </w:rPr>
              <w:t>土壤</w:t>
            </w:r>
          </w:p>
        </w:tc>
        <w:tc>
          <w:tcPr>
            <w:tcW w:w="1845" w:type="dxa"/>
            <w:tcBorders>
              <w:top w:val="single" w:color="auto" w:sz="12" w:space="0"/>
            </w:tcBorders>
            <w:shd w:val="clear" w:color="auto" w:fill="auto"/>
            <w:noWrap/>
            <w:tcMar>
              <w:top w:w="15" w:type="dxa"/>
              <w:left w:w="15" w:type="dxa"/>
              <w:right w:w="15" w:type="dxa"/>
            </w:tcMar>
            <w:vAlign w:val="center"/>
          </w:tcPr>
          <w:p w14:paraId="4A11ACF3">
            <w:pPr>
              <w:widowControl/>
              <w:spacing w:line="240" w:lineRule="auto"/>
              <w:jc w:val="center"/>
              <w:textAlignment w:val="center"/>
              <w:rPr>
                <w:sz w:val="21"/>
                <w:szCs w:val="21"/>
                <w:highlight w:val="none"/>
                <w:lang w:bidi="ar"/>
              </w:rPr>
            </w:pPr>
            <w:r>
              <w:rPr>
                <w:rStyle w:val="62"/>
                <w:rFonts w:hint="default" w:ascii="Times New Roman" w:hAnsi="Times New Roman" w:cs="Times New Roman"/>
                <w:color w:val="auto"/>
                <w:sz w:val="21"/>
                <w:szCs w:val="21"/>
                <w:highlight w:val="none"/>
                <w:lang w:bidi="ar"/>
              </w:rPr>
              <w:t>总氟化物</w:t>
            </w:r>
          </w:p>
        </w:tc>
        <w:tc>
          <w:tcPr>
            <w:tcW w:w="980" w:type="dxa"/>
            <w:tcBorders>
              <w:top w:val="single" w:color="auto" w:sz="12" w:space="0"/>
            </w:tcBorders>
            <w:shd w:val="clear" w:color="auto" w:fill="auto"/>
            <w:noWrap/>
            <w:tcMar>
              <w:top w:w="15" w:type="dxa"/>
              <w:left w:w="15" w:type="dxa"/>
              <w:right w:w="15" w:type="dxa"/>
            </w:tcMar>
            <w:vAlign w:val="center"/>
          </w:tcPr>
          <w:p w14:paraId="2B6AA4EB">
            <w:pPr>
              <w:widowControl/>
              <w:spacing w:line="240" w:lineRule="auto"/>
              <w:jc w:val="center"/>
              <w:textAlignment w:val="center"/>
              <w:rPr>
                <w:sz w:val="21"/>
                <w:szCs w:val="21"/>
                <w:highlight w:val="none"/>
                <w:lang w:bidi="ar"/>
              </w:rPr>
            </w:pPr>
            <w:r>
              <w:rPr>
                <w:rStyle w:val="62"/>
                <w:rFonts w:hint="default" w:ascii="Times New Roman" w:hAnsi="Times New Roman" w:cs="Times New Roman"/>
                <w:color w:val="auto"/>
                <w:sz w:val="21"/>
                <w:szCs w:val="21"/>
                <w:highlight w:val="none"/>
                <w:lang w:bidi="ar"/>
              </w:rPr>
              <w:t>897</w:t>
            </w:r>
          </w:p>
        </w:tc>
        <w:tc>
          <w:tcPr>
            <w:tcW w:w="1730" w:type="dxa"/>
            <w:tcBorders>
              <w:top w:val="single" w:color="auto" w:sz="12" w:space="0"/>
            </w:tcBorders>
            <w:shd w:val="clear" w:color="auto" w:fill="auto"/>
            <w:noWrap/>
            <w:tcMar>
              <w:top w:w="15" w:type="dxa"/>
              <w:left w:w="15" w:type="dxa"/>
              <w:right w:w="15" w:type="dxa"/>
            </w:tcMar>
            <w:vAlign w:val="center"/>
          </w:tcPr>
          <w:p w14:paraId="38BAB243">
            <w:pPr>
              <w:widowControl/>
              <w:spacing w:line="240" w:lineRule="auto"/>
              <w:jc w:val="center"/>
              <w:textAlignment w:val="center"/>
              <w:rPr>
                <w:sz w:val="21"/>
                <w:szCs w:val="21"/>
                <w:highlight w:val="none"/>
                <w:lang w:bidi="ar"/>
              </w:rPr>
            </w:pPr>
            <w:r>
              <w:rPr>
                <w:rStyle w:val="62"/>
                <w:rFonts w:hint="default" w:ascii="Times New Roman" w:hAnsi="Times New Roman" w:cs="Times New Roman"/>
                <w:color w:val="auto"/>
                <w:sz w:val="21"/>
                <w:szCs w:val="21"/>
                <w:highlight w:val="none"/>
                <w:lang w:bidi="ar"/>
              </w:rPr>
              <w:t>934</w:t>
            </w:r>
          </w:p>
        </w:tc>
        <w:tc>
          <w:tcPr>
            <w:tcW w:w="1817" w:type="dxa"/>
            <w:tcBorders>
              <w:top w:val="single" w:color="auto" w:sz="12" w:space="0"/>
            </w:tcBorders>
            <w:shd w:val="clear" w:color="auto" w:fill="auto"/>
            <w:noWrap/>
            <w:tcMar>
              <w:top w:w="15" w:type="dxa"/>
              <w:left w:w="15" w:type="dxa"/>
              <w:right w:w="15" w:type="dxa"/>
            </w:tcMar>
            <w:vAlign w:val="center"/>
          </w:tcPr>
          <w:p w14:paraId="2CFAEF9A">
            <w:pPr>
              <w:widowControl/>
              <w:spacing w:line="240" w:lineRule="auto"/>
              <w:jc w:val="center"/>
              <w:textAlignment w:val="center"/>
              <w:rPr>
                <w:sz w:val="21"/>
                <w:szCs w:val="21"/>
                <w:highlight w:val="none"/>
                <w:lang w:bidi="ar"/>
              </w:rPr>
            </w:pPr>
            <w:r>
              <w:rPr>
                <w:rStyle w:val="62"/>
                <w:rFonts w:hint="default" w:ascii="Times New Roman" w:hAnsi="Times New Roman" w:cs="Times New Roman"/>
                <w:color w:val="auto"/>
                <w:sz w:val="21"/>
                <w:szCs w:val="21"/>
                <w:highlight w:val="none"/>
                <w:lang w:bidi="ar"/>
              </w:rPr>
              <w:t>2.02%</w:t>
            </w:r>
          </w:p>
        </w:tc>
        <w:tc>
          <w:tcPr>
            <w:tcW w:w="1080" w:type="dxa"/>
            <w:tcBorders>
              <w:top w:val="single" w:color="auto" w:sz="12" w:space="0"/>
            </w:tcBorders>
            <w:shd w:val="clear" w:color="auto" w:fill="auto"/>
            <w:noWrap/>
            <w:tcMar>
              <w:top w:w="15" w:type="dxa"/>
              <w:left w:w="15" w:type="dxa"/>
              <w:right w:w="15" w:type="dxa"/>
            </w:tcMar>
            <w:vAlign w:val="center"/>
          </w:tcPr>
          <w:p w14:paraId="59BEB70F">
            <w:pPr>
              <w:widowControl/>
              <w:spacing w:line="240" w:lineRule="auto"/>
              <w:jc w:val="center"/>
              <w:textAlignment w:val="center"/>
              <w:rPr>
                <w:sz w:val="21"/>
                <w:szCs w:val="21"/>
                <w:highlight w:val="none"/>
                <w:lang w:bidi="ar"/>
              </w:rPr>
            </w:pPr>
            <w:r>
              <w:rPr>
                <w:rStyle w:val="62"/>
                <w:rFonts w:hint="default" w:ascii="Times New Roman" w:hAnsi="Times New Roman" w:cs="Times New Roman"/>
                <w:color w:val="auto"/>
                <w:sz w:val="21"/>
                <w:szCs w:val="21"/>
                <w:highlight w:val="none"/>
                <w:lang w:bidi="ar"/>
              </w:rPr>
              <w:t>≤20%</w:t>
            </w:r>
          </w:p>
        </w:tc>
        <w:tc>
          <w:tcPr>
            <w:tcW w:w="1080" w:type="dxa"/>
            <w:tcBorders>
              <w:top w:val="single" w:color="auto" w:sz="12" w:space="0"/>
            </w:tcBorders>
            <w:shd w:val="clear" w:color="auto" w:fill="auto"/>
            <w:noWrap/>
            <w:tcMar>
              <w:top w:w="15" w:type="dxa"/>
              <w:left w:w="15" w:type="dxa"/>
              <w:right w:w="15" w:type="dxa"/>
            </w:tcMar>
            <w:vAlign w:val="center"/>
          </w:tcPr>
          <w:p w14:paraId="4C37624D">
            <w:pPr>
              <w:widowControl/>
              <w:spacing w:line="240" w:lineRule="auto"/>
              <w:jc w:val="center"/>
              <w:textAlignment w:val="center"/>
              <w:rPr>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r w14:paraId="5700CB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5E6ED53E">
            <w:pPr>
              <w:spacing w:line="240" w:lineRule="auto"/>
              <w:jc w:val="center"/>
              <w:rPr>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31E2BCDB">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铅</w:t>
            </w:r>
          </w:p>
        </w:tc>
        <w:tc>
          <w:tcPr>
            <w:tcW w:w="980" w:type="dxa"/>
            <w:tcBorders>
              <w:tl2br w:val="nil"/>
              <w:tr2bl w:val="nil"/>
            </w:tcBorders>
            <w:shd w:val="clear" w:color="auto" w:fill="auto"/>
            <w:noWrap/>
            <w:tcMar>
              <w:top w:w="15" w:type="dxa"/>
              <w:left w:w="15" w:type="dxa"/>
              <w:right w:w="15" w:type="dxa"/>
            </w:tcMar>
            <w:vAlign w:val="center"/>
          </w:tcPr>
          <w:p w14:paraId="28F1D3B6">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28.5</w:t>
            </w:r>
          </w:p>
        </w:tc>
        <w:tc>
          <w:tcPr>
            <w:tcW w:w="1730" w:type="dxa"/>
            <w:tcBorders>
              <w:tl2br w:val="nil"/>
              <w:tr2bl w:val="nil"/>
            </w:tcBorders>
            <w:shd w:val="clear" w:color="auto" w:fill="auto"/>
            <w:noWrap/>
            <w:tcMar>
              <w:top w:w="15" w:type="dxa"/>
              <w:left w:w="15" w:type="dxa"/>
              <w:right w:w="15" w:type="dxa"/>
            </w:tcMar>
            <w:vAlign w:val="center"/>
          </w:tcPr>
          <w:p w14:paraId="20D8F04B">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27.5</w:t>
            </w:r>
          </w:p>
        </w:tc>
        <w:tc>
          <w:tcPr>
            <w:tcW w:w="1817" w:type="dxa"/>
            <w:tcBorders>
              <w:tl2br w:val="nil"/>
              <w:tr2bl w:val="nil"/>
            </w:tcBorders>
            <w:shd w:val="clear" w:color="auto" w:fill="auto"/>
            <w:noWrap/>
            <w:tcMar>
              <w:top w:w="15" w:type="dxa"/>
              <w:left w:w="15" w:type="dxa"/>
              <w:right w:w="15" w:type="dxa"/>
            </w:tcMar>
            <w:vAlign w:val="center"/>
          </w:tcPr>
          <w:p w14:paraId="2591BB11">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1.79%</w:t>
            </w:r>
          </w:p>
        </w:tc>
        <w:tc>
          <w:tcPr>
            <w:tcW w:w="1080" w:type="dxa"/>
            <w:tcBorders>
              <w:tl2br w:val="nil"/>
              <w:tr2bl w:val="nil"/>
            </w:tcBorders>
            <w:shd w:val="clear" w:color="auto" w:fill="auto"/>
            <w:noWrap/>
            <w:tcMar>
              <w:top w:w="15" w:type="dxa"/>
              <w:left w:w="15" w:type="dxa"/>
              <w:right w:w="15" w:type="dxa"/>
            </w:tcMar>
            <w:vAlign w:val="center"/>
          </w:tcPr>
          <w:p w14:paraId="49F7FF43">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≤30%</w:t>
            </w:r>
          </w:p>
        </w:tc>
        <w:tc>
          <w:tcPr>
            <w:tcW w:w="1080" w:type="dxa"/>
            <w:tcBorders>
              <w:tl2br w:val="nil"/>
              <w:tr2bl w:val="nil"/>
            </w:tcBorders>
            <w:shd w:val="clear" w:color="auto" w:fill="auto"/>
            <w:noWrap/>
            <w:tcMar>
              <w:top w:w="15" w:type="dxa"/>
              <w:left w:w="15" w:type="dxa"/>
              <w:right w:w="15" w:type="dxa"/>
            </w:tcMar>
            <w:vAlign w:val="center"/>
          </w:tcPr>
          <w:p w14:paraId="2AFEE8E9">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r w14:paraId="37F8F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534D222C">
            <w:pPr>
              <w:spacing w:line="240" w:lineRule="auto"/>
              <w:jc w:val="center"/>
              <w:rPr>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1E02CDC4">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汞</w:t>
            </w:r>
          </w:p>
        </w:tc>
        <w:tc>
          <w:tcPr>
            <w:tcW w:w="980" w:type="dxa"/>
            <w:tcBorders>
              <w:tl2br w:val="nil"/>
              <w:tr2bl w:val="nil"/>
            </w:tcBorders>
            <w:shd w:val="clear" w:color="auto" w:fill="auto"/>
            <w:noWrap/>
            <w:tcMar>
              <w:top w:w="15" w:type="dxa"/>
              <w:left w:w="15" w:type="dxa"/>
              <w:right w:w="15" w:type="dxa"/>
            </w:tcMar>
            <w:vAlign w:val="center"/>
          </w:tcPr>
          <w:p w14:paraId="5F98378E">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0.10</w:t>
            </w:r>
          </w:p>
        </w:tc>
        <w:tc>
          <w:tcPr>
            <w:tcW w:w="1730" w:type="dxa"/>
            <w:tcBorders>
              <w:tl2br w:val="nil"/>
              <w:tr2bl w:val="nil"/>
            </w:tcBorders>
            <w:shd w:val="clear" w:color="auto" w:fill="auto"/>
            <w:noWrap/>
            <w:tcMar>
              <w:top w:w="15" w:type="dxa"/>
              <w:left w:w="15" w:type="dxa"/>
              <w:right w:w="15" w:type="dxa"/>
            </w:tcMar>
            <w:vAlign w:val="center"/>
          </w:tcPr>
          <w:p w14:paraId="0662771C">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0.06</w:t>
            </w:r>
          </w:p>
        </w:tc>
        <w:tc>
          <w:tcPr>
            <w:tcW w:w="1817" w:type="dxa"/>
            <w:tcBorders>
              <w:tl2br w:val="nil"/>
              <w:tr2bl w:val="nil"/>
            </w:tcBorders>
            <w:shd w:val="clear" w:color="auto" w:fill="auto"/>
            <w:noWrap/>
            <w:tcMar>
              <w:top w:w="15" w:type="dxa"/>
              <w:left w:w="15" w:type="dxa"/>
              <w:right w:w="15" w:type="dxa"/>
            </w:tcMar>
            <w:vAlign w:val="center"/>
          </w:tcPr>
          <w:p w14:paraId="58C411B0">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25.00%</w:t>
            </w:r>
          </w:p>
        </w:tc>
        <w:tc>
          <w:tcPr>
            <w:tcW w:w="1080" w:type="dxa"/>
            <w:tcBorders>
              <w:tl2br w:val="nil"/>
              <w:tr2bl w:val="nil"/>
            </w:tcBorders>
            <w:shd w:val="clear" w:color="auto" w:fill="auto"/>
            <w:noWrap/>
            <w:tcMar>
              <w:top w:w="15" w:type="dxa"/>
              <w:left w:w="15" w:type="dxa"/>
              <w:right w:w="15" w:type="dxa"/>
            </w:tcMar>
            <w:vAlign w:val="center"/>
          </w:tcPr>
          <w:p w14:paraId="4A01CB20">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≤35%</w:t>
            </w:r>
          </w:p>
        </w:tc>
        <w:tc>
          <w:tcPr>
            <w:tcW w:w="1080" w:type="dxa"/>
            <w:tcBorders>
              <w:tl2br w:val="nil"/>
              <w:tr2bl w:val="nil"/>
            </w:tcBorders>
            <w:shd w:val="clear" w:color="auto" w:fill="auto"/>
            <w:noWrap/>
            <w:tcMar>
              <w:top w:w="15" w:type="dxa"/>
              <w:left w:w="15" w:type="dxa"/>
              <w:right w:w="15" w:type="dxa"/>
            </w:tcMar>
            <w:vAlign w:val="center"/>
          </w:tcPr>
          <w:p w14:paraId="12AC31DF">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r w14:paraId="2564B0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6D8DFBD3">
            <w:pPr>
              <w:spacing w:line="240" w:lineRule="auto"/>
              <w:jc w:val="center"/>
              <w:rPr>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1F05202D">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镉</w:t>
            </w:r>
          </w:p>
        </w:tc>
        <w:tc>
          <w:tcPr>
            <w:tcW w:w="980" w:type="dxa"/>
            <w:tcBorders>
              <w:tl2br w:val="nil"/>
              <w:tr2bl w:val="nil"/>
            </w:tcBorders>
            <w:shd w:val="clear" w:color="auto" w:fill="auto"/>
            <w:noWrap/>
            <w:tcMar>
              <w:top w:w="15" w:type="dxa"/>
              <w:left w:w="15" w:type="dxa"/>
              <w:right w:w="15" w:type="dxa"/>
            </w:tcMar>
            <w:vAlign w:val="center"/>
          </w:tcPr>
          <w:p w14:paraId="747CEBBD">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0.07</w:t>
            </w:r>
          </w:p>
        </w:tc>
        <w:tc>
          <w:tcPr>
            <w:tcW w:w="1730" w:type="dxa"/>
            <w:tcBorders>
              <w:tl2br w:val="nil"/>
              <w:tr2bl w:val="nil"/>
            </w:tcBorders>
            <w:shd w:val="clear" w:color="auto" w:fill="auto"/>
            <w:noWrap/>
            <w:tcMar>
              <w:top w:w="15" w:type="dxa"/>
              <w:left w:w="15" w:type="dxa"/>
              <w:right w:w="15" w:type="dxa"/>
            </w:tcMar>
            <w:vAlign w:val="center"/>
          </w:tcPr>
          <w:p w14:paraId="2FACDEF7">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0.06</w:t>
            </w:r>
          </w:p>
        </w:tc>
        <w:tc>
          <w:tcPr>
            <w:tcW w:w="1817" w:type="dxa"/>
            <w:tcBorders>
              <w:tl2br w:val="nil"/>
              <w:tr2bl w:val="nil"/>
            </w:tcBorders>
            <w:shd w:val="clear" w:color="auto" w:fill="auto"/>
            <w:noWrap/>
            <w:tcMar>
              <w:top w:w="15" w:type="dxa"/>
              <w:left w:w="15" w:type="dxa"/>
              <w:right w:w="15" w:type="dxa"/>
            </w:tcMar>
            <w:vAlign w:val="center"/>
          </w:tcPr>
          <w:p w14:paraId="69DF76B6">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7.69%</w:t>
            </w:r>
          </w:p>
        </w:tc>
        <w:tc>
          <w:tcPr>
            <w:tcW w:w="1080" w:type="dxa"/>
            <w:tcBorders>
              <w:tl2br w:val="nil"/>
              <w:tr2bl w:val="nil"/>
            </w:tcBorders>
            <w:shd w:val="clear" w:color="auto" w:fill="auto"/>
            <w:noWrap/>
            <w:tcMar>
              <w:top w:w="15" w:type="dxa"/>
              <w:left w:w="15" w:type="dxa"/>
              <w:right w:w="15" w:type="dxa"/>
            </w:tcMar>
            <w:vAlign w:val="center"/>
          </w:tcPr>
          <w:p w14:paraId="27F65506">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≤35%</w:t>
            </w:r>
          </w:p>
        </w:tc>
        <w:tc>
          <w:tcPr>
            <w:tcW w:w="1080" w:type="dxa"/>
            <w:tcBorders>
              <w:tl2br w:val="nil"/>
              <w:tr2bl w:val="nil"/>
            </w:tcBorders>
            <w:shd w:val="clear" w:color="auto" w:fill="auto"/>
            <w:noWrap/>
            <w:tcMar>
              <w:top w:w="15" w:type="dxa"/>
              <w:left w:w="15" w:type="dxa"/>
              <w:right w:w="15" w:type="dxa"/>
            </w:tcMar>
            <w:vAlign w:val="center"/>
          </w:tcPr>
          <w:p w14:paraId="52F5A096">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r w14:paraId="286A1A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040631BA">
            <w:pPr>
              <w:spacing w:line="240" w:lineRule="auto"/>
              <w:jc w:val="center"/>
              <w:rPr>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6AD55535">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铜</w:t>
            </w:r>
          </w:p>
        </w:tc>
        <w:tc>
          <w:tcPr>
            <w:tcW w:w="980" w:type="dxa"/>
            <w:tcBorders>
              <w:tl2br w:val="nil"/>
              <w:tr2bl w:val="nil"/>
            </w:tcBorders>
            <w:shd w:val="clear" w:color="auto" w:fill="auto"/>
            <w:noWrap/>
            <w:tcMar>
              <w:top w:w="15" w:type="dxa"/>
              <w:left w:w="15" w:type="dxa"/>
              <w:right w:w="15" w:type="dxa"/>
            </w:tcMar>
            <w:vAlign w:val="center"/>
          </w:tcPr>
          <w:p w14:paraId="5658C9E5">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49</w:t>
            </w:r>
          </w:p>
        </w:tc>
        <w:tc>
          <w:tcPr>
            <w:tcW w:w="1730" w:type="dxa"/>
            <w:tcBorders>
              <w:tl2br w:val="nil"/>
              <w:tr2bl w:val="nil"/>
            </w:tcBorders>
            <w:shd w:val="clear" w:color="auto" w:fill="auto"/>
            <w:noWrap/>
            <w:tcMar>
              <w:top w:w="15" w:type="dxa"/>
              <w:left w:w="15" w:type="dxa"/>
              <w:right w:w="15" w:type="dxa"/>
            </w:tcMar>
            <w:vAlign w:val="center"/>
          </w:tcPr>
          <w:p w14:paraId="7F222C19">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49</w:t>
            </w:r>
          </w:p>
        </w:tc>
        <w:tc>
          <w:tcPr>
            <w:tcW w:w="1817" w:type="dxa"/>
            <w:tcBorders>
              <w:tl2br w:val="nil"/>
              <w:tr2bl w:val="nil"/>
            </w:tcBorders>
            <w:shd w:val="clear" w:color="auto" w:fill="auto"/>
            <w:noWrap/>
            <w:tcMar>
              <w:top w:w="15" w:type="dxa"/>
              <w:left w:w="15" w:type="dxa"/>
              <w:right w:w="15" w:type="dxa"/>
            </w:tcMar>
            <w:vAlign w:val="center"/>
          </w:tcPr>
          <w:p w14:paraId="16373EAD">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0.00%</w:t>
            </w:r>
          </w:p>
        </w:tc>
        <w:tc>
          <w:tcPr>
            <w:tcW w:w="1080" w:type="dxa"/>
            <w:tcBorders>
              <w:tl2br w:val="nil"/>
              <w:tr2bl w:val="nil"/>
            </w:tcBorders>
            <w:shd w:val="clear" w:color="auto" w:fill="auto"/>
            <w:noWrap/>
            <w:tcMar>
              <w:top w:w="15" w:type="dxa"/>
              <w:left w:w="15" w:type="dxa"/>
              <w:right w:w="15" w:type="dxa"/>
            </w:tcMar>
            <w:vAlign w:val="center"/>
          </w:tcPr>
          <w:p w14:paraId="64B99C03">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17490810">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r w14:paraId="02C72B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35D75701">
            <w:pPr>
              <w:spacing w:line="240" w:lineRule="auto"/>
              <w:jc w:val="center"/>
              <w:rPr>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2BB29FE9">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镍</w:t>
            </w:r>
          </w:p>
        </w:tc>
        <w:tc>
          <w:tcPr>
            <w:tcW w:w="980" w:type="dxa"/>
            <w:tcBorders>
              <w:tl2br w:val="nil"/>
              <w:tr2bl w:val="nil"/>
            </w:tcBorders>
            <w:shd w:val="clear" w:color="auto" w:fill="auto"/>
            <w:noWrap/>
            <w:tcMar>
              <w:top w:w="15" w:type="dxa"/>
              <w:left w:w="15" w:type="dxa"/>
              <w:right w:w="15" w:type="dxa"/>
            </w:tcMar>
            <w:vAlign w:val="center"/>
          </w:tcPr>
          <w:p w14:paraId="177433A3">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54</w:t>
            </w:r>
          </w:p>
        </w:tc>
        <w:tc>
          <w:tcPr>
            <w:tcW w:w="1730" w:type="dxa"/>
            <w:tcBorders>
              <w:tl2br w:val="nil"/>
              <w:tr2bl w:val="nil"/>
            </w:tcBorders>
            <w:shd w:val="clear" w:color="auto" w:fill="auto"/>
            <w:noWrap/>
            <w:tcMar>
              <w:top w:w="15" w:type="dxa"/>
              <w:left w:w="15" w:type="dxa"/>
              <w:right w:w="15" w:type="dxa"/>
            </w:tcMar>
            <w:vAlign w:val="center"/>
          </w:tcPr>
          <w:p w14:paraId="13977CAB">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54</w:t>
            </w:r>
          </w:p>
        </w:tc>
        <w:tc>
          <w:tcPr>
            <w:tcW w:w="1817" w:type="dxa"/>
            <w:tcBorders>
              <w:tl2br w:val="nil"/>
              <w:tr2bl w:val="nil"/>
            </w:tcBorders>
            <w:shd w:val="clear" w:color="auto" w:fill="auto"/>
            <w:noWrap/>
            <w:tcMar>
              <w:top w:w="15" w:type="dxa"/>
              <w:left w:w="15" w:type="dxa"/>
              <w:right w:w="15" w:type="dxa"/>
            </w:tcMar>
            <w:vAlign w:val="center"/>
          </w:tcPr>
          <w:p w14:paraId="4BC8BB08">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0.00%</w:t>
            </w:r>
          </w:p>
        </w:tc>
        <w:tc>
          <w:tcPr>
            <w:tcW w:w="1080" w:type="dxa"/>
            <w:tcBorders>
              <w:tl2br w:val="nil"/>
              <w:tr2bl w:val="nil"/>
            </w:tcBorders>
            <w:shd w:val="clear" w:color="auto" w:fill="auto"/>
            <w:noWrap/>
            <w:tcMar>
              <w:top w:w="15" w:type="dxa"/>
              <w:left w:w="15" w:type="dxa"/>
              <w:right w:w="15" w:type="dxa"/>
            </w:tcMar>
            <w:vAlign w:val="center"/>
          </w:tcPr>
          <w:p w14:paraId="12E6D84A">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1BBFDE79">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r w14:paraId="7FDBAC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5F58E4E9">
            <w:pPr>
              <w:spacing w:line="240" w:lineRule="auto"/>
              <w:jc w:val="center"/>
              <w:rPr>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4F35FD5E">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铬</w:t>
            </w:r>
          </w:p>
        </w:tc>
        <w:tc>
          <w:tcPr>
            <w:tcW w:w="980" w:type="dxa"/>
            <w:tcBorders>
              <w:tl2br w:val="nil"/>
              <w:tr2bl w:val="nil"/>
            </w:tcBorders>
            <w:shd w:val="clear" w:color="auto" w:fill="auto"/>
            <w:noWrap/>
            <w:tcMar>
              <w:top w:w="15" w:type="dxa"/>
              <w:left w:w="15" w:type="dxa"/>
              <w:right w:w="15" w:type="dxa"/>
            </w:tcMar>
            <w:vAlign w:val="center"/>
          </w:tcPr>
          <w:p w14:paraId="57D761BC">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63</w:t>
            </w:r>
          </w:p>
        </w:tc>
        <w:tc>
          <w:tcPr>
            <w:tcW w:w="1730" w:type="dxa"/>
            <w:tcBorders>
              <w:tl2br w:val="nil"/>
              <w:tr2bl w:val="nil"/>
            </w:tcBorders>
            <w:shd w:val="clear" w:color="auto" w:fill="auto"/>
            <w:noWrap/>
            <w:tcMar>
              <w:top w:w="15" w:type="dxa"/>
              <w:left w:w="15" w:type="dxa"/>
              <w:right w:w="15" w:type="dxa"/>
            </w:tcMar>
            <w:vAlign w:val="center"/>
          </w:tcPr>
          <w:p w14:paraId="6C05DA86">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79</w:t>
            </w:r>
          </w:p>
        </w:tc>
        <w:tc>
          <w:tcPr>
            <w:tcW w:w="1817" w:type="dxa"/>
            <w:tcBorders>
              <w:tl2br w:val="nil"/>
              <w:tr2bl w:val="nil"/>
            </w:tcBorders>
            <w:shd w:val="clear" w:color="auto" w:fill="auto"/>
            <w:noWrap/>
            <w:tcMar>
              <w:top w:w="15" w:type="dxa"/>
              <w:left w:w="15" w:type="dxa"/>
              <w:right w:w="15" w:type="dxa"/>
            </w:tcMar>
            <w:vAlign w:val="center"/>
          </w:tcPr>
          <w:p w14:paraId="620FACF7">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11.27%</w:t>
            </w:r>
          </w:p>
        </w:tc>
        <w:tc>
          <w:tcPr>
            <w:tcW w:w="1080" w:type="dxa"/>
            <w:tcBorders>
              <w:tl2br w:val="nil"/>
              <w:tr2bl w:val="nil"/>
            </w:tcBorders>
            <w:shd w:val="clear" w:color="auto" w:fill="auto"/>
            <w:noWrap/>
            <w:tcMar>
              <w:top w:w="15" w:type="dxa"/>
              <w:left w:w="15" w:type="dxa"/>
              <w:right w:w="15" w:type="dxa"/>
            </w:tcMar>
            <w:vAlign w:val="center"/>
          </w:tcPr>
          <w:p w14:paraId="29B032E8">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5A12E3A3">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r w14:paraId="616A8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74BF25E3">
            <w:pPr>
              <w:spacing w:line="240" w:lineRule="auto"/>
              <w:jc w:val="center"/>
              <w:rPr>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51DC8BD6">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锌</w:t>
            </w:r>
          </w:p>
        </w:tc>
        <w:tc>
          <w:tcPr>
            <w:tcW w:w="980" w:type="dxa"/>
            <w:tcBorders>
              <w:tl2br w:val="nil"/>
              <w:tr2bl w:val="nil"/>
            </w:tcBorders>
            <w:shd w:val="clear" w:color="auto" w:fill="auto"/>
            <w:noWrap/>
            <w:tcMar>
              <w:top w:w="15" w:type="dxa"/>
              <w:left w:w="15" w:type="dxa"/>
              <w:right w:w="15" w:type="dxa"/>
            </w:tcMar>
            <w:vAlign w:val="center"/>
          </w:tcPr>
          <w:p w14:paraId="02202CF5">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113</w:t>
            </w:r>
          </w:p>
        </w:tc>
        <w:tc>
          <w:tcPr>
            <w:tcW w:w="1730" w:type="dxa"/>
            <w:tcBorders>
              <w:tl2br w:val="nil"/>
              <w:tr2bl w:val="nil"/>
            </w:tcBorders>
            <w:shd w:val="clear" w:color="auto" w:fill="auto"/>
            <w:noWrap/>
            <w:tcMar>
              <w:top w:w="15" w:type="dxa"/>
              <w:left w:w="15" w:type="dxa"/>
              <w:right w:w="15" w:type="dxa"/>
            </w:tcMar>
            <w:vAlign w:val="center"/>
          </w:tcPr>
          <w:p w14:paraId="03AD57CF">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108</w:t>
            </w:r>
          </w:p>
        </w:tc>
        <w:tc>
          <w:tcPr>
            <w:tcW w:w="1817" w:type="dxa"/>
            <w:tcBorders>
              <w:tl2br w:val="nil"/>
              <w:tr2bl w:val="nil"/>
            </w:tcBorders>
            <w:shd w:val="clear" w:color="auto" w:fill="auto"/>
            <w:noWrap/>
            <w:tcMar>
              <w:top w:w="15" w:type="dxa"/>
              <w:left w:w="15" w:type="dxa"/>
              <w:right w:w="15" w:type="dxa"/>
            </w:tcMar>
            <w:vAlign w:val="center"/>
          </w:tcPr>
          <w:p w14:paraId="2FF95032">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2.26%</w:t>
            </w:r>
          </w:p>
        </w:tc>
        <w:tc>
          <w:tcPr>
            <w:tcW w:w="1080" w:type="dxa"/>
            <w:tcBorders>
              <w:tl2br w:val="nil"/>
              <w:tr2bl w:val="nil"/>
            </w:tcBorders>
            <w:shd w:val="clear" w:color="auto" w:fill="auto"/>
            <w:noWrap/>
            <w:tcMar>
              <w:top w:w="15" w:type="dxa"/>
              <w:left w:w="15" w:type="dxa"/>
              <w:right w:w="15" w:type="dxa"/>
            </w:tcMar>
            <w:vAlign w:val="center"/>
          </w:tcPr>
          <w:p w14:paraId="62167756">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4DAE7D21">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r w14:paraId="4D4BA8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7403B0A1">
            <w:pPr>
              <w:spacing w:line="240" w:lineRule="auto"/>
              <w:jc w:val="center"/>
              <w:rPr>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2632293C">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砷</w:t>
            </w:r>
          </w:p>
        </w:tc>
        <w:tc>
          <w:tcPr>
            <w:tcW w:w="980" w:type="dxa"/>
            <w:tcBorders>
              <w:tl2br w:val="nil"/>
              <w:tr2bl w:val="nil"/>
            </w:tcBorders>
            <w:shd w:val="clear" w:color="auto" w:fill="auto"/>
            <w:noWrap/>
            <w:tcMar>
              <w:top w:w="15" w:type="dxa"/>
              <w:left w:w="15" w:type="dxa"/>
              <w:right w:w="15" w:type="dxa"/>
            </w:tcMar>
            <w:vAlign w:val="center"/>
          </w:tcPr>
          <w:p w14:paraId="07186FE1">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4.5</w:t>
            </w:r>
          </w:p>
        </w:tc>
        <w:tc>
          <w:tcPr>
            <w:tcW w:w="1730" w:type="dxa"/>
            <w:tcBorders>
              <w:tl2br w:val="nil"/>
              <w:tr2bl w:val="nil"/>
            </w:tcBorders>
            <w:shd w:val="clear" w:color="auto" w:fill="auto"/>
            <w:noWrap/>
            <w:tcMar>
              <w:top w:w="15" w:type="dxa"/>
              <w:left w:w="15" w:type="dxa"/>
              <w:right w:w="15" w:type="dxa"/>
            </w:tcMar>
            <w:vAlign w:val="center"/>
          </w:tcPr>
          <w:p w14:paraId="456F7C01">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5.4</w:t>
            </w:r>
          </w:p>
        </w:tc>
        <w:tc>
          <w:tcPr>
            <w:tcW w:w="1817" w:type="dxa"/>
            <w:tcBorders>
              <w:tl2br w:val="nil"/>
              <w:tr2bl w:val="nil"/>
            </w:tcBorders>
            <w:shd w:val="clear" w:color="auto" w:fill="auto"/>
            <w:noWrap/>
            <w:tcMar>
              <w:top w:w="15" w:type="dxa"/>
              <w:left w:w="15" w:type="dxa"/>
              <w:right w:w="15" w:type="dxa"/>
            </w:tcMar>
            <w:vAlign w:val="center"/>
          </w:tcPr>
          <w:p w14:paraId="6FC1E74A">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9.09%</w:t>
            </w:r>
          </w:p>
        </w:tc>
        <w:tc>
          <w:tcPr>
            <w:tcW w:w="1080" w:type="dxa"/>
            <w:tcBorders>
              <w:tl2br w:val="nil"/>
              <w:tr2bl w:val="nil"/>
            </w:tcBorders>
            <w:shd w:val="clear" w:color="auto" w:fill="auto"/>
            <w:noWrap/>
            <w:tcMar>
              <w:top w:w="15" w:type="dxa"/>
              <w:left w:w="15" w:type="dxa"/>
              <w:right w:w="15" w:type="dxa"/>
            </w:tcMar>
            <w:vAlign w:val="center"/>
          </w:tcPr>
          <w:p w14:paraId="33B11A02">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≤30%</w:t>
            </w:r>
          </w:p>
        </w:tc>
        <w:tc>
          <w:tcPr>
            <w:tcW w:w="1080" w:type="dxa"/>
            <w:tcBorders>
              <w:tl2br w:val="nil"/>
              <w:tr2bl w:val="nil"/>
            </w:tcBorders>
            <w:shd w:val="clear" w:color="auto" w:fill="auto"/>
            <w:noWrap/>
            <w:tcMar>
              <w:top w:w="15" w:type="dxa"/>
              <w:left w:w="15" w:type="dxa"/>
              <w:right w:w="15" w:type="dxa"/>
            </w:tcMar>
            <w:vAlign w:val="center"/>
          </w:tcPr>
          <w:p w14:paraId="33BAD3D4">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r w14:paraId="6A26C4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06B7CB5F">
            <w:pPr>
              <w:spacing w:line="240" w:lineRule="auto"/>
              <w:jc w:val="center"/>
              <w:rPr>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33CAE612">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锑</w:t>
            </w:r>
          </w:p>
        </w:tc>
        <w:tc>
          <w:tcPr>
            <w:tcW w:w="980" w:type="dxa"/>
            <w:tcBorders>
              <w:tl2br w:val="nil"/>
              <w:tr2bl w:val="nil"/>
            </w:tcBorders>
            <w:shd w:val="clear" w:color="auto" w:fill="auto"/>
            <w:noWrap/>
            <w:tcMar>
              <w:top w:w="15" w:type="dxa"/>
              <w:left w:w="15" w:type="dxa"/>
              <w:right w:w="15" w:type="dxa"/>
            </w:tcMar>
            <w:vAlign w:val="center"/>
          </w:tcPr>
          <w:p w14:paraId="042A739D">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0.6</w:t>
            </w:r>
          </w:p>
        </w:tc>
        <w:tc>
          <w:tcPr>
            <w:tcW w:w="1730" w:type="dxa"/>
            <w:tcBorders>
              <w:tl2br w:val="nil"/>
              <w:tr2bl w:val="nil"/>
            </w:tcBorders>
            <w:shd w:val="clear" w:color="auto" w:fill="auto"/>
            <w:noWrap/>
            <w:tcMar>
              <w:top w:w="15" w:type="dxa"/>
              <w:left w:w="15" w:type="dxa"/>
              <w:right w:w="15" w:type="dxa"/>
            </w:tcMar>
            <w:vAlign w:val="center"/>
          </w:tcPr>
          <w:p w14:paraId="4D442053">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0.6</w:t>
            </w:r>
          </w:p>
        </w:tc>
        <w:tc>
          <w:tcPr>
            <w:tcW w:w="1817" w:type="dxa"/>
            <w:tcBorders>
              <w:tl2br w:val="nil"/>
              <w:tr2bl w:val="nil"/>
            </w:tcBorders>
            <w:shd w:val="clear" w:color="auto" w:fill="auto"/>
            <w:noWrap/>
            <w:tcMar>
              <w:top w:w="15" w:type="dxa"/>
              <w:left w:w="15" w:type="dxa"/>
              <w:right w:w="15" w:type="dxa"/>
            </w:tcMar>
            <w:vAlign w:val="center"/>
          </w:tcPr>
          <w:p w14:paraId="15D2BA36">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0.00%</w:t>
            </w:r>
          </w:p>
        </w:tc>
        <w:tc>
          <w:tcPr>
            <w:tcW w:w="1080" w:type="dxa"/>
            <w:tcBorders>
              <w:tl2br w:val="nil"/>
              <w:tr2bl w:val="nil"/>
            </w:tcBorders>
            <w:shd w:val="clear" w:color="auto" w:fill="auto"/>
            <w:noWrap/>
            <w:tcMar>
              <w:top w:w="15" w:type="dxa"/>
              <w:left w:w="15" w:type="dxa"/>
              <w:right w:w="15" w:type="dxa"/>
            </w:tcMar>
            <w:vAlign w:val="center"/>
          </w:tcPr>
          <w:p w14:paraId="065AED40">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≤30%</w:t>
            </w:r>
          </w:p>
        </w:tc>
        <w:tc>
          <w:tcPr>
            <w:tcW w:w="1080" w:type="dxa"/>
            <w:tcBorders>
              <w:tl2br w:val="nil"/>
              <w:tr2bl w:val="nil"/>
            </w:tcBorders>
            <w:shd w:val="clear" w:color="auto" w:fill="auto"/>
            <w:noWrap/>
            <w:tcMar>
              <w:top w:w="15" w:type="dxa"/>
              <w:left w:w="15" w:type="dxa"/>
              <w:right w:w="15" w:type="dxa"/>
            </w:tcMar>
            <w:vAlign w:val="center"/>
          </w:tcPr>
          <w:p w14:paraId="79404C43">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r w14:paraId="459F8A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3041FFB8">
            <w:pPr>
              <w:spacing w:line="240" w:lineRule="auto"/>
              <w:jc w:val="center"/>
              <w:rPr>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73297564">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石油烃（C</w:t>
            </w:r>
            <w:r>
              <w:rPr>
                <w:rStyle w:val="62"/>
                <w:rFonts w:hint="default" w:ascii="Times New Roman" w:hAnsi="Times New Roman" w:cs="Times New Roman"/>
                <w:color w:val="auto"/>
                <w:sz w:val="21"/>
                <w:szCs w:val="21"/>
                <w:highlight w:val="none"/>
                <w:vertAlign w:val="subscript"/>
                <w:lang w:bidi="ar"/>
              </w:rPr>
              <w:t>10</w:t>
            </w:r>
            <w:r>
              <w:rPr>
                <w:rStyle w:val="62"/>
                <w:rFonts w:hint="default" w:ascii="Times New Roman" w:hAnsi="Times New Roman" w:cs="Times New Roman"/>
                <w:color w:val="auto"/>
                <w:sz w:val="21"/>
                <w:szCs w:val="21"/>
                <w:highlight w:val="none"/>
                <w:lang w:bidi="ar"/>
              </w:rPr>
              <w:t xml:space="preserve"> - C</w:t>
            </w:r>
            <w:r>
              <w:rPr>
                <w:rStyle w:val="62"/>
                <w:rFonts w:hint="default" w:ascii="Times New Roman" w:hAnsi="Times New Roman" w:cs="Times New Roman"/>
                <w:color w:val="auto"/>
                <w:sz w:val="21"/>
                <w:szCs w:val="21"/>
                <w:highlight w:val="none"/>
                <w:vertAlign w:val="subscript"/>
                <w:lang w:bidi="ar"/>
              </w:rPr>
              <w:t>40</w:t>
            </w:r>
            <w:r>
              <w:rPr>
                <w:rStyle w:val="62"/>
                <w:rFonts w:hint="default" w:ascii="Times New Roman" w:hAnsi="Times New Roman" w:cs="Times New Roman"/>
                <w:color w:val="auto"/>
                <w:sz w:val="21"/>
                <w:szCs w:val="21"/>
                <w:highlight w:val="none"/>
                <w:lang w:bidi="ar"/>
              </w:rPr>
              <w:t>）</w:t>
            </w:r>
          </w:p>
        </w:tc>
        <w:tc>
          <w:tcPr>
            <w:tcW w:w="980" w:type="dxa"/>
            <w:tcBorders>
              <w:tl2br w:val="nil"/>
              <w:tr2bl w:val="nil"/>
            </w:tcBorders>
            <w:shd w:val="clear" w:color="auto" w:fill="auto"/>
            <w:noWrap/>
            <w:tcMar>
              <w:top w:w="15" w:type="dxa"/>
              <w:left w:w="15" w:type="dxa"/>
              <w:right w:w="15" w:type="dxa"/>
            </w:tcMar>
            <w:vAlign w:val="center"/>
          </w:tcPr>
          <w:p w14:paraId="17D42CAE">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24</w:t>
            </w:r>
          </w:p>
        </w:tc>
        <w:tc>
          <w:tcPr>
            <w:tcW w:w="1730" w:type="dxa"/>
            <w:tcBorders>
              <w:tl2br w:val="nil"/>
              <w:tr2bl w:val="nil"/>
            </w:tcBorders>
            <w:shd w:val="clear" w:color="auto" w:fill="auto"/>
            <w:noWrap/>
            <w:tcMar>
              <w:top w:w="15" w:type="dxa"/>
              <w:left w:w="15" w:type="dxa"/>
              <w:right w:w="15" w:type="dxa"/>
            </w:tcMar>
            <w:vAlign w:val="center"/>
          </w:tcPr>
          <w:p w14:paraId="01FF45FF">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33</w:t>
            </w:r>
          </w:p>
        </w:tc>
        <w:tc>
          <w:tcPr>
            <w:tcW w:w="1817" w:type="dxa"/>
            <w:tcBorders>
              <w:tl2br w:val="nil"/>
              <w:tr2bl w:val="nil"/>
            </w:tcBorders>
            <w:shd w:val="clear" w:color="auto" w:fill="auto"/>
            <w:noWrap/>
            <w:tcMar>
              <w:top w:w="15" w:type="dxa"/>
              <w:left w:w="15" w:type="dxa"/>
              <w:right w:w="15" w:type="dxa"/>
            </w:tcMar>
            <w:vAlign w:val="center"/>
          </w:tcPr>
          <w:p w14:paraId="13D2FC7E">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15.79%</w:t>
            </w:r>
          </w:p>
        </w:tc>
        <w:tc>
          <w:tcPr>
            <w:tcW w:w="1080" w:type="dxa"/>
            <w:tcBorders>
              <w:tl2br w:val="nil"/>
              <w:tr2bl w:val="nil"/>
            </w:tcBorders>
            <w:shd w:val="clear" w:color="auto" w:fill="auto"/>
            <w:noWrap/>
            <w:tcMar>
              <w:top w:w="15" w:type="dxa"/>
              <w:left w:w="15" w:type="dxa"/>
              <w:right w:w="15" w:type="dxa"/>
            </w:tcMar>
            <w:vAlign w:val="center"/>
          </w:tcPr>
          <w:p w14:paraId="4C3A2653">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≤25%</w:t>
            </w:r>
          </w:p>
        </w:tc>
        <w:tc>
          <w:tcPr>
            <w:tcW w:w="1080" w:type="dxa"/>
            <w:tcBorders>
              <w:tl2br w:val="nil"/>
              <w:tr2bl w:val="nil"/>
            </w:tcBorders>
            <w:shd w:val="clear" w:color="auto" w:fill="auto"/>
            <w:noWrap/>
            <w:tcMar>
              <w:top w:w="15" w:type="dxa"/>
              <w:left w:w="15" w:type="dxa"/>
              <w:right w:w="15" w:type="dxa"/>
            </w:tcMar>
            <w:vAlign w:val="center"/>
          </w:tcPr>
          <w:p w14:paraId="0CF354C8">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bl>
    <w:p w14:paraId="05C86222">
      <w:pPr>
        <w:spacing w:line="240" w:lineRule="auto"/>
        <w:rPr>
          <w:b/>
          <w:sz w:val="18"/>
          <w:szCs w:val="18"/>
          <w:highlight w:val="none"/>
        </w:rPr>
      </w:pPr>
      <w:r>
        <w:rPr>
          <w:b/>
          <w:sz w:val="18"/>
          <w:szCs w:val="18"/>
          <w:highlight w:val="none"/>
        </w:rPr>
        <w:t>注：①其中：“铜、铬、镍、锌”质控要求按照“HJ 491-2019”确定；</w:t>
      </w:r>
    </w:p>
    <w:p w14:paraId="0622C396">
      <w:pPr>
        <w:spacing w:line="240" w:lineRule="auto"/>
        <w:ind w:firstLine="361" w:firstLineChars="200"/>
        <w:rPr>
          <w:b/>
          <w:sz w:val="18"/>
          <w:szCs w:val="18"/>
          <w:highlight w:val="none"/>
        </w:rPr>
      </w:pPr>
      <w:r>
        <w:rPr>
          <w:b/>
          <w:sz w:val="18"/>
          <w:szCs w:val="18"/>
          <w:highlight w:val="none"/>
        </w:rPr>
        <w:t>“砷、锑”质控要求按照“HJ 803-2016”确定；</w:t>
      </w:r>
    </w:p>
    <w:p w14:paraId="6819CC87">
      <w:pPr>
        <w:spacing w:line="240" w:lineRule="auto"/>
        <w:ind w:firstLine="361" w:firstLineChars="200"/>
        <w:rPr>
          <w:b/>
          <w:sz w:val="18"/>
          <w:szCs w:val="18"/>
          <w:highlight w:val="none"/>
        </w:rPr>
      </w:pPr>
      <w:r>
        <w:rPr>
          <w:b/>
          <w:sz w:val="18"/>
          <w:szCs w:val="18"/>
          <w:highlight w:val="none"/>
        </w:rPr>
        <w:t>“</w:t>
      </w:r>
      <w:r>
        <w:rPr>
          <w:rFonts w:hint="eastAsia"/>
          <w:b/>
          <w:sz w:val="18"/>
          <w:szCs w:val="18"/>
          <w:highlight w:val="none"/>
        </w:rPr>
        <w:t>总氟化物</w:t>
      </w:r>
      <w:r>
        <w:rPr>
          <w:b/>
          <w:sz w:val="18"/>
          <w:szCs w:val="18"/>
          <w:highlight w:val="none"/>
        </w:rPr>
        <w:t>”质控要求按照“H873-2017”确定；</w:t>
      </w:r>
    </w:p>
    <w:p w14:paraId="50FBAB12">
      <w:pPr>
        <w:spacing w:line="240" w:lineRule="auto"/>
        <w:ind w:firstLine="361" w:firstLineChars="200"/>
        <w:rPr>
          <w:b/>
          <w:sz w:val="18"/>
          <w:szCs w:val="18"/>
          <w:highlight w:val="none"/>
        </w:rPr>
      </w:pPr>
      <w:r>
        <w:rPr>
          <w:b/>
          <w:sz w:val="18"/>
          <w:szCs w:val="18"/>
          <w:highlight w:val="none"/>
        </w:rPr>
        <w:t>“石油烃（C</w:t>
      </w:r>
      <w:r>
        <w:rPr>
          <w:b/>
          <w:sz w:val="18"/>
          <w:szCs w:val="18"/>
          <w:highlight w:val="none"/>
          <w:vertAlign w:val="subscript"/>
        </w:rPr>
        <w:t>10</w:t>
      </w:r>
      <w:r>
        <w:rPr>
          <w:b/>
          <w:sz w:val="18"/>
          <w:szCs w:val="18"/>
          <w:highlight w:val="none"/>
        </w:rPr>
        <w:t>-C</w:t>
      </w:r>
      <w:r>
        <w:rPr>
          <w:b/>
          <w:sz w:val="18"/>
          <w:szCs w:val="18"/>
          <w:highlight w:val="none"/>
          <w:vertAlign w:val="subscript"/>
        </w:rPr>
        <w:t>40</w:t>
      </w:r>
      <w:r>
        <w:rPr>
          <w:b/>
          <w:sz w:val="18"/>
          <w:szCs w:val="18"/>
          <w:highlight w:val="none"/>
        </w:rPr>
        <w:t>）”质控要求按照“H1021-2019”确定；</w:t>
      </w:r>
    </w:p>
    <w:p w14:paraId="1B4FE9A0">
      <w:pPr>
        <w:spacing w:line="240" w:lineRule="auto"/>
        <w:ind w:firstLine="361" w:firstLineChars="200"/>
        <w:rPr>
          <w:b/>
          <w:sz w:val="18"/>
          <w:szCs w:val="18"/>
          <w:highlight w:val="none"/>
        </w:rPr>
      </w:pPr>
      <w:r>
        <w:rPr>
          <w:b/>
          <w:sz w:val="18"/>
          <w:szCs w:val="18"/>
          <w:highlight w:val="none"/>
        </w:rPr>
        <w:t>其余标准中未做规定的指标质控要求依据测试结果数据范围按照“HJ/T166-2004”确定。</w:t>
      </w:r>
    </w:p>
    <w:p w14:paraId="5B37D344">
      <w:pPr>
        <w:pStyle w:val="5"/>
        <w:tabs>
          <w:tab w:val="left" w:pos="425"/>
        </w:tabs>
        <w:rPr>
          <w:highlight w:val="none"/>
        </w:rPr>
      </w:pPr>
      <w:r>
        <w:rPr>
          <w:highlight w:val="none"/>
        </w:rPr>
        <w:t>地下水平行样质量控制</w:t>
      </w:r>
    </w:p>
    <w:p w14:paraId="1A558379">
      <w:pPr>
        <w:ind w:left="1" w:firstLine="480" w:firstLineChars="200"/>
        <w:rPr>
          <w:snapToGrid w:val="0"/>
          <w:color w:val="000000"/>
          <w:kern w:val="0"/>
          <w:highlight w:val="none"/>
        </w:rPr>
      </w:pPr>
      <w:r>
        <w:rPr>
          <w:snapToGrid w:val="0"/>
          <w:color w:val="000000"/>
          <w:kern w:val="0"/>
          <w:highlight w:val="none"/>
        </w:rPr>
        <w:t>样品现场采集过程中，五个工业园区（即</w:t>
      </w:r>
      <w:r>
        <w:rPr>
          <w:rFonts w:hint="default" w:ascii="Times New Roman" w:hAnsi="Times New Roman" w:eastAsia="宋体" w:cs="Times New Roman"/>
          <w:color w:val="auto"/>
          <w:sz w:val="24"/>
          <w:szCs w:val="24"/>
          <w:highlight w:val="none"/>
        </w:rPr>
        <w:t>华容创业园、三江港经济区、城东产业园（鄂城新区）、鄂州经济开发区、花湖开发区</w:t>
      </w:r>
      <w:r>
        <w:rPr>
          <w:snapToGrid w:val="0"/>
          <w:color w:val="000000"/>
          <w:kern w:val="0"/>
          <w:highlight w:val="none"/>
        </w:rPr>
        <w:t>）共10个地下水点位均于2020年10月28日同批次采集和送检。根据《地下水环境监测技术规范（HJT 164-2004）》要求，采集了1个地下水平行样。因此，本报告地下水平行样质量控制引用《鄂州市工业园区周边土壤质量调查评估报告</w:t>
      </w:r>
      <w:r>
        <w:rPr>
          <w:rFonts w:hint="eastAsia"/>
          <w:snapToGrid w:val="0"/>
          <w:color w:val="000000"/>
          <w:kern w:val="0"/>
          <w:highlight w:val="none"/>
        </w:rPr>
        <w:t>（2020年）</w:t>
      </w:r>
      <w:r>
        <w:rPr>
          <w:snapToGrid w:val="0"/>
          <w:color w:val="000000"/>
          <w:kern w:val="0"/>
          <w:highlight w:val="none"/>
        </w:rPr>
        <w:t>——鄂州经济开发区》中内容。</w:t>
      </w:r>
    </w:p>
    <w:p w14:paraId="615E0E8B">
      <w:pPr>
        <w:ind w:left="1" w:firstLine="480" w:firstLineChars="200"/>
        <w:rPr>
          <w:color w:val="000000"/>
          <w:highlight w:val="none"/>
        </w:rPr>
      </w:pPr>
      <w:r>
        <w:rPr>
          <w:color w:val="000000"/>
          <w:highlight w:val="none"/>
        </w:rPr>
        <w:t>本次地下水</w:t>
      </w:r>
      <w:r>
        <w:rPr>
          <w:rFonts w:hint="eastAsia"/>
          <w:color w:val="000000"/>
          <w:highlight w:val="none"/>
          <w:lang w:eastAsia="zh-CN"/>
        </w:rPr>
        <w:t>样品</w:t>
      </w:r>
      <w:r>
        <w:rPr>
          <w:color w:val="000000"/>
          <w:highlight w:val="none"/>
        </w:rPr>
        <w:t>测试项目中未检出</w:t>
      </w:r>
      <w:r>
        <w:rPr>
          <w:rFonts w:hint="eastAsia"/>
          <w:color w:val="000000"/>
          <w:highlight w:val="none"/>
          <w:lang w:eastAsia="zh-CN"/>
        </w:rPr>
        <w:t>因子</w:t>
      </w:r>
      <w:r>
        <w:rPr>
          <w:color w:val="000000"/>
          <w:highlight w:val="none"/>
        </w:rPr>
        <w:t>包括：铜、铝、锌、铬（总）、汞、砷、硒、铅、镉、铬（六价）、氰化物、挥发酚、硫化物、</w:t>
      </w:r>
      <w:r>
        <w:rPr>
          <w:rFonts w:hint="eastAsia"/>
          <w:color w:val="000000"/>
          <w:highlight w:val="none"/>
        </w:rPr>
        <w:t>氯仿</w:t>
      </w:r>
      <w:r>
        <w:rPr>
          <w:color w:val="000000"/>
          <w:highlight w:val="none"/>
        </w:rPr>
        <w:t>、四氯化碳、苯、甲苯，因此以上指标不进行相对偏差的分析。可检出指标的相对偏差在0%~5.88%，在允许范围内，具体质控结果见表4-5-</w:t>
      </w:r>
      <w:r>
        <w:rPr>
          <w:rFonts w:hint="eastAsia"/>
          <w:color w:val="000000"/>
          <w:highlight w:val="none"/>
        </w:rPr>
        <w:t>2</w:t>
      </w:r>
      <w:r>
        <w:rPr>
          <w:color w:val="000000"/>
          <w:highlight w:val="none"/>
        </w:rPr>
        <w:t>。</w:t>
      </w:r>
    </w:p>
    <w:p w14:paraId="4FB41F41">
      <w:pPr>
        <w:spacing w:line="240" w:lineRule="auto"/>
        <w:jc w:val="center"/>
        <w:rPr>
          <w:highlight w:val="none"/>
        </w:rPr>
      </w:pPr>
      <w:r>
        <w:rPr>
          <w:rFonts w:eastAsia="黑体"/>
          <w:b/>
          <w:bCs/>
          <w:color w:val="000000"/>
          <w:highlight w:val="none"/>
        </w:rPr>
        <w:t>表4-5-</w:t>
      </w:r>
      <w:r>
        <w:rPr>
          <w:rFonts w:hint="eastAsia" w:eastAsia="黑体"/>
          <w:b/>
          <w:bCs/>
          <w:color w:val="000000"/>
          <w:highlight w:val="none"/>
        </w:rPr>
        <w:t>2</w:t>
      </w:r>
      <w:r>
        <w:rPr>
          <w:rFonts w:eastAsia="黑体"/>
          <w:b/>
          <w:bCs/>
          <w:color w:val="000000"/>
          <w:highlight w:val="none"/>
        </w:rPr>
        <w:t xml:space="preserve"> 地下水平行样质控结果分析</w:t>
      </w:r>
    </w:p>
    <w:tbl>
      <w:tblPr>
        <w:tblStyle w:val="21"/>
        <w:tblW w:w="961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80"/>
        <w:gridCol w:w="2035"/>
        <w:gridCol w:w="1411"/>
        <w:gridCol w:w="1411"/>
        <w:gridCol w:w="1515"/>
        <w:gridCol w:w="1080"/>
        <w:gridCol w:w="1080"/>
      </w:tblGrid>
      <w:tr w14:paraId="5F76D8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restart"/>
            <w:tcBorders>
              <w:bottom w:val="single" w:color="auto" w:sz="12" w:space="0"/>
            </w:tcBorders>
            <w:shd w:val="clear" w:color="auto" w:fill="auto"/>
            <w:noWrap/>
            <w:tcMar>
              <w:top w:w="15" w:type="dxa"/>
              <w:left w:w="15" w:type="dxa"/>
              <w:right w:w="15" w:type="dxa"/>
            </w:tcMar>
            <w:vAlign w:val="center"/>
          </w:tcPr>
          <w:p w14:paraId="1ED6E51C">
            <w:pPr>
              <w:widowControl/>
              <w:spacing w:line="240" w:lineRule="auto"/>
              <w:jc w:val="center"/>
              <w:textAlignment w:val="center"/>
              <w:rPr>
                <w:b/>
                <w:color w:val="000000"/>
                <w:sz w:val="21"/>
                <w:szCs w:val="21"/>
                <w:highlight w:val="none"/>
              </w:rPr>
            </w:pPr>
            <w:r>
              <w:rPr>
                <w:b/>
                <w:color w:val="000000"/>
                <w:kern w:val="0"/>
                <w:sz w:val="21"/>
                <w:szCs w:val="21"/>
                <w:highlight w:val="none"/>
                <w:lang w:bidi="ar"/>
              </w:rPr>
              <w:t>样品类型</w:t>
            </w:r>
          </w:p>
        </w:tc>
        <w:tc>
          <w:tcPr>
            <w:tcW w:w="2035" w:type="dxa"/>
            <w:vMerge w:val="restart"/>
            <w:tcBorders>
              <w:bottom w:val="single" w:color="auto" w:sz="12" w:space="0"/>
            </w:tcBorders>
            <w:shd w:val="clear" w:color="auto" w:fill="auto"/>
            <w:noWrap/>
            <w:tcMar>
              <w:top w:w="15" w:type="dxa"/>
              <w:left w:w="15" w:type="dxa"/>
              <w:right w:w="15" w:type="dxa"/>
            </w:tcMar>
            <w:vAlign w:val="center"/>
          </w:tcPr>
          <w:p w14:paraId="3A26B7F6">
            <w:pPr>
              <w:widowControl/>
              <w:spacing w:line="240" w:lineRule="auto"/>
              <w:jc w:val="center"/>
              <w:textAlignment w:val="center"/>
              <w:rPr>
                <w:b/>
                <w:color w:val="000000"/>
                <w:sz w:val="21"/>
                <w:szCs w:val="21"/>
                <w:highlight w:val="none"/>
              </w:rPr>
            </w:pPr>
            <w:r>
              <w:rPr>
                <w:b/>
                <w:color w:val="000000"/>
                <w:kern w:val="0"/>
                <w:sz w:val="21"/>
                <w:szCs w:val="21"/>
                <w:highlight w:val="none"/>
                <w:lang w:bidi="ar"/>
              </w:rPr>
              <w:t>监测项目</w:t>
            </w:r>
          </w:p>
        </w:tc>
        <w:tc>
          <w:tcPr>
            <w:tcW w:w="2822" w:type="dxa"/>
            <w:gridSpan w:val="2"/>
            <w:tcBorders>
              <w:bottom w:val="single" w:color="auto" w:sz="4" w:space="0"/>
            </w:tcBorders>
            <w:shd w:val="clear" w:color="auto" w:fill="auto"/>
            <w:noWrap/>
            <w:tcMar>
              <w:top w:w="15" w:type="dxa"/>
              <w:left w:w="15" w:type="dxa"/>
              <w:right w:w="15" w:type="dxa"/>
            </w:tcMar>
            <w:vAlign w:val="center"/>
          </w:tcPr>
          <w:p w14:paraId="22B5AE20">
            <w:pPr>
              <w:widowControl/>
              <w:spacing w:line="240" w:lineRule="auto"/>
              <w:jc w:val="center"/>
              <w:textAlignment w:val="center"/>
              <w:rPr>
                <w:color w:val="000000"/>
                <w:sz w:val="21"/>
                <w:szCs w:val="21"/>
                <w:highlight w:val="none"/>
              </w:rPr>
            </w:pPr>
            <w:r>
              <w:rPr>
                <w:b/>
                <w:bCs/>
                <w:color w:val="000000"/>
                <w:kern w:val="0"/>
                <w:sz w:val="21"/>
                <w:szCs w:val="21"/>
                <w:highlight w:val="none"/>
                <w:lang w:bidi="ar"/>
              </w:rPr>
              <w:t>监测结果</w:t>
            </w:r>
          </w:p>
        </w:tc>
        <w:tc>
          <w:tcPr>
            <w:tcW w:w="1515" w:type="dxa"/>
            <w:vMerge w:val="restart"/>
            <w:tcBorders>
              <w:bottom w:val="single" w:color="auto" w:sz="12" w:space="0"/>
            </w:tcBorders>
            <w:shd w:val="clear" w:color="auto" w:fill="auto"/>
            <w:noWrap/>
            <w:tcMar>
              <w:top w:w="15" w:type="dxa"/>
              <w:left w:w="15" w:type="dxa"/>
              <w:right w:w="15" w:type="dxa"/>
            </w:tcMar>
            <w:vAlign w:val="center"/>
          </w:tcPr>
          <w:p w14:paraId="2810BC01">
            <w:pPr>
              <w:widowControl/>
              <w:spacing w:line="240" w:lineRule="auto"/>
              <w:jc w:val="center"/>
              <w:textAlignment w:val="center"/>
              <w:rPr>
                <w:b/>
                <w:color w:val="000000"/>
                <w:sz w:val="21"/>
                <w:szCs w:val="21"/>
                <w:highlight w:val="none"/>
              </w:rPr>
            </w:pPr>
            <w:r>
              <w:rPr>
                <w:b/>
                <w:color w:val="000000"/>
                <w:kern w:val="0"/>
                <w:sz w:val="21"/>
                <w:szCs w:val="21"/>
                <w:highlight w:val="none"/>
                <w:lang w:bidi="ar"/>
              </w:rPr>
              <w:t>相对偏差</w:t>
            </w:r>
          </w:p>
        </w:tc>
        <w:tc>
          <w:tcPr>
            <w:tcW w:w="1080" w:type="dxa"/>
            <w:vMerge w:val="restart"/>
            <w:tcBorders>
              <w:bottom w:val="single" w:color="auto" w:sz="12" w:space="0"/>
            </w:tcBorders>
            <w:shd w:val="clear" w:color="auto" w:fill="auto"/>
            <w:noWrap/>
            <w:tcMar>
              <w:top w:w="15" w:type="dxa"/>
              <w:left w:w="15" w:type="dxa"/>
              <w:right w:w="15" w:type="dxa"/>
            </w:tcMar>
            <w:vAlign w:val="center"/>
          </w:tcPr>
          <w:p w14:paraId="21A7C307">
            <w:pPr>
              <w:widowControl/>
              <w:spacing w:line="240" w:lineRule="auto"/>
              <w:jc w:val="center"/>
              <w:textAlignment w:val="center"/>
              <w:rPr>
                <w:b/>
                <w:color w:val="000000"/>
                <w:sz w:val="21"/>
                <w:szCs w:val="21"/>
                <w:highlight w:val="none"/>
              </w:rPr>
            </w:pPr>
            <w:r>
              <w:rPr>
                <w:b/>
                <w:color w:val="000000"/>
                <w:kern w:val="0"/>
                <w:sz w:val="21"/>
                <w:szCs w:val="21"/>
                <w:highlight w:val="none"/>
                <w:lang w:bidi="ar"/>
              </w:rPr>
              <w:t>质控要求</w:t>
            </w:r>
            <w:r>
              <w:rPr>
                <w:b/>
                <w:color w:val="000000"/>
                <w:kern w:val="0"/>
                <w:sz w:val="21"/>
                <w:szCs w:val="21"/>
                <w:highlight w:val="none"/>
                <w:vertAlign w:val="superscript"/>
                <w:lang w:bidi="ar"/>
              </w:rPr>
              <w:t>①</w:t>
            </w:r>
          </w:p>
        </w:tc>
        <w:tc>
          <w:tcPr>
            <w:tcW w:w="1080" w:type="dxa"/>
            <w:vMerge w:val="restart"/>
            <w:tcBorders>
              <w:bottom w:val="single" w:color="auto" w:sz="12" w:space="0"/>
            </w:tcBorders>
            <w:shd w:val="clear" w:color="auto" w:fill="auto"/>
            <w:noWrap/>
            <w:tcMar>
              <w:top w:w="15" w:type="dxa"/>
              <w:left w:w="15" w:type="dxa"/>
              <w:right w:w="15" w:type="dxa"/>
            </w:tcMar>
            <w:vAlign w:val="center"/>
          </w:tcPr>
          <w:p w14:paraId="2682B3EF">
            <w:pPr>
              <w:widowControl/>
              <w:spacing w:line="240" w:lineRule="auto"/>
              <w:jc w:val="center"/>
              <w:textAlignment w:val="center"/>
              <w:rPr>
                <w:b/>
                <w:color w:val="000000"/>
                <w:sz w:val="21"/>
                <w:szCs w:val="21"/>
                <w:highlight w:val="none"/>
              </w:rPr>
            </w:pPr>
            <w:r>
              <w:rPr>
                <w:b/>
                <w:color w:val="000000"/>
                <w:kern w:val="0"/>
                <w:sz w:val="21"/>
                <w:szCs w:val="21"/>
                <w:highlight w:val="none"/>
                <w:lang w:bidi="ar"/>
              </w:rPr>
              <w:t>结果判定</w:t>
            </w:r>
          </w:p>
        </w:tc>
      </w:tr>
      <w:tr w14:paraId="10F0B4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op w:val="single" w:color="auto" w:sz="12" w:space="0"/>
              <w:bottom w:val="single" w:color="auto" w:sz="12" w:space="0"/>
              <w:tl2br w:val="nil"/>
              <w:tr2bl w:val="nil"/>
            </w:tcBorders>
            <w:shd w:val="clear" w:color="auto" w:fill="auto"/>
            <w:noWrap/>
            <w:tcMar>
              <w:top w:w="15" w:type="dxa"/>
              <w:left w:w="15" w:type="dxa"/>
              <w:right w:w="15" w:type="dxa"/>
            </w:tcMar>
            <w:vAlign w:val="center"/>
          </w:tcPr>
          <w:p w14:paraId="61F5963F">
            <w:pPr>
              <w:spacing w:line="240" w:lineRule="auto"/>
              <w:jc w:val="center"/>
              <w:rPr>
                <w:b/>
                <w:color w:val="000000"/>
                <w:sz w:val="21"/>
                <w:szCs w:val="21"/>
                <w:highlight w:val="none"/>
              </w:rPr>
            </w:pPr>
          </w:p>
        </w:tc>
        <w:tc>
          <w:tcPr>
            <w:tcW w:w="2035" w:type="dxa"/>
            <w:vMerge w:val="continue"/>
            <w:tcBorders>
              <w:top w:val="single" w:color="auto" w:sz="12" w:space="0"/>
              <w:bottom w:val="single" w:color="auto" w:sz="12" w:space="0"/>
              <w:tl2br w:val="nil"/>
              <w:tr2bl w:val="nil"/>
            </w:tcBorders>
            <w:shd w:val="clear" w:color="auto" w:fill="auto"/>
            <w:noWrap/>
            <w:tcMar>
              <w:top w:w="15" w:type="dxa"/>
              <w:left w:w="15" w:type="dxa"/>
              <w:right w:w="15" w:type="dxa"/>
            </w:tcMar>
            <w:vAlign w:val="center"/>
          </w:tcPr>
          <w:p w14:paraId="651D7A68">
            <w:pPr>
              <w:spacing w:line="240" w:lineRule="auto"/>
              <w:jc w:val="center"/>
              <w:rPr>
                <w:b/>
                <w:color w:val="000000"/>
                <w:sz w:val="21"/>
                <w:szCs w:val="21"/>
                <w:highlight w:val="none"/>
              </w:rPr>
            </w:pPr>
          </w:p>
        </w:tc>
        <w:tc>
          <w:tcPr>
            <w:tcW w:w="1411" w:type="dxa"/>
            <w:tcBorders>
              <w:top w:val="single" w:color="auto" w:sz="4" w:space="0"/>
              <w:bottom w:val="single" w:color="auto" w:sz="12" w:space="0"/>
            </w:tcBorders>
            <w:shd w:val="clear" w:color="auto" w:fill="auto"/>
            <w:noWrap/>
            <w:tcMar>
              <w:top w:w="15" w:type="dxa"/>
              <w:left w:w="15" w:type="dxa"/>
              <w:right w:w="15" w:type="dxa"/>
            </w:tcMar>
            <w:vAlign w:val="center"/>
          </w:tcPr>
          <w:p w14:paraId="4233D6BB">
            <w:pPr>
              <w:widowControl/>
              <w:spacing w:line="240" w:lineRule="auto"/>
              <w:jc w:val="center"/>
              <w:textAlignment w:val="center"/>
              <w:rPr>
                <w:b/>
                <w:color w:val="000000"/>
                <w:sz w:val="21"/>
                <w:szCs w:val="21"/>
                <w:highlight w:val="none"/>
              </w:rPr>
            </w:pPr>
            <w:r>
              <w:rPr>
                <w:b/>
                <w:color w:val="000000"/>
                <w:kern w:val="0"/>
                <w:sz w:val="21"/>
                <w:szCs w:val="21"/>
                <w:highlight w:val="none"/>
                <w:lang w:bidi="ar"/>
              </w:rPr>
              <w:t>EJK-W2</w:t>
            </w:r>
          </w:p>
        </w:tc>
        <w:tc>
          <w:tcPr>
            <w:tcW w:w="1411" w:type="dxa"/>
            <w:tcBorders>
              <w:top w:val="single" w:color="auto" w:sz="4" w:space="0"/>
              <w:bottom w:val="single" w:color="auto" w:sz="12" w:space="0"/>
            </w:tcBorders>
            <w:shd w:val="clear" w:color="auto" w:fill="auto"/>
            <w:noWrap/>
            <w:tcMar>
              <w:top w:w="15" w:type="dxa"/>
              <w:left w:w="15" w:type="dxa"/>
              <w:right w:w="15" w:type="dxa"/>
            </w:tcMar>
            <w:vAlign w:val="center"/>
          </w:tcPr>
          <w:p w14:paraId="0EA1B6DE">
            <w:pPr>
              <w:widowControl/>
              <w:spacing w:line="240" w:lineRule="auto"/>
              <w:jc w:val="center"/>
              <w:textAlignment w:val="center"/>
              <w:rPr>
                <w:b/>
                <w:color w:val="000000"/>
                <w:kern w:val="0"/>
                <w:sz w:val="21"/>
                <w:szCs w:val="21"/>
                <w:highlight w:val="none"/>
                <w:lang w:bidi="ar"/>
              </w:rPr>
            </w:pPr>
            <w:r>
              <w:rPr>
                <w:b/>
                <w:color w:val="000000"/>
                <w:kern w:val="0"/>
                <w:sz w:val="21"/>
                <w:szCs w:val="21"/>
                <w:highlight w:val="none"/>
                <w:lang w:bidi="ar"/>
              </w:rPr>
              <w:t>EJK-W2</w:t>
            </w:r>
            <w:r>
              <w:rPr>
                <w:rFonts w:hint="eastAsia"/>
                <w:b/>
                <w:color w:val="000000"/>
                <w:kern w:val="0"/>
                <w:sz w:val="21"/>
                <w:szCs w:val="21"/>
                <w:highlight w:val="none"/>
                <w:lang w:bidi="ar"/>
              </w:rPr>
              <w:t>-px</w:t>
            </w:r>
          </w:p>
        </w:tc>
        <w:tc>
          <w:tcPr>
            <w:tcW w:w="1515" w:type="dxa"/>
            <w:vMerge w:val="continue"/>
            <w:tcBorders>
              <w:top w:val="single" w:color="auto" w:sz="12" w:space="0"/>
              <w:bottom w:val="single" w:color="auto" w:sz="12" w:space="0"/>
              <w:tl2br w:val="nil"/>
              <w:tr2bl w:val="nil"/>
            </w:tcBorders>
            <w:shd w:val="clear" w:color="auto" w:fill="auto"/>
            <w:noWrap/>
            <w:tcMar>
              <w:top w:w="15" w:type="dxa"/>
              <w:left w:w="15" w:type="dxa"/>
              <w:right w:w="15" w:type="dxa"/>
            </w:tcMar>
            <w:vAlign w:val="center"/>
          </w:tcPr>
          <w:p w14:paraId="1277A542">
            <w:pPr>
              <w:spacing w:line="240" w:lineRule="auto"/>
              <w:jc w:val="center"/>
              <w:rPr>
                <w:b/>
                <w:color w:val="000000"/>
                <w:sz w:val="21"/>
                <w:szCs w:val="21"/>
                <w:highlight w:val="none"/>
              </w:rPr>
            </w:pPr>
          </w:p>
        </w:tc>
        <w:tc>
          <w:tcPr>
            <w:tcW w:w="1080" w:type="dxa"/>
            <w:vMerge w:val="continue"/>
            <w:tcBorders>
              <w:top w:val="single" w:color="auto" w:sz="12" w:space="0"/>
              <w:bottom w:val="single" w:color="auto" w:sz="12" w:space="0"/>
              <w:tl2br w:val="nil"/>
              <w:tr2bl w:val="nil"/>
            </w:tcBorders>
            <w:shd w:val="clear" w:color="auto" w:fill="auto"/>
            <w:noWrap/>
            <w:tcMar>
              <w:top w:w="15" w:type="dxa"/>
              <w:left w:w="15" w:type="dxa"/>
              <w:right w:w="15" w:type="dxa"/>
            </w:tcMar>
            <w:vAlign w:val="center"/>
          </w:tcPr>
          <w:p w14:paraId="6A79621A">
            <w:pPr>
              <w:spacing w:line="240" w:lineRule="auto"/>
              <w:jc w:val="center"/>
              <w:rPr>
                <w:b/>
                <w:color w:val="000000"/>
                <w:sz w:val="21"/>
                <w:szCs w:val="21"/>
                <w:highlight w:val="none"/>
              </w:rPr>
            </w:pPr>
          </w:p>
        </w:tc>
        <w:tc>
          <w:tcPr>
            <w:tcW w:w="1080" w:type="dxa"/>
            <w:vMerge w:val="continue"/>
            <w:tcBorders>
              <w:top w:val="single" w:color="auto" w:sz="12" w:space="0"/>
              <w:bottom w:val="single" w:color="auto" w:sz="12" w:space="0"/>
              <w:tl2br w:val="nil"/>
              <w:tr2bl w:val="nil"/>
            </w:tcBorders>
            <w:shd w:val="clear" w:color="auto" w:fill="auto"/>
            <w:noWrap/>
            <w:tcMar>
              <w:top w:w="15" w:type="dxa"/>
              <w:left w:w="15" w:type="dxa"/>
              <w:right w:w="15" w:type="dxa"/>
            </w:tcMar>
            <w:vAlign w:val="center"/>
          </w:tcPr>
          <w:p w14:paraId="54C8EDD4">
            <w:pPr>
              <w:spacing w:line="240" w:lineRule="auto"/>
              <w:jc w:val="center"/>
              <w:rPr>
                <w:b/>
                <w:color w:val="000000"/>
                <w:sz w:val="21"/>
                <w:szCs w:val="21"/>
                <w:highlight w:val="none"/>
              </w:rPr>
            </w:pPr>
          </w:p>
        </w:tc>
      </w:tr>
      <w:tr w14:paraId="2D45A9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restart"/>
            <w:tcBorders>
              <w:top w:val="single" w:color="auto" w:sz="12" w:space="0"/>
            </w:tcBorders>
            <w:shd w:val="clear" w:color="auto" w:fill="auto"/>
            <w:noWrap/>
            <w:tcMar>
              <w:top w:w="15" w:type="dxa"/>
              <w:left w:w="15" w:type="dxa"/>
              <w:right w:w="15" w:type="dxa"/>
            </w:tcMar>
            <w:vAlign w:val="center"/>
          </w:tcPr>
          <w:p w14:paraId="135B43D8">
            <w:pPr>
              <w:widowControl/>
              <w:spacing w:line="240" w:lineRule="auto"/>
              <w:jc w:val="center"/>
              <w:textAlignment w:val="center"/>
              <w:rPr>
                <w:color w:val="000000"/>
                <w:sz w:val="21"/>
                <w:szCs w:val="21"/>
                <w:highlight w:val="none"/>
              </w:rPr>
            </w:pPr>
            <w:r>
              <w:rPr>
                <w:color w:val="000000"/>
                <w:kern w:val="0"/>
                <w:sz w:val="21"/>
                <w:szCs w:val="21"/>
                <w:highlight w:val="none"/>
                <w:lang w:bidi="ar"/>
              </w:rPr>
              <w:t>地下水</w:t>
            </w:r>
          </w:p>
        </w:tc>
        <w:tc>
          <w:tcPr>
            <w:tcW w:w="2035" w:type="dxa"/>
            <w:tcBorders>
              <w:top w:val="single" w:color="auto" w:sz="12" w:space="0"/>
            </w:tcBorders>
            <w:shd w:val="clear" w:color="auto" w:fill="auto"/>
            <w:noWrap/>
            <w:tcMar>
              <w:top w:w="15" w:type="dxa"/>
              <w:left w:w="15" w:type="dxa"/>
              <w:right w:w="15" w:type="dxa"/>
            </w:tcMar>
            <w:vAlign w:val="center"/>
          </w:tcPr>
          <w:p w14:paraId="48341515">
            <w:pPr>
              <w:widowControl/>
              <w:spacing w:line="240" w:lineRule="auto"/>
              <w:jc w:val="center"/>
              <w:textAlignment w:val="center"/>
              <w:rPr>
                <w:color w:val="000000"/>
                <w:sz w:val="21"/>
                <w:szCs w:val="21"/>
                <w:highlight w:val="none"/>
              </w:rPr>
            </w:pPr>
            <w:r>
              <w:rPr>
                <w:color w:val="000000"/>
                <w:kern w:val="0"/>
                <w:sz w:val="21"/>
                <w:szCs w:val="21"/>
                <w:highlight w:val="none"/>
                <w:lang w:bidi="ar"/>
              </w:rPr>
              <w:t>总硬度</w:t>
            </w:r>
          </w:p>
        </w:tc>
        <w:tc>
          <w:tcPr>
            <w:tcW w:w="1411" w:type="dxa"/>
            <w:tcBorders>
              <w:top w:val="single" w:color="auto" w:sz="12" w:space="0"/>
            </w:tcBorders>
            <w:shd w:val="clear" w:color="auto" w:fill="auto"/>
            <w:noWrap/>
            <w:tcMar>
              <w:top w:w="15" w:type="dxa"/>
              <w:left w:w="15" w:type="dxa"/>
              <w:right w:w="15" w:type="dxa"/>
            </w:tcMar>
            <w:vAlign w:val="center"/>
          </w:tcPr>
          <w:p w14:paraId="0E376B82">
            <w:pPr>
              <w:widowControl/>
              <w:spacing w:line="240" w:lineRule="auto"/>
              <w:jc w:val="center"/>
              <w:textAlignment w:val="center"/>
              <w:rPr>
                <w:color w:val="000000"/>
                <w:sz w:val="21"/>
                <w:szCs w:val="21"/>
                <w:highlight w:val="none"/>
              </w:rPr>
            </w:pPr>
            <w:r>
              <w:rPr>
                <w:color w:val="000000"/>
                <w:kern w:val="0"/>
                <w:sz w:val="21"/>
                <w:szCs w:val="21"/>
                <w:highlight w:val="none"/>
                <w:lang w:bidi="ar"/>
              </w:rPr>
              <w:t>671</w:t>
            </w:r>
          </w:p>
        </w:tc>
        <w:tc>
          <w:tcPr>
            <w:tcW w:w="1411" w:type="dxa"/>
            <w:tcBorders>
              <w:top w:val="single" w:color="auto" w:sz="12" w:space="0"/>
            </w:tcBorders>
            <w:shd w:val="clear" w:color="auto" w:fill="auto"/>
            <w:noWrap/>
            <w:tcMar>
              <w:top w:w="15" w:type="dxa"/>
              <w:left w:w="15" w:type="dxa"/>
              <w:right w:w="15" w:type="dxa"/>
            </w:tcMar>
            <w:vAlign w:val="center"/>
          </w:tcPr>
          <w:p w14:paraId="73C9112D">
            <w:pPr>
              <w:widowControl/>
              <w:spacing w:line="240" w:lineRule="auto"/>
              <w:jc w:val="center"/>
              <w:textAlignment w:val="center"/>
              <w:rPr>
                <w:color w:val="000000"/>
                <w:sz w:val="21"/>
                <w:szCs w:val="21"/>
                <w:highlight w:val="none"/>
              </w:rPr>
            </w:pPr>
            <w:r>
              <w:rPr>
                <w:color w:val="000000"/>
                <w:kern w:val="0"/>
                <w:sz w:val="21"/>
                <w:szCs w:val="21"/>
                <w:highlight w:val="none"/>
                <w:lang w:bidi="ar"/>
              </w:rPr>
              <w:t>676</w:t>
            </w:r>
          </w:p>
        </w:tc>
        <w:tc>
          <w:tcPr>
            <w:tcW w:w="1515" w:type="dxa"/>
            <w:tcBorders>
              <w:top w:val="single" w:color="auto" w:sz="12" w:space="0"/>
            </w:tcBorders>
            <w:shd w:val="clear" w:color="auto" w:fill="auto"/>
            <w:noWrap/>
            <w:tcMar>
              <w:top w:w="15" w:type="dxa"/>
              <w:left w:w="15" w:type="dxa"/>
              <w:right w:w="15" w:type="dxa"/>
            </w:tcMar>
            <w:vAlign w:val="center"/>
          </w:tcPr>
          <w:p w14:paraId="05DD51E0">
            <w:pPr>
              <w:widowControl/>
              <w:spacing w:line="240" w:lineRule="auto"/>
              <w:jc w:val="center"/>
              <w:textAlignment w:val="center"/>
              <w:rPr>
                <w:color w:val="000000"/>
                <w:sz w:val="21"/>
                <w:szCs w:val="21"/>
                <w:highlight w:val="none"/>
              </w:rPr>
            </w:pPr>
            <w:r>
              <w:rPr>
                <w:color w:val="000000"/>
                <w:kern w:val="0"/>
                <w:sz w:val="21"/>
                <w:szCs w:val="21"/>
                <w:highlight w:val="none"/>
                <w:lang w:bidi="ar"/>
              </w:rPr>
              <w:t>0.37%</w:t>
            </w:r>
          </w:p>
        </w:tc>
        <w:tc>
          <w:tcPr>
            <w:tcW w:w="1080" w:type="dxa"/>
            <w:tcBorders>
              <w:top w:val="single" w:color="auto" w:sz="12" w:space="0"/>
            </w:tcBorders>
            <w:shd w:val="clear" w:color="auto" w:fill="auto"/>
            <w:noWrap/>
            <w:tcMar>
              <w:top w:w="15" w:type="dxa"/>
              <w:left w:w="15" w:type="dxa"/>
              <w:right w:w="15" w:type="dxa"/>
            </w:tcMar>
            <w:vAlign w:val="center"/>
          </w:tcPr>
          <w:p w14:paraId="3132B517">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1080" w:type="dxa"/>
            <w:tcBorders>
              <w:top w:val="single" w:color="auto" w:sz="12" w:space="0"/>
            </w:tcBorders>
            <w:shd w:val="clear" w:color="auto" w:fill="auto"/>
            <w:noWrap/>
            <w:tcMar>
              <w:top w:w="15" w:type="dxa"/>
              <w:left w:w="15" w:type="dxa"/>
              <w:right w:w="15" w:type="dxa"/>
            </w:tcMar>
            <w:vAlign w:val="center"/>
          </w:tcPr>
          <w:p w14:paraId="5E0F403C">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1A5B7C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6EFC69DA">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12F8A544">
            <w:pPr>
              <w:widowControl/>
              <w:spacing w:line="240" w:lineRule="auto"/>
              <w:jc w:val="center"/>
              <w:textAlignment w:val="center"/>
              <w:rPr>
                <w:color w:val="000000"/>
                <w:sz w:val="21"/>
                <w:szCs w:val="21"/>
                <w:highlight w:val="none"/>
              </w:rPr>
            </w:pPr>
            <w:r>
              <w:rPr>
                <w:color w:val="000000"/>
                <w:kern w:val="0"/>
                <w:sz w:val="21"/>
                <w:szCs w:val="21"/>
                <w:highlight w:val="none"/>
                <w:lang w:bidi="ar"/>
              </w:rPr>
              <w:t>溶解性总固体</w:t>
            </w:r>
          </w:p>
        </w:tc>
        <w:tc>
          <w:tcPr>
            <w:tcW w:w="1411" w:type="dxa"/>
            <w:tcBorders>
              <w:tl2br w:val="nil"/>
              <w:tr2bl w:val="nil"/>
            </w:tcBorders>
            <w:shd w:val="clear" w:color="auto" w:fill="auto"/>
            <w:noWrap/>
            <w:tcMar>
              <w:top w:w="15" w:type="dxa"/>
              <w:left w:w="15" w:type="dxa"/>
              <w:right w:w="15" w:type="dxa"/>
            </w:tcMar>
            <w:vAlign w:val="center"/>
          </w:tcPr>
          <w:p w14:paraId="4B23B435">
            <w:pPr>
              <w:widowControl/>
              <w:spacing w:line="240" w:lineRule="auto"/>
              <w:jc w:val="center"/>
              <w:textAlignment w:val="center"/>
              <w:rPr>
                <w:color w:val="000000"/>
                <w:sz w:val="21"/>
                <w:szCs w:val="21"/>
                <w:highlight w:val="none"/>
              </w:rPr>
            </w:pPr>
            <w:r>
              <w:rPr>
                <w:color w:val="000000"/>
                <w:kern w:val="0"/>
                <w:sz w:val="21"/>
                <w:szCs w:val="21"/>
                <w:highlight w:val="none"/>
                <w:lang w:bidi="ar"/>
              </w:rPr>
              <w:t>908</w:t>
            </w:r>
          </w:p>
        </w:tc>
        <w:tc>
          <w:tcPr>
            <w:tcW w:w="1411" w:type="dxa"/>
            <w:tcBorders>
              <w:tl2br w:val="nil"/>
              <w:tr2bl w:val="nil"/>
            </w:tcBorders>
            <w:shd w:val="clear" w:color="auto" w:fill="auto"/>
            <w:noWrap/>
            <w:tcMar>
              <w:top w:w="15" w:type="dxa"/>
              <w:left w:w="15" w:type="dxa"/>
              <w:right w:w="15" w:type="dxa"/>
            </w:tcMar>
            <w:vAlign w:val="center"/>
          </w:tcPr>
          <w:p w14:paraId="5B82F15D">
            <w:pPr>
              <w:widowControl/>
              <w:spacing w:line="240" w:lineRule="auto"/>
              <w:jc w:val="center"/>
              <w:textAlignment w:val="center"/>
              <w:rPr>
                <w:color w:val="000000"/>
                <w:sz w:val="21"/>
                <w:szCs w:val="21"/>
                <w:highlight w:val="none"/>
              </w:rPr>
            </w:pPr>
            <w:r>
              <w:rPr>
                <w:color w:val="000000"/>
                <w:kern w:val="0"/>
                <w:sz w:val="21"/>
                <w:szCs w:val="21"/>
                <w:highlight w:val="none"/>
                <w:lang w:bidi="ar"/>
              </w:rPr>
              <w:t>903</w:t>
            </w:r>
          </w:p>
        </w:tc>
        <w:tc>
          <w:tcPr>
            <w:tcW w:w="1515" w:type="dxa"/>
            <w:tcBorders>
              <w:tl2br w:val="nil"/>
              <w:tr2bl w:val="nil"/>
            </w:tcBorders>
            <w:shd w:val="clear" w:color="auto" w:fill="auto"/>
            <w:noWrap/>
            <w:tcMar>
              <w:top w:w="15" w:type="dxa"/>
              <w:left w:w="15" w:type="dxa"/>
              <w:right w:w="15" w:type="dxa"/>
            </w:tcMar>
            <w:vAlign w:val="center"/>
          </w:tcPr>
          <w:p w14:paraId="509954FA">
            <w:pPr>
              <w:widowControl/>
              <w:spacing w:line="240" w:lineRule="auto"/>
              <w:jc w:val="center"/>
              <w:textAlignment w:val="center"/>
              <w:rPr>
                <w:color w:val="000000"/>
                <w:sz w:val="21"/>
                <w:szCs w:val="21"/>
                <w:highlight w:val="none"/>
              </w:rPr>
            </w:pPr>
            <w:r>
              <w:rPr>
                <w:color w:val="000000"/>
                <w:kern w:val="0"/>
                <w:sz w:val="21"/>
                <w:szCs w:val="21"/>
                <w:highlight w:val="none"/>
                <w:lang w:bidi="ar"/>
              </w:rPr>
              <w:t>0.28%</w:t>
            </w:r>
          </w:p>
        </w:tc>
        <w:tc>
          <w:tcPr>
            <w:tcW w:w="1080" w:type="dxa"/>
            <w:tcBorders>
              <w:tl2br w:val="nil"/>
              <w:tr2bl w:val="nil"/>
            </w:tcBorders>
            <w:shd w:val="clear" w:color="auto" w:fill="auto"/>
            <w:noWrap/>
            <w:tcMar>
              <w:top w:w="15" w:type="dxa"/>
              <w:left w:w="15" w:type="dxa"/>
              <w:right w:w="15" w:type="dxa"/>
            </w:tcMar>
            <w:vAlign w:val="center"/>
          </w:tcPr>
          <w:p w14:paraId="096ED954">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554376A3">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53355F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53439B9D">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0D5CC5FB">
            <w:pPr>
              <w:widowControl/>
              <w:spacing w:line="240" w:lineRule="auto"/>
              <w:jc w:val="center"/>
              <w:textAlignment w:val="center"/>
              <w:rPr>
                <w:color w:val="000000"/>
                <w:sz w:val="21"/>
                <w:szCs w:val="21"/>
                <w:highlight w:val="none"/>
              </w:rPr>
            </w:pPr>
            <w:r>
              <w:rPr>
                <w:color w:val="000000"/>
                <w:kern w:val="0"/>
                <w:sz w:val="21"/>
                <w:szCs w:val="21"/>
                <w:highlight w:val="none"/>
                <w:lang w:bidi="ar"/>
              </w:rPr>
              <w:t>耗氧量</w:t>
            </w:r>
          </w:p>
        </w:tc>
        <w:tc>
          <w:tcPr>
            <w:tcW w:w="1411" w:type="dxa"/>
            <w:tcBorders>
              <w:tl2br w:val="nil"/>
              <w:tr2bl w:val="nil"/>
            </w:tcBorders>
            <w:shd w:val="clear" w:color="auto" w:fill="auto"/>
            <w:noWrap/>
            <w:tcMar>
              <w:top w:w="15" w:type="dxa"/>
              <w:left w:w="15" w:type="dxa"/>
              <w:right w:w="15" w:type="dxa"/>
            </w:tcMar>
            <w:vAlign w:val="center"/>
          </w:tcPr>
          <w:p w14:paraId="77B1B890">
            <w:pPr>
              <w:widowControl/>
              <w:spacing w:line="240" w:lineRule="auto"/>
              <w:jc w:val="center"/>
              <w:textAlignment w:val="center"/>
              <w:rPr>
                <w:color w:val="000000"/>
                <w:sz w:val="21"/>
                <w:szCs w:val="21"/>
                <w:highlight w:val="none"/>
              </w:rPr>
            </w:pPr>
            <w:r>
              <w:rPr>
                <w:color w:val="000000"/>
                <w:kern w:val="0"/>
                <w:sz w:val="21"/>
                <w:szCs w:val="21"/>
                <w:highlight w:val="none"/>
                <w:lang w:bidi="ar"/>
              </w:rPr>
              <w:t>4.62</w:t>
            </w:r>
          </w:p>
        </w:tc>
        <w:tc>
          <w:tcPr>
            <w:tcW w:w="1411" w:type="dxa"/>
            <w:tcBorders>
              <w:tl2br w:val="nil"/>
              <w:tr2bl w:val="nil"/>
            </w:tcBorders>
            <w:shd w:val="clear" w:color="auto" w:fill="auto"/>
            <w:noWrap/>
            <w:tcMar>
              <w:top w:w="15" w:type="dxa"/>
              <w:left w:w="15" w:type="dxa"/>
              <w:right w:w="15" w:type="dxa"/>
            </w:tcMar>
            <w:vAlign w:val="center"/>
          </w:tcPr>
          <w:p w14:paraId="7BA995C5">
            <w:pPr>
              <w:widowControl/>
              <w:spacing w:line="240" w:lineRule="auto"/>
              <w:jc w:val="center"/>
              <w:textAlignment w:val="center"/>
              <w:rPr>
                <w:color w:val="000000"/>
                <w:sz w:val="21"/>
                <w:szCs w:val="21"/>
                <w:highlight w:val="none"/>
              </w:rPr>
            </w:pPr>
            <w:r>
              <w:rPr>
                <w:color w:val="000000"/>
                <w:kern w:val="0"/>
                <w:sz w:val="21"/>
                <w:szCs w:val="21"/>
                <w:highlight w:val="none"/>
                <w:lang w:bidi="ar"/>
              </w:rPr>
              <w:t>4.7</w:t>
            </w:r>
          </w:p>
        </w:tc>
        <w:tc>
          <w:tcPr>
            <w:tcW w:w="1515" w:type="dxa"/>
            <w:tcBorders>
              <w:tl2br w:val="nil"/>
              <w:tr2bl w:val="nil"/>
            </w:tcBorders>
            <w:shd w:val="clear" w:color="auto" w:fill="auto"/>
            <w:noWrap/>
            <w:tcMar>
              <w:top w:w="15" w:type="dxa"/>
              <w:left w:w="15" w:type="dxa"/>
              <w:right w:w="15" w:type="dxa"/>
            </w:tcMar>
            <w:vAlign w:val="center"/>
          </w:tcPr>
          <w:p w14:paraId="21450C42">
            <w:pPr>
              <w:widowControl/>
              <w:spacing w:line="240" w:lineRule="auto"/>
              <w:jc w:val="center"/>
              <w:textAlignment w:val="center"/>
              <w:rPr>
                <w:color w:val="000000"/>
                <w:sz w:val="21"/>
                <w:szCs w:val="21"/>
                <w:highlight w:val="none"/>
              </w:rPr>
            </w:pPr>
            <w:r>
              <w:rPr>
                <w:color w:val="000000"/>
                <w:kern w:val="0"/>
                <w:sz w:val="21"/>
                <w:szCs w:val="21"/>
                <w:highlight w:val="none"/>
                <w:lang w:bidi="ar"/>
              </w:rPr>
              <w:t>0.86%</w:t>
            </w:r>
          </w:p>
        </w:tc>
        <w:tc>
          <w:tcPr>
            <w:tcW w:w="1080" w:type="dxa"/>
            <w:tcBorders>
              <w:tl2br w:val="nil"/>
              <w:tr2bl w:val="nil"/>
            </w:tcBorders>
            <w:shd w:val="clear" w:color="auto" w:fill="auto"/>
            <w:noWrap/>
            <w:tcMar>
              <w:top w:w="15" w:type="dxa"/>
              <w:left w:w="15" w:type="dxa"/>
              <w:right w:w="15" w:type="dxa"/>
            </w:tcMar>
            <w:vAlign w:val="center"/>
          </w:tcPr>
          <w:p w14:paraId="5F0446B0">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4FD83885">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24BDBA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5A25948E">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5B4A3832">
            <w:pPr>
              <w:widowControl/>
              <w:spacing w:line="240" w:lineRule="auto"/>
              <w:jc w:val="center"/>
              <w:textAlignment w:val="center"/>
              <w:rPr>
                <w:color w:val="000000"/>
                <w:sz w:val="21"/>
                <w:szCs w:val="21"/>
                <w:highlight w:val="none"/>
              </w:rPr>
            </w:pPr>
            <w:r>
              <w:rPr>
                <w:color w:val="000000"/>
                <w:kern w:val="0"/>
                <w:sz w:val="21"/>
                <w:szCs w:val="21"/>
                <w:highlight w:val="none"/>
                <w:lang w:bidi="ar"/>
              </w:rPr>
              <w:t>硫酸盐</w:t>
            </w:r>
          </w:p>
        </w:tc>
        <w:tc>
          <w:tcPr>
            <w:tcW w:w="1411" w:type="dxa"/>
            <w:tcBorders>
              <w:tl2br w:val="nil"/>
              <w:tr2bl w:val="nil"/>
            </w:tcBorders>
            <w:shd w:val="clear" w:color="auto" w:fill="auto"/>
            <w:noWrap/>
            <w:tcMar>
              <w:top w:w="15" w:type="dxa"/>
              <w:left w:w="15" w:type="dxa"/>
              <w:right w:w="15" w:type="dxa"/>
            </w:tcMar>
            <w:vAlign w:val="center"/>
          </w:tcPr>
          <w:p w14:paraId="408DB7FC">
            <w:pPr>
              <w:widowControl/>
              <w:spacing w:line="240" w:lineRule="auto"/>
              <w:jc w:val="center"/>
              <w:textAlignment w:val="center"/>
              <w:rPr>
                <w:color w:val="000000"/>
                <w:sz w:val="21"/>
                <w:szCs w:val="21"/>
                <w:highlight w:val="none"/>
              </w:rPr>
            </w:pPr>
            <w:r>
              <w:rPr>
                <w:color w:val="000000"/>
                <w:kern w:val="0"/>
                <w:sz w:val="21"/>
                <w:szCs w:val="21"/>
                <w:highlight w:val="none"/>
                <w:lang w:bidi="ar"/>
              </w:rPr>
              <w:t>1.22</w:t>
            </w:r>
          </w:p>
        </w:tc>
        <w:tc>
          <w:tcPr>
            <w:tcW w:w="1411" w:type="dxa"/>
            <w:tcBorders>
              <w:tl2br w:val="nil"/>
              <w:tr2bl w:val="nil"/>
            </w:tcBorders>
            <w:shd w:val="clear" w:color="auto" w:fill="auto"/>
            <w:noWrap/>
            <w:tcMar>
              <w:top w:w="15" w:type="dxa"/>
              <w:left w:w="15" w:type="dxa"/>
              <w:right w:w="15" w:type="dxa"/>
            </w:tcMar>
            <w:vAlign w:val="center"/>
          </w:tcPr>
          <w:p w14:paraId="0B3EC535">
            <w:pPr>
              <w:widowControl/>
              <w:spacing w:line="240" w:lineRule="auto"/>
              <w:jc w:val="center"/>
              <w:textAlignment w:val="center"/>
              <w:rPr>
                <w:color w:val="000000"/>
                <w:sz w:val="21"/>
                <w:szCs w:val="21"/>
                <w:highlight w:val="none"/>
              </w:rPr>
            </w:pPr>
            <w:r>
              <w:rPr>
                <w:color w:val="000000"/>
                <w:kern w:val="0"/>
                <w:sz w:val="21"/>
                <w:szCs w:val="21"/>
                <w:highlight w:val="none"/>
                <w:lang w:bidi="ar"/>
              </w:rPr>
              <w:t>1.22</w:t>
            </w:r>
          </w:p>
        </w:tc>
        <w:tc>
          <w:tcPr>
            <w:tcW w:w="1515" w:type="dxa"/>
            <w:tcBorders>
              <w:tl2br w:val="nil"/>
              <w:tr2bl w:val="nil"/>
            </w:tcBorders>
            <w:shd w:val="clear" w:color="auto" w:fill="auto"/>
            <w:noWrap/>
            <w:tcMar>
              <w:top w:w="15" w:type="dxa"/>
              <w:left w:w="15" w:type="dxa"/>
              <w:right w:w="15" w:type="dxa"/>
            </w:tcMar>
            <w:vAlign w:val="center"/>
          </w:tcPr>
          <w:p w14:paraId="0A342F4E">
            <w:pPr>
              <w:widowControl/>
              <w:spacing w:line="240" w:lineRule="auto"/>
              <w:jc w:val="center"/>
              <w:textAlignment w:val="center"/>
              <w:rPr>
                <w:color w:val="000000"/>
                <w:sz w:val="21"/>
                <w:szCs w:val="21"/>
                <w:highlight w:val="none"/>
              </w:rPr>
            </w:pPr>
            <w:r>
              <w:rPr>
                <w:color w:val="000000"/>
                <w:kern w:val="0"/>
                <w:sz w:val="21"/>
                <w:szCs w:val="21"/>
                <w:highlight w:val="none"/>
                <w:lang w:bidi="ar"/>
              </w:rPr>
              <w:t>0.00%</w:t>
            </w:r>
          </w:p>
        </w:tc>
        <w:tc>
          <w:tcPr>
            <w:tcW w:w="1080" w:type="dxa"/>
            <w:tcBorders>
              <w:tl2br w:val="nil"/>
              <w:tr2bl w:val="nil"/>
            </w:tcBorders>
            <w:shd w:val="clear" w:color="auto" w:fill="auto"/>
            <w:noWrap/>
            <w:tcMar>
              <w:top w:w="15" w:type="dxa"/>
              <w:left w:w="15" w:type="dxa"/>
              <w:right w:w="15" w:type="dxa"/>
            </w:tcMar>
            <w:vAlign w:val="center"/>
          </w:tcPr>
          <w:p w14:paraId="6D5DC6E0">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7D477D56">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379E36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62899E30">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1A9CCFD7">
            <w:pPr>
              <w:widowControl/>
              <w:spacing w:line="240" w:lineRule="auto"/>
              <w:jc w:val="center"/>
              <w:textAlignment w:val="center"/>
              <w:rPr>
                <w:color w:val="000000"/>
                <w:sz w:val="21"/>
                <w:szCs w:val="21"/>
                <w:highlight w:val="none"/>
              </w:rPr>
            </w:pPr>
            <w:r>
              <w:rPr>
                <w:color w:val="000000"/>
                <w:kern w:val="0"/>
                <w:sz w:val="21"/>
                <w:szCs w:val="21"/>
                <w:highlight w:val="none"/>
                <w:lang w:bidi="ar"/>
              </w:rPr>
              <w:t>硝酸盐(以氮计)</w:t>
            </w:r>
          </w:p>
        </w:tc>
        <w:tc>
          <w:tcPr>
            <w:tcW w:w="1411" w:type="dxa"/>
            <w:tcBorders>
              <w:tl2br w:val="nil"/>
              <w:tr2bl w:val="nil"/>
            </w:tcBorders>
            <w:shd w:val="clear" w:color="auto" w:fill="auto"/>
            <w:noWrap/>
            <w:tcMar>
              <w:top w:w="15" w:type="dxa"/>
              <w:left w:w="15" w:type="dxa"/>
              <w:right w:w="15" w:type="dxa"/>
            </w:tcMar>
            <w:vAlign w:val="center"/>
          </w:tcPr>
          <w:p w14:paraId="5587125E">
            <w:pPr>
              <w:widowControl/>
              <w:spacing w:line="240" w:lineRule="auto"/>
              <w:jc w:val="center"/>
              <w:textAlignment w:val="center"/>
              <w:rPr>
                <w:color w:val="000000"/>
                <w:sz w:val="21"/>
                <w:szCs w:val="21"/>
                <w:highlight w:val="none"/>
              </w:rPr>
            </w:pPr>
            <w:r>
              <w:rPr>
                <w:color w:val="000000"/>
                <w:kern w:val="0"/>
                <w:sz w:val="21"/>
                <w:szCs w:val="21"/>
                <w:highlight w:val="none"/>
                <w:lang w:bidi="ar"/>
              </w:rPr>
              <w:t>0.78</w:t>
            </w:r>
          </w:p>
        </w:tc>
        <w:tc>
          <w:tcPr>
            <w:tcW w:w="1411" w:type="dxa"/>
            <w:tcBorders>
              <w:tl2br w:val="nil"/>
              <w:tr2bl w:val="nil"/>
            </w:tcBorders>
            <w:shd w:val="clear" w:color="auto" w:fill="auto"/>
            <w:noWrap/>
            <w:tcMar>
              <w:top w:w="15" w:type="dxa"/>
              <w:left w:w="15" w:type="dxa"/>
              <w:right w:w="15" w:type="dxa"/>
            </w:tcMar>
            <w:vAlign w:val="center"/>
          </w:tcPr>
          <w:p w14:paraId="594B063F">
            <w:pPr>
              <w:widowControl/>
              <w:spacing w:line="240" w:lineRule="auto"/>
              <w:jc w:val="center"/>
              <w:textAlignment w:val="center"/>
              <w:rPr>
                <w:color w:val="000000"/>
                <w:sz w:val="21"/>
                <w:szCs w:val="21"/>
                <w:highlight w:val="none"/>
              </w:rPr>
            </w:pPr>
            <w:r>
              <w:rPr>
                <w:color w:val="000000"/>
                <w:kern w:val="0"/>
                <w:sz w:val="21"/>
                <w:szCs w:val="21"/>
                <w:highlight w:val="none"/>
                <w:lang w:bidi="ar"/>
              </w:rPr>
              <w:t>0.813</w:t>
            </w:r>
          </w:p>
        </w:tc>
        <w:tc>
          <w:tcPr>
            <w:tcW w:w="1515" w:type="dxa"/>
            <w:tcBorders>
              <w:tl2br w:val="nil"/>
              <w:tr2bl w:val="nil"/>
            </w:tcBorders>
            <w:shd w:val="clear" w:color="auto" w:fill="auto"/>
            <w:noWrap/>
            <w:tcMar>
              <w:top w:w="15" w:type="dxa"/>
              <w:left w:w="15" w:type="dxa"/>
              <w:right w:w="15" w:type="dxa"/>
            </w:tcMar>
            <w:vAlign w:val="center"/>
          </w:tcPr>
          <w:p w14:paraId="14F4D76D">
            <w:pPr>
              <w:widowControl/>
              <w:spacing w:line="240" w:lineRule="auto"/>
              <w:jc w:val="center"/>
              <w:textAlignment w:val="center"/>
              <w:rPr>
                <w:color w:val="000000"/>
                <w:sz w:val="21"/>
                <w:szCs w:val="21"/>
                <w:highlight w:val="none"/>
              </w:rPr>
            </w:pPr>
            <w:r>
              <w:rPr>
                <w:color w:val="000000"/>
                <w:kern w:val="0"/>
                <w:sz w:val="21"/>
                <w:szCs w:val="21"/>
                <w:highlight w:val="none"/>
                <w:lang w:bidi="ar"/>
              </w:rPr>
              <w:t>2.07%</w:t>
            </w:r>
          </w:p>
        </w:tc>
        <w:tc>
          <w:tcPr>
            <w:tcW w:w="1080" w:type="dxa"/>
            <w:tcBorders>
              <w:tl2br w:val="nil"/>
              <w:tr2bl w:val="nil"/>
            </w:tcBorders>
            <w:shd w:val="clear" w:color="auto" w:fill="auto"/>
            <w:noWrap/>
            <w:tcMar>
              <w:top w:w="15" w:type="dxa"/>
              <w:left w:w="15" w:type="dxa"/>
              <w:right w:w="15" w:type="dxa"/>
            </w:tcMar>
            <w:vAlign w:val="center"/>
          </w:tcPr>
          <w:p w14:paraId="12FA536C">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77A5CB2A">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74D8CF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28AF90E5">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70FA1519">
            <w:pPr>
              <w:widowControl/>
              <w:spacing w:line="240" w:lineRule="auto"/>
              <w:jc w:val="center"/>
              <w:textAlignment w:val="center"/>
              <w:rPr>
                <w:color w:val="000000"/>
                <w:sz w:val="21"/>
                <w:szCs w:val="21"/>
                <w:highlight w:val="none"/>
              </w:rPr>
            </w:pPr>
            <w:r>
              <w:rPr>
                <w:color w:val="000000"/>
                <w:kern w:val="0"/>
                <w:sz w:val="21"/>
                <w:szCs w:val="21"/>
                <w:highlight w:val="none"/>
                <w:lang w:bidi="ar"/>
              </w:rPr>
              <w:t>氯化物</w:t>
            </w:r>
          </w:p>
        </w:tc>
        <w:tc>
          <w:tcPr>
            <w:tcW w:w="1411" w:type="dxa"/>
            <w:tcBorders>
              <w:tl2br w:val="nil"/>
              <w:tr2bl w:val="nil"/>
            </w:tcBorders>
            <w:shd w:val="clear" w:color="auto" w:fill="auto"/>
            <w:noWrap/>
            <w:tcMar>
              <w:top w:w="15" w:type="dxa"/>
              <w:left w:w="15" w:type="dxa"/>
              <w:right w:w="15" w:type="dxa"/>
            </w:tcMar>
            <w:vAlign w:val="center"/>
          </w:tcPr>
          <w:p w14:paraId="4B17BFE8">
            <w:pPr>
              <w:widowControl/>
              <w:spacing w:line="240" w:lineRule="auto"/>
              <w:jc w:val="center"/>
              <w:textAlignment w:val="center"/>
              <w:rPr>
                <w:color w:val="000000"/>
                <w:sz w:val="21"/>
                <w:szCs w:val="21"/>
                <w:highlight w:val="none"/>
              </w:rPr>
            </w:pPr>
            <w:r>
              <w:rPr>
                <w:color w:val="000000"/>
                <w:kern w:val="0"/>
                <w:sz w:val="21"/>
                <w:szCs w:val="21"/>
                <w:highlight w:val="none"/>
                <w:lang w:bidi="ar"/>
              </w:rPr>
              <w:t>13.2</w:t>
            </w:r>
          </w:p>
        </w:tc>
        <w:tc>
          <w:tcPr>
            <w:tcW w:w="1411" w:type="dxa"/>
            <w:tcBorders>
              <w:tl2br w:val="nil"/>
              <w:tr2bl w:val="nil"/>
            </w:tcBorders>
            <w:shd w:val="clear" w:color="auto" w:fill="auto"/>
            <w:noWrap/>
            <w:tcMar>
              <w:top w:w="15" w:type="dxa"/>
              <w:left w:w="15" w:type="dxa"/>
              <w:right w:w="15" w:type="dxa"/>
            </w:tcMar>
            <w:vAlign w:val="center"/>
          </w:tcPr>
          <w:p w14:paraId="5CFD762B">
            <w:pPr>
              <w:widowControl/>
              <w:spacing w:line="240" w:lineRule="auto"/>
              <w:jc w:val="center"/>
              <w:textAlignment w:val="center"/>
              <w:rPr>
                <w:color w:val="000000"/>
                <w:sz w:val="21"/>
                <w:szCs w:val="21"/>
                <w:highlight w:val="none"/>
              </w:rPr>
            </w:pPr>
            <w:r>
              <w:rPr>
                <w:color w:val="000000"/>
                <w:kern w:val="0"/>
                <w:sz w:val="21"/>
                <w:szCs w:val="21"/>
                <w:highlight w:val="none"/>
                <w:lang w:bidi="ar"/>
              </w:rPr>
              <w:t>13.3</w:t>
            </w:r>
          </w:p>
        </w:tc>
        <w:tc>
          <w:tcPr>
            <w:tcW w:w="1515" w:type="dxa"/>
            <w:tcBorders>
              <w:tl2br w:val="nil"/>
              <w:tr2bl w:val="nil"/>
            </w:tcBorders>
            <w:shd w:val="clear" w:color="auto" w:fill="auto"/>
            <w:noWrap/>
            <w:tcMar>
              <w:top w:w="15" w:type="dxa"/>
              <w:left w:w="15" w:type="dxa"/>
              <w:right w:w="15" w:type="dxa"/>
            </w:tcMar>
            <w:vAlign w:val="center"/>
          </w:tcPr>
          <w:p w14:paraId="6FF9426A">
            <w:pPr>
              <w:widowControl/>
              <w:spacing w:line="240" w:lineRule="auto"/>
              <w:jc w:val="center"/>
              <w:textAlignment w:val="center"/>
              <w:rPr>
                <w:color w:val="000000"/>
                <w:sz w:val="21"/>
                <w:szCs w:val="21"/>
                <w:highlight w:val="none"/>
              </w:rPr>
            </w:pPr>
            <w:r>
              <w:rPr>
                <w:color w:val="000000"/>
                <w:kern w:val="0"/>
                <w:sz w:val="21"/>
                <w:szCs w:val="21"/>
                <w:highlight w:val="none"/>
                <w:lang w:bidi="ar"/>
              </w:rPr>
              <w:t>0.38%</w:t>
            </w:r>
          </w:p>
        </w:tc>
        <w:tc>
          <w:tcPr>
            <w:tcW w:w="1080" w:type="dxa"/>
            <w:tcBorders>
              <w:tl2br w:val="nil"/>
              <w:tr2bl w:val="nil"/>
            </w:tcBorders>
            <w:shd w:val="clear" w:color="auto" w:fill="auto"/>
            <w:noWrap/>
            <w:tcMar>
              <w:top w:w="15" w:type="dxa"/>
              <w:left w:w="15" w:type="dxa"/>
              <w:right w:w="15" w:type="dxa"/>
            </w:tcMar>
            <w:vAlign w:val="center"/>
          </w:tcPr>
          <w:p w14:paraId="63A11B88">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3C958611">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563585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32BF4956">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519F6103">
            <w:pPr>
              <w:widowControl/>
              <w:spacing w:line="240" w:lineRule="auto"/>
              <w:jc w:val="center"/>
              <w:textAlignment w:val="center"/>
              <w:rPr>
                <w:color w:val="000000"/>
                <w:sz w:val="21"/>
                <w:szCs w:val="21"/>
                <w:highlight w:val="none"/>
              </w:rPr>
            </w:pPr>
            <w:r>
              <w:rPr>
                <w:rFonts w:hint="eastAsia"/>
                <w:color w:val="000000"/>
                <w:kern w:val="0"/>
                <w:sz w:val="21"/>
                <w:szCs w:val="21"/>
                <w:highlight w:val="none"/>
                <w:lang w:bidi="ar"/>
              </w:rPr>
              <w:t>总氟化物</w:t>
            </w:r>
          </w:p>
        </w:tc>
        <w:tc>
          <w:tcPr>
            <w:tcW w:w="1411" w:type="dxa"/>
            <w:tcBorders>
              <w:tl2br w:val="nil"/>
              <w:tr2bl w:val="nil"/>
            </w:tcBorders>
            <w:shd w:val="clear" w:color="auto" w:fill="auto"/>
            <w:noWrap/>
            <w:tcMar>
              <w:top w:w="15" w:type="dxa"/>
              <w:left w:w="15" w:type="dxa"/>
              <w:right w:w="15" w:type="dxa"/>
            </w:tcMar>
            <w:vAlign w:val="center"/>
          </w:tcPr>
          <w:p w14:paraId="16D065E9">
            <w:pPr>
              <w:widowControl/>
              <w:spacing w:line="240" w:lineRule="auto"/>
              <w:jc w:val="center"/>
              <w:textAlignment w:val="center"/>
              <w:rPr>
                <w:color w:val="000000"/>
                <w:sz w:val="21"/>
                <w:szCs w:val="21"/>
                <w:highlight w:val="none"/>
              </w:rPr>
            </w:pPr>
            <w:r>
              <w:rPr>
                <w:color w:val="000000"/>
                <w:kern w:val="0"/>
                <w:sz w:val="21"/>
                <w:szCs w:val="21"/>
                <w:highlight w:val="none"/>
                <w:lang w:bidi="ar"/>
              </w:rPr>
              <w:t>0.166</w:t>
            </w:r>
          </w:p>
        </w:tc>
        <w:tc>
          <w:tcPr>
            <w:tcW w:w="1411" w:type="dxa"/>
            <w:tcBorders>
              <w:tl2br w:val="nil"/>
              <w:tr2bl w:val="nil"/>
            </w:tcBorders>
            <w:shd w:val="clear" w:color="auto" w:fill="auto"/>
            <w:noWrap/>
            <w:tcMar>
              <w:top w:w="15" w:type="dxa"/>
              <w:left w:w="15" w:type="dxa"/>
              <w:right w:w="15" w:type="dxa"/>
            </w:tcMar>
            <w:vAlign w:val="center"/>
          </w:tcPr>
          <w:p w14:paraId="6F6706A8">
            <w:pPr>
              <w:widowControl/>
              <w:spacing w:line="240" w:lineRule="auto"/>
              <w:jc w:val="center"/>
              <w:textAlignment w:val="center"/>
              <w:rPr>
                <w:color w:val="000000"/>
                <w:sz w:val="21"/>
                <w:szCs w:val="21"/>
                <w:highlight w:val="none"/>
              </w:rPr>
            </w:pPr>
            <w:r>
              <w:rPr>
                <w:color w:val="000000"/>
                <w:kern w:val="0"/>
                <w:sz w:val="21"/>
                <w:szCs w:val="21"/>
                <w:highlight w:val="none"/>
                <w:lang w:bidi="ar"/>
              </w:rPr>
              <w:t>0.168</w:t>
            </w:r>
          </w:p>
        </w:tc>
        <w:tc>
          <w:tcPr>
            <w:tcW w:w="1515" w:type="dxa"/>
            <w:tcBorders>
              <w:tl2br w:val="nil"/>
              <w:tr2bl w:val="nil"/>
            </w:tcBorders>
            <w:shd w:val="clear" w:color="auto" w:fill="auto"/>
            <w:noWrap/>
            <w:tcMar>
              <w:top w:w="15" w:type="dxa"/>
              <w:left w:w="15" w:type="dxa"/>
              <w:right w:w="15" w:type="dxa"/>
            </w:tcMar>
            <w:vAlign w:val="center"/>
          </w:tcPr>
          <w:p w14:paraId="3068B3C1">
            <w:pPr>
              <w:widowControl/>
              <w:spacing w:line="240" w:lineRule="auto"/>
              <w:jc w:val="center"/>
              <w:textAlignment w:val="center"/>
              <w:rPr>
                <w:color w:val="000000"/>
                <w:sz w:val="21"/>
                <w:szCs w:val="21"/>
                <w:highlight w:val="none"/>
              </w:rPr>
            </w:pPr>
            <w:r>
              <w:rPr>
                <w:color w:val="000000"/>
                <w:kern w:val="0"/>
                <w:sz w:val="21"/>
                <w:szCs w:val="21"/>
                <w:highlight w:val="none"/>
                <w:lang w:bidi="ar"/>
              </w:rPr>
              <w:t>0.60%</w:t>
            </w:r>
          </w:p>
        </w:tc>
        <w:tc>
          <w:tcPr>
            <w:tcW w:w="1080" w:type="dxa"/>
            <w:tcBorders>
              <w:tl2br w:val="nil"/>
              <w:tr2bl w:val="nil"/>
            </w:tcBorders>
            <w:shd w:val="clear" w:color="auto" w:fill="auto"/>
            <w:noWrap/>
            <w:tcMar>
              <w:top w:w="15" w:type="dxa"/>
              <w:left w:w="15" w:type="dxa"/>
              <w:right w:w="15" w:type="dxa"/>
            </w:tcMar>
            <w:vAlign w:val="center"/>
          </w:tcPr>
          <w:p w14:paraId="1DE10969">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1F5EA2E4">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2ACBDC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34CC0172">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1DA2B86E">
            <w:pPr>
              <w:widowControl/>
              <w:spacing w:line="240" w:lineRule="auto"/>
              <w:jc w:val="center"/>
              <w:textAlignment w:val="center"/>
              <w:rPr>
                <w:color w:val="000000"/>
                <w:sz w:val="21"/>
                <w:szCs w:val="21"/>
                <w:highlight w:val="none"/>
              </w:rPr>
            </w:pPr>
            <w:r>
              <w:rPr>
                <w:color w:val="000000"/>
                <w:kern w:val="0"/>
                <w:sz w:val="21"/>
                <w:szCs w:val="21"/>
                <w:highlight w:val="none"/>
                <w:lang w:bidi="ar"/>
              </w:rPr>
              <w:t>阴离子表面活性剂</w:t>
            </w:r>
          </w:p>
        </w:tc>
        <w:tc>
          <w:tcPr>
            <w:tcW w:w="1411" w:type="dxa"/>
            <w:tcBorders>
              <w:tl2br w:val="nil"/>
              <w:tr2bl w:val="nil"/>
            </w:tcBorders>
            <w:shd w:val="clear" w:color="auto" w:fill="auto"/>
            <w:noWrap/>
            <w:tcMar>
              <w:top w:w="15" w:type="dxa"/>
              <w:left w:w="15" w:type="dxa"/>
              <w:right w:w="15" w:type="dxa"/>
            </w:tcMar>
            <w:vAlign w:val="center"/>
          </w:tcPr>
          <w:p w14:paraId="26DAF207">
            <w:pPr>
              <w:widowControl/>
              <w:spacing w:line="240" w:lineRule="auto"/>
              <w:jc w:val="center"/>
              <w:textAlignment w:val="center"/>
              <w:rPr>
                <w:color w:val="000000"/>
                <w:sz w:val="21"/>
                <w:szCs w:val="21"/>
                <w:highlight w:val="none"/>
              </w:rPr>
            </w:pPr>
            <w:r>
              <w:rPr>
                <w:color w:val="000000"/>
                <w:kern w:val="0"/>
                <w:sz w:val="21"/>
                <w:szCs w:val="21"/>
                <w:highlight w:val="none"/>
                <w:lang w:bidi="ar"/>
              </w:rPr>
              <w:t>0.056</w:t>
            </w:r>
          </w:p>
        </w:tc>
        <w:tc>
          <w:tcPr>
            <w:tcW w:w="1411" w:type="dxa"/>
            <w:tcBorders>
              <w:tl2br w:val="nil"/>
              <w:tr2bl w:val="nil"/>
            </w:tcBorders>
            <w:shd w:val="clear" w:color="auto" w:fill="auto"/>
            <w:noWrap/>
            <w:tcMar>
              <w:top w:w="15" w:type="dxa"/>
              <w:left w:w="15" w:type="dxa"/>
              <w:right w:w="15" w:type="dxa"/>
            </w:tcMar>
            <w:vAlign w:val="center"/>
          </w:tcPr>
          <w:p w14:paraId="729D5F9E">
            <w:pPr>
              <w:widowControl/>
              <w:spacing w:line="240" w:lineRule="auto"/>
              <w:jc w:val="center"/>
              <w:textAlignment w:val="center"/>
              <w:rPr>
                <w:color w:val="000000"/>
                <w:sz w:val="21"/>
                <w:szCs w:val="21"/>
                <w:highlight w:val="none"/>
              </w:rPr>
            </w:pPr>
            <w:r>
              <w:rPr>
                <w:color w:val="000000"/>
                <w:kern w:val="0"/>
                <w:sz w:val="21"/>
                <w:szCs w:val="21"/>
                <w:highlight w:val="none"/>
                <w:lang w:bidi="ar"/>
              </w:rPr>
              <w:t>0.058</w:t>
            </w:r>
          </w:p>
        </w:tc>
        <w:tc>
          <w:tcPr>
            <w:tcW w:w="1515" w:type="dxa"/>
            <w:tcBorders>
              <w:tl2br w:val="nil"/>
              <w:tr2bl w:val="nil"/>
            </w:tcBorders>
            <w:shd w:val="clear" w:color="auto" w:fill="auto"/>
            <w:noWrap/>
            <w:tcMar>
              <w:top w:w="15" w:type="dxa"/>
              <w:left w:w="15" w:type="dxa"/>
              <w:right w:w="15" w:type="dxa"/>
            </w:tcMar>
            <w:vAlign w:val="center"/>
          </w:tcPr>
          <w:p w14:paraId="1CD5D355">
            <w:pPr>
              <w:widowControl/>
              <w:spacing w:line="240" w:lineRule="auto"/>
              <w:jc w:val="center"/>
              <w:textAlignment w:val="center"/>
              <w:rPr>
                <w:color w:val="000000"/>
                <w:sz w:val="21"/>
                <w:szCs w:val="21"/>
                <w:highlight w:val="none"/>
              </w:rPr>
            </w:pPr>
            <w:r>
              <w:rPr>
                <w:color w:val="000000"/>
                <w:kern w:val="0"/>
                <w:sz w:val="21"/>
                <w:szCs w:val="21"/>
                <w:highlight w:val="none"/>
                <w:lang w:bidi="ar"/>
              </w:rPr>
              <w:t>1.75%</w:t>
            </w:r>
          </w:p>
        </w:tc>
        <w:tc>
          <w:tcPr>
            <w:tcW w:w="1080" w:type="dxa"/>
            <w:tcBorders>
              <w:tl2br w:val="nil"/>
              <w:tr2bl w:val="nil"/>
            </w:tcBorders>
            <w:shd w:val="clear" w:color="auto" w:fill="auto"/>
            <w:noWrap/>
            <w:tcMar>
              <w:top w:w="15" w:type="dxa"/>
              <w:left w:w="15" w:type="dxa"/>
              <w:right w:w="15" w:type="dxa"/>
            </w:tcMar>
            <w:vAlign w:val="center"/>
          </w:tcPr>
          <w:p w14:paraId="08D45BC4">
            <w:pPr>
              <w:widowControl/>
              <w:spacing w:line="240" w:lineRule="auto"/>
              <w:jc w:val="center"/>
              <w:textAlignment w:val="center"/>
              <w:rPr>
                <w:color w:val="000000"/>
                <w:sz w:val="21"/>
                <w:szCs w:val="21"/>
                <w:highlight w:val="none"/>
              </w:rPr>
            </w:pPr>
            <w:r>
              <w:rPr>
                <w:color w:val="000000"/>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7F9178AF">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6D4D3A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64B3E055">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0A87606D">
            <w:pPr>
              <w:widowControl/>
              <w:spacing w:line="240" w:lineRule="auto"/>
              <w:jc w:val="center"/>
              <w:textAlignment w:val="center"/>
              <w:rPr>
                <w:color w:val="000000"/>
                <w:sz w:val="21"/>
                <w:szCs w:val="21"/>
                <w:highlight w:val="none"/>
              </w:rPr>
            </w:pPr>
            <w:r>
              <w:rPr>
                <w:color w:val="000000"/>
                <w:kern w:val="0"/>
                <w:sz w:val="21"/>
                <w:szCs w:val="21"/>
                <w:highlight w:val="none"/>
                <w:lang w:bidi="ar"/>
              </w:rPr>
              <w:t>氨氮</w:t>
            </w:r>
          </w:p>
        </w:tc>
        <w:tc>
          <w:tcPr>
            <w:tcW w:w="1411" w:type="dxa"/>
            <w:tcBorders>
              <w:tl2br w:val="nil"/>
              <w:tr2bl w:val="nil"/>
            </w:tcBorders>
            <w:shd w:val="clear" w:color="auto" w:fill="auto"/>
            <w:noWrap/>
            <w:tcMar>
              <w:top w:w="15" w:type="dxa"/>
              <w:left w:w="15" w:type="dxa"/>
              <w:right w:w="15" w:type="dxa"/>
            </w:tcMar>
            <w:vAlign w:val="center"/>
          </w:tcPr>
          <w:p w14:paraId="7DA76701">
            <w:pPr>
              <w:widowControl/>
              <w:spacing w:line="240" w:lineRule="auto"/>
              <w:jc w:val="center"/>
              <w:textAlignment w:val="center"/>
              <w:rPr>
                <w:color w:val="000000"/>
                <w:sz w:val="21"/>
                <w:szCs w:val="21"/>
                <w:highlight w:val="none"/>
              </w:rPr>
            </w:pPr>
            <w:r>
              <w:rPr>
                <w:color w:val="000000"/>
                <w:kern w:val="0"/>
                <w:sz w:val="21"/>
                <w:szCs w:val="21"/>
                <w:highlight w:val="none"/>
                <w:lang w:bidi="ar"/>
              </w:rPr>
              <w:t>0.08</w:t>
            </w:r>
          </w:p>
        </w:tc>
        <w:tc>
          <w:tcPr>
            <w:tcW w:w="1411" w:type="dxa"/>
            <w:tcBorders>
              <w:tl2br w:val="nil"/>
              <w:tr2bl w:val="nil"/>
            </w:tcBorders>
            <w:shd w:val="clear" w:color="auto" w:fill="auto"/>
            <w:noWrap/>
            <w:tcMar>
              <w:top w:w="15" w:type="dxa"/>
              <w:left w:w="15" w:type="dxa"/>
              <w:right w:w="15" w:type="dxa"/>
            </w:tcMar>
            <w:vAlign w:val="center"/>
          </w:tcPr>
          <w:p w14:paraId="461102C5">
            <w:pPr>
              <w:widowControl/>
              <w:spacing w:line="240" w:lineRule="auto"/>
              <w:jc w:val="center"/>
              <w:textAlignment w:val="center"/>
              <w:rPr>
                <w:color w:val="000000"/>
                <w:sz w:val="21"/>
                <w:szCs w:val="21"/>
                <w:highlight w:val="none"/>
              </w:rPr>
            </w:pPr>
            <w:r>
              <w:rPr>
                <w:color w:val="000000"/>
                <w:kern w:val="0"/>
                <w:sz w:val="21"/>
                <w:szCs w:val="21"/>
                <w:highlight w:val="none"/>
                <w:lang w:bidi="ar"/>
              </w:rPr>
              <w:t>0.09</w:t>
            </w:r>
          </w:p>
        </w:tc>
        <w:tc>
          <w:tcPr>
            <w:tcW w:w="1515" w:type="dxa"/>
            <w:tcBorders>
              <w:tl2br w:val="nil"/>
              <w:tr2bl w:val="nil"/>
            </w:tcBorders>
            <w:shd w:val="clear" w:color="auto" w:fill="auto"/>
            <w:noWrap/>
            <w:tcMar>
              <w:top w:w="15" w:type="dxa"/>
              <w:left w:w="15" w:type="dxa"/>
              <w:right w:w="15" w:type="dxa"/>
            </w:tcMar>
            <w:vAlign w:val="center"/>
          </w:tcPr>
          <w:p w14:paraId="7081B383">
            <w:pPr>
              <w:widowControl/>
              <w:spacing w:line="240" w:lineRule="auto"/>
              <w:jc w:val="center"/>
              <w:textAlignment w:val="center"/>
              <w:rPr>
                <w:color w:val="000000"/>
                <w:sz w:val="21"/>
                <w:szCs w:val="21"/>
                <w:highlight w:val="none"/>
              </w:rPr>
            </w:pPr>
            <w:r>
              <w:rPr>
                <w:color w:val="000000"/>
                <w:kern w:val="0"/>
                <w:sz w:val="21"/>
                <w:szCs w:val="21"/>
                <w:highlight w:val="none"/>
                <w:lang w:bidi="ar"/>
              </w:rPr>
              <w:t>5.88%</w:t>
            </w:r>
          </w:p>
        </w:tc>
        <w:tc>
          <w:tcPr>
            <w:tcW w:w="1080" w:type="dxa"/>
            <w:tcBorders>
              <w:tl2br w:val="nil"/>
              <w:tr2bl w:val="nil"/>
            </w:tcBorders>
            <w:shd w:val="clear" w:color="auto" w:fill="auto"/>
            <w:noWrap/>
            <w:tcMar>
              <w:top w:w="15" w:type="dxa"/>
              <w:left w:w="15" w:type="dxa"/>
              <w:right w:w="15" w:type="dxa"/>
            </w:tcMar>
            <w:vAlign w:val="center"/>
          </w:tcPr>
          <w:p w14:paraId="126FCC92">
            <w:pPr>
              <w:widowControl/>
              <w:spacing w:line="240" w:lineRule="auto"/>
              <w:jc w:val="center"/>
              <w:textAlignment w:val="center"/>
              <w:rPr>
                <w:color w:val="000000"/>
                <w:sz w:val="21"/>
                <w:szCs w:val="21"/>
                <w:highlight w:val="none"/>
              </w:rPr>
            </w:pPr>
            <w:r>
              <w:rPr>
                <w:color w:val="000000"/>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66389503">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64209F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525C766A">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1DA721D0">
            <w:pPr>
              <w:widowControl/>
              <w:spacing w:line="240" w:lineRule="auto"/>
              <w:jc w:val="center"/>
              <w:textAlignment w:val="center"/>
              <w:rPr>
                <w:color w:val="000000"/>
                <w:sz w:val="21"/>
                <w:szCs w:val="21"/>
                <w:highlight w:val="none"/>
              </w:rPr>
            </w:pPr>
            <w:r>
              <w:rPr>
                <w:color w:val="000000"/>
                <w:kern w:val="0"/>
                <w:sz w:val="21"/>
                <w:szCs w:val="21"/>
                <w:highlight w:val="none"/>
                <w:lang w:bidi="ar"/>
              </w:rPr>
              <w:t>亚硝酸盐氮</w:t>
            </w:r>
          </w:p>
        </w:tc>
        <w:tc>
          <w:tcPr>
            <w:tcW w:w="1411" w:type="dxa"/>
            <w:tcBorders>
              <w:tl2br w:val="nil"/>
              <w:tr2bl w:val="nil"/>
            </w:tcBorders>
            <w:shd w:val="clear" w:color="auto" w:fill="auto"/>
            <w:noWrap/>
            <w:tcMar>
              <w:top w:w="15" w:type="dxa"/>
              <w:left w:w="15" w:type="dxa"/>
              <w:right w:w="15" w:type="dxa"/>
            </w:tcMar>
            <w:vAlign w:val="center"/>
          </w:tcPr>
          <w:p w14:paraId="01D7A4F2">
            <w:pPr>
              <w:widowControl/>
              <w:spacing w:line="240" w:lineRule="auto"/>
              <w:jc w:val="center"/>
              <w:textAlignment w:val="center"/>
              <w:rPr>
                <w:color w:val="000000"/>
                <w:sz w:val="21"/>
                <w:szCs w:val="21"/>
                <w:highlight w:val="none"/>
              </w:rPr>
            </w:pPr>
            <w:r>
              <w:rPr>
                <w:color w:val="000000"/>
                <w:kern w:val="0"/>
                <w:sz w:val="21"/>
                <w:szCs w:val="21"/>
                <w:highlight w:val="none"/>
                <w:lang w:bidi="ar"/>
              </w:rPr>
              <w:t>0.001</w:t>
            </w:r>
          </w:p>
        </w:tc>
        <w:tc>
          <w:tcPr>
            <w:tcW w:w="1411" w:type="dxa"/>
            <w:tcBorders>
              <w:tl2br w:val="nil"/>
              <w:tr2bl w:val="nil"/>
            </w:tcBorders>
            <w:shd w:val="clear" w:color="auto" w:fill="auto"/>
            <w:noWrap/>
            <w:tcMar>
              <w:top w:w="15" w:type="dxa"/>
              <w:left w:w="15" w:type="dxa"/>
              <w:right w:w="15" w:type="dxa"/>
            </w:tcMar>
            <w:vAlign w:val="center"/>
          </w:tcPr>
          <w:p w14:paraId="3D77D8F1">
            <w:pPr>
              <w:widowControl/>
              <w:spacing w:line="240" w:lineRule="auto"/>
              <w:jc w:val="center"/>
              <w:textAlignment w:val="center"/>
              <w:rPr>
                <w:color w:val="000000"/>
                <w:sz w:val="21"/>
                <w:szCs w:val="21"/>
                <w:highlight w:val="none"/>
              </w:rPr>
            </w:pPr>
            <w:r>
              <w:rPr>
                <w:color w:val="000000"/>
                <w:kern w:val="0"/>
                <w:sz w:val="21"/>
                <w:szCs w:val="21"/>
                <w:highlight w:val="none"/>
                <w:lang w:bidi="ar"/>
              </w:rPr>
              <w:t>0.001</w:t>
            </w:r>
          </w:p>
        </w:tc>
        <w:tc>
          <w:tcPr>
            <w:tcW w:w="1515" w:type="dxa"/>
            <w:tcBorders>
              <w:tl2br w:val="nil"/>
              <w:tr2bl w:val="nil"/>
            </w:tcBorders>
            <w:shd w:val="clear" w:color="auto" w:fill="auto"/>
            <w:noWrap/>
            <w:tcMar>
              <w:top w:w="15" w:type="dxa"/>
              <w:left w:w="15" w:type="dxa"/>
              <w:right w:w="15" w:type="dxa"/>
            </w:tcMar>
            <w:vAlign w:val="center"/>
          </w:tcPr>
          <w:p w14:paraId="1AACCBF2">
            <w:pPr>
              <w:widowControl/>
              <w:spacing w:line="240" w:lineRule="auto"/>
              <w:jc w:val="center"/>
              <w:textAlignment w:val="center"/>
              <w:rPr>
                <w:color w:val="000000"/>
                <w:sz w:val="21"/>
                <w:szCs w:val="21"/>
                <w:highlight w:val="none"/>
              </w:rPr>
            </w:pPr>
            <w:r>
              <w:rPr>
                <w:color w:val="000000"/>
                <w:kern w:val="0"/>
                <w:sz w:val="21"/>
                <w:szCs w:val="21"/>
                <w:highlight w:val="none"/>
                <w:lang w:bidi="ar"/>
              </w:rPr>
              <w:t>0.00%</w:t>
            </w:r>
          </w:p>
        </w:tc>
        <w:tc>
          <w:tcPr>
            <w:tcW w:w="1080" w:type="dxa"/>
            <w:tcBorders>
              <w:tl2br w:val="nil"/>
              <w:tr2bl w:val="nil"/>
            </w:tcBorders>
            <w:shd w:val="clear" w:color="auto" w:fill="auto"/>
            <w:noWrap/>
            <w:tcMar>
              <w:top w:w="15" w:type="dxa"/>
              <w:left w:w="15" w:type="dxa"/>
              <w:right w:w="15" w:type="dxa"/>
            </w:tcMar>
            <w:vAlign w:val="center"/>
          </w:tcPr>
          <w:p w14:paraId="08E72CFD">
            <w:pPr>
              <w:widowControl/>
              <w:spacing w:line="240" w:lineRule="auto"/>
              <w:jc w:val="center"/>
              <w:textAlignment w:val="center"/>
              <w:rPr>
                <w:color w:val="000000"/>
                <w:sz w:val="21"/>
                <w:szCs w:val="21"/>
                <w:highlight w:val="none"/>
              </w:rPr>
            </w:pPr>
            <w:r>
              <w:rPr>
                <w:color w:val="000000"/>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1C19788D">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049EDE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45756E6E">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2BD4C731">
            <w:pPr>
              <w:widowControl/>
              <w:spacing w:line="240" w:lineRule="auto"/>
              <w:jc w:val="center"/>
              <w:textAlignment w:val="center"/>
              <w:rPr>
                <w:color w:val="000000"/>
                <w:sz w:val="21"/>
                <w:szCs w:val="21"/>
                <w:highlight w:val="none"/>
              </w:rPr>
            </w:pPr>
            <w:r>
              <w:rPr>
                <w:color w:val="000000"/>
                <w:kern w:val="0"/>
                <w:sz w:val="21"/>
                <w:szCs w:val="21"/>
                <w:highlight w:val="none"/>
                <w:lang w:bidi="ar"/>
              </w:rPr>
              <w:t>铁</w:t>
            </w:r>
          </w:p>
        </w:tc>
        <w:tc>
          <w:tcPr>
            <w:tcW w:w="1411" w:type="dxa"/>
            <w:tcBorders>
              <w:tl2br w:val="nil"/>
              <w:tr2bl w:val="nil"/>
            </w:tcBorders>
            <w:shd w:val="clear" w:color="auto" w:fill="auto"/>
            <w:noWrap/>
            <w:tcMar>
              <w:top w:w="15" w:type="dxa"/>
              <w:left w:w="15" w:type="dxa"/>
              <w:right w:w="15" w:type="dxa"/>
            </w:tcMar>
            <w:vAlign w:val="center"/>
          </w:tcPr>
          <w:p w14:paraId="6EE2E313">
            <w:pPr>
              <w:widowControl/>
              <w:spacing w:line="240" w:lineRule="auto"/>
              <w:jc w:val="center"/>
              <w:textAlignment w:val="center"/>
              <w:rPr>
                <w:color w:val="000000"/>
                <w:sz w:val="21"/>
                <w:szCs w:val="21"/>
                <w:highlight w:val="none"/>
              </w:rPr>
            </w:pPr>
            <w:r>
              <w:rPr>
                <w:color w:val="000000"/>
                <w:kern w:val="0"/>
                <w:sz w:val="21"/>
                <w:szCs w:val="21"/>
                <w:highlight w:val="none"/>
                <w:lang w:bidi="ar"/>
              </w:rPr>
              <w:t>0.061</w:t>
            </w:r>
          </w:p>
        </w:tc>
        <w:tc>
          <w:tcPr>
            <w:tcW w:w="1411" w:type="dxa"/>
            <w:tcBorders>
              <w:tl2br w:val="nil"/>
              <w:tr2bl w:val="nil"/>
            </w:tcBorders>
            <w:shd w:val="clear" w:color="auto" w:fill="auto"/>
            <w:noWrap/>
            <w:tcMar>
              <w:top w:w="15" w:type="dxa"/>
              <w:left w:w="15" w:type="dxa"/>
              <w:right w:w="15" w:type="dxa"/>
            </w:tcMar>
            <w:vAlign w:val="center"/>
          </w:tcPr>
          <w:p w14:paraId="691870A3">
            <w:pPr>
              <w:widowControl/>
              <w:spacing w:line="240" w:lineRule="auto"/>
              <w:jc w:val="center"/>
              <w:textAlignment w:val="center"/>
              <w:rPr>
                <w:color w:val="000000"/>
                <w:sz w:val="21"/>
                <w:szCs w:val="21"/>
                <w:highlight w:val="none"/>
              </w:rPr>
            </w:pPr>
            <w:r>
              <w:rPr>
                <w:color w:val="000000"/>
                <w:kern w:val="0"/>
                <w:sz w:val="21"/>
                <w:szCs w:val="21"/>
                <w:highlight w:val="none"/>
                <w:lang w:bidi="ar"/>
              </w:rPr>
              <w:t>0.06</w:t>
            </w:r>
          </w:p>
        </w:tc>
        <w:tc>
          <w:tcPr>
            <w:tcW w:w="1515" w:type="dxa"/>
            <w:tcBorders>
              <w:tl2br w:val="nil"/>
              <w:tr2bl w:val="nil"/>
            </w:tcBorders>
            <w:shd w:val="clear" w:color="auto" w:fill="auto"/>
            <w:noWrap/>
            <w:tcMar>
              <w:top w:w="15" w:type="dxa"/>
              <w:left w:w="15" w:type="dxa"/>
              <w:right w:w="15" w:type="dxa"/>
            </w:tcMar>
            <w:vAlign w:val="center"/>
          </w:tcPr>
          <w:p w14:paraId="14AEF8AF">
            <w:pPr>
              <w:widowControl/>
              <w:spacing w:line="240" w:lineRule="auto"/>
              <w:jc w:val="center"/>
              <w:textAlignment w:val="center"/>
              <w:rPr>
                <w:color w:val="000000"/>
                <w:sz w:val="21"/>
                <w:szCs w:val="21"/>
                <w:highlight w:val="none"/>
              </w:rPr>
            </w:pPr>
            <w:r>
              <w:rPr>
                <w:color w:val="000000"/>
                <w:kern w:val="0"/>
                <w:sz w:val="21"/>
                <w:szCs w:val="21"/>
                <w:highlight w:val="none"/>
                <w:lang w:bidi="ar"/>
              </w:rPr>
              <w:t>0.83%</w:t>
            </w:r>
          </w:p>
        </w:tc>
        <w:tc>
          <w:tcPr>
            <w:tcW w:w="1080" w:type="dxa"/>
            <w:tcBorders>
              <w:tl2br w:val="nil"/>
              <w:tr2bl w:val="nil"/>
            </w:tcBorders>
            <w:shd w:val="clear" w:color="auto" w:fill="auto"/>
            <w:noWrap/>
            <w:tcMar>
              <w:top w:w="15" w:type="dxa"/>
              <w:left w:w="15" w:type="dxa"/>
              <w:right w:w="15" w:type="dxa"/>
            </w:tcMar>
            <w:vAlign w:val="center"/>
          </w:tcPr>
          <w:p w14:paraId="0C6FDAD9">
            <w:pPr>
              <w:widowControl/>
              <w:spacing w:line="240" w:lineRule="auto"/>
              <w:jc w:val="center"/>
              <w:textAlignment w:val="center"/>
              <w:rPr>
                <w:color w:val="000000"/>
                <w:sz w:val="21"/>
                <w:szCs w:val="21"/>
                <w:highlight w:val="none"/>
              </w:rPr>
            </w:pPr>
            <w:r>
              <w:rPr>
                <w:color w:val="000000"/>
                <w:kern w:val="0"/>
                <w:sz w:val="21"/>
                <w:szCs w:val="21"/>
                <w:highlight w:val="none"/>
                <w:lang w:bidi="ar"/>
              </w:rPr>
              <w:t>≤15%</w:t>
            </w:r>
          </w:p>
        </w:tc>
        <w:tc>
          <w:tcPr>
            <w:tcW w:w="1080" w:type="dxa"/>
            <w:tcBorders>
              <w:tl2br w:val="nil"/>
              <w:tr2bl w:val="nil"/>
            </w:tcBorders>
            <w:shd w:val="clear" w:color="auto" w:fill="auto"/>
            <w:noWrap/>
            <w:tcMar>
              <w:top w:w="15" w:type="dxa"/>
              <w:left w:w="15" w:type="dxa"/>
              <w:right w:w="15" w:type="dxa"/>
            </w:tcMar>
            <w:vAlign w:val="center"/>
          </w:tcPr>
          <w:p w14:paraId="689019F1">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4C0B52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4EAA3DC3">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78B9FD04">
            <w:pPr>
              <w:widowControl/>
              <w:spacing w:line="240" w:lineRule="auto"/>
              <w:jc w:val="center"/>
              <w:textAlignment w:val="center"/>
              <w:rPr>
                <w:color w:val="000000"/>
                <w:sz w:val="21"/>
                <w:szCs w:val="21"/>
                <w:highlight w:val="none"/>
              </w:rPr>
            </w:pPr>
            <w:r>
              <w:rPr>
                <w:color w:val="000000"/>
                <w:kern w:val="0"/>
                <w:sz w:val="21"/>
                <w:szCs w:val="21"/>
                <w:highlight w:val="none"/>
                <w:lang w:bidi="ar"/>
              </w:rPr>
              <w:t>锰</w:t>
            </w:r>
          </w:p>
        </w:tc>
        <w:tc>
          <w:tcPr>
            <w:tcW w:w="1411" w:type="dxa"/>
            <w:tcBorders>
              <w:tl2br w:val="nil"/>
              <w:tr2bl w:val="nil"/>
            </w:tcBorders>
            <w:shd w:val="clear" w:color="auto" w:fill="auto"/>
            <w:noWrap/>
            <w:tcMar>
              <w:top w:w="15" w:type="dxa"/>
              <w:left w:w="15" w:type="dxa"/>
              <w:right w:w="15" w:type="dxa"/>
            </w:tcMar>
            <w:vAlign w:val="center"/>
          </w:tcPr>
          <w:p w14:paraId="253495ED">
            <w:pPr>
              <w:widowControl/>
              <w:spacing w:line="240" w:lineRule="auto"/>
              <w:jc w:val="center"/>
              <w:textAlignment w:val="center"/>
              <w:rPr>
                <w:color w:val="000000"/>
                <w:sz w:val="21"/>
                <w:szCs w:val="21"/>
                <w:highlight w:val="none"/>
              </w:rPr>
            </w:pPr>
            <w:r>
              <w:rPr>
                <w:color w:val="000000"/>
                <w:kern w:val="0"/>
                <w:sz w:val="21"/>
                <w:szCs w:val="21"/>
                <w:highlight w:val="none"/>
                <w:lang w:bidi="ar"/>
              </w:rPr>
              <w:t>1.84</w:t>
            </w:r>
          </w:p>
        </w:tc>
        <w:tc>
          <w:tcPr>
            <w:tcW w:w="1411" w:type="dxa"/>
            <w:tcBorders>
              <w:tl2br w:val="nil"/>
              <w:tr2bl w:val="nil"/>
            </w:tcBorders>
            <w:shd w:val="clear" w:color="auto" w:fill="auto"/>
            <w:noWrap/>
            <w:tcMar>
              <w:top w:w="15" w:type="dxa"/>
              <w:left w:w="15" w:type="dxa"/>
              <w:right w:w="15" w:type="dxa"/>
            </w:tcMar>
            <w:vAlign w:val="center"/>
          </w:tcPr>
          <w:p w14:paraId="45D03C7C">
            <w:pPr>
              <w:widowControl/>
              <w:spacing w:line="240" w:lineRule="auto"/>
              <w:jc w:val="center"/>
              <w:textAlignment w:val="center"/>
              <w:rPr>
                <w:color w:val="000000"/>
                <w:sz w:val="21"/>
                <w:szCs w:val="21"/>
                <w:highlight w:val="none"/>
              </w:rPr>
            </w:pPr>
            <w:r>
              <w:rPr>
                <w:color w:val="000000"/>
                <w:kern w:val="0"/>
                <w:sz w:val="21"/>
                <w:szCs w:val="21"/>
                <w:highlight w:val="none"/>
                <w:lang w:bidi="ar"/>
              </w:rPr>
              <w:t>1.85</w:t>
            </w:r>
          </w:p>
        </w:tc>
        <w:tc>
          <w:tcPr>
            <w:tcW w:w="1515" w:type="dxa"/>
            <w:tcBorders>
              <w:tl2br w:val="nil"/>
              <w:tr2bl w:val="nil"/>
            </w:tcBorders>
            <w:shd w:val="clear" w:color="auto" w:fill="auto"/>
            <w:noWrap/>
            <w:tcMar>
              <w:top w:w="15" w:type="dxa"/>
              <w:left w:w="15" w:type="dxa"/>
              <w:right w:w="15" w:type="dxa"/>
            </w:tcMar>
            <w:vAlign w:val="center"/>
          </w:tcPr>
          <w:p w14:paraId="545F60B0">
            <w:pPr>
              <w:widowControl/>
              <w:spacing w:line="240" w:lineRule="auto"/>
              <w:jc w:val="center"/>
              <w:textAlignment w:val="center"/>
              <w:rPr>
                <w:color w:val="000000"/>
                <w:sz w:val="21"/>
                <w:szCs w:val="21"/>
                <w:highlight w:val="none"/>
              </w:rPr>
            </w:pPr>
            <w:r>
              <w:rPr>
                <w:color w:val="000000"/>
                <w:kern w:val="0"/>
                <w:sz w:val="21"/>
                <w:szCs w:val="21"/>
                <w:highlight w:val="none"/>
                <w:lang w:bidi="ar"/>
              </w:rPr>
              <w:t>0.27%</w:t>
            </w:r>
          </w:p>
        </w:tc>
        <w:tc>
          <w:tcPr>
            <w:tcW w:w="1080" w:type="dxa"/>
            <w:tcBorders>
              <w:tl2br w:val="nil"/>
              <w:tr2bl w:val="nil"/>
            </w:tcBorders>
            <w:shd w:val="clear" w:color="auto" w:fill="auto"/>
            <w:noWrap/>
            <w:tcMar>
              <w:top w:w="15" w:type="dxa"/>
              <w:left w:w="15" w:type="dxa"/>
              <w:right w:w="15" w:type="dxa"/>
            </w:tcMar>
            <w:vAlign w:val="center"/>
          </w:tcPr>
          <w:p w14:paraId="38B6CDEA">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109BE171">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283C95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72B9B78C">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4FEBB60F">
            <w:pPr>
              <w:widowControl/>
              <w:spacing w:line="240" w:lineRule="auto"/>
              <w:jc w:val="center"/>
              <w:textAlignment w:val="center"/>
              <w:rPr>
                <w:color w:val="000000"/>
                <w:sz w:val="21"/>
                <w:szCs w:val="21"/>
                <w:highlight w:val="none"/>
              </w:rPr>
            </w:pPr>
            <w:r>
              <w:rPr>
                <w:color w:val="000000"/>
                <w:kern w:val="0"/>
                <w:sz w:val="21"/>
                <w:szCs w:val="21"/>
                <w:highlight w:val="none"/>
                <w:lang w:bidi="ar"/>
              </w:rPr>
              <w:t>钠</w:t>
            </w:r>
          </w:p>
        </w:tc>
        <w:tc>
          <w:tcPr>
            <w:tcW w:w="1411" w:type="dxa"/>
            <w:tcBorders>
              <w:tl2br w:val="nil"/>
              <w:tr2bl w:val="nil"/>
            </w:tcBorders>
            <w:shd w:val="clear" w:color="auto" w:fill="auto"/>
            <w:noWrap/>
            <w:tcMar>
              <w:top w:w="15" w:type="dxa"/>
              <w:left w:w="15" w:type="dxa"/>
              <w:right w:w="15" w:type="dxa"/>
            </w:tcMar>
            <w:vAlign w:val="center"/>
          </w:tcPr>
          <w:p w14:paraId="1CCBE43D">
            <w:pPr>
              <w:widowControl/>
              <w:spacing w:line="240" w:lineRule="auto"/>
              <w:jc w:val="center"/>
              <w:textAlignment w:val="center"/>
              <w:rPr>
                <w:color w:val="000000"/>
                <w:sz w:val="21"/>
                <w:szCs w:val="21"/>
                <w:highlight w:val="none"/>
              </w:rPr>
            </w:pPr>
            <w:r>
              <w:rPr>
                <w:color w:val="000000"/>
                <w:kern w:val="0"/>
                <w:sz w:val="21"/>
                <w:szCs w:val="21"/>
                <w:highlight w:val="none"/>
                <w:lang w:bidi="ar"/>
              </w:rPr>
              <w:t>49.4</w:t>
            </w:r>
          </w:p>
        </w:tc>
        <w:tc>
          <w:tcPr>
            <w:tcW w:w="1411" w:type="dxa"/>
            <w:tcBorders>
              <w:tl2br w:val="nil"/>
              <w:tr2bl w:val="nil"/>
            </w:tcBorders>
            <w:shd w:val="clear" w:color="auto" w:fill="auto"/>
            <w:noWrap/>
            <w:tcMar>
              <w:top w:w="15" w:type="dxa"/>
              <w:left w:w="15" w:type="dxa"/>
              <w:right w:w="15" w:type="dxa"/>
            </w:tcMar>
            <w:vAlign w:val="center"/>
          </w:tcPr>
          <w:p w14:paraId="315390AF">
            <w:pPr>
              <w:widowControl/>
              <w:spacing w:line="240" w:lineRule="auto"/>
              <w:jc w:val="center"/>
              <w:textAlignment w:val="center"/>
              <w:rPr>
                <w:color w:val="000000"/>
                <w:sz w:val="21"/>
                <w:szCs w:val="21"/>
                <w:highlight w:val="none"/>
              </w:rPr>
            </w:pPr>
            <w:r>
              <w:rPr>
                <w:color w:val="000000"/>
                <w:kern w:val="0"/>
                <w:sz w:val="21"/>
                <w:szCs w:val="21"/>
                <w:highlight w:val="none"/>
                <w:lang w:bidi="ar"/>
              </w:rPr>
              <w:t>49.1</w:t>
            </w:r>
          </w:p>
        </w:tc>
        <w:tc>
          <w:tcPr>
            <w:tcW w:w="1515" w:type="dxa"/>
            <w:tcBorders>
              <w:tl2br w:val="nil"/>
              <w:tr2bl w:val="nil"/>
            </w:tcBorders>
            <w:shd w:val="clear" w:color="auto" w:fill="auto"/>
            <w:noWrap/>
            <w:tcMar>
              <w:top w:w="15" w:type="dxa"/>
              <w:left w:w="15" w:type="dxa"/>
              <w:right w:w="15" w:type="dxa"/>
            </w:tcMar>
            <w:vAlign w:val="center"/>
          </w:tcPr>
          <w:p w14:paraId="5990C1E9">
            <w:pPr>
              <w:widowControl/>
              <w:spacing w:line="240" w:lineRule="auto"/>
              <w:jc w:val="center"/>
              <w:textAlignment w:val="center"/>
              <w:rPr>
                <w:color w:val="000000"/>
                <w:sz w:val="21"/>
                <w:szCs w:val="21"/>
                <w:highlight w:val="none"/>
              </w:rPr>
            </w:pPr>
            <w:r>
              <w:rPr>
                <w:color w:val="000000"/>
                <w:kern w:val="0"/>
                <w:sz w:val="21"/>
                <w:szCs w:val="21"/>
                <w:highlight w:val="none"/>
                <w:lang w:bidi="ar"/>
              </w:rPr>
              <w:t>0.30%</w:t>
            </w:r>
          </w:p>
        </w:tc>
        <w:tc>
          <w:tcPr>
            <w:tcW w:w="1080" w:type="dxa"/>
            <w:tcBorders>
              <w:tl2br w:val="nil"/>
              <w:tr2bl w:val="nil"/>
            </w:tcBorders>
            <w:shd w:val="clear" w:color="auto" w:fill="auto"/>
            <w:noWrap/>
            <w:tcMar>
              <w:top w:w="15" w:type="dxa"/>
              <w:left w:w="15" w:type="dxa"/>
              <w:right w:w="15" w:type="dxa"/>
            </w:tcMar>
            <w:vAlign w:val="center"/>
          </w:tcPr>
          <w:p w14:paraId="71A3B84E">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4FE3FA94">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46E763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6EF38058">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0D32834B">
            <w:pPr>
              <w:widowControl/>
              <w:spacing w:line="240" w:lineRule="auto"/>
              <w:jc w:val="center"/>
              <w:textAlignment w:val="center"/>
              <w:rPr>
                <w:color w:val="000000"/>
                <w:sz w:val="21"/>
                <w:szCs w:val="21"/>
                <w:highlight w:val="none"/>
              </w:rPr>
            </w:pPr>
            <w:r>
              <w:rPr>
                <w:color w:val="000000"/>
                <w:kern w:val="0"/>
                <w:sz w:val="21"/>
                <w:szCs w:val="21"/>
                <w:highlight w:val="none"/>
                <w:lang w:bidi="ar"/>
              </w:rPr>
              <w:t>砷</w:t>
            </w:r>
          </w:p>
        </w:tc>
        <w:tc>
          <w:tcPr>
            <w:tcW w:w="1411" w:type="dxa"/>
            <w:tcBorders>
              <w:tl2br w:val="nil"/>
              <w:tr2bl w:val="nil"/>
            </w:tcBorders>
            <w:shd w:val="clear" w:color="auto" w:fill="auto"/>
            <w:noWrap/>
            <w:tcMar>
              <w:top w:w="15" w:type="dxa"/>
              <w:left w:w="15" w:type="dxa"/>
              <w:right w:w="15" w:type="dxa"/>
            </w:tcMar>
            <w:vAlign w:val="center"/>
          </w:tcPr>
          <w:p w14:paraId="038FB1E7">
            <w:pPr>
              <w:widowControl/>
              <w:spacing w:line="240" w:lineRule="auto"/>
              <w:jc w:val="center"/>
              <w:textAlignment w:val="center"/>
              <w:rPr>
                <w:color w:val="000000"/>
                <w:sz w:val="21"/>
                <w:szCs w:val="21"/>
                <w:highlight w:val="none"/>
              </w:rPr>
            </w:pPr>
            <w:r>
              <w:rPr>
                <w:color w:val="000000"/>
                <w:kern w:val="0"/>
                <w:sz w:val="21"/>
                <w:szCs w:val="21"/>
                <w:highlight w:val="none"/>
                <w:lang w:bidi="ar"/>
              </w:rPr>
              <w:t>0.0232</w:t>
            </w:r>
          </w:p>
        </w:tc>
        <w:tc>
          <w:tcPr>
            <w:tcW w:w="1411" w:type="dxa"/>
            <w:tcBorders>
              <w:tl2br w:val="nil"/>
              <w:tr2bl w:val="nil"/>
            </w:tcBorders>
            <w:shd w:val="clear" w:color="auto" w:fill="auto"/>
            <w:noWrap/>
            <w:tcMar>
              <w:top w:w="15" w:type="dxa"/>
              <w:left w:w="15" w:type="dxa"/>
              <w:right w:w="15" w:type="dxa"/>
            </w:tcMar>
            <w:vAlign w:val="center"/>
          </w:tcPr>
          <w:p w14:paraId="36CDC47B">
            <w:pPr>
              <w:widowControl/>
              <w:spacing w:line="240" w:lineRule="auto"/>
              <w:jc w:val="center"/>
              <w:textAlignment w:val="center"/>
              <w:rPr>
                <w:color w:val="000000"/>
                <w:sz w:val="21"/>
                <w:szCs w:val="21"/>
                <w:highlight w:val="none"/>
              </w:rPr>
            </w:pPr>
            <w:r>
              <w:rPr>
                <w:color w:val="000000"/>
                <w:kern w:val="0"/>
                <w:sz w:val="21"/>
                <w:szCs w:val="21"/>
                <w:highlight w:val="none"/>
                <w:lang w:bidi="ar"/>
              </w:rPr>
              <w:t>0.0242</w:t>
            </w:r>
          </w:p>
        </w:tc>
        <w:tc>
          <w:tcPr>
            <w:tcW w:w="1515" w:type="dxa"/>
            <w:tcBorders>
              <w:tl2br w:val="nil"/>
              <w:tr2bl w:val="nil"/>
            </w:tcBorders>
            <w:shd w:val="clear" w:color="auto" w:fill="auto"/>
            <w:noWrap/>
            <w:tcMar>
              <w:top w:w="15" w:type="dxa"/>
              <w:left w:w="15" w:type="dxa"/>
              <w:right w:w="15" w:type="dxa"/>
            </w:tcMar>
            <w:vAlign w:val="center"/>
          </w:tcPr>
          <w:p w14:paraId="177D245A">
            <w:pPr>
              <w:widowControl/>
              <w:spacing w:line="240" w:lineRule="auto"/>
              <w:jc w:val="center"/>
              <w:textAlignment w:val="center"/>
              <w:rPr>
                <w:color w:val="000000"/>
                <w:sz w:val="21"/>
                <w:szCs w:val="21"/>
                <w:highlight w:val="none"/>
              </w:rPr>
            </w:pPr>
            <w:r>
              <w:rPr>
                <w:color w:val="000000"/>
                <w:kern w:val="0"/>
                <w:sz w:val="21"/>
                <w:szCs w:val="21"/>
                <w:highlight w:val="none"/>
                <w:lang w:bidi="ar"/>
              </w:rPr>
              <w:t>2.11%</w:t>
            </w:r>
          </w:p>
        </w:tc>
        <w:tc>
          <w:tcPr>
            <w:tcW w:w="1080" w:type="dxa"/>
            <w:tcBorders>
              <w:tl2br w:val="nil"/>
              <w:tr2bl w:val="nil"/>
            </w:tcBorders>
            <w:shd w:val="clear" w:color="auto" w:fill="auto"/>
            <w:noWrap/>
            <w:tcMar>
              <w:top w:w="15" w:type="dxa"/>
              <w:left w:w="15" w:type="dxa"/>
              <w:right w:w="15" w:type="dxa"/>
            </w:tcMar>
            <w:vAlign w:val="center"/>
          </w:tcPr>
          <w:p w14:paraId="1FB75ADD">
            <w:pPr>
              <w:widowControl/>
              <w:spacing w:line="240" w:lineRule="auto"/>
              <w:jc w:val="center"/>
              <w:textAlignment w:val="center"/>
              <w:rPr>
                <w:color w:val="000000"/>
                <w:sz w:val="21"/>
                <w:szCs w:val="21"/>
                <w:highlight w:val="none"/>
              </w:rPr>
            </w:pPr>
            <w:r>
              <w:rPr>
                <w:color w:val="000000"/>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6C9A591B">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r w14:paraId="6A52BF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6D815A40">
            <w:pPr>
              <w:spacing w:line="240" w:lineRule="auto"/>
              <w:jc w:val="center"/>
              <w:rPr>
                <w:color w:val="000000"/>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34C86E86">
            <w:pPr>
              <w:widowControl/>
              <w:spacing w:line="240" w:lineRule="auto"/>
              <w:jc w:val="center"/>
              <w:textAlignment w:val="center"/>
              <w:rPr>
                <w:color w:val="000000"/>
                <w:sz w:val="21"/>
                <w:szCs w:val="21"/>
                <w:highlight w:val="none"/>
              </w:rPr>
            </w:pPr>
            <w:r>
              <w:rPr>
                <w:color w:val="000000"/>
                <w:kern w:val="0"/>
                <w:sz w:val="21"/>
                <w:szCs w:val="21"/>
                <w:highlight w:val="none"/>
                <w:lang w:bidi="ar"/>
              </w:rPr>
              <w:t>石油类</w:t>
            </w:r>
          </w:p>
        </w:tc>
        <w:tc>
          <w:tcPr>
            <w:tcW w:w="1411" w:type="dxa"/>
            <w:tcBorders>
              <w:tl2br w:val="nil"/>
              <w:tr2bl w:val="nil"/>
            </w:tcBorders>
            <w:shd w:val="clear" w:color="auto" w:fill="auto"/>
            <w:noWrap/>
            <w:tcMar>
              <w:top w:w="15" w:type="dxa"/>
              <w:left w:w="15" w:type="dxa"/>
              <w:right w:w="15" w:type="dxa"/>
            </w:tcMar>
            <w:vAlign w:val="center"/>
          </w:tcPr>
          <w:p w14:paraId="7FC78F42">
            <w:pPr>
              <w:widowControl/>
              <w:spacing w:line="240" w:lineRule="auto"/>
              <w:jc w:val="center"/>
              <w:textAlignment w:val="center"/>
              <w:rPr>
                <w:color w:val="000000"/>
                <w:sz w:val="21"/>
                <w:szCs w:val="21"/>
                <w:highlight w:val="none"/>
              </w:rPr>
            </w:pPr>
            <w:r>
              <w:rPr>
                <w:color w:val="000000"/>
                <w:kern w:val="0"/>
                <w:sz w:val="21"/>
                <w:szCs w:val="21"/>
                <w:highlight w:val="none"/>
                <w:lang w:bidi="ar"/>
              </w:rPr>
              <w:t>0.03</w:t>
            </w:r>
          </w:p>
        </w:tc>
        <w:tc>
          <w:tcPr>
            <w:tcW w:w="1411" w:type="dxa"/>
            <w:tcBorders>
              <w:tl2br w:val="nil"/>
              <w:tr2bl w:val="nil"/>
            </w:tcBorders>
            <w:shd w:val="clear" w:color="auto" w:fill="auto"/>
            <w:noWrap/>
            <w:tcMar>
              <w:top w:w="15" w:type="dxa"/>
              <w:left w:w="15" w:type="dxa"/>
              <w:right w:w="15" w:type="dxa"/>
            </w:tcMar>
            <w:vAlign w:val="center"/>
          </w:tcPr>
          <w:p w14:paraId="3F7BD9F8">
            <w:pPr>
              <w:widowControl/>
              <w:spacing w:line="240" w:lineRule="auto"/>
              <w:jc w:val="center"/>
              <w:textAlignment w:val="center"/>
              <w:rPr>
                <w:color w:val="000000"/>
                <w:sz w:val="21"/>
                <w:szCs w:val="21"/>
                <w:highlight w:val="none"/>
              </w:rPr>
            </w:pPr>
            <w:r>
              <w:rPr>
                <w:color w:val="000000"/>
                <w:kern w:val="0"/>
                <w:sz w:val="21"/>
                <w:szCs w:val="21"/>
                <w:highlight w:val="none"/>
                <w:lang w:bidi="ar"/>
              </w:rPr>
              <w:t>0.03</w:t>
            </w:r>
          </w:p>
        </w:tc>
        <w:tc>
          <w:tcPr>
            <w:tcW w:w="1515" w:type="dxa"/>
            <w:tcBorders>
              <w:tl2br w:val="nil"/>
              <w:tr2bl w:val="nil"/>
            </w:tcBorders>
            <w:shd w:val="clear" w:color="auto" w:fill="auto"/>
            <w:noWrap/>
            <w:tcMar>
              <w:top w:w="15" w:type="dxa"/>
              <w:left w:w="15" w:type="dxa"/>
              <w:right w:w="15" w:type="dxa"/>
            </w:tcMar>
            <w:vAlign w:val="center"/>
          </w:tcPr>
          <w:p w14:paraId="5A8D463C">
            <w:pPr>
              <w:widowControl/>
              <w:spacing w:line="240" w:lineRule="auto"/>
              <w:jc w:val="center"/>
              <w:textAlignment w:val="center"/>
              <w:rPr>
                <w:color w:val="000000"/>
                <w:sz w:val="21"/>
                <w:szCs w:val="21"/>
                <w:highlight w:val="none"/>
              </w:rPr>
            </w:pPr>
            <w:r>
              <w:rPr>
                <w:color w:val="000000"/>
                <w:kern w:val="0"/>
                <w:sz w:val="21"/>
                <w:szCs w:val="21"/>
                <w:highlight w:val="none"/>
                <w:lang w:bidi="ar"/>
              </w:rPr>
              <w:t>0.00%</w:t>
            </w:r>
          </w:p>
        </w:tc>
        <w:tc>
          <w:tcPr>
            <w:tcW w:w="1080" w:type="dxa"/>
            <w:tcBorders>
              <w:tl2br w:val="nil"/>
              <w:tr2bl w:val="nil"/>
            </w:tcBorders>
            <w:shd w:val="clear" w:color="auto" w:fill="auto"/>
            <w:noWrap/>
            <w:tcMar>
              <w:top w:w="15" w:type="dxa"/>
              <w:left w:w="15" w:type="dxa"/>
              <w:right w:w="15" w:type="dxa"/>
            </w:tcMar>
            <w:vAlign w:val="center"/>
          </w:tcPr>
          <w:p w14:paraId="0A030757">
            <w:pPr>
              <w:widowControl/>
              <w:spacing w:line="240" w:lineRule="auto"/>
              <w:jc w:val="center"/>
              <w:textAlignment w:val="center"/>
              <w:rPr>
                <w:color w:val="000000"/>
                <w:sz w:val="21"/>
                <w:szCs w:val="21"/>
                <w:highlight w:val="none"/>
              </w:rPr>
            </w:pPr>
            <w:r>
              <w:rPr>
                <w:color w:val="000000"/>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6FF86E5D">
            <w:pPr>
              <w:widowControl/>
              <w:spacing w:line="240" w:lineRule="auto"/>
              <w:jc w:val="center"/>
              <w:textAlignment w:val="center"/>
              <w:rPr>
                <w:color w:val="000000"/>
                <w:sz w:val="21"/>
                <w:szCs w:val="21"/>
                <w:highlight w:val="none"/>
              </w:rPr>
            </w:pPr>
            <w:r>
              <w:rPr>
                <w:color w:val="000000"/>
                <w:kern w:val="0"/>
                <w:sz w:val="21"/>
                <w:szCs w:val="21"/>
                <w:highlight w:val="none"/>
                <w:lang w:bidi="ar"/>
              </w:rPr>
              <w:t>合格</w:t>
            </w:r>
          </w:p>
        </w:tc>
      </w:tr>
    </w:tbl>
    <w:p w14:paraId="7ADCB467">
      <w:pPr>
        <w:spacing w:line="240" w:lineRule="auto"/>
        <w:rPr>
          <w:b/>
          <w:bCs/>
          <w:sz w:val="18"/>
          <w:szCs w:val="18"/>
          <w:highlight w:val="none"/>
        </w:rPr>
      </w:pPr>
      <w:r>
        <w:rPr>
          <w:b/>
          <w:bCs/>
          <w:sz w:val="18"/>
          <w:szCs w:val="18"/>
          <w:highlight w:val="none"/>
        </w:rPr>
        <w:t>注：①地下水监测项目的质控要求来源为实验室监测报告中给出的质控要求，较该指标分析测试方法规定的质控要求更严。</w:t>
      </w:r>
    </w:p>
    <w:p w14:paraId="774DD000">
      <w:pPr>
        <w:pStyle w:val="5"/>
        <w:tabs>
          <w:tab w:val="left" w:pos="425"/>
        </w:tabs>
        <w:rPr>
          <w:highlight w:val="none"/>
        </w:rPr>
      </w:pPr>
      <w:r>
        <w:rPr>
          <w:highlight w:val="none"/>
        </w:rPr>
        <w:t>样品的保存和运输</w:t>
      </w:r>
    </w:p>
    <w:p w14:paraId="534F9D1B">
      <w:pPr>
        <w:ind w:firstLine="480" w:firstLineChars="200"/>
        <w:rPr>
          <w:snapToGrid w:val="0"/>
          <w:color w:val="000000"/>
          <w:kern w:val="0"/>
          <w:highlight w:val="none"/>
        </w:rPr>
      </w:pPr>
      <w:r>
        <w:rPr>
          <w:snapToGrid w:val="0"/>
          <w:color w:val="000000"/>
          <w:kern w:val="0"/>
          <w:highlight w:val="none"/>
        </w:rPr>
        <w:t>在土壤样品标签上注明样品编号、采样日期等信息。在样品制备完成后低温保存，并及时送至实验室分析。</w:t>
      </w:r>
    </w:p>
    <w:p w14:paraId="2B504A3A">
      <w:pPr>
        <w:ind w:firstLine="480" w:firstLineChars="200"/>
        <w:rPr>
          <w:snapToGrid w:val="0"/>
          <w:color w:val="000000"/>
          <w:kern w:val="0"/>
          <w:highlight w:val="none"/>
        </w:rPr>
      </w:pPr>
      <w:r>
        <w:rPr>
          <w:snapToGrid w:val="0"/>
          <w:color w:val="000000"/>
          <w:kern w:val="0"/>
          <w:highlight w:val="none"/>
        </w:rPr>
        <w:t>样品发货前重复核对采样记录表、样品标签等信息。样品送到实验室后，双方人员同时清点核实样品，并在样品流转单上签字确认。</w:t>
      </w:r>
    </w:p>
    <w:p w14:paraId="40CC0294">
      <w:pPr>
        <w:pStyle w:val="4"/>
        <w:rPr>
          <w:highlight w:val="none"/>
        </w:rPr>
      </w:pPr>
      <w:bookmarkStart w:id="34" w:name="_Toc2418"/>
      <w:r>
        <w:rPr>
          <w:highlight w:val="none"/>
        </w:rPr>
        <w:t>实验室质量控制</w:t>
      </w:r>
      <w:bookmarkEnd w:id="34"/>
    </w:p>
    <w:p w14:paraId="3DE9B96C">
      <w:pPr>
        <w:ind w:firstLine="480" w:firstLineChars="200"/>
        <w:rPr>
          <w:snapToGrid w:val="0"/>
          <w:color w:val="000000"/>
          <w:kern w:val="0"/>
          <w:highlight w:val="none"/>
        </w:rPr>
      </w:pPr>
      <w:r>
        <w:rPr>
          <w:snapToGrid w:val="0"/>
          <w:color w:val="000000"/>
          <w:kern w:val="0"/>
          <w:highlight w:val="none"/>
        </w:rPr>
        <w:t>项目样品分析选择拥有中国计量认证资质证书（CMA）的第三方实验室进行样品的监测，实验室拥有健全的环境监测设备以及专业的管理人员和技术人员。实验室对送入实验室的样品首先核对采样单、容器编号、包装情况、保存条件及有效期等，符合要求的样品方可开展分析监测，并按照规范采用标准流程分析样品。</w:t>
      </w:r>
    </w:p>
    <w:p w14:paraId="32320369">
      <w:pPr>
        <w:ind w:left="1" w:firstLine="480" w:firstLineChars="200"/>
        <w:rPr>
          <w:color w:val="000000"/>
          <w:highlight w:val="none"/>
        </w:rPr>
      </w:pPr>
      <w:r>
        <w:rPr>
          <w:color w:val="000000"/>
          <w:highlight w:val="none"/>
        </w:rPr>
        <w:t>实验室样品分析质量控制主要为内部质量控制，由实验室自主实施。通过各项质控措施以及相应的质控指标体系来保证实验室分析流程质量可控，检测结果准确可靠。</w:t>
      </w:r>
    </w:p>
    <w:p w14:paraId="01C1BD01">
      <w:pPr>
        <w:pStyle w:val="5"/>
        <w:rPr>
          <w:highlight w:val="none"/>
        </w:rPr>
      </w:pPr>
      <w:r>
        <w:rPr>
          <w:highlight w:val="none"/>
        </w:rPr>
        <w:t>实验室空白</w:t>
      </w:r>
    </w:p>
    <w:p w14:paraId="76D89052">
      <w:pPr>
        <w:ind w:left="1" w:firstLine="480" w:firstLineChars="200"/>
        <w:rPr>
          <w:color w:val="000000"/>
          <w:highlight w:val="none"/>
        </w:rPr>
      </w:pPr>
      <w:r>
        <w:rPr>
          <w:color w:val="000000"/>
          <w:highlight w:val="none"/>
        </w:rPr>
        <w:t>检测实验室对所有检测项目均进行了实验室空白样品检测分析，据质控报告</w:t>
      </w:r>
      <w:r>
        <w:rPr>
          <w:snapToGrid w:val="0"/>
          <w:color w:val="000000"/>
          <w:kern w:val="0"/>
          <w:highlight w:val="none"/>
        </w:rPr>
        <w:t>BJ20A</w:t>
      </w:r>
      <w:r>
        <w:rPr>
          <w:rFonts w:hint="eastAsia"/>
          <w:snapToGrid w:val="0"/>
          <w:color w:val="000000"/>
          <w:kern w:val="0"/>
          <w:highlight w:val="none"/>
        </w:rPr>
        <w:t>1217、</w:t>
      </w:r>
      <w:r>
        <w:rPr>
          <w:snapToGrid w:val="0"/>
          <w:color w:val="000000"/>
          <w:kern w:val="0"/>
          <w:highlight w:val="none"/>
        </w:rPr>
        <w:t>BJ20A070</w:t>
      </w:r>
      <w:r>
        <w:rPr>
          <w:rFonts w:hint="eastAsia"/>
          <w:snapToGrid w:val="0"/>
          <w:color w:val="000000"/>
          <w:kern w:val="0"/>
          <w:highlight w:val="none"/>
        </w:rPr>
        <w:t>8</w:t>
      </w:r>
      <w:r>
        <w:rPr>
          <w:rFonts w:hint="eastAsia"/>
          <w:snapToGrid w:val="0"/>
          <w:color w:val="000000"/>
          <w:kern w:val="0"/>
          <w:highlight w:val="none"/>
          <w:lang w:val="en-US" w:eastAsia="zh-CN"/>
        </w:rPr>
        <w:t>-1</w:t>
      </w:r>
      <w:r>
        <w:rPr>
          <w:rFonts w:hint="eastAsia"/>
          <w:snapToGrid w:val="0"/>
          <w:color w:val="000000"/>
          <w:kern w:val="0"/>
          <w:highlight w:val="none"/>
          <w:lang w:eastAsia="zh-CN"/>
        </w:rPr>
        <w:t>、</w:t>
      </w:r>
      <w:r>
        <w:rPr>
          <w:snapToGrid w:val="0"/>
          <w:color w:val="000000"/>
          <w:kern w:val="0"/>
          <w:highlight w:val="none"/>
        </w:rPr>
        <w:t>BJ20A07</w:t>
      </w:r>
      <w:r>
        <w:rPr>
          <w:rFonts w:hint="eastAsia"/>
          <w:snapToGrid w:val="0"/>
          <w:color w:val="000000"/>
          <w:kern w:val="0"/>
          <w:highlight w:val="none"/>
        </w:rPr>
        <w:t>72</w:t>
      </w:r>
      <w:r>
        <w:rPr>
          <w:rFonts w:hint="eastAsia"/>
          <w:snapToGrid w:val="0"/>
          <w:color w:val="000000"/>
          <w:kern w:val="0"/>
          <w:highlight w:val="none"/>
          <w:lang w:val="en-US" w:eastAsia="zh-CN"/>
        </w:rPr>
        <w:t>和</w:t>
      </w:r>
      <w:r>
        <w:rPr>
          <w:snapToGrid w:val="0"/>
          <w:color w:val="000000"/>
          <w:kern w:val="0"/>
          <w:highlight w:val="none"/>
        </w:rPr>
        <w:t>BJ2</w:t>
      </w:r>
      <w:r>
        <w:rPr>
          <w:rFonts w:hint="eastAsia"/>
          <w:snapToGrid w:val="0"/>
          <w:color w:val="000000"/>
          <w:kern w:val="0"/>
          <w:highlight w:val="none"/>
          <w:lang w:val="en-US" w:eastAsia="zh-CN"/>
        </w:rPr>
        <w:t>1</w:t>
      </w:r>
      <w:r>
        <w:rPr>
          <w:snapToGrid w:val="0"/>
          <w:color w:val="000000"/>
          <w:kern w:val="0"/>
          <w:highlight w:val="none"/>
        </w:rPr>
        <w:t>A0</w:t>
      </w:r>
      <w:r>
        <w:rPr>
          <w:rFonts w:hint="eastAsia"/>
          <w:snapToGrid w:val="0"/>
          <w:color w:val="000000"/>
          <w:kern w:val="0"/>
          <w:highlight w:val="none"/>
          <w:lang w:val="en-US" w:eastAsia="zh-CN"/>
        </w:rPr>
        <w:t>079</w:t>
      </w:r>
      <w:r>
        <w:rPr>
          <w:color w:val="000000"/>
          <w:highlight w:val="none"/>
        </w:rPr>
        <w:t>检测结果，实验室空白样品检测结果均低于报告检出限，表明分析过程中未引入污染物。</w:t>
      </w:r>
    </w:p>
    <w:p w14:paraId="6639F90D">
      <w:pPr>
        <w:pStyle w:val="5"/>
        <w:rPr>
          <w:highlight w:val="none"/>
        </w:rPr>
      </w:pPr>
      <w:r>
        <w:rPr>
          <w:highlight w:val="none"/>
        </w:rPr>
        <w:t>精密度控制</w:t>
      </w:r>
    </w:p>
    <w:p w14:paraId="07543620">
      <w:pPr>
        <w:ind w:left="1" w:firstLine="480" w:firstLineChars="200"/>
        <w:rPr>
          <w:color w:val="000000"/>
          <w:highlight w:val="none"/>
        </w:rPr>
      </w:pPr>
      <w:r>
        <w:rPr>
          <w:color w:val="000000"/>
          <w:highlight w:val="none"/>
        </w:rPr>
        <w:t>本次土壤样品检测实验室内精密度平行双样测试样品中有机污染物指标均未检出，重金属铬（六价）均未检出，因此不进行偏差分析。根据质控报告</w:t>
      </w:r>
      <w:r>
        <w:rPr>
          <w:snapToGrid w:val="0"/>
          <w:color w:val="000000"/>
          <w:kern w:val="0"/>
          <w:highlight w:val="none"/>
        </w:rPr>
        <w:t>BJ20A</w:t>
      </w:r>
      <w:r>
        <w:rPr>
          <w:rFonts w:hint="eastAsia"/>
          <w:snapToGrid w:val="0"/>
          <w:color w:val="000000"/>
          <w:kern w:val="0"/>
          <w:highlight w:val="none"/>
        </w:rPr>
        <w:t>1217、</w:t>
      </w:r>
      <w:r>
        <w:rPr>
          <w:snapToGrid w:val="0"/>
          <w:color w:val="000000"/>
          <w:kern w:val="0"/>
          <w:highlight w:val="none"/>
        </w:rPr>
        <w:t>BJ20A070</w:t>
      </w:r>
      <w:r>
        <w:rPr>
          <w:rFonts w:hint="eastAsia"/>
          <w:snapToGrid w:val="0"/>
          <w:color w:val="000000"/>
          <w:kern w:val="0"/>
          <w:highlight w:val="none"/>
        </w:rPr>
        <w:t>8</w:t>
      </w:r>
      <w:r>
        <w:rPr>
          <w:rFonts w:hint="eastAsia"/>
          <w:snapToGrid w:val="0"/>
          <w:color w:val="000000"/>
          <w:kern w:val="0"/>
          <w:highlight w:val="none"/>
          <w:lang w:val="en-US" w:eastAsia="zh-CN"/>
        </w:rPr>
        <w:t>-1</w:t>
      </w:r>
      <w:r>
        <w:rPr>
          <w:rFonts w:hint="eastAsia"/>
          <w:snapToGrid w:val="0"/>
          <w:color w:val="000000"/>
          <w:kern w:val="0"/>
          <w:highlight w:val="none"/>
        </w:rPr>
        <w:t>和</w:t>
      </w:r>
      <w:r>
        <w:rPr>
          <w:snapToGrid w:val="0"/>
          <w:color w:val="000000"/>
          <w:kern w:val="0"/>
          <w:highlight w:val="none"/>
        </w:rPr>
        <w:t>BJ20A07</w:t>
      </w:r>
      <w:r>
        <w:rPr>
          <w:rFonts w:hint="eastAsia"/>
          <w:snapToGrid w:val="0"/>
          <w:color w:val="000000"/>
          <w:kern w:val="0"/>
          <w:highlight w:val="none"/>
        </w:rPr>
        <w:t>72</w:t>
      </w:r>
      <w:r>
        <w:rPr>
          <w:rFonts w:hint="eastAsia"/>
          <w:snapToGrid w:val="0"/>
          <w:color w:val="000000"/>
          <w:kern w:val="0"/>
          <w:highlight w:val="none"/>
          <w:lang w:val="en-US" w:eastAsia="zh-CN"/>
        </w:rPr>
        <w:t>和</w:t>
      </w:r>
      <w:r>
        <w:rPr>
          <w:snapToGrid w:val="0"/>
          <w:color w:val="000000"/>
          <w:kern w:val="0"/>
          <w:highlight w:val="none"/>
        </w:rPr>
        <w:t>BJ2</w:t>
      </w:r>
      <w:r>
        <w:rPr>
          <w:rFonts w:hint="eastAsia"/>
          <w:snapToGrid w:val="0"/>
          <w:color w:val="000000"/>
          <w:kern w:val="0"/>
          <w:highlight w:val="none"/>
          <w:lang w:val="en-US" w:eastAsia="zh-CN"/>
        </w:rPr>
        <w:t>1</w:t>
      </w:r>
      <w:r>
        <w:rPr>
          <w:snapToGrid w:val="0"/>
          <w:color w:val="000000"/>
          <w:kern w:val="0"/>
          <w:highlight w:val="none"/>
        </w:rPr>
        <w:t>A0</w:t>
      </w:r>
      <w:r>
        <w:rPr>
          <w:rFonts w:hint="eastAsia"/>
          <w:snapToGrid w:val="0"/>
          <w:color w:val="000000"/>
          <w:kern w:val="0"/>
          <w:highlight w:val="none"/>
          <w:lang w:val="en-US" w:eastAsia="zh-CN"/>
        </w:rPr>
        <w:t>079</w:t>
      </w:r>
      <w:r>
        <w:rPr>
          <w:snapToGrid w:val="0"/>
          <w:color w:val="000000"/>
          <w:kern w:val="0"/>
          <w:highlight w:val="none"/>
        </w:rPr>
        <w:t>，土壤pH值实验室平行样相对偏差为0，</w:t>
      </w:r>
      <w:r>
        <w:rPr>
          <w:color w:val="000000"/>
          <w:highlight w:val="none"/>
        </w:rPr>
        <w:t>土壤重金属室内平行样相对偏差范围为 0.0%~</w:t>
      </w:r>
      <w:r>
        <w:rPr>
          <w:rFonts w:hint="eastAsia"/>
          <w:color w:val="000000"/>
          <w:highlight w:val="none"/>
        </w:rPr>
        <w:t>9.1</w:t>
      </w:r>
      <w:r>
        <w:rPr>
          <w:color w:val="000000"/>
          <w:highlight w:val="none"/>
        </w:rPr>
        <w:t>%，</w:t>
      </w:r>
      <w:r>
        <w:rPr>
          <w:rFonts w:hint="eastAsia"/>
          <w:color w:val="000000"/>
          <w:highlight w:val="none"/>
          <w:lang w:val="en-US" w:eastAsia="zh-CN"/>
        </w:rPr>
        <w:t>总氟化物</w:t>
      </w:r>
      <w:r>
        <w:rPr>
          <w:color w:val="000000"/>
          <w:highlight w:val="none"/>
        </w:rPr>
        <w:t>室内平行样相对偏差范围为 0.</w:t>
      </w:r>
      <w:r>
        <w:rPr>
          <w:rFonts w:hint="eastAsia"/>
          <w:color w:val="000000"/>
          <w:highlight w:val="none"/>
          <w:lang w:val="en-US" w:eastAsia="zh-CN"/>
        </w:rPr>
        <w:t>3</w:t>
      </w:r>
      <w:r>
        <w:rPr>
          <w:color w:val="000000"/>
          <w:highlight w:val="none"/>
        </w:rPr>
        <w:t>%~</w:t>
      </w:r>
      <w:r>
        <w:rPr>
          <w:rFonts w:hint="eastAsia"/>
          <w:color w:val="000000"/>
          <w:highlight w:val="none"/>
          <w:lang w:val="en-US" w:eastAsia="zh-CN"/>
        </w:rPr>
        <w:t>1.7</w:t>
      </w:r>
      <w:r>
        <w:rPr>
          <w:color w:val="000000"/>
          <w:highlight w:val="none"/>
        </w:rPr>
        <w:t>%，石油烃（C</w:t>
      </w:r>
      <w:r>
        <w:rPr>
          <w:color w:val="000000"/>
          <w:highlight w:val="none"/>
          <w:vertAlign w:val="subscript"/>
        </w:rPr>
        <w:t>10</w:t>
      </w:r>
      <w:r>
        <w:rPr>
          <w:color w:val="000000"/>
          <w:highlight w:val="none"/>
        </w:rPr>
        <w:t>-C</w:t>
      </w:r>
      <w:r>
        <w:rPr>
          <w:color w:val="000000"/>
          <w:highlight w:val="none"/>
          <w:vertAlign w:val="subscript"/>
        </w:rPr>
        <w:t>40</w:t>
      </w:r>
      <w:r>
        <w:rPr>
          <w:color w:val="000000"/>
          <w:highlight w:val="none"/>
        </w:rPr>
        <w:t>）室内平行样相对偏差范围为5.4</w:t>
      </w:r>
      <w:r>
        <w:rPr>
          <w:rFonts w:hint="eastAsia"/>
          <w:color w:val="000000"/>
          <w:highlight w:val="none"/>
        </w:rPr>
        <w:t>~13.9</w:t>
      </w:r>
      <w:r>
        <w:rPr>
          <w:color w:val="000000"/>
          <w:highlight w:val="none"/>
        </w:rPr>
        <w:t>%，在允许质控要求范围内，质控测试数据详见质控报告。</w:t>
      </w:r>
    </w:p>
    <w:p w14:paraId="5ED7ABF0">
      <w:pPr>
        <w:pStyle w:val="5"/>
        <w:rPr>
          <w:highlight w:val="none"/>
        </w:rPr>
      </w:pPr>
      <w:r>
        <w:rPr>
          <w:highlight w:val="none"/>
        </w:rPr>
        <w:t>准确度控制</w:t>
      </w:r>
    </w:p>
    <w:p w14:paraId="4070613D">
      <w:pPr>
        <w:ind w:left="481"/>
        <w:rPr>
          <w:b/>
          <w:bCs/>
          <w:color w:val="000000"/>
          <w:kern w:val="0"/>
          <w:highlight w:val="none"/>
        </w:rPr>
      </w:pPr>
      <w:r>
        <w:rPr>
          <w:rFonts w:hint="eastAsia"/>
          <w:b/>
          <w:bCs/>
          <w:color w:val="000000"/>
          <w:kern w:val="0"/>
          <w:highlight w:val="none"/>
        </w:rPr>
        <w:t>（1）</w:t>
      </w:r>
      <w:r>
        <w:rPr>
          <w:b/>
          <w:bCs/>
          <w:color w:val="000000"/>
          <w:kern w:val="0"/>
          <w:highlight w:val="none"/>
        </w:rPr>
        <w:t>有证标准物质质控</w:t>
      </w:r>
    </w:p>
    <w:p w14:paraId="5DBF7702">
      <w:pPr>
        <w:ind w:firstLine="480" w:firstLineChars="200"/>
        <w:rPr>
          <w:color w:val="000000"/>
          <w:highlight w:val="none"/>
        </w:rPr>
      </w:pPr>
      <w:r>
        <w:rPr>
          <w:color w:val="000000"/>
          <w:highlight w:val="none"/>
        </w:rPr>
        <w:t>按照《土壤和沉积物 铜、锌、铅、镍、铬的测定 火焰原子吸收分光光度法》（HJ 491-2019）测试方法中质量保证与质量控制要求，检测实验室对重金属指标</w:t>
      </w:r>
      <w:r>
        <w:rPr>
          <w:rFonts w:hint="eastAsia"/>
          <w:color w:val="000000"/>
          <w:highlight w:val="none"/>
        </w:rPr>
        <w:t>铬、锌、</w:t>
      </w:r>
      <w:r>
        <w:rPr>
          <w:color w:val="000000"/>
          <w:highlight w:val="none"/>
        </w:rPr>
        <w:t>铜和镍同步测定了</w:t>
      </w:r>
      <w:r>
        <w:rPr>
          <w:rFonts w:hint="eastAsia"/>
          <w:color w:val="000000"/>
          <w:highlight w:val="none"/>
        </w:rPr>
        <w:t>3</w:t>
      </w:r>
      <w:r>
        <w:rPr>
          <w:color w:val="000000"/>
          <w:highlight w:val="none"/>
        </w:rPr>
        <w:t>个有证标准样品，有证标准样品测试结果在有证标准样品证书标准值上、下限范围内（其中铜41~45，镍34~38</w:t>
      </w:r>
      <w:r>
        <w:rPr>
          <w:rFonts w:hint="eastAsia"/>
          <w:color w:val="000000"/>
          <w:highlight w:val="none"/>
        </w:rPr>
        <w:t>，铬7</w:t>
      </w:r>
      <w:r>
        <w:rPr>
          <w:color w:val="000000"/>
          <w:highlight w:val="none"/>
        </w:rPr>
        <w:t>7</w:t>
      </w:r>
      <w:r>
        <w:rPr>
          <w:rFonts w:hint="eastAsia"/>
          <w:color w:val="000000"/>
          <w:highlight w:val="none"/>
        </w:rPr>
        <w:t>-</w:t>
      </w:r>
      <w:r>
        <w:rPr>
          <w:color w:val="000000"/>
          <w:highlight w:val="none"/>
        </w:rPr>
        <w:t>85</w:t>
      </w:r>
      <w:r>
        <w:rPr>
          <w:rFonts w:hint="eastAsia"/>
          <w:color w:val="000000"/>
          <w:highlight w:val="none"/>
        </w:rPr>
        <w:t>，锌8</w:t>
      </w:r>
      <w:r>
        <w:rPr>
          <w:color w:val="000000"/>
          <w:highlight w:val="none"/>
        </w:rPr>
        <w:t>9</w:t>
      </w:r>
      <w:r>
        <w:rPr>
          <w:rFonts w:hint="eastAsia"/>
          <w:color w:val="000000"/>
          <w:highlight w:val="none"/>
        </w:rPr>
        <w:t>-</w:t>
      </w:r>
      <w:r>
        <w:rPr>
          <w:color w:val="000000"/>
          <w:highlight w:val="none"/>
        </w:rPr>
        <w:t>95），本次质控结果合格。</w:t>
      </w:r>
    </w:p>
    <w:p w14:paraId="48D0998A">
      <w:pPr>
        <w:ind w:firstLine="420"/>
        <w:rPr>
          <w:b/>
          <w:bCs/>
          <w:highlight w:val="none"/>
        </w:rPr>
      </w:pPr>
      <w:r>
        <w:rPr>
          <w:rFonts w:hint="eastAsia"/>
          <w:b/>
          <w:bCs/>
          <w:highlight w:val="none"/>
        </w:rPr>
        <w:t>（2）</w:t>
      </w:r>
      <w:r>
        <w:rPr>
          <w:b/>
          <w:bCs/>
          <w:highlight w:val="none"/>
        </w:rPr>
        <w:t>土壤样品空白加标/基体加标回收质控结果</w:t>
      </w:r>
    </w:p>
    <w:p w14:paraId="501884CD">
      <w:pPr>
        <w:ind w:firstLine="480" w:firstLineChars="200"/>
        <w:rPr>
          <w:rFonts w:hint="eastAsia" w:eastAsia="宋体"/>
          <w:color w:val="000000"/>
          <w:highlight w:val="none"/>
          <w:lang w:eastAsia="zh-CN"/>
        </w:rPr>
      </w:pPr>
      <w:r>
        <w:rPr>
          <w:rFonts w:hint="eastAsia"/>
          <w:color w:val="000000"/>
          <w:highlight w:val="none"/>
        </w:rPr>
        <w:t>①</w:t>
      </w:r>
      <w:r>
        <w:rPr>
          <w:color w:val="000000"/>
          <w:highlight w:val="none"/>
        </w:rPr>
        <w:t>铅、汞、隔、砷、</w:t>
      </w:r>
      <w:r>
        <w:rPr>
          <w:rFonts w:hint="eastAsia"/>
          <w:color w:val="000000"/>
          <w:highlight w:val="none"/>
        </w:rPr>
        <w:t>锑</w:t>
      </w:r>
      <w:r>
        <w:rPr>
          <w:color w:val="000000"/>
          <w:highlight w:val="none"/>
        </w:rPr>
        <w:t>等重金属空白加标回收率范围为</w:t>
      </w:r>
      <w:r>
        <w:rPr>
          <w:rFonts w:hint="eastAsia"/>
          <w:color w:val="000000"/>
          <w:highlight w:val="none"/>
        </w:rPr>
        <w:t>90.0</w:t>
      </w:r>
      <w:r>
        <w:rPr>
          <w:color w:val="000000"/>
          <w:highlight w:val="none"/>
        </w:rPr>
        <w:t>~1</w:t>
      </w:r>
      <w:r>
        <w:rPr>
          <w:rFonts w:hint="eastAsia"/>
          <w:color w:val="000000"/>
          <w:highlight w:val="none"/>
        </w:rPr>
        <w:t>12</w:t>
      </w:r>
      <w:r>
        <w:rPr>
          <w:color w:val="000000"/>
          <w:highlight w:val="none"/>
        </w:rPr>
        <w:t>%，在允许加标回收范围（80%~120%）内；砷、</w:t>
      </w:r>
      <w:r>
        <w:rPr>
          <w:rFonts w:hint="eastAsia"/>
          <w:color w:val="000000"/>
          <w:highlight w:val="none"/>
        </w:rPr>
        <w:t>锑</w:t>
      </w:r>
      <w:r>
        <w:rPr>
          <w:color w:val="000000"/>
          <w:highlight w:val="none"/>
        </w:rPr>
        <w:t>等重金属</w:t>
      </w:r>
      <w:r>
        <w:rPr>
          <w:rFonts w:hint="eastAsia"/>
          <w:color w:val="000000"/>
          <w:highlight w:val="none"/>
        </w:rPr>
        <w:t>基体加标回收率范围</w:t>
      </w:r>
      <w:r>
        <w:rPr>
          <w:color w:val="000000"/>
          <w:highlight w:val="none"/>
        </w:rPr>
        <w:t>9</w:t>
      </w:r>
      <w:r>
        <w:rPr>
          <w:rFonts w:hint="eastAsia"/>
          <w:color w:val="000000"/>
          <w:highlight w:val="none"/>
        </w:rPr>
        <w:t>2</w:t>
      </w:r>
      <w:r>
        <w:rPr>
          <w:color w:val="000000"/>
          <w:highlight w:val="none"/>
        </w:rPr>
        <w:t>.0</w:t>
      </w:r>
      <w:r>
        <w:rPr>
          <w:rFonts w:hint="eastAsia"/>
          <w:color w:val="000000"/>
          <w:highlight w:val="none"/>
        </w:rPr>
        <w:t>~</w:t>
      </w:r>
      <w:r>
        <w:rPr>
          <w:color w:val="000000"/>
          <w:highlight w:val="none"/>
        </w:rPr>
        <w:t>10</w:t>
      </w:r>
      <w:r>
        <w:rPr>
          <w:rFonts w:hint="eastAsia"/>
          <w:color w:val="000000"/>
          <w:highlight w:val="none"/>
        </w:rPr>
        <w:t>0</w:t>
      </w:r>
      <w:r>
        <w:rPr>
          <w:color w:val="000000"/>
          <w:highlight w:val="none"/>
        </w:rPr>
        <w:t>.0</w:t>
      </w:r>
      <w:r>
        <w:rPr>
          <w:rFonts w:hint="eastAsia"/>
          <w:color w:val="000000"/>
          <w:highlight w:val="none"/>
        </w:rPr>
        <w:t>%，</w:t>
      </w:r>
      <w:r>
        <w:rPr>
          <w:color w:val="000000"/>
          <w:highlight w:val="none"/>
        </w:rPr>
        <w:t>在允许加标回收范围（50%~125%</w:t>
      </w:r>
      <w:r>
        <w:rPr>
          <w:rFonts w:hint="eastAsia"/>
          <w:color w:val="000000"/>
          <w:highlight w:val="none"/>
        </w:rPr>
        <w:t>、7</w:t>
      </w:r>
      <w:r>
        <w:rPr>
          <w:color w:val="000000"/>
          <w:highlight w:val="none"/>
        </w:rPr>
        <w:t>0</w:t>
      </w:r>
      <w:r>
        <w:rPr>
          <w:rFonts w:hint="eastAsia"/>
          <w:color w:val="000000"/>
          <w:highlight w:val="none"/>
        </w:rPr>
        <w:t>~</w:t>
      </w:r>
      <w:r>
        <w:rPr>
          <w:color w:val="000000"/>
          <w:highlight w:val="none"/>
        </w:rPr>
        <w:t>125</w:t>
      </w:r>
      <w:r>
        <w:rPr>
          <w:rFonts w:hint="eastAsia"/>
          <w:color w:val="000000"/>
          <w:highlight w:val="none"/>
        </w:rPr>
        <w:t>%</w:t>
      </w:r>
      <w:r>
        <w:rPr>
          <w:color w:val="000000"/>
          <w:highlight w:val="none"/>
        </w:rPr>
        <w:t>）内</w:t>
      </w:r>
      <w:r>
        <w:rPr>
          <w:rFonts w:hint="eastAsia"/>
          <w:color w:val="000000"/>
          <w:highlight w:val="none"/>
          <w:lang w:eastAsia="zh-CN"/>
        </w:rPr>
        <w:t>；</w:t>
      </w:r>
    </w:p>
    <w:p w14:paraId="1F00343C">
      <w:pPr>
        <w:ind w:firstLine="480" w:firstLineChars="200"/>
        <w:rPr>
          <w:rFonts w:hint="eastAsia" w:eastAsia="宋体"/>
          <w:color w:val="000000"/>
          <w:highlight w:val="none"/>
          <w:lang w:eastAsia="zh-CN"/>
        </w:rPr>
      </w:pPr>
      <w:r>
        <w:rPr>
          <w:rFonts w:hint="eastAsia"/>
          <w:color w:val="000000"/>
          <w:highlight w:val="none"/>
        </w:rPr>
        <w:t>②氟化物基体加标回收率为</w:t>
      </w:r>
      <w:r>
        <w:rPr>
          <w:color w:val="000000"/>
          <w:highlight w:val="none"/>
        </w:rPr>
        <w:t>9</w:t>
      </w:r>
      <w:r>
        <w:rPr>
          <w:rFonts w:hint="eastAsia"/>
          <w:color w:val="000000"/>
          <w:highlight w:val="none"/>
        </w:rPr>
        <w:t>2</w:t>
      </w:r>
      <w:r>
        <w:rPr>
          <w:rFonts w:hint="eastAsia"/>
          <w:color w:val="000000"/>
          <w:highlight w:val="none"/>
          <w:lang w:val="en-US" w:eastAsia="zh-CN"/>
        </w:rPr>
        <w:t>~93.5</w:t>
      </w:r>
      <w:r>
        <w:rPr>
          <w:rFonts w:hint="eastAsia"/>
          <w:color w:val="000000"/>
          <w:highlight w:val="none"/>
        </w:rPr>
        <w:t>%，</w:t>
      </w:r>
      <w:r>
        <w:rPr>
          <w:color w:val="000000"/>
          <w:highlight w:val="none"/>
        </w:rPr>
        <w:t>在允许加标回收范围（</w:t>
      </w:r>
      <w:r>
        <w:rPr>
          <w:rFonts w:hint="eastAsia"/>
          <w:color w:val="000000"/>
          <w:highlight w:val="none"/>
        </w:rPr>
        <w:t>7</w:t>
      </w:r>
      <w:r>
        <w:rPr>
          <w:color w:val="000000"/>
          <w:highlight w:val="none"/>
        </w:rPr>
        <w:t>0</w:t>
      </w:r>
      <w:r>
        <w:rPr>
          <w:rFonts w:hint="eastAsia"/>
          <w:color w:val="000000"/>
          <w:highlight w:val="none"/>
        </w:rPr>
        <w:t>~</w:t>
      </w:r>
      <w:r>
        <w:rPr>
          <w:color w:val="000000"/>
          <w:highlight w:val="none"/>
        </w:rPr>
        <w:t>12</w:t>
      </w:r>
      <w:r>
        <w:rPr>
          <w:rFonts w:hint="eastAsia"/>
          <w:color w:val="000000"/>
          <w:highlight w:val="none"/>
        </w:rPr>
        <w:t>0%</w:t>
      </w:r>
      <w:r>
        <w:rPr>
          <w:color w:val="000000"/>
          <w:highlight w:val="none"/>
        </w:rPr>
        <w:t>）内</w:t>
      </w:r>
      <w:r>
        <w:rPr>
          <w:rFonts w:hint="eastAsia"/>
          <w:color w:val="000000"/>
          <w:highlight w:val="none"/>
          <w:lang w:eastAsia="zh-CN"/>
        </w:rPr>
        <w:t>；</w:t>
      </w:r>
    </w:p>
    <w:p w14:paraId="46EDCAE3">
      <w:pPr>
        <w:ind w:firstLine="480" w:firstLineChars="200"/>
        <w:rPr>
          <w:rFonts w:hint="eastAsia" w:eastAsia="宋体"/>
          <w:color w:val="000000"/>
          <w:highlight w:val="none"/>
          <w:lang w:eastAsia="zh-CN"/>
        </w:rPr>
      </w:pPr>
      <w:r>
        <w:rPr>
          <w:rFonts w:hint="eastAsia"/>
          <w:color w:val="000000"/>
          <w:highlight w:val="none"/>
        </w:rPr>
        <w:t>③石油</w:t>
      </w:r>
      <w:r>
        <w:rPr>
          <w:color w:val="000000"/>
          <w:highlight w:val="none"/>
        </w:rPr>
        <w:t>烃（C</w:t>
      </w:r>
      <w:r>
        <w:rPr>
          <w:color w:val="000000"/>
          <w:highlight w:val="none"/>
          <w:vertAlign w:val="subscript"/>
        </w:rPr>
        <w:t>10</w:t>
      </w:r>
      <w:r>
        <w:rPr>
          <w:color w:val="000000"/>
          <w:highlight w:val="none"/>
        </w:rPr>
        <w:t>-C</w:t>
      </w:r>
      <w:r>
        <w:rPr>
          <w:color w:val="000000"/>
          <w:highlight w:val="none"/>
          <w:vertAlign w:val="subscript"/>
        </w:rPr>
        <w:t>40</w:t>
      </w:r>
      <w:r>
        <w:rPr>
          <w:color w:val="000000"/>
          <w:highlight w:val="none"/>
        </w:rPr>
        <w:t>）</w:t>
      </w:r>
      <w:r>
        <w:rPr>
          <w:rFonts w:hint="eastAsia"/>
          <w:color w:val="000000"/>
          <w:highlight w:val="none"/>
        </w:rPr>
        <w:t>空白</w:t>
      </w:r>
      <w:r>
        <w:rPr>
          <w:color w:val="000000"/>
          <w:highlight w:val="none"/>
        </w:rPr>
        <w:t>加标回收率为</w:t>
      </w:r>
      <w:r>
        <w:rPr>
          <w:rFonts w:hint="eastAsia"/>
          <w:color w:val="000000"/>
          <w:highlight w:val="none"/>
        </w:rPr>
        <w:t>88~</w:t>
      </w:r>
      <w:r>
        <w:rPr>
          <w:color w:val="000000"/>
          <w:highlight w:val="none"/>
        </w:rPr>
        <w:t>98.0%，在允许加标回收范围（70%~120%）内，基体加标回收率范围为</w:t>
      </w:r>
      <w:r>
        <w:rPr>
          <w:rFonts w:hint="eastAsia"/>
          <w:color w:val="000000"/>
          <w:highlight w:val="none"/>
        </w:rPr>
        <w:t>66.2~</w:t>
      </w:r>
      <w:r>
        <w:rPr>
          <w:color w:val="000000"/>
          <w:highlight w:val="none"/>
        </w:rPr>
        <w:t>95.8%，在允许加标回收范围（50%~140%）内</w:t>
      </w:r>
      <w:r>
        <w:rPr>
          <w:rFonts w:hint="eastAsia"/>
          <w:color w:val="000000"/>
          <w:highlight w:val="none"/>
          <w:lang w:eastAsia="zh-CN"/>
        </w:rPr>
        <w:t>；</w:t>
      </w:r>
    </w:p>
    <w:p w14:paraId="5B039A34">
      <w:pPr>
        <w:ind w:firstLine="480" w:firstLineChars="200"/>
        <w:rPr>
          <w:rFonts w:hint="eastAsia" w:eastAsia="宋体"/>
          <w:color w:val="000000"/>
          <w:highlight w:val="none"/>
          <w:lang w:eastAsia="zh-CN"/>
        </w:rPr>
      </w:pPr>
      <w:r>
        <w:rPr>
          <w:rFonts w:hint="eastAsia"/>
          <w:color w:val="000000"/>
          <w:highlight w:val="none"/>
        </w:rPr>
        <w:t>④挥发</w:t>
      </w:r>
      <w:r>
        <w:rPr>
          <w:color w:val="000000"/>
          <w:highlight w:val="none"/>
        </w:rPr>
        <w:t>性有机物空白加标回收率范围为</w:t>
      </w:r>
      <w:r>
        <w:rPr>
          <w:rFonts w:hint="eastAsia"/>
          <w:color w:val="000000"/>
          <w:highlight w:val="none"/>
        </w:rPr>
        <w:t>78.0</w:t>
      </w:r>
      <w:r>
        <w:rPr>
          <w:color w:val="000000"/>
          <w:highlight w:val="none"/>
        </w:rPr>
        <w:t>~12</w:t>
      </w:r>
      <w:r>
        <w:rPr>
          <w:rFonts w:hint="eastAsia"/>
          <w:color w:val="000000"/>
          <w:highlight w:val="none"/>
        </w:rPr>
        <w:t>9</w:t>
      </w:r>
      <w:r>
        <w:rPr>
          <w:color w:val="000000"/>
          <w:highlight w:val="none"/>
        </w:rPr>
        <w:t>%，在允许加标回收范围（70%~130%）内，基体加标回收率范围为7</w:t>
      </w:r>
      <w:r>
        <w:rPr>
          <w:rFonts w:hint="eastAsia"/>
          <w:color w:val="000000"/>
          <w:highlight w:val="none"/>
        </w:rPr>
        <w:t>7</w:t>
      </w:r>
      <w:r>
        <w:rPr>
          <w:color w:val="000000"/>
          <w:highlight w:val="none"/>
        </w:rPr>
        <w:t>.6%~12</w:t>
      </w:r>
      <w:r>
        <w:rPr>
          <w:rFonts w:hint="eastAsia"/>
          <w:color w:val="000000"/>
          <w:highlight w:val="none"/>
        </w:rPr>
        <w:t>9.8</w:t>
      </w:r>
      <w:r>
        <w:rPr>
          <w:color w:val="000000"/>
          <w:highlight w:val="none"/>
        </w:rPr>
        <w:t>%，在允许加标回收范围（70%~130%）内</w:t>
      </w:r>
      <w:r>
        <w:rPr>
          <w:rFonts w:hint="eastAsia"/>
          <w:color w:val="000000"/>
          <w:highlight w:val="none"/>
          <w:lang w:eastAsia="zh-CN"/>
        </w:rPr>
        <w:t>；</w:t>
      </w:r>
    </w:p>
    <w:p w14:paraId="6285D3D3">
      <w:pPr>
        <w:ind w:firstLine="480" w:firstLineChars="200"/>
        <w:rPr>
          <w:rFonts w:hint="eastAsia" w:eastAsia="宋体"/>
          <w:color w:val="000000"/>
          <w:highlight w:val="none"/>
          <w:lang w:eastAsia="zh-CN"/>
        </w:rPr>
      </w:pPr>
      <w:r>
        <w:rPr>
          <w:rFonts w:hint="eastAsia"/>
          <w:color w:val="000000"/>
          <w:highlight w:val="none"/>
        </w:rPr>
        <w:t>⑤</w:t>
      </w:r>
      <w:r>
        <w:rPr>
          <w:color w:val="000000"/>
          <w:highlight w:val="none"/>
        </w:rPr>
        <w:t>半挥发性有机物空白加标回收率为</w:t>
      </w:r>
      <w:r>
        <w:rPr>
          <w:rFonts w:hint="eastAsia"/>
          <w:color w:val="000000"/>
          <w:highlight w:val="none"/>
        </w:rPr>
        <w:t>52</w:t>
      </w:r>
      <w:r>
        <w:rPr>
          <w:color w:val="000000"/>
          <w:highlight w:val="none"/>
        </w:rPr>
        <w:t>.6%~1</w:t>
      </w:r>
      <w:r>
        <w:rPr>
          <w:rFonts w:hint="eastAsia"/>
          <w:color w:val="000000"/>
          <w:highlight w:val="none"/>
        </w:rPr>
        <w:t>28</w:t>
      </w:r>
      <w:r>
        <w:rPr>
          <w:color w:val="000000"/>
          <w:highlight w:val="none"/>
        </w:rPr>
        <w:t>.</w:t>
      </w:r>
      <w:r>
        <w:rPr>
          <w:rFonts w:hint="eastAsia"/>
          <w:color w:val="000000"/>
          <w:highlight w:val="none"/>
        </w:rPr>
        <w:t>0</w:t>
      </w:r>
      <w:r>
        <w:rPr>
          <w:color w:val="000000"/>
          <w:highlight w:val="none"/>
        </w:rPr>
        <w:t>%，在允许加标回收范围（50%~130%）内，基体加标回收率为5</w:t>
      </w:r>
      <w:r>
        <w:rPr>
          <w:rFonts w:hint="eastAsia"/>
          <w:color w:val="000000"/>
          <w:highlight w:val="none"/>
        </w:rPr>
        <w:t>7</w:t>
      </w:r>
      <w:r>
        <w:rPr>
          <w:color w:val="000000"/>
          <w:highlight w:val="none"/>
        </w:rPr>
        <w:t>.</w:t>
      </w:r>
      <w:r>
        <w:rPr>
          <w:rFonts w:hint="eastAsia"/>
          <w:color w:val="000000"/>
          <w:highlight w:val="none"/>
        </w:rPr>
        <w:t>3</w:t>
      </w:r>
      <w:r>
        <w:rPr>
          <w:color w:val="000000"/>
          <w:highlight w:val="none"/>
        </w:rPr>
        <w:t>%~1</w:t>
      </w:r>
      <w:r>
        <w:rPr>
          <w:rFonts w:hint="eastAsia"/>
          <w:color w:val="000000"/>
          <w:highlight w:val="none"/>
        </w:rPr>
        <w:t>02</w:t>
      </w:r>
      <w:r>
        <w:rPr>
          <w:color w:val="000000"/>
          <w:highlight w:val="none"/>
        </w:rPr>
        <w:t>.</w:t>
      </w:r>
      <w:r>
        <w:rPr>
          <w:rFonts w:hint="eastAsia"/>
          <w:color w:val="000000"/>
          <w:highlight w:val="none"/>
        </w:rPr>
        <w:t>5</w:t>
      </w:r>
      <w:r>
        <w:rPr>
          <w:color w:val="000000"/>
          <w:highlight w:val="none"/>
        </w:rPr>
        <w:t>%，在允许加标回收范围（50%~130%）内</w:t>
      </w:r>
      <w:r>
        <w:rPr>
          <w:rFonts w:hint="eastAsia"/>
          <w:color w:val="000000"/>
          <w:highlight w:val="none"/>
          <w:lang w:eastAsia="zh-CN"/>
        </w:rPr>
        <w:t>；</w:t>
      </w:r>
    </w:p>
    <w:p w14:paraId="677478CF">
      <w:pPr>
        <w:ind w:firstLine="480" w:firstLineChars="200"/>
        <w:rPr>
          <w:color w:val="000000"/>
          <w:highlight w:val="none"/>
        </w:rPr>
      </w:pPr>
      <w:r>
        <w:rPr>
          <w:rFonts w:hint="eastAsia"/>
          <w:color w:val="000000"/>
          <w:highlight w:val="none"/>
        </w:rPr>
        <w:t>⑥</w:t>
      </w:r>
      <w:r>
        <w:rPr>
          <w:color w:val="000000"/>
          <w:highlight w:val="none"/>
        </w:rPr>
        <w:t>苯胺空白加标回收率为</w:t>
      </w:r>
      <w:r>
        <w:rPr>
          <w:rFonts w:hint="eastAsia"/>
          <w:color w:val="000000"/>
          <w:highlight w:val="none"/>
        </w:rPr>
        <w:t>81</w:t>
      </w:r>
      <w:r>
        <w:rPr>
          <w:color w:val="000000"/>
          <w:highlight w:val="none"/>
        </w:rPr>
        <w:t>.</w:t>
      </w:r>
      <w:r>
        <w:rPr>
          <w:rFonts w:hint="eastAsia"/>
          <w:color w:val="000000"/>
          <w:highlight w:val="none"/>
        </w:rPr>
        <w:t>7</w:t>
      </w:r>
      <w:r>
        <w:rPr>
          <w:color w:val="000000"/>
          <w:highlight w:val="none"/>
        </w:rPr>
        <w:t>%~97.</w:t>
      </w:r>
      <w:r>
        <w:rPr>
          <w:rFonts w:hint="eastAsia"/>
          <w:color w:val="000000"/>
          <w:highlight w:val="none"/>
        </w:rPr>
        <w:t>7</w:t>
      </w:r>
      <w:r>
        <w:rPr>
          <w:color w:val="000000"/>
          <w:highlight w:val="none"/>
        </w:rPr>
        <w:t>%，在允许加标回收范围（30%~100%）内。</w:t>
      </w:r>
    </w:p>
    <w:p w14:paraId="660A1213">
      <w:pPr>
        <w:ind w:firstLine="420"/>
        <w:rPr>
          <w:b/>
          <w:bCs/>
          <w:highlight w:val="none"/>
        </w:rPr>
      </w:pPr>
      <w:r>
        <w:rPr>
          <w:rFonts w:hint="eastAsia"/>
          <w:b/>
          <w:bCs/>
          <w:highlight w:val="none"/>
        </w:rPr>
        <w:t>（3）</w:t>
      </w:r>
      <w:r>
        <w:rPr>
          <w:b/>
          <w:bCs/>
          <w:highlight w:val="none"/>
        </w:rPr>
        <w:t>地下水样品空白加标/基体加标回收质控结果</w:t>
      </w:r>
    </w:p>
    <w:p w14:paraId="2ACD179E">
      <w:pPr>
        <w:ind w:firstLine="480" w:firstLineChars="200"/>
        <w:rPr>
          <w:rFonts w:hint="eastAsia" w:eastAsia="宋体"/>
          <w:color w:val="000000"/>
          <w:highlight w:val="none"/>
          <w:lang w:eastAsia="zh-CN"/>
        </w:rPr>
      </w:pPr>
      <w:r>
        <w:rPr>
          <w:rFonts w:hint="eastAsia"/>
          <w:color w:val="000000"/>
          <w:highlight w:val="none"/>
        </w:rPr>
        <w:t>①氰化物的加标回收率为93.8</w:t>
      </w:r>
      <w:r>
        <w:rPr>
          <w:color w:val="000000"/>
          <w:highlight w:val="none"/>
        </w:rPr>
        <w:t>%，在允许加标回收范围（8</w:t>
      </w:r>
      <w:r>
        <w:rPr>
          <w:rFonts w:hint="eastAsia"/>
          <w:color w:val="000000"/>
          <w:highlight w:val="none"/>
        </w:rPr>
        <w:t>5</w:t>
      </w:r>
      <w:r>
        <w:rPr>
          <w:color w:val="000000"/>
          <w:highlight w:val="none"/>
        </w:rPr>
        <w:t>%~</w:t>
      </w:r>
      <w:r>
        <w:rPr>
          <w:rFonts w:hint="eastAsia"/>
          <w:color w:val="000000"/>
          <w:highlight w:val="none"/>
        </w:rPr>
        <w:t>115</w:t>
      </w:r>
      <w:r>
        <w:rPr>
          <w:color w:val="000000"/>
          <w:highlight w:val="none"/>
        </w:rPr>
        <w:t>%）内</w:t>
      </w:r>
      <w:r>
        <w:rPr>
          <w:rFonts w:hint="eastAsia"/>
          <w:color w:val="000000"/>
          <w:highlight w:val="none"/>
          <w:lang w:eastAsia="zh-CN"/>
        </w:rPr>
        <w:t>；</w:t>
      </w:r>
    </w:p>
    <w:p w14:paraId="2DB8469B">
      <w:pPr>
        <w:ind w:firstLine="480" w:firstLineChars="200"/>
        <w:rPr>
          <w:rFonts w:hint="eastAsia" w:eastAsia="宋体"/>
          <w:color w:val="000000"/>
          <w:highlight w:val="none"/>
          <w:lang w:eastAsia="zh-CN"/>
        </w:rPr>
      </w:pPr>
      <w:r>
        <w:rPr>
          <w:rFonts w:hint="eastAsia"/>
          <w:color w:val="000000"/>
          <w:highlight w:val="none"/>
        </w:rPr>
        <w:t>②三氯甲烷</w:t>
      </w:r>
      <w:r>
        <w:rPr>
          <w:color w:val="000000"/>
          <w:highlight w:val="none"/>
        </w:rPr>
        <w:t>空白加标回收率为</w:t>
      </w:r>
      <w:r>
        <w:rPr>
          <w:rFonts w:hint="eastAsia"/>
          <w:color w:val="000000"/>
          <w:highlight w:val="none"/>
        </w:rPr>
        <w:t>82.0%</w:t>
      </w:r>
      <w:r>
        <w:rPr>
          <w:color w:val="000000"/>
          <w:highlight w:val="none"/>
        </w:rPr>
        <w:t>，在允许加标回收范围（</w:t>
      </w:r>
      <w:r>
        <w:rPr>
          <w:rFonts w:hint="eastAsia"/>
          <w:color w:val="000000"/>
          <w:highlight w:val="none"/>
        </w:rPr>
        <w:t>80</w:t>
      </w:r>
      <w:r>
        <w:rPr>
          <w:color w:val="000000"/>
          <w:highlight w:val="none"/>
        </w:rPr>
        <w:t>%~</w:t>
      </w:r>
      <w:r>
        <w:rPr>
          <w:rFonts w:hint="eastAsia"/>
          <w:color w:val="000000"/>
          <w:highlight w:val="none"/>
        </w:rPr>
        <w:t>120</w:t>
      </w:r>
      <w:r>
        <w:rPr>
          <w:color w:val="000000"/>
          <w:highlight w:val="none"/>
        </w:rPr>
        <w:t>%）内，基体加标回收率为</w:t>
      </w:r>
      <w:r>
        <w:rPr>
          <w:rFonts w:hint="eastAsia"/>
          <w:color w:val="000000"/>
          <w:highlight w:val="none"/>
        </w:rPr>
        <w:t>101</w:t>
      </w:r>
      <w:r>
        <w:rPr>
          <w:color w:val="000000"/>
          <w:highlight w:val="none"/>
        </w:rPr>
        <w:t>%，在允许加标回收范围（</w:t>
      </w:r>
      <w:r>
        <w:rPr>
          <w:rFonts w:hint="eastAsia"/>
          <w:color w:val="000000"/>
          <w:highlight w:val="none"/>
        </w:rPr>
        <w:t>60</w:t>
      </w:r>
      <w:r>
        <w:rPr>
          <w:color w:val="000000"/>
          <w:highlight w:val="none"/>
        </w:rPr>
        <w:t>%~130%）内</w:t>
      </w:r>
      <w:r>
        <w:rPr>
          <w:rFonts w:hint="eastAsia"/>
          <w:color w:val="000000"/>
          <w:highlight w:val="none"/>
          <w:lang w:eastAsia="zh-CN"/>
        </w:rPr>
        <w:t>；</w:t>
      </w:r>
    </w:p>
    <w:p w14:paraId="413A77A1">
      <w:pPr>
        <w:ind w:firstLine="480" w:firstLineChars="200"/>
        <w:rPr>
          <w:rFonts w:hint="eastAsia" w:eastAsia="宋体"/>
          <w:color w:val="000000"/>
          <w:highlight w:val="none"/>
          <w:lang w:eastAsia="zh-CN"/>
        </w:rPr>
      </w:pPr>
      <w:r>
        <w:rPr>
          <w:rFonts w:hint="eastAsia"/>
          <w:color w:val="000000"/>
          <w:highlight w:val="none"/>
        </w:rPr>
        <w:t>③四氯化碳</w:t>
      </w:r>
      <w:r>
        <w:rPr>
          <w:color w:val="000000"/>
          <w:highlight w:val="none"/>
        </w:rPr>
        <w:t>空白加标回收率为</w:t>
      </w:r>
      <w:r>
        <w:rPr>
          <w:rFonts w:hint="eastAsia"/>
          <w:color w:val="000000"/>
          <w:highlight w:val="none"/>
        </w:rPr>
        <w:t>85.0</w:t>
      </w:r>
      <w:r>
        <w:rPr>
          <w:color w:val="000000"/>
          <w:highlight w:val="none"/>
        </w:rPr>
        <w:t>%，在允许加标回收范围（</w:t>
      </w:r>
      <w:r>
        <w:rPr>
          <w:rFonts w:hint="eastAsia"/>
          <w:color w:val="000000"/>
          <w:highlight w:val="none"/>
        </w:rPr>
        <w:t>80</w:t>
      </w:r>
      <w:r>
        <w:rPr>
          <w:color w:val="000000"/>
          <w:highlight w:val="none"/>
        </w:rPr>
        <w:t>%~1</w:t>
      </w:r>
      <w:r>
        <w:rPr>
          <w:rFonts w:hint="eastAsia"/>
          <w:color w:val="000000"/>
          <w:highlight w:val="none"/>
        </w:rPr>
        <w:t>2</w:t>
      </w:r>
      <w:r>
        <w:rPr>
          <w:color w:val="000000"/>
          <w:highlight w:val="none"/>
        </w:rPr>
        <w:t>0%）内，基体加标回收率为</w:t>
      </w:r>
      <w:r>
        <w:rPr>
          <w:rFonts w:hint="eastAsia"/>
          <w:color w:val="000000"/>
          <w:highlight w:val="none"/>
        </w:rPr>
        <w:t>93.2</w:t>
      </w:r>
      <w:r>
        <w:rPr>
          <w:color w:val="000000"/>
          <w:highlight w:val="none"/>
        </w:rPr>
        <w:t>%，在允许加标回收范围（</w:t>
      </w:r>
      <w:r>
        <w:rPr>
          <w:rFonts w:hint="eastAsia"/>
          <w:color w:val="000000"/>
          <w:highlight w:val="none"/>
        </w:rPr>
        <w:t>60</w:t>
      </w:r>
      <w:r>
        <w:rPr>
          <w:color w:val="000000"/>
          <w:highlight w:val="none"/>
        </w:rPr>
        <w:t>%~130%）内</w:t>
      </w:r>
      <w:r>
        <w:rPr>
          <w:rFonts w:hint="eastAsia"/>
          <w:color w:val="000000"/>
          <w:highlight w:val="none"/>
          <w:lang w:eastAsia="zh-CN"/>
        </w:rPr>
        <w:t>；</w:t>
      </w:r>
    </w:p>
    <w:p w14:paraId="051162BB">
      <w:pPr>
        <w:ind w:firstLine="480" w:firstLineChars="200"/>
        <w:rPr>
          <w:rFonts w:hint="eastAsia" w:eastAsia="宋体"/>
          <w:color w:val="000000"/>
          <w:highlight w:val="none"/>
          <w:lang w:eastAsia="zh-CN"/>
        </w:rPr>
      </w:pPr>
      <w:r>
        <w:rPr>
          <w:rFonts w:hint="eastAsia"/>
          <w:color w:val="000000"/>
          <w:highlight w:val="none"/>
        </w:rPr>
        <w:t>④苯</w:t>
      </w:r>
      <w:r>
        <w:rPr>
          <w:color w:val="000000"/>
          <w:highlight w:val="none"/>
        </w:rPr>
        <w:t>空白加标回收率为</w:t>
      </w:r>
      <w:r>
        <w:rPr>
          <w:rFonts w:hint="eastAsia"/>
          <w:color w:val="000000"/>
          <w:highlight w:val="none"/>
        </w:rPr>
        <w:t>81.8</w:t>
      </w:r>
      <w:r>
        <w:rPr>
          <w:color w:val="000000"/>
          <w:highlight w:val="none"/>
        </w:rPr>
        <w:t>%，在允许加标回收范围（</w:t>
      </w:r>
      <w:r>
        <w:rPr>
          <w:rFonts w:hint="eastAsia"/>
          <w:color w:val="000000"/>
          <w:highlight w:val="none"/>
        </w:rPr>
        <w:t>80</w:t>
      </w:r>
      <w:r>
        <w:rPr>
          <w:color w:val="000000"/>
          <w:highlight w:val="none"/>
        </w:rPr>
        <w:t>%~1</w:t>
      </w:r>
      <w:r>
        <w:rPr>
          <w:rFonts w:hint="eastAsia"/>
          <w:color w:val="000000"/>
          <w:highlight w:val="none"/>
        </w:rPr>
        <w:t>2</w:t>
      </w:r>
      <w:r>
        <w:rPr>
          <w:color w:val="000000"/>
          <w:highlight w:val="none"/>
        </w:rPr>
        <w:t>0%）内，基体加标回收率为</w:t>
      </w:r>
      <w:r>
        <w:rPr>
          <w:rFonts w:hint="eastAsia"/>
          <w:color w:val="000000"/>
          <w:highlight w:val="none"/>
        </w:rPr>
        <w:t>98.2</w:t>
      </w:r>
      <w:r>
        <w:rPr>
          <w:color w:val="000000"/>
          <w:highlight w:val="none"/>
        </w:rPr>
        <w:t>%，在允许加标回收范围（</w:t>
      </w:r>
      <w:r>
        <w:rPr>
          <w:rFonts w:hint="eastAsia"/>
          <w:color w:val="000000"/>
          <w:highlight w:val="none"/>
        </w:rPr>
        <w:t>60</w:t>
      </w:r>
      <w:r>
        <w:rPr>
          <w:color w:val="000000"/>
          <w:highlight w:val="none"/>
        </w:rPr>
        <w:t>%~130%）内</w:t>
      </w:r>
      <w:r>
        <w:rPr>
          <w:rFonts w:hint="eastAsia"/>
          <w:color w:val="000000"/>
          <w:highlight w:val="none"/>
          <w:lang w:eastAsia="zh-CN"/>
        </w:rPr>
        <w:t>；</w:t>
      </w:r>
    </w:p>
    <w:p w14:paraId="5F5AD33B">
      <w:pPr>
        <w:ind w:firstLine="480" w:firstLineChars="200"/>
        <w:rPr>
          <w:highlight w:val="none"/>
        </w:rPr>
      </w:pPr>
      <w:r>
        <w:rPr>
          <w:rFonts w:hint="eastAsia"/>
          <w:color w:val="000000"/>
          <w:highlight w:val="none"/>
        </w:rPr>
        <w:t>⑤甲苯</w:t>
      </w:r>
      <w:r>
        <w:rPr>
          <w:color w:val="000000"/>
          <w:highlight w:val="none"/>
        </w:rPr>
        <w:t>空白加标回收率为</w:t>
      </w:r>
      <w:r>
        <w:rPr>
          <w:rFonts w:hint="eastAsia"/>
          <w:color w:val="000000"/>
          <w:highlight w:val="none"/>
        </w:rPr>
        <w:t>82.1</w:t>
      </w:r>
      <w:r>
        <w:rPr>
          <w:color w:val="000000"/>
          <w:highlight w:val="none"/>
        </w:rPr>
        <w:t>%，在允许加标回收范围（</w:t>
      </w:r>
      <w:r>
        <w:rPr>
          <w:rFonts w:hint="eastAsia"/>
          <w:color w:val="000000"/>
          <w:highlight w:val="none"/>
        </w:rPr>
        <w:t>80</w:t>
      </w:r>
      <w:r>
        <w:rPr>
          <w:color w:val="000000"/>
          <w:highlight w:val="none"/>
        </w:rPr>
        <w:t>%~1</w:t>
      </w:r>
      <w:r>
        <w:rPr>
          <w:rFonts w:hint="eastAsia"/>
          <w:color w:val="000000"/>
          <w:highlight w:val="none"/>
        </w:rPr>
        <w:t>2</w:t>
      </w:r>
      <w:r>
        <w:rPr>
          <w:color w:val="000000"/>
          <w:highlight w:val="none"/>
        </w:rPr>
        <w:t>0%）内，基体加标回收率为</w:t>
      </w:r>
      <w:r>
        <w:rPr>
          <w:rFonts w:hint="eastAsia"/>
          <w:color w:val="000000"/>
          <w:highlight w:val="none"/>
        </w:rPr>
        <w:t>106</w:t>
      </w:r>
      <w:r>
        <w:rPr>
          <w:color w:val="000000"/>
          <w:highlight w:val="none"/>
        </w:rPr>
        <w:t>%，在允许加标回收范围（</w:t>
      </w:r>
      <w:r>
        <w:rPr>
          <w:rFonts w:hint="eastAsia"/>
          <w:color w:val="000000"/>
          <w:highlight w:val="none"/>
        </w:rPr>
        <w:t>60</w:t>
      </w:r>
      <w:r>
        <w:rPr>
          <w:color w:val="000000"/>
          <w:highlight w:val="none"/>
        </w:rPr>
        <w:t>%~130%）内。</w:t>
      </w:r>
    </w:p>
    <w:p w14:paraId="20BE43A4">
      <w:pPr>
        <w:ind w:left="481"/>
        <w:rPr>
          <w:b/>
          <w:bCs/>
          <w:kern w:val="0"/>
          <w:highlight w:val="none"/>
        </w:rPr>
      </w:pPr>
      <w:r>
        <w:rPr>
          <w:rFonts w:hint="eastAsia"/>
          <w:b/>
          <w:bCs/>
          <w:kern w:val="0"/>
          <w:highlight w:val="none"/>
        </w:rPr>
        <w:t>（4）</w:t>
      </w:r>
      <w:r>
        <w:rPr>
          <w:b/>
          <w:bCs/>
          <w:kern w:val="0"/>
          <w:highlight w:val="none"/>
        </w:rPr>
        <w:t>替代物加标回收质控</w:t>
      </w:r>
    </w:p>
    <w:p w14:paraId="120A3677">
      <w:pPr>
        <w:ind w:firstLine="480" w:firstLineChars="200"/>
        <w:rPr>
          <w:color w:val="000000"/>
          <w:highlight w:val="none"/>
        </w:rPr>
      </w:pPr>
      <w:r>
        <w:rPr>
          <w:color w:val="000000"/>
          <w:highlight w:val="none"/>
        </w:rPr>
        <w:t>本次实验过程对每个样品及所有的质控样品均进行了替代物（Surrogate）加标检测， VOCs 替代物加标的回收率</w:t>
      </w:r>
      <w:r>
        <w:rPr>
          <w:rFonts w:hint="eastAsia"/>
          <w:color w:val="000000"/>
          <w:highlight w:val="none"/>
        </w:rPr>
        <w:t>范围为8</w:t>
      </w:r>
      <w:r>
        <w:rPr>
          <w:color w:val="000000"/>
          <w:highlight w:val="none"/>
        </w:rPr>
        <w:t>0.4</w:t>
      </w:r>
      <w:r>
        <w:rPr>
          <w:rFonts w:hint="eastAsia"/>
          <w:color w:val="000000"/>
          <w:highlight w:val="none"/>
        </w:rPr>
        <w:t>~</w:t>
      </w:r>
      <w:r>
        <w:rPr>
          <w:color w:val="000000"/>
          <w:highlight w:val="none"/>
        </w:rPr>
        <w:t>118.8</w:t>
      </w:r>
      <w:r>
        <w:rPr>
          <w:rFonts w:hint="eastAsia"/>
          <w:color w:val="000000"/>
          <w:highlight w:val="none"/>
        </w:rPr>
        <w:t>%，在允许范围</w:t>
      </w:r>
      <w:r>
        <w:rPr>
          <w:color w:val="000000"/>
          <w:highlight w:val="none"/>
        </w:rPr>
        <w:t>70%~130%</w:t>
      </w:r>
      <w:r>
        <w:rPr>
          <w:rFonts w:hint="eastAsia"/>
          <w:color w:val="000000"/>
          <w:highlight w:val="none"/>
        </w:rPr>
        <w:t>内</w:t>
      </w:r>
      <w:r>
        <w:rPr>
          <w:color w:val="000000"/>
          <w:highlight w:val="none"/>
        </w:rPr>
        <w:t>，SVOCs 替代物加标的回收率</w:t>
      </w:r>
      <w:r>
        <w:rPr>
          <w:rFonts w:hint="eastAsia"/>
          <w:color w:val="000000"/>
          <w:highlight w:val="none"/>
        </w:rPr>
        <w:t>范围为</w:t>
      </w:r>
      <w:r>
        <w:rPr>
          <w:color w:val="000000"/>
          <w:highlight w:val="none"/>
        </w:rPr>
        <w:t>50.2</w:t>
      </w:r>
      <w:r>
        <w:rPr>
          <w:rFonts w:hint="eastAsia"/>
          <w:color w:val="000000"/>
          <w:highlight w:val="none"/>
        </w:rPr>
        <w:t>~</w:t>
      </w:r>
      <w:r>
        <w:rPr>
          <w:color w:val="000000"/>
          <w:highlight w:val="none"/>
        </w:rPr>
        <w:t>110.6</w:t>
      </w:r>
      <w:r>
        <w:rPr>
          <w:rFonts w:hint="eastAsia"/>
          <w:color w:val="000000"/>
          <w:highlight w:val="none"/>
        </w:rPr>
        <w:t>%，在允许范围</w:t>
      </w:r>
      <w:r>
        <w:rPr>
          <w:color w:val="000000"/>
          <w:highlight w:val="none"/>
        </w:rPr>
        <w:t>50%～130%</w:t>
      </w:r>
      <w:r>
        <w:rPr>
          <w:rFonts w:hint="eastAsia"/>
          <w:color w:val="000000"/>
          <w:highlight w:val="none"/>
        </w:rPr>
        <w:t>内</w:t>
      </w:r>
      <w:r>
        <w:rPr>
          <w:color w:val="000000"/>
          <w:highlight w:val="none"/>
        </w:rPr>
        <w:t>。本次所有控制样品检测结果的替代物加标回收率均在要求范围内，符合质控要求。</w:t>
      </w:r>
    </w:p>
    <w:p w14:paraId="29DDF63E">
      <w:pPr>
        <w:pStyle w:val="5"/>
        <w:rPr>
          <w:highlight w:val="none"/>
        </w:rPr>
      </w:pPr>
      <w:r>
        <w:rPr>
          <w:highlight w:val="none"/>
        </w:rPr>
        <w:t>实验室质控结论</w:t>
      </w:r>
    </w:p>
    <w:p w14:paraId="1AD8BDCE">
      <w:pPr>
        <w:ind w:left="1" w:firstLine="480" w:firstLineChars="200"/>
        <w:rPr>
          <w:highlight w:val="none"/>
        </w:rPr>
      </w:pPr>
      <w:r>
        <w:rPr>
          <w:color w:val="000000"/>
          <w:kern w:val="0"/>
          <w:highlight w:val="none"/>
        </w:rPr>
        <w:t>本次质控方法空白结果均小于报告限值；本次土壤实验室内精密度平行双样测试样品中有机污染物指标均未检出、重金属铬（六价）均</w:t>
      </w:r>
      <w:r>
        <w:rPr>
          <w:rFonts w:hint="eastAsia"/>
          <w:color w:val="000000"/>
          <w:kern w:val="0"/>
          <w:highlight w:val="none"/>
          <w:lang w:val="en-US" w:eastAsia="zh-CN"/>
        </w:rPr>
        <w:t>未</w:t>
      </w:r>
      <w:r>
        <w:rPr>
          <w:color w:val="000000"/>
          <w:kern w:val="0"/>
          <w:highlight w:val="none"/>
        </w:rPr>
        <w:t>检出，</w:t>
      </w:r>
      <w:r>
        <w:rPr>
          <w:color w:val="000000"/>
          <w:highlight w:val="none"/>
        </w:rPr>
        <w:t>重金属土壤室内平行样相对偏差在允许范围内。重金属检测指标</w:t>
      </w:r>
      <w:r>
        <w:rPr>
          <w:rFonts w:hint="eastAsia"/>
          <w:color w:val="000000"/>
          <w:highlight w:val="none"/>
        </w:rPr>
        <w:t>铬、锌、铜和镍</w:t>
      </w:r>
      <w:r>
        <w:rPr>
          <w:color w:val="000000"/>
          <w:highlight w:val="none"/>
        </w:rPr>
        <w:t>有证标准样品质控结果合格；样品空白加标/基体加标回收率在允许加标回收率范围内，质控结果合格</w:t>
      </w:r>
      <w:r>
        <w:rPr>
          <w:color w:val="000000"/>
          <w:kern w:val="0"/>
          <w:highlight w:val="none"/>
        </w:rPr>
        <w:t>；替代物加标回收率</w:t>
      </w:r>
      <w:r>
        <w:rPr>
          <w:color w:val="000000"/>
          <w:highlight w:val="none"/>
        </w:rPr>
        <w:t>在允许加标回收率范围内，质控结果合格，</w:t>
      </w:r>
      <w:r>
        <w:rPr>
          <w:color w:val="000000"/>
          <w:kern w:val="0"/>
          <w:highlight w:val="none"/>
        </w:rPr>
        <w:t>因此，本批次测试数据质量可靠，详见附件3监测报告和附件4质控报告。</w:t>
      </w:r>
    </w:p>
    <w:p w14:paraId="3600C8A1">
      <w:pPr>
        <w:rPr>
          <w:color w:val="000000" w:themeColor="text1"/>
          <w:highlight w:val="none"/>
          <w14:textFill>
            <w14:solidFill>
              <w14:schemeClr w14:val="tx1"/>
            </w14:solidFill>
          </w14:textFill>
        </w:rPr>
        <w:sectPr>
          <w:headerReference r:id="rId19"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p>
    <w:p w14:paraId="47FDE2DD">
      <w:pPr>
        <w:pStyle w:val="3"/>
        <w:numPr>
          <w:ilvl w:val="0"/>
          <w:numId w:val="1"/>
        </w:numPr>
        <w:tabs>
          <w:tab w:val="clear" w:pos="425"/>
        </w:tabs>
        <w:rPr>
          <w:highlight w:val="none"/>
        </w:rPr>
      </w:pPr>
      <w:bookmarkStart w:id="35" w:name="_Toc7649"/>
      <w:r>
        <w:rPr>
          <w:highlight w:val="none"/>
        </w:rPr>
        <w:t>结果与评价</w:t>
      </w:r>
      <w:bookmarkEnd w:id="35"/>
    </w:p>
    <w:p w14:paraId="648DB6A4">
      <w:pPr>
        <w:pStyle w:val="4"/>
        <w:tabs>
          <w:tab w:val="left" w:leader="dot" w:pos="0"/>
          <w:tab w:val="clear" w:pos="425"/>
        </w:tabs>
        <w:rPr>
          <w:highlight w:val="none"/>
        </w:rPr>
      </w:pPr>
      <w:bookmarkStart w:id="36" w:name="_Toc28944"/>
      <w:bookmarkStart w:id="37" w:name="_Toc55399881"/>
      <w:bookmarkStart w:id="38" w:name="_Toc5936_WPSOffice_Level2"/>
      <w:r>
        <w:rPr>
          <w:highlight w:val="none"/>
        </w:rPr>
        <w:t>园区环境质量参考标准</w:t>
      </w:r>
      <w:bookmarkEnd w:id="36"/>
    </w:p>
    <w:p w14:paraId="7FC40981">
      <w:pPr>
        <w:pStyle w:val="5"/>
        <w:tabs>
          <w:tab w:val="left" w:pos="425"/>
        </w:tabs>
        <w:rPr>
          <w:highlight w:val="none"/>
        </w:rPr>
      </w:pPr>
      <w:r>
        <w:rPr>
          <w:highlight w:val="none"/>
        </w:rPr>
        <w:t>土壤</w:t>
      </w:r>
      <w:bookmarkEnd w:id="37"/>
      <w:bookmarkEnd w:id="38"/>
      <w:r>
        <w:rPr>
          <w:highlight w:val="none"/>
        </w:rPr>
        <w:t>评价标准</w:t>
      </w:r>
    </w:p>
    <w:p w14:paraId="2DF9E35E">
      <w:pPr>
        <w:pStyle w:val="2"/>
        <w:spacing w:after="0"/>
        <w:ind w:firstLine="480" w:firstLineChars="200"/>
        <w:rPr>
          <w:color w:val="000000"/>
          <w:kern w:val="0"/>
          <w:highlight w:val="none"/>
        </w:rPr>
      </w:pPr>
      <w:r>
        <w:rPr>
          <w:color w:val="000000"/>
          <w:kern w:val="0"/>
          <w:highlight w:val="none"/>
        </w:rPr>
        <w:t>本</w:t>
      </w:r>
      <w:r>
        <w:rPr>
          <w:rFonts w:hint="eastAsia"/>
          <w:color w:val="000000"/>
          <w:kern w:val="0"/>
          <w:highlight w:val="none"/>
          <w:lang w:val="en-US" w:eastAsia="zh-CN"/>
        </w:rPr>
        <w:t>园区</w:t>
      </w:r>
      <w:r>
        <w:rPr>
          <w:color w:val="000000"/>
          <w:kern w:val="0"/>
          <w:highlight w:val="none"/>
        </w:rPr>
        <w:t>共测试</w:t>
      </w:r>
      <w:r>
        <w:rPr>
          <w:rFonts w:hint="eastAsia"/>
          <w:color w:val="000000"/>
          <w:kern w:val="0"/>
          <w:highlight w:val="none"/>
        </w:rPr>
        <w:t>51个</w:t>
      </w:r>
      <w:r>
        <w:rPr>
          <w:color w:val="000000"/>
          <w:kern w:val="0"/>
          <w:highlight w:val="none"/>
        </w:rPr>
        <w:t>项目，采集</w:t>
      </w:r>
      <w:r>
        <w:rPr>
          <w:rFonts w:hint="eastAsia"/>
          <w:color w:val="000000"/>
          <w:kern w:val="0"/>
          <w:highlight w:val="none"/>
        </w:rPr>
        <w:t>11个</w:t>
      </w:r>
      <w:r>
        <w:rPr>
          <w:color w:val="000000"/>
          <w:kern w:val="0"/>
          <w:highlight w:val="none"/>
        </w:rPr>
        <w:t>点位</w:t>
      </w:r>
      <w:r>
        <w:rPr>
          <w:rFonts w:hint="eastAsia"/>
          <w:color w:val="000000"/>
          <w:kern w:val="0"/>
          <w:highlight w:val="none"/>
          <w:lang w:val="en-US" w:eastAsia="zh-CN"/>
        </w:rPr>
        <w:t>土壤</w:t>
      </w:r>
      <w:r>
        <w:rPr>
          <w:rFonts w:hint="eastAsia"/>
          <w:color w:val="000000"/>
          <w:kern w:val="0"/>
          <w:highlight w:val="none"/>
        </w:rPr>
        <w:t>样品</w:t>
      </w:r>
      <w:r>
        <w:rPr>
          <w:color w:val="000000"/>
          <w:kern w:val="0"/>
          <w:highlight w:val="none"/>
        </w:rPr>
        <w:t>（不含</w:t>
      </w:r>
      <w:r>
        <w:rPr>
          <w:rFonts w:hint="eastAsia"/>
          <w:color w:val="000000"/>
          <w:kern w:val="0"/>
          <w:highlight w:val="none"/>
          <w:lang w:val="en-US" w:eastAsia="zh-CN"/>
        </w:rPr>
        <w:t>质控样品</w:t>
      </w:r>
      <w:r>
        <w:rPr>
          <w:color w:val="000000"/>
          <w:kern w:val="0"/>
          <w:highlight w:val="none"/>
        </w:rPr>
        <w:t>）。根据点位所在位置对应的建设用地或农用地土壤类型，参考《土壤环境质量 建设用地土壤污染风险管控标准（试行）（GB36600-2018）》（以下简称“GB36600”）、《土壤环境质量 农用地土壤污染风险管控标准（试行）（GB15618-2018）》（以下简称“GB15618”）进行评估，其中无法参考上述标准的测试</w:t>
      </w:r>
      <w:r>
        <w:rPr>
          <w:rFonts w:hint="eastAsia"/>
          <w:color w:val="000000"/>
          <w:kern w:val="0"/>
          <w:highlight w:val="none"/>
        </w:rPr>
        <w:t>项目</w:t>
      </w:r>
      <w:r>
        <w:rPr>
          <w:color w:val="000000"/>
          <w:kern w:val="0"/>
          <w:highlight w:val="none"/>
        </w:rPr>
        <w:t>采用《建设用地土壤污染风险筛选值和管制值（DB4403_T 67-2020）（深圳）》（以下简称“深圳标准”）中对应的用地类型</w:t>
      </w:r>
      <w:r>
        <w:rPr>
          <w:rFonts w:hint="eastAsia"/>
          <w:color w:val="000000"/>
          <w:kern w:val="0"/>
          <w:highlight w:val="none"/>
        </w:rPr>
        <w:t>标准值</w:t>
      </w:r>
      <w:r>
        <w:rPr>
          <w:color w:val="000000"/>
          <w:kern w:val="0"/>
          <w:highlight w:val="none"/>
        </w:rPr>
        <w:t>或风险评估计算值进行评估。具体原则如下：</w:t>
      </w:r>
    </w:p>
    <w:p w14:paraId="3AD2AF52">
      <w:pPr>
        <w:pStyle w:val="2"/>
        <w:numPr>
          <w:ilvl w:val="0"/>
          <w:numId w:val="8"/>
        </w:numPr>
        <w:spacing w:after="0"/>
        <w:ind w:firstLine="480" w:firstLineChars="200"/>
        <w:rPr>
          <w:color w:val="000000"/>
          <w:kern w:val="0"/>
          <w:highlight w:val="none"/>
        </w:rPr>
      </w:pPr>
      <w:r>
        <w:rPr>
          <w:color w:val="000000"/>
          <w:kern w:val="0"/>
          <w:highlight w:val="none"/>
        </w:rPr>
        <w:t>园区周边土壤点位根据现场踏勘结合谷歌卫片，采用现状用地类型进行评估；</w:t>
      </w:r>
    </w:p>
    <w:p w14:paraId="1F5F2E70">
      <w:pPr>
        <w:pStyle w:val="2"/>
        <w:numPr>
          <w:ilvl w:val="0"/>
          <w:numId w:val="8"/>
        </w:numPr>
        <w:spacing w:after="0"/>
        <w:ind w:firstLine="480" w:firstLineChars="200"/>
        <w:rPr>
          <w:color w:val="000000"/>
          <w:kern w:val="0"/>
          <w:highlight w:val="none"/>
        </w:rPr>
      </w:pPr>
      <w:r>
        <w:rPr>
          <w:color w:val="000000"/>
          <w:kern w:val="0"/>
          <w:highlight w:val="none"/>
        </w:rPr>
        <w:t>已建成企业聚集区周边点位根据</w:t>
      </w:r>
      <w:r>
        <w:rPr>
          <w:rFonts w:hint="eastAsia"/>
          <w:bCs/>
          <w:caps/>
          <w:color w:val="000000" w:themeColor="text1"/>
          <w:szCs w:val="24"/>
          <w:highlight w:val="none"/>
          <w14:textFill>
            <w14:solidFill>
              <w14:schemeClr w14:val="tx1"/>
            </w14:solidFill>
          </w14:textFill>
        </w:rPr>
        <w:t>花湖经济开发区土地利用规划图</w:t>
      </w:r>
      <w:r>
        <w:rPr>
          <w:color w:val="000000" w:themeColor="text1"/>
          <w:kern w:val="0"/>
          <w:highlight w:val="none"/>
          <w14:textFill>
            <w14:solidFill>
              <w14:schemeClr w14:val="tx1"/>
            </w14:solidFill>
          </w14:textFill>
        </w:rPr>
        <w:t>，</w:t>
      </w:r>
      <w:r>
        <w:rPr>
          <w:rFonts w:hint="eastAsia"/>
          <w:color w:val="000000"/>
          <w:kern w:val="0"/>
          <w:highlight w:val="none"/>
        </w:rPr>
        <w:t>基于</w:t>
      </w:r>
      <w:r>
        <w:rPr>
          <w:color w:val="000000"/>
          <w:kern w:val="0"/>
          <w:highlight w:val="none"/>
        </w:rPr>
        <w:t>规划用地类型进行评估；</w:t>
      </w:r>
    </w:p>
    <w:p w14:paraId="4762EEB1">
      <w:pPr>
        <w:pStyle w:val="2"/>
        <w:numPr>
          <w:ilvl w:val="0"/>
          <w:numId w:val="8"/>
        </w:numPr>
        <w:spacing w:after="0"/>
        <w:ind w:firstLine="480" w:firstLineChars="200"/>
        <w:rPr>
          <w:color w:val="000000"/>
          <w:kern w:val="0"/>
          <w:highlight w:val="none"/>
        </w:rPr>
      </w:pPr>
      <w:r>
        <w:rPr>
          <w:color w:val="000000"/>
          <w:kern w:val="0"/>
          <w:highlight w:val="none"/>
        </w:rPr>
        <w:t>对于园区周边土壤中现状用地为农用地的点位，GB15618</w:t>
      </w:r>
      <w:r>
        <w:rPr>
          <w:rFonts w:hint="eastAsia"/>
          <w:color w:val="000000"/>
          <w:kern w:val="0"/>
          <w:highlight w:val="none"/>
        </w:rPr>
        <w:t>中未涉及的因子</w:t>
      </w:r>
      <w:r>
        <w:rPr>
          <w:rFonts w:hint="eastAsia"/>
          <w:color w:val="000000"/>
          <w:kern w:val="0"/>
          <w:highlight w:val="none"/>
          <w:lang w:val="en-US" w:eastAsia="zh-CN"/>
        </w:rPr>
        <w:t>参照</w:t>
      </w:r>
      <w:r>
        <w:rPr>
          <w:color w:val="000000"/>
          <w:kern w:val="0"/>
          <w:highlight w:val="none"/>
        </w:rPr>
        <w:t>GB36600第一类用地筛选值进行评估。</w:t>
      </w:r>
    </w:p>
    <w:p w14:paraId="4DF737D8">
      <w:pPr>
        <w:pStyle w:val="2"/>
        <w:spacing w:after="0"/>
        <w:ind w:firstLine="480" w:firstLineChars="200"/>
        <w:rPr>
          <w:color w:val="000000"/>
          <w:kern w:val="0"/>
          <w:highlight w:val="none"/>
        </w:rPr>
      </w:pPr>
      <w:r>
        <w:rPr>
          <w:color w:val="000000"/>
          <w:kern w:val="0"/>
          <w:highlight w:val="none"/>
        </w:rPr>
        <w:t>各点位参考标准具体如下表所示。</w:t>
      </w:r>
    </w:p>
    <w:p w14:paraId="7FA73BF0">
      <w:pPr>
        <w:spacing w:line="240" w:lineRule="auto"/>
        <w:jc w:val="center"/>
        <w:rPr>
          <w:rFonts w:eastAsia="黑体"/>
          <w:highlight w:val="none"/>
        </w:rPr>
      </w:pPr>
      <w:r>
        <w:rPr>
          <w:rFonts w:eastAsia="黑体"/>
          <w:b/>
          <w:bCs/>
          <w:highlight w:val="none"/>
        </w:rPr>
        <w:t xml:space="preserve">表5-1-1 </w:t>
      </w:r>
      <w:r>
        <w:rPr>
          <w:rFonts w:hint="eastAsia" w:eastAsia="黑体"/>
          <w:b/>
          <w:bCs/>
          <w:highlight w:val="none"/>
        </w:rPr>
        <w:t>花湖开发区</w:t>
      </w:r>
      <w:r>
        <w:rPr>
          <w:rFonts w:eastAsia="黑体"/>
          <w:b/>
          <w:bCs/>
          <w:highlight w:val="none"/>
        </w:rPr>
        <w:t>土壤点位参考标准一览表</w:t>
      </w:r>
    </w:p>
    <w:tbl>
      <w:tblPr>
        <w:tblStyle w:val="21"/>
        <w:tblW w:w="9612"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1155"/>
        <w:gridCol w:w="1080"/>
        <w:gridCol w:w="2640"/>
        <w:gridCol w:w="4103"/>
      </w:tblGrid>
      <w:tr w14:paraId="5CEFC8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tblHeader/>
          <w:jc w:val="center"/>
        </w:trPr>
        <w:tc>
          <w:tcPr>
            <w:tcW w:w="634" w:type="dxa"/>
            <w:tcBorders>
              <w:bottom w:val="single" w:color="000000" w:sz="12" w:space="0"/>
            </w:tcBorders>
            <w:shd w:val="clear" w:color="auto" w:fill="auto"/>
            <w:noWrap/>
            <w:tcMar>
              <w:top w:w="15" w:type="dxa"/>
              <w:left w:w="15" w:type="dxa"/>
              <w:right w:w="15" w:type="dxa"/>
            </w:tcMar>
            <w:vAlign w:val="center"/>
          </w:tcPr>
          <w:p w14:paraId="7DB34370">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序号</w:t>
            </w:r>
          </w:p>
        </w:tc>
        <w:tc>
          <w:tcPr>
            <w:tcW w:w="1155" w:type="dxa"/>
            <w:tcBorders>
              <w:bottom w:val="single" w:color="000000" w:sz="12" w:space="0"/>
            </w:tcBorders>
            <w:shd w:val="clear" w:color="auto" w:fill="auto"/>
            <w:noWrap/>
            <w:tcMar>
              <w:top w:w="15" w:type="dxa"/>
              <w:left w:w="15" w:type="dxa"/>
              <w:right w:w="15" w:type="dxa"/>
            </w:tcMar>
            <w:vAlign w:val="center"/>
          </w:tcPr>
          <w:p w14:paraId="76F329E4">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点位编号</w:t>
            </w:r>
          </w:p>
        </w:tc>
        <w:tc>
          <w:tcPr>
            <w:tcW w:w="1080" w:type="dxa"/>
            <w:tcBorders>
              <w:bottom w:val="single" w:color="000000" w:sz="12" w:space="0"/>
            </w:tcBorders>
            <w:shd w:val="clear" w:color="auto" w:fill="auto"/>
            <w:noWrap/>
            <w:tcMar>
              <w:top w:w="15" w:type="dxa"/>
              <w:left w:w="15" w:type="dxa"/>
              <w:right w:w="15" w:type="dxa"/>
            </w:tcMar>
            <w:vAlign w:val="center"/>
          </w:tcPr>
          <w:p w14:paraId="05A3B3CD">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点位类型</w:t>
            </w:r>
          </w:p>
        </w:tc>
        <w:tc>
          <w:tcPr>
            <w:tcW w:w="2640" w:type="dxa"/>
            <w:tcBorders>
              <w:bottom w:val="single" w:color="000000" w:sz="12" w:space="0"/>
            </w:tcBorders>
            <w:shd w:val="clear" w:color="auto" w:fill="auto"/>
            <w:noWrap/>
            <w:tcMar>
              <w:top w:w="15" w:type="dxa"/>
              <w:left w:w="15" w:type="dxa"/>
              <w:right w:w="15" w:type="dxa"/>
            </w:tcMar>
            <w:vAlign w:val="center"/>
          </w:tcPr>
          <w:p w14:paraId="6C0D4C11">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规划/现状用地类型</w:t>
            </w:r>
            <w:r>
              <w:rPr>
                <w:rFonts w:hint="eastAsia"/>
                <w:b/>
                <w:bCs/>
                <w:color w:val="000000"/>
                <w:kern w:val="0"/>
                <w:sz w:val="21"/>
                <w:szCs w:val="21"/>
                <w:highlight w:val="none"/>
                <w:vertAlign w:val="superscript"/>
                <w:lang w:bidi="ar"/>
              </w:rPr>
              <w:t>①</w:t>
            </w:r>
          </w:p>
        </w:tc>
        <w:tc>
          <w:tcPr>
            <w:tcW w:w="4103" w:type="dxa"/>
            <w:tcBorders>
              <w:bottom w:val="single" w:color="000000" w:sz="12" w:space="0"/>
            </w:tcBorders>
            <w:shd w:val="clear" w:color="auto" w:fill="auto"/>
            <w:noWrap/>
            <w:tcMar>
              <w:top w:w="15" w:type="dxa"/>
              <w:left w:w="15" w:type="dxa"/>
              <w:right w:w="15" w:type="dxa"/>
            </w:tcMar>
            <w:vAlign w:val="center"/>
          </w:tcPr>
          <w:p w14:paraId="6CF4A64B">
            <w:pPr>
              <w:widowControl/>
              <w:spacing w:line="240" w:lineRule="auto"/>
              <w:jc w:val="center"/>
              <w:textAlignment w:val="center"/>
              <w:rPr>
                <w:rFonts w:hint="eastAsia" w:eastAsia="宋体"/>
                <w:b/>
                <w:bCs/>
                <w:color w:val="000000"/>
                <w:kern w:val="0"/>
                <w:sz w:val="21"/>
                <w:szCs w:val="21"/>
                <w:highlight w:val="none"/>
                <w:lang w:val="en-US" w:eastAsia="zh-CN" w:bidi="ar"/>
              </w:rPr>
            </w:pPr>
            <w:r>
              <w:rPr>
                <w:b/>
                <w:bCs/>
                <w:color w:val="000000"/>
                <w:kern w:val="0"/>
                <w:sz w:val="21"/>
                <w:szCs w:val="21"/>
                <w:highlight w:val="none"/>
                <w:lang w:bidi="ar"/>
              </w:rPr>
              <w:t>参考标准</w:t>
            </w:r>
            <w:r>
              <w:rPr>
                <w:rFonts w:hint="eastAsia"/>
                <w:b/>
                <w:bCs/>
                <w:color w:val="000000"/>
                <w:kern w:val="0"/>
                <w:sz w:val="21"/>
                <w:szCs w:val="21"/>
                <w:highlight w:val="none"/>
                <w:vertAlign w:val="superscript"/>
                <w:lang w:val="en-US" w:eastAsia="zh-CN" w:bidi="ar"/>
              </w:rPr>
              <w:t>②</w:t>
            </w:r>
          </w:p>
        </w:tc>
      </w:tr>
      <w:tr w14:paraId="64CAAC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4" w:type="dxa"/>
            <w:tcBorders>
              <w:top w:val="single" w:color="000000" w:sz="12" w:space="0"/>
              <w:tl2br w:val="nil"/>
              <w:tr2bl w:val="nil"/>
            </w:tcBorders>
            <w:shd w:val="clear" w:color="auto" w:fill="auto"/>
            <w:noWrap/>
            <w:tcMar>
              <w:top w:w="15" w:type="dxa"/>
              <w:left w:w="15" w:type="dxa"/>
              <w:right w:w="15" w:type="dxa"/>
            </w:tcMar>
            <w:vAlign w:val="center"/>
          </w:tcPr>
          <w:p w14:paraId="6DFF418B">
            <w:pPr>
              <w:widowControl/>
              <w:spacing w:line="240" w:lineRule="auto"/>
              <w:jc w:val="center"/>
              <w:textAlignment w:val="center"/>
              <w:rPr>
                <w:color w:val="000000"/>
                <w:sz w:val="21"/>
                <w:szCs w:val="21"/>
                <w:highlight w:val="none"/>
              </w:rPr>
            </w:pPr>
            <w:r>
              <w:rPr>
                <w:color w:val="000000"/>
                <w:kern w:val="0"/>
                <w:sz w:val="21"/>
                <w:szCs w:val="21"/>
                <w:highlight w:val="none"/>
                <w:lang w:bidi="ar"/>
              </w:rPr>
              <w:t>1</w:t>
            </w:r>
          </w:p>
        </w:tc>
        <w:tc>
          <w:tcPr>
            <w:tcW w:w="1155" w:type="dxa"/>
            <w:tcBorders>
              <w:top w:val="single" w:color="000000" w:sz="12" w:space="0"/>
              <w:tl2br w:val="nil"/>
              <w:tr2bl w:val="nil"/>
            </w:tcBorders>
            <w:shd w:val="clear" w:color="auto" w:fill="auto"/>
            <w:noWrap/>
            <w:tcMar>
              <w:top w:w="15" w:type="dxa"/>
              <w:left w:w="15" w:type="dxa"/>
              <w:right w:w="15" w:type="dxa"/>
            </w:tcMar>
            <w:vAlign w:val="bottom"/>
          </w:tcPr>
          <w:p w14:paraId="2BA848F8">
            <w:pPr>
              <w:widowControl/>
              <w:spacing w:line="240" w:lineRule="auto"/>
              <w:jc w:val="center"/>
              <w:textAlignment w:val="center"/>
              <w:rPr>
                <w:kern w:val="0"/>
                <w:sz w:val="21"/>
                <w:szCs w:val="21"/>
                <w:highlight w:val="none"/>
                <w:lang w:bidi="ar"/>
              </w:rPr>
            </w:pPr>
            <w:r>
              <w:rPr>
                <w:kern w:val="0"/>
                <w:sz w:val="21"/>
                <w:szCs w:val="21"/>
                <w:highlight w:val="none"/>
                <w:lang w:bidi="ar"/>
              </w:rPr>
              <w:t>HH-1-75</w:t>
            </w:r>
            <w:r>
              <w:rPr>
                <w:rFonts w:hint="eastAsia"/>
                <w:kern w:val="0"/>
                <w:sz w:val="21"/>
                <w:szCs w:val="21"/>
                <w:highlight w:val="none"/>
                <w:vertAlign w:val="superscript"/>
                <w:lang w:bidi="ar"/>
              </w:rPr>
              <w:t>②</w:t>
            </w:r>
          </w:p>
        </w:tc>
        <w:tc>
          <w:tcPr>
            <w:tcW w:w="1080" w:type="dxa"/>
            <w:vMerge w:val="restart"/>
            <w:tcBorders>
              <w:top w:val="single" w:color="000000" w:sz="12" w:space="0"/>
              <w:tl2br w:val="nil"/>
              <w:tr2bl w:val="nil"/>
            </w:tcBorders>
            <w:shd w:val="clear" w:color="auto" w:fill="auto"/>
            <w:noWrap/>
            <w:tcMar>
              <w:top w:w="15" w:type="dxa"/>
              <w:left w:w="15" w:type="dxa"/>
              <w:right w:w="15" w:type="dxa"/>
            </w:tcMar>
            <w:vAlign w:val="center"/>
          </w:tcPr>
          <w:p w14:paraId="415003F4">
            <w:pPr>
              <w:widowControl/>
              <w:spacing w:line="240" w:lineRule="auto"/>
              <w:jc w:val="center"/>
              <w:textAlignment w:val="center"/>
              <w:rPr>
                <w:kern w:val="0"/>
                <w:sz w:val="21"/>
                <w:szCs w:val="21"/>
                <w:highlight w:val="none"/>
                <w:lang w:bidi="ar"/>
              </w:rPr>
            </w:pPr>
            <w:r>
              <w:rPr>
                <w:kern w:val="0"/>
                <w:sz w:val="21"/>
                <w:szCs w:val="21"/>
                <w:highlight w:val="none"/>
                <w:lang w:bidi="ar"/>
              </w:rPr>
              <w:t>园区周边土壤点位</w:t>
            </w:r>
          </w:p>
        </w:tc>
        <w:tc>
          <w:tcPr>
            <w:tcW w:w="2640" w:type="dxa"/>
            <w:tcBorders>
              <w:top w:val="single" w:color="000000" w:sz="12" w:space="0"/>
              <w:tl2br w:val="nil"/>
              <w:tr2bl w:val="nil"/>
            </w:tcBorders>
            <w:shd w:val="clear" w:color="auto" w:fill="auto"/>
            <w:noWrap/>
            <w:tcMar>
              <w:top w:w="15" w:type="dxa"/>
              <w:left w:w="15" w:type="dxa"/>
              <w:right w:w="15" w:type="dxa"/>
            </w:tcMar>
            <w:vAlign w:val="center"/>
          </w:tcPr>
          <w:p w14:paraId="48187A09">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居住用地</w:t>
            </w:r>
          </w:p>
        </w:tc>
        <w:tc>
          <w:tcPr>
            <w:tcW w:w="4103" w:type="dxa"/>
            <w:tcBorders>
              <w:top w:val="single" w:color="000000" w:sz="12" w:space="0"/>
              <w:tl2br w:val="nil"/>
              <w:tr2bl w:val="nil"/>
            </w:tcBorders>
            <w:shd w:val="clear" w:color="auto" w:fill="auto"/>
            <w:noWrap/>
            <w:tcMar>
              <w:top w:w="15" w:type="dxa"/>
              <w:left w:w="15" w:type="dxa"/>
              <w:right w:w="15" w:type="dxa"/>
            </w:tcMar>
            <w:vAlign w:val="center"/>
          </w:tcPr>
          <w:p w14:paraId="2633FAC8">
            <w:pPr>
              <w:widowControl/>
              <w:spacing w:line="240" w:lineRule="auto"/>
              <w:jc w:val="center"/>
              <w:textAlignment w:val="center"/>
              <w:rPr>
                <w:kern w:val="0"/>
                <w:sz w:val="21"/>
                <w:szCs w:val="21"/>
                <w:highlight w:val="none"/>
                <w:lang w:bidi="ar"/>
              </w:rPr>
            </w:pPr>
            <w:r>
              <w:rPr>
                <w:kern w:val="0"/>
                <w:sz w:val="21"/>
                <w:szCs w:val="21"/>
                <w:highlight w:val="none"/>
                <w:lang w:bidi="ar"/>
              </w:rPr>
              <w:t>第一类用地筛选值</w:t>
            </w:r>
          </w:p>
        </w:tc>
      </w:tr>
      <w:tr w14:paraId="61E8F4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0F2537D6">
            <w:pPr>
              <w:widowControl/>
              <w:spacing w:line="240" w:lineRule="auto"/>
              <w:jc w:val="center"/>
              <w:textAlignment w:val="center"/>
              <w:rPr>
                <w:color w:val="000000"/>
                <w:sz w:val="21"/>
                <w:szCs w:val="21"/>
                <w:highlight w:val="none"/>
              </w:rPr>
            </w:pPr>
            <w:r>
              <w:rPr>
                <w:color w:val="000000"/>
                <w:kern w:val="0"/>
                <w:sz w:val="21"/>
                <w:szCs w:val="21"/>
                <w:highlight w:val="none"/>
                <w:lang w:bidi="ar"/>
              </w:rPr>
              <w:t>2</w:t>
            </w:r>
          </w:p>
        </w:tc>
        <w:tc>
          <w:tcPr>
            <w:tcW w:w="1155" w:type="dxa"/>
            <w:tcBorders>
              <w:tl2br w:val="nil"/>
              <w:tr2bl w:val="nil"/>
            </w:tcBorders>
            <w:shd w:val="clear" w:color="auto" w:fill="auto"/>
            <w:noWrap/>
            <w:tcMar>
              <w:top w:w="15" w:type="dxa"/>
              <w:left w:w="15" w:type="dxa"/>
              <w:right w:w="15" w:type="dxa"/>
            </w:tcMar>
            <w:vAlign w:val="bottom"/>
          </w:tcPr>
          <w:p w14:paraId="2337DA29">
            <w:pPr>
              <w:widowControl/>
              <w:spacing w:line="240" w:lineRule="auto"/>
              <w:jc w:val="center"/>
              <w:textAlignment w:val="center"/>
              <w:rPr>
                <w:kern w:val="0"/>
                <w:sz w:val="21"/>
                <w:szCs w:val="21"/>
                <w:highlight w:val="none"/>
                <w:lang w:bidi="ar"/>
              </w:rPr>
            </w:pPr>
            <w:r>
              <w:rPr>
                <w:kern w:val="0"/>
                <w:sz w:val="21"/>
                <w:szCs w:val="21"/>
                <w:highlight w:val="none"/>
                <w:lang w:bidi="ar"/>
              </w:rPr>
              <w:t>HH-1-200</w:t>
            </w:r>
            <w:r>
              <w:rPr>
                <w:rFonts w:hint="eastAsia"/>
                <w:kern w:val="0"/>
                <w:sz w:val="21"/>
                <w:szCs w:val="21"/>
                <w:highlight w:val="none"/>
                <w:vertAlign w:val="superscript"/>
                <w:lang w:bidi="ar"/>
              </w:rPr>
              <w:t>②</w:t>
            </w:r>
          </w:p>
        </w:tc>
        <w:tc>
          <w:tcPr>
            <w:tcW w:w="1080" w:type="dxa"/>
            <w:vMerge w:val="continue"/>
            <w:tcBorders>
              <w:tl2br w:val="nil"/>
              <w:tr2bl w:val="nil"/>
            </w:tcBorders>
            <w:shd w:val="clear" w:color="auto" w:fill="auto"/>
            <w:noWrap/>
            <w:tcMar>
              <w:top w:w="15" w:type="dxa"/>
              <w:left w:w="15" w:type="dxa"/>
              <w:right w:w="15" w:type="dxa"/>
            </w:tcMar>
            <w:vAlign w:val="center"/>
          </w:tcPr>
          <w:p w14:paraId="12B2D036">
            <w:pPr>
              <w:widowControl/>
              <w:spacing w:line="240" w:lineRule="auto"/>
              <w:jc w:val="center"/>
              <w:textAlignment w:val="center"/>
              <w:rPr>
                <w:kern w:val="0"/>
                <w:sz w:val="21"/>
                <w:szCs w:val="21"/>
                <w:highlight w:val="none"/>
                <w:lang w:bidi="ar"/>
              </w:rPr>
            </w:pPr>
          </w:p>
        </w:tc>
        <w:tc>
          <w:tcPr>
            <w:tcW w:w="2640" w:type="dxa"/>
            <w:tcBorders>
              <w:tl2br w:val="nil"/>
              <w:tr2bl w:val="nil"/>
            </w:tcBorders>
            <w:shd w:val="clear" w:color="auto" w:fill="auto"/>
            <w:noWrap/>
            <w:tcMar>
              <w:top w:w="15" w:type="dxa"/>
              <w:left w:w="15" w:type="dxa"/>
              <w:right w:w="15" w:type="dxa"/>
            </w:tcMar>
            <w:vAlign w:val="center"/>
          </w:tcPr>
          <w:p w14:paraId="79A433E3">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居住用地</w:t>
            </w:r>
          </w:p>
        </w:tc>
        <w:tc>
          <w:tcPr>
            <w:tcW w:w="4103" w:type="dxa"/>
            <w:tcBorders>
              <w:tl2br w:val="nil"/>
              <w:tr2bl w:val="nil"/>
            </w:tcBorders>
            <w:shd w:val="clear" w:color="auto" w:fill="auto"/>
            <w:noWrap/>
            <w:tcMar>
              <w:top w:w="15" w:type="dxa"/>
              <w:left w:w="15" w:type="dxa"/>
              <w:right w:w="15" w:type="dxa"/>
            </w:tcMar>
            <w:vAlign w:val="center"/>
          </w:tcPr>
          <w:p w14:paraId="6E72BD0E">
            <w:pPr>
              <w:widowControl/>
              <w:spacing w:line="240" w:lineRule="auto"/>
              <w:jc w:val="center"/>
              <w:textAlignment w:val="center"/>
              <w:rPr>
                <w:kern w:val="0"/>
                <w:sz w:val="21"/>
                <w:szCs w:val="21"/>
                <w:highlight w:val="none"/>
                <w:lang w:bidi="ar"/>
              </w:rPr>
            </w:pPr>
            <w:r>
              <w:rPr>
                <w:kern w:val="0"/>
                <w:sz w:val="21"/>
                <w:szCs w:val="21"/>
                <w:highlight w:val="none"/>
                <w:lang w:bidi="ar"/>
              </w:rPr>
              <w:t>第一类用地筛选值</w:t>
            </w:r>
          </w:p>
        </w:tc>
      </w:tr>
      <w:tr w14:paraId="44D131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23AE664B">
            <w:pPr>
              <w:widowControl/>
              <w:spacing w:line="240" w:lineRule="auto"/>
              <w:jc w:val="center"/>
              <w:textAlignment w:val="center"/>
              <w:rPr>
                <w:color w:val="000000"/>
                <w:sz w:val="21"/>
                <w:szCs w:val="21"/>
                <w:highlight w:val="none"/>
              </w:rPr>
            </w:pPr>
            <w:r>
              <w:rPr>
                <w:color w:val="000000"/>
                <w:kern w:val="0"/>
                <w:sz w:val="21"/>
                <w:szCs w:val="21"/>
                <w:highlight w:val="none"/>
                <w:lang w:bidi="ar"/>
              </w:rPr>
              <w:t>3</w:t>
            </w:r>
          </w:p>
        </w:tc>
        <w:tc>
          <w:tcPr>
            <w:tcW w:w="1155" w:type="dxa"/>
            <w:tcBorders>
              <w:tl2br w:val="nil"/>
              <w:tr2bl w:val="nil"/>
            </w:tcBorders>
            <w:shd w:val="clear" w:color="auto" w:fill="auto"/>
            <w:noWrap/>
            <w:tcMar>
              <w:top w:w="15" w:type="dxa"/>
              <w:left w:w="15" w:type="dxa"/>
              <w:right w:w="15" w:type="dxa"/>
            </w:tcMar>
            <w:vAlign w:val="bottom"/>
          </w:tcPr>
          <w:p w14:paraId="36E7A64F">
            <w:pPr>
              <w:widowControl/>
              <w:spacing w:line="240" w:lineRule="auto"/>
              <w:jc w:val="center"/>
              <w:textAlignment w:val="center"/>
              <w:rPr>
                <w:kern w:val="0"/>
                <w:sz w:val="21"/>
                <w:szCs w:val="21"/>
                <w:highlight w:val="none"/>
                <w:lang w:bidi="ar"/>
              </w:rPr>
            </w:pPr>
            <w:r>
              <w:rPr>
                <w:kern w:val="0"/>
                <w:sz w:val="21"/>
                <w:szCs w:val="21"/>
                <w:highlight w:val="none"/>
                <w:lang w:bidi="ar"/>
              </w:rPr>
              <w:t>HH-1-400</w:t>
            </w:r>
            <w:r>
              <w:rPr>
                <w:rFonts w:hint="eastAsia"/>
                <w:kern w:val="0"/>
                <w:sz w:val="21"/>
                <w:szCs w:val="21"/>
                <w:highlight w:val="none"/>
                <w:vertAlign w:val="superscript"/>
                <w:lang w:bidi="ar"/>
              </w:rPr>
              <w:t>②</w:t>
            </w:r>
          </w:p>
        </w:tc>
        <w:tc>
          <w:tcPr>
            <w:tcW w:w="1080" w:type="dxa"/>
            <w:vMerge w:val="continue"/>
            <w:tcBorders>
              <w:tl2br w:val="nil"/>
              <w:tr2bl w:val="nil"/>
            </w:tcBorders>
            <w:shd w:val="clear" w:color="auto" w:fill="auto"/>
            <w:noWrap/>
            <w:tcMar>
              <w:top w:w="15" w:type="dxa"/>
              <w:left w:w="15" w:type="dxa"/>
              <w:right w:w="15" w:type="dxa"/>
            </w:tcMar>
            <w:vAlign w:val="center"/>
          </w:tcPr>
          <w:p w14:paraId="50DFC420">
            <w:pPr>
              <w:widowControl/>
              <w:spacing w:line="240" w:lineRule="auto"/>
              <w:jc w:val="center"/>
              <w:textAlignment w:val="center"/>
              <w:rPr>
                <w:kern w:val="0"/>
                <w:sz w:val="21"/>
                <w:szCs w:val="21"/>
                <w:highlight w:val="none"/>
                <w:lang w:bidi="ar"/>
              </w:rPr>
            </w:pPr>
          </w:p>
        </w:tc>
        <w:tc>
          <w:tcPr>
            <w:tcW w:w="2640" w:type="dxa"/>
            <w:tcBorders>
              <w:tl2br w:val="nil"/>
              <w:tr2bl w:val="nil"/>
            </w:tcBorders>
            <w:shd w:val="clear" w:color="auto" w:fill="auto"/>
            <w:noWrap/>
            <w:tcMar>
              <w:top w:w="15" w:type="dxa"/>
              <w:left w:w="15" w:type="dxa"/>
              <w:right w:w="15" w:type="dxa"/>
            </w:tcMar>
            <w:vAlign w:val="center"/>
          </w:tcPr>
          <w:p w14:paraId="26822AC1">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居住用地</w:t>
            </w:r>
          </w:p>
        </w:tc>
        <w:tc>
          <w:tcPr>
            <w:tcW w:w="4103" w:type="dxa"/>
            <w:tcBorders>
              <w:tl2br w:val="nil"/>
              <w:tr2bl w:val="nil"/>
            </w:tcBorders>
            <w:shd w:val="clear" w:color="auto" w:fill="auto"/>
            <w:noWrap/>
            <w:tcMar>
              <w:top w:w="15" w:type="dxa"/>
              <w:left w:w="15" w:type="dxa"/>
              <w:right w:w="15" w:type="dxa"/>
            </w:tcMar>
            <w:vAlign w:val="center"/>
          </w:tcPr>
          <w:p w14:paraId="4B2860BF">
            <w:pPr>
              <w:widowControl/>
              <w:spacing w:line="240" w:lineRule="auto"/>
              <w:jc w:val="center"/>
              <w:textAlignment w:val="center"/>
              <w:rPr>
                <w:kern w:val="0"/>
                <w:sz w:val="21"/>
                <w:szCs w:val="21"/>
                <w:highlight w:val="none"/>
                <w:lang w:bidi="ar"/>
              </w:rPr>
            </w:pPr>
            <w:r>
              <w:rPr>
                <w:kern w:val="0"/>
                <w:sz w:val="21"/>
                <w:szCs w:val="21"/>
                <w:highlight w:val="none"/>
                <w:lang w:bidi="ar"/>
              </w:rPr>
              <w:t>第一类用地筛选值</w:t>
            </w:r>
          </w:p>
        </w:tc>
      </w:tr>
      <w:tr w14:paraId="0B3673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470489B0">
            <w:pPr>
              <w:widowControl/>
              <w:spacing w:line="240" w:lineRule="auto"/>
              <w:jc w:val="center"/>
              <w:textAlignment w:val="center"/>
              <w:rPr>
                <w:color w:val="000000"/>
                <w:sz w:val="21"/>
                <w:szCs w:val="21"/>
                <w:highlight w:val="none"/>
              </w:rPr>
            </w:pPr>
            <w:r>
              <w:rPr>
                <w:color w:val="000000"/>
                <w:kern w:val="0"/>
                <w:sz w:val="21"/>
                <w:szCs w:val="21"/>
                <w:highlight w:val="none"/>
                <w:lang w:bidi="ar"/>
              </w:rPr>
              <w:t>4</w:t>
            </w:r>
          </w:p>
        </w:tc>
        <w:tc>
          <w:tcPr>
            <w:tcW w:w="1155" w:type="dxa"/>
            <w:tcBorders>
              <w:tl2br w:val="nil"/>
              <w:tr2bl w:val="nil"/>
            </w:tcBorders>
            <w:shd w:val="clear" w:color="auto" w:fill="auto"/>
            <w:noWrap/>
            <w:tcMar>
              <w:top w:w="15" w:type="dxa"/>
              <w:left w:w="15" w:type="dxa"/>
              <w:right w:w="15" w:type="dxa"/>
            </w:tcMar>
            <w:vAlign w:val="bottom"/>
          </w:tcPr>
          <w:p w14:paraId="52F69D1F">
            <w:pPr>
              <w:widowControl/>
              <w:spacing w:line="240" w:lineRule="auto"/>
              <w:jc w:val="center"/>
              <w:textAlignment w:val="center"/>
              <w:rPr>
                <w:kern w:val="0"/>
                <w:sz w:val="21"/>
                <w:szCs w:val="21"/>
                <w:highlight w:val="none"/>
                <w:lang w:bidi="ar"/>
              </w:rPr>
            </w:pPr>
            <w:r>
              <w:rPr>
                <w:kern w:val="0"/>
                <w:sz w:val="21"/>
                <w:szCs w:val="21"/>
                <w:highlight w:val="none"/>
                <w:lang w:bidi="ar"/>
              </w:rPr>
              <w:t>HH-2</w:t>
            </w:r>
          </w:p>
        </w:tc>
        <w:tc>
          <w:tcPr>
            <w:tcW w:w="1080" w:type="dxa"/>
            <w:vMerge w:val="continue"/>
            <w:tcBorders>
              <w:tl2br w:val="nil"/>
              <w:tr2bl w:val="nil"/>
            </w:tcBorders>
            <w:shd w:val="clear" w:color="auto" w:fill="auto"/>
            <w:noWrap/>
            <w:tcMar>
              <w:top w:w="15" w:type="dxa"/>
              <w:left w:w="15" w:type="dxa"/>
              <w:right w:w="15" w:type="dxa"/>
            </w:tcMar>
            <w:vAlign w:val="center"/>
          </w:tcPr>
          <w:p w14:paraId="1989D51F">
            <w:pPr>
              <w:widowControl/>
              <w:spacing w:line="240" w:lineRule="auto"/>
              <w:jc w:val="center"/>
              <w:textAlignment w:val="center"/>
              <w:rPr>
                <w:kern w:val="0"/>
                <w:sz w:val="21"/>
                <w:szCs w:val="21"/>
                <w:highlight w:val="none"/>
                <w:lang w:bidi="ar"/>
              </w:rPr>
            </w:pPr>
          </w:p>
        </w:tc>
        <w:tc>
          <w:tcPr>
            <w:tcW w:w="2640" w:type="dxa"/>
            <w:tcBorders>
              <w:tl2br w:val="nil"/>
              <w:tr2bl w:val="nil"/>
            </w:tcBorders>
            <w:shd w:val="clear" w:color="auto" w:fill="auto"/>
            <w:noWrap/>
            <w:tcMar>
              <w:top w:w="15" w:type="dxa"/>
              <w:left w:w="15" w:type="dxa"/>
              <w:right w:w="15" w:type="dxa"/>
            </w:tcMar>
            <w:vAlign w:val="bottom"/>
          </w:tcPr>
          <w:p w14:paraId="32070DDE">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公共绿地</w:t>
            </w:r>
          </w:p>
        </w:tc>
        <w:tc>
          <w:tcPr>
            <w:tcW w:w="4103" w:type="dxa"/>
            <w:tcBorders>
              <w:tl2br w:val="nil"/>
              <w:tr2bl w:val="nil"/>
            </w:tcBorders>
            <w:shd w:val="clear" w:color="auto" w:fill="auto"/>
            <w:noWrap/>
            <w:tcMar>
              <w:top w:w="15" w:type="dxa"/>
              <w:left w:w="15" w:type="dxa"/>
              <w:right w:w="15" w:type="dxa"/>
            </w:tcMar>
            <w:vAlign w:val="center"/>
          </w:tcPr>
          <w:p w14:paraId="4764E509">
            <w:pPr>
              <w:widowControl/>
              <w:spacing w:line="240" w:lineRule="auto"/>
              <w:jc w:val="center"/>
              <w:textAlignment w:val="center"/>
              <w:rPr>
                <w:kern w:val="0"/>
                <w:sz w:val="21"/>
                <w:szCs w:val="21"/>
                <w:highlight w:val="none"/>
                <w:lang w:bidi="ar"/>
              </w:rPr>
            </w:pPr>
            <w:r>
              <w:rPr>
                <w:kern w:val="0"/>
                <w:sz w:val="21"/>
                <w:szCs w:val="21"/>
                <w:highlight w:val="none"/>
                <w:lang w:bidi="ar"/>
              </w:rPr>
              <w:t>第二类用地筛选值</w:t>
            </w:r>
          </w:p>
        </w:tc>
      </w:tr>
      <w:tr w14:paraId="4C5260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7C637CCD">
            <w:pPr>
              <w:widowControl/>
              <w:spacing w:line="240" w:lineRule="auto"/>
              <w:jc w:val="center"/>
              <w:textAlignment w:val="center"/>
              <w:rPr>
                <w:color w:val="000000"/>
                <w:sz w:val="21"/>
                <w:szCs w:val="21"/>
                <w:highlight w:val="none"/>
              </w:rPr>
            </w:pPr>
            <w:r>
              <w:rPr>
                <w:color w:val="000000"/>
                <w:kern w:val="0"/>
                <w:sz w:val="21"/>
                <w:szCs w:val="21"/>
                <w:highlight w:val="none"/>
                <w:lang w:bidi="ar"/>
              </w:rPr>
              <w:t>5</w:t>
            </w:r>
          </w:p>
        </w:tc>
        <w:tc>
          <w:tcPr>
            <w:tcW w:w="1155" w:type="dxa"/>
            <w:tcBorders>
              <w:tl2br w:val="nil"/>
              <w:tr2bl w:val="nil"/>
            </w:tcBorders>
            <w:shd w:val="clear" w:color="auto" w:fill="auto"/>
            <w:noWrap/>
            <w:tcMar>
              <w:top w:w="15" w:type="dxa"/>
              <w:left w:w="15" w:type="dxa"/>
              <w:right w:w="15" w:type="dxa"/>
            </w:tcMar>
            <w:vAlign w:val="bottom"/>
          </w:tcPr>
          <w:p w14:paraId="23A2B205">
            <w:pPr>
              <w:widowControl/>
              <w:spacing w:line="240" w:lineRule="auto"/>
              <w:jc w:val="center"/>
              <w:textAlignment w:val="center"/>
              <w:rPr>
                <w:kern w:val="0"/>
                <w:sz w:val="21"/>
                <w:szCs w:val="21"/>
                <w:highlight w:val="none"/>
                <w:lang w:bidi="ar"/>
              </w:rPr>
            </w:pPr>
            <w:r>
              <w:rPr>
                <w:kern w:val="0"/>
                <w:sz w:val="21"/>
                <w:szCs w:val="21"/>
                <w:highlight w:val="none"/>
                <w:lang w:bidi="ar"/>
              </w:rPr>
              <w:t>HH-3-75</w:t>
            </w:r>
            <w:r>
              <w:rPr>
                <w:rFonts w:hint="eastAsia"/>
                <w:kern w:val="0"/>
                <w:sz w:val="21"/>
                <w:szCs w:val="21"/>
                <w:highlight w:val="none"/>
                <w:vertAlign w:val="superscript"/>
                <w:lang w:bidi="ar"/>
              </w:rPr>
              <w:t>②</w:t>
            </w:r>
          </w:p>
        </w:tc>
        <w:tc>
          <w:tcPr>
            <w:tcW w:w="1080" w:type="dxa"/>
            <w:vMerge w:val="continue"/>
            <w:tcBorders>
              <w:tl2br w:val="nil"/>
              <w:tr2bl w:val="nil"/>
            </w:tcBorders>
            <w:shd w:val="clear" w:color="auto" w:fill="auto"/>
            <w:noWrap/>
            <w:tcMar>
              <w:top w:w="15" w:type="dxa"/>
              <w:left w:w="15" w:type="dxa"/>
              <w:right w:w="15" w:type="dxa"/>
            </w:tcMar>
            <w:vAlign w:val="center"/>
          </w:tcPr>
          <w:p w14:paraId="0896CE69">
            <w:pPr>
              <w:widowControl/>
              <w:spacing w:line="240" w:lineRule="auto"/>
              <w:jc w:val="center"/>
              <w:textAlignment w:val="center"/>
              <w:rPr>
                <w:kern w:val="0"/>
                <w:sz w:val="21"/>
                <w:szCs w:val="21"/>
                <w:highlight w:val="none"/>
                <w:lang w:bidi="ar"/>
              </w:rPr>
            </w:pPr>
          </w:p>
        </w:tc>
        <w:tc>
          <w:tcPr>
            <w:tcW w:w="2640" w:type="dxa"/>
            <w:tcBorders>
              <w:tl2br w:val="nil"/>
              <w:tr2bl w:val="nil"/>
            </w:tcBorders>
            <w:shd w:val="clear" w:color="auto" w:fill="auto"/>
            <w:noWrap/>
            <w:tcMar>
              <w:top w:w="15" w:type="dxa"/>
              <w:left w:w="15" w:type="dxa"/>
              <w:right w:w="15" w:type="dxa"/>
            </w:tcMar>
            <w:vAlign w:val="bottom"/>
          </w:tcPr>
          <w:p w14:paraId="2315EE3D">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商业金融用地</w:t>
            </w:r>
          </w:p>
        </w:tc>
        <w:tc>
          <w:tcPr>
            <w:tcW w:w="4103" w:type="dxa"/>
            <w:tcBorders>
              <w:tl2br w:val="nil"/>
              <w:tr2bl w:val="nil"/>
            </w:tcBorders>
            <w:shd w:val="clear" w:color="auto" w:fill="auto"/>
            <w:noWrap/>
            <w:tcMar>
              <w:top w:w="15" w:type="dxa"/>
              <w:left w:w="15" w:type="dxa"/>
              <w:right w:w="15" w:type="dxa"/>
            </w:tcMar>
            <w:vAlign w:val="center"/>
          </w:tcPr>
          <w:p w14:paraId="0DE695FB">
            <w:pPr>
              <w:widowControl/>
              <w:spacing w:line="240" w:lineRule="auto"/>
              <w:jc w:val="center"/>
              <w:textAlignment w:val="center"/>
              <w:rPr>
                <w:kern w:val="0"/>
                <w:sz w:val="21"/>
                <w:szCs w:val="21"/>
                <w:highlight w:val="none"/>
                <w:lang w:bidi="ar"/>
              </w:rPr>
            </w:pPr>
            <w:r>
              <w:rPr>
                <w:kern w:val="0"/>
                <w:sz w:val="21"/>
                <w:szCs w:val="21"/>
                <w:highlight w:val="none"/>
                <w:lang w:bidi="ar"/>
              </w:rPr>
              <w:t>第二类用地筛选值</w:t>
            </w:r>
          </w:p>
        </w:tc>
      </w:tr>
      <w:tr w14:paraId="0D32A0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3C18CED7">
            <w:pPr>
              <w:widowControl/>
              <w:spacing w:line="240" w:lineRule="auto"/>
              <w:jc w:val="center"/>
              <w:textAlignment w:val="center"/>
              <w:rPr>
                <w:color w:val="000000"/>
                <w:sz w:val="21"/>
                <w:szCs w:val="21"/>
                <w:highlight w:val="none"/>
              </w:rPr>
            </w:pPr>
            <w:r>
              <w:rPr>
                <w:color w:val="000000"/>
                <w:kern w:val="0"/>
                <w:sz w:val="21"/>
                <w:szCs w:val="21"/>
                <w:highlight w:val="none"/>
                <w:lang w:bidi="ar"/>
              </w:rPr>
              <w:t>6</w:t>
            </w:r>
          </w:p>
        </w:tc>
        <w:tc>
          <w:tcPr>
            <w:tcW w:w="1155" w:type="dxa"/>
            <w:tcBorders>
              <w:tl2br w:val="nil"/>
              <w:tr2bl w:val="nil"/>
            </w:tcBorders>
            <w:shd w:val="clear" w:color="auto" w:fill="auto"/>
            <w:noWrap/>
            <w:tcMar>
              <w:top w:w="15" w:type="dxa"/>
              <w:left w:w="15" w:type="dxa"/>
              <w:right w:w="15" w:type="dxa"/>
            </w:tcMar>
            <w:vAlign w:val="bottom"/>
          </w:tcPr>
          <w:p w14:paraId="06E83FCB">
            <w:pPr>
              <w:widowControl/>
              <w:spacing w:line="240" w:lineRule="auto"/>
              <w:jc w:val="center"/>
              <w:textAlignment w:val="center"/>
              <w:rPr>
                <w:kern w:val="0"/>
                <w:sz w:val="21"/>
                <w:szCs w:val="21"/>
                <w:highlight w:val="none"/>
                <w:lang w:bidi="ar"/>
              </w:rPr>
            </w:pPr>
            <w:r>
              <w:rPr>
                <w:kern w:val="0"/>
                <w:sz w:val="21"/>
                <w:szCs w:val="21"/>
                <w:highlight w:val="none"/>
                <w:lang w:bidi="ar"/>
              </w:rPr>
              <w:t>HH-4</w:t>
            </w:r>
          </w:p>
        </w:tc>
        <w:tc>
          <w:tcPr>
            <w:tcW w:w="1080" w:type="dxa"/>
            <w:vMerge w:val="continue"/>
            <w:tcBorders>
              <w:tl2br w:val="nil"/>
              <w:tr2bl w:val="nil"/>
            </w:tcBorders>
            <w:shd w:val="clear" w:color="auto" w:fill="auto"/>
            <w:noWrap/>
            <w:tcMar>
              <w:top w:w="15" w:type="dxa"/>
              <w:left w:w="15" w:type="dxa"/>
              <w:right w:w="15" w:type="dxa"/>
            </w:tcMar>
            <w:vAlign w:val="center"/>
          </w:tcPr>
          <w:p w14:paraId="2C2D6DD4">
            <w:pPr>
              <w:widowControl/>
              <w:spacing w:line="240" w:lineRule="auto"/>
              <w:jc w:val="center"/>
              <w:textAlignment w:val="center"/>
              <w:rPr>
                <w:kern w:val="0"/>
                <w:sz w:val="21"/>
                <w:szCs w:val="21"/>
                <w:highlight w:val="none"/>
                <w:lang w:bidi="ar"/>
              </w:rPr>
            </w:pPr>
          </w:p>
        </w:tc>
        <w:tc>
          <w:tcPr>
            <w:tcW w:w="2640" w:type="dxa"/>
            <w:tcBorders>
              <w:tl2br w:val="nil"/>
              <w:tr2bl w:val="nil"/>
            </w:tcBorders>
            <w:shd w:val="clear" w:color="auto" w:fill="auto"/>
            <w:noWrap/>
            <w:tcMar>
              <w:top w:w="15" w:type="dxa"/>
              <w:left w:w="15" w:type="dxa"/>
              <w:right w:w="15" w:type="dxa"/>
            </w:tcMar>
            <w:vAlign w:val="center"/>
          </w:tcPr>
          <w:p w14:paraId="4FE85F4C">
            <w:pPr>
              <w:widowControl/>
              <w:spacing w:line="240" w:lineRule="auto"/>
              <w:jc w:val="center"/>
              <w:textAlignment w:val="center"/>
              <w:rPr>
                <w:kern w:val="0"/>
                <w:sz w:val="21"/>
                <w:szCs w:val="21"/>
                <w:highlight w:val="none"/>
                <w:lang w:bidi="ar"/>
              </w:rPr>
            </w:pPr>
            <w:r>
              <w:rPr>
                <w:kern w:val="0"/>
                <w:sz w:val="21"/>
                <w:szCs w:val="21"/>
                <w:highlight w:val="none"/>
                <w:lang w:bidi="ar"/>
              </w:rPr>
              <w:t>农用地：其它</w:t>
            </w:r>
            <w:r>
              <w:rPr>
                <w:rFonts w:hint="eastAsia"/>
                <w:kern w:val="0"/>
                <w:sz w:val="21"/>
                <w:szCs w:val="21"/>
                <w:highlight w:val="none"/>
                <w:vertAlign w:val="superscript"/>
                <w:lang w:bidi="ar"/>
              </w:rPr>
              <w:t>③</w:t>
            </w:r>
          </w:p>
        </w:tc>
        <w:tc>
          <w:tcPr>
            <w:tcW w:w="4103" w:type="dxa"/>
            <w:tcBorders>
              <w:tl2br w:val="nil"/>
              <w:tr2bl w:val="nil"/>
            </w:tcBorders>
            <w:shd w:val="clear" w:color="auto" w:fill="auto"/>
            <w:noWrap/>
            <w:tcMar>
              <w:top w:w="15" w:type="dxa"/>
              <w:left w:w="15" w:type="dxa"/>
              <w:right w:w="15" w:type="dxa"/>
            </w:tcMar>
            <w:vAlign w:val="center"/>
          </w:tcPr>
          <w:p w14:paraId="496973C1">
            <w:pPr>
              <w:widowControl/>
              <w:spacing w:line="240" w:lineRule="auto"/>
              <w:jc w:val="center"/>
              <w:textAlignment w:val="center"/>
              <w:rPr>
                <w:kern w:val="0"/>
                <w:sz w:val="21"/>
                <w:szCs w:val="21"/>
                <w:highlight w:val="none"/>
                <w:lang w:bidi="ar"/>
              </w:rPr>
            </w:pPr>
            <w:r>
              <w:rPr>
                <w:kern w:val="0"/>
                <w:sz w:val="21"/>
                <w:szCs w:val="21"/>
                <w:highlight w:val="none"/>
                <w:lang w:bidi="ar"/>
              </w:rPr>
              <w:t>第一类用地筛选值、GB15618其它</w:t>
            </w:r>
          </w:p>
        </w:tc>
      </w:tr>
      <w:tr w14:paraId="6237AC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1F4B2C07">
            <w:pPr>
              <w:widowControl/>
              <w:spacing w:line="240" w:lineRule="auto"/>
              <w:jc w:val="center"/>
              <w:textAlignment w:val="center"/>
              <w:rPr>
                <w:color w:val="000000"/>
                <w:sz w:val="21"/>
                <w:szCs w:val="21"/>
                <w:highlight w:val="none"/>
              </w:rPr>
            </w:pPr>
            <w:r>
              <w:rPr>
                <w:color w:val="000000"/>
                <w:kern w:val="0"/>
                <w:sz w:val="21"/>
                <w:szCs w:val="21"/>
                <w:highlight w:val="none"/>
                <w:lang w:bidi="ar"/>
              </w:rPr>
              <w:t>7</w:t>
            </w:r>
          </w:p>
        </w:tc>
        <w:tc>
          <w:tcPr>
            <w:tcW w:w="1155" w:type="dxa"/>
            <w:tcBorders>
              <w:tl2br w:val="nil"/>
              <w:tr2bl w:val="nil"/>
            </w:tcBorders>
            <w:shd w:val="clear" w:color="auto" w:fill="auto"/>
            <w:noWrap/>
            <w:tcMar>
              <w:top w:w="15" w:type="dxa"/>
              <w:left w:w="15" w:type="dxa"/>
              <w:right w:w="15" w:type="dxa"/>
            </w:tcMar>
            <w:vAlign w:val="bottom"/>
          </w:tcPr>
          <w:p w14:paraId="0482719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HH-JJ-1</w:t>
            </w:r>
          </w:p>
        </w:tc>
        <w:tc>
          <w:tcPr>
            <w:tcW w:w="1080" w:type="dxa"/>
            <w:vMerge w:val="restart"/>
            <w:tcBorders>
              <w:tl2br w:val="nil"/>
              <w:tr2bl w:val="nil"/>
            </w:tcBorders>
            <w:shd w:val="clear" w:color="auto" w:fill="auto"/>
            <w:noWrap/>
            <w:tcMar>
              <w:top w:w="15" w:type="dxa"/>
              <w:left w:w="15" w:type="dxa"/>
              <w:right w:w="15" w:type="dxa"/>
            </w:tcMar>
            <w:vAlign w:val="center"/>
          </w:tcPr>
          <w:p w14:paraId="109E6BF8">
            <w:pPr>
              <w:widowControl/>
              <w:spacing w:line="240" w:lineRule="auto"/>
              <w:jc w:val="center"/>
              <w:textAlignment w:val="center"/>
              <w:rPr>
                <w:kern w:val="0"/>
                <w:sz w:val="21"/>
                <w:szCs w:val="21"/>
                <w:highlight w:val="none"/>
                <w:lang w:bidi="ar"/>
              </w:rPr>
            </w:pPr>
            <w:r>
              <w:rPr>
                <w:kern w:val="0"/>
                <w:sz w:val="21"/>
                <w:szCs w:val="21"/>
                <w:highlight w:val="none"/>
                <w:lang w:bidi="ar"/>
              </w:rPr>
              <w:t>已建成企业聚集区周边点位</w:t>
            </w:r>
          </w:p>
        </w:tc>
        <w:tc>
          <w:tcPr>
            <w:tcW w:w="2640" w:type="dxa"/>
            <w:tcBorders>
              <w:tl2br w:val="nil"/>
              <w:tr2bl w:val="nil"/>
            </w:tcBorders>
            <w:shd w:val="clear" w:color="auto" w:fill="auto"/>
            <w:noWrap/>
            <w:tcMar>
              <w:top w:w="15" w:type="dxa"/>
              <w:left w:w="15" w:type="dxa"/>
              <w:right w:w="15" w:type="dxa"/>
            </w:tcMar>
            <w:vAlign w:val="bottom"/>
          </w:tcPr>
          <w:p w14:paraId="180C98A8">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居住用地</w:t>
            </w:r>
          </w:p>
        </w:tc>
        <w:tc>
          <w:tcPr>
            <w:tcW w:w="4103" w:type="dxa"/>
            <w:tcBorders>
              <w:tl2br w:val="nil"/>
              <w:tr2bl w:val="nil"/>
            </w:tcBorders>
            <w:shd w:val="clear" w:color="auto" w:fill="auto"/>
            <w:noWrap/>
            <w:tcMar>
              <w:top w:w="15" w:type="dxa"/>
              <w:left w:w="15" w:type="dxa"/>
              <w:right w:w="15" w:type="dxa"/>
            </w:tcMar>
            <w:vAlign w:val="center"/>
          </w:tcPr>
          <w:p w14:paraId="7EEE2264">
            <w:pPr>
              <w:widowControl/>
              <w:spacing w:line="240" w:lineRule="auto"/>
              <w:jc w:val="center"/>
              <w:textAlignment w:val="center"/>
              <w:rPr>
                <w:kern w:val="0"/>
                <w:sz w:val="21"/>
                <w:szCs w:val="21"/>
                <w:highlight w:val="none"/>
                <w:lang w:bidi="ar"/>
              </w:rPr>
            </w:pPr>
            <w:r>
              <w:rPr>
                <w:kern w:val="0"/>
                <w:sz w:val="21"/>
                <w:szCs w:val="21"/>
                <w:highlight w:val="none"/>
                <w:lang w:bidi="ar"/>
              </w:rPr>
              <w:t>第一类用地筛选值</w:t>
            </w:r>
          </w:p>
        </w:tc>
      </w:tr>
      <w:tr w14:paraId="352BF9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488C1AA3">
            <w:pPr>
              <w:widowControl/>
              <w:spacing w:line="240" w:lineRule="auto"/>
              <w:jc w:val="center"/>
              <w:textAlignment w:val="center"/>
              <w:rPr>
                <w:color w:val="000000"/>
                <w:sz w:val="21"/>
                <w:szCs w:val="21"/>
                <w:highlight w:val="none"/>
              </w:rPr>
            </w:pPr>
            <w:r>
              <w:rPr>
                <w:color w:val="000000"/>
                <w:kern w:val="0"/>
                <w:sz w:val="21"/>
                <w:szCs w:val="21"/>
                <w:highlight w:val="none"/>
                <w:lang w:bidi="ar"/>
              </w:rPr>
              <w:t>8</w:t>
            </w:r>
          </w:p>
        </w:tc>
        <w:tc>
          <w:tcPr>
            <w:tcW w:w="1155" w:type="dxa"/>
            <w:tcBorders>
              <w:tl2br w:val="nil"/>
              <w:tr2bl w:val="nil"/>
            </w:tcBorders>
            <w:shd w:val="clear" w:color="auto" w:fill="auto"/>
            <w:noWrap/>
            <w:tcMar>
              <w:top w:w="15" w:type="dxa"/>
              <w:left w:w="15" w:type="dxa"/>
              <w:right w:w="15" w:type="dxa"/>
            </w:tcMar>
            <w:vAlign w:val="bottom"/>
          </w:tcPr>
          <w:p w14:paraId="3E87F4E9">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HH-JJ-2</w:t>
            </w:r>
          </w:p>
        </w:tc>
        <w:tc>
          <w:tcPr>
            <w:tcW w:w="1080" w:type="dxa"/>
            <w:vMerge w:val="continue"/>
            <w:tcBorders>
              <w:tl2br w:val="nil"/>
              <w:tr2bl w:val="nil"/>
            </w:tcBorders>
            <w:shd w:val="clear" w:color="auto" w:fill="auto"/>
            <w:noWrap/>
            <w:tcMar>
              <w:top w:w="15" w:type="dxa"/>
              <w:left w:w="15" w:type="dxa"/>
              <w:right w:w="15" w:type="dxa"/>
            </w:tcMar>
            <w:vAlign w:val="center"/>
          </w:tcPr>
          <w:p w14:paraId="37237DA8">
            <w:pPr>
              <w:widowControl/>
              <w:spacing w:line="240" w:lineRule="auto"/>
              <w:jc w:val="center"/>
              <w:textAlignment w:val="center"/>
              <w:rPr>
                <w:kern w:val="0"/>
                <w:sz w:val="21"/>
                <w:szCs w:val="21"/>
                <w:highlight w:val="none"/>
                <w:lang w:bidi="ar"/>
              </w:rPr>
            </w:pPr>
          </w:p>
        </w:tc>
        <w:tc>
          <w:tcPr>
            <w:tcW w:w="2640" w:type="dxa"/>
            <w:tcBorders>
              <w:tl2br w:val="nil"/>
              <w:tr2bl w:val="nil"/>
            </w:tcBorders>
            <w:shd w:val="clear" w:color="auto" w:fill="auto"/>
            <w:noWrap/>
            <w:tcMar>
              <w:top w:w="15" w:type="dxa"/>
              <w:left w:w="15" w:type="dxa"/>
              <w:right w:w="15" w:type="dxa"/>
            </w:tcMar>
            <w:vAlign w:val="bottom"/>
          </w:tcPr>
          <w:p w14:paraId="28D9F167">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公共绿地</w:t>
            </w:r>
          </w:p>
        </w:tc>
        <w:tc>
          <w:tcPr>
            <w:tcW w:w="4103" w:type="dxa"/>
            <w:tcBorders>
              <w:tl2br w:val="nil"/>
              <w:tr2bl w:val="nil"/>
            </w:tcBorders>
            <w:shd w:val="clear" w:color="auto" w:fill="auto"/>
            <w:noWrap/>
            <w:tcMar>
              <w:top w:w="15" w:type="dxa"/>
              <w:left w:w="15" w:type="dxa"/>
              <w:right w:w="15" w:type="dxa"/>
            </w:tcMar>
            <w:vAlign w:val="center"/>
          </w:tcPr>
          <w:p w14:paraId="081B6BE0">
            <w:pPr>
              <w:widowControl/>
              <w:spacing w:line="240" w:lineRule="auto"/>
              <w:jc w:val="center"/>
              <w:textAlignment w:val="center"/>
              <w:rPr>
                <w:kern w:val="0"/>
                <w:sz w:val="21"/>
                <w:szCs w:val="21"/>
                <w:highlight w:val="none"/>
                <w:lang w:bidi="ar"/>
              </w:rPr>
            </w:pPr>
            <w:r>
              <w:rPr>
                <w:kern w:val="0"/>
                <w:sz w:val="21"/>
                <w:szCs w:val="21"/>
                <w:highlight w:val="none"/>
                <w:lang w:bidi="ar"/>
              </w:rPr>
              <w:t>第二类用地筛选值</w:t>
            </w:r>
          </w:p>
        </w:tc>
      </w:tr>
      <w:tr w14:paraId="5BDC39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087CE524">
            <w:pPr>
              <w:widowControl/>
              <w:spacing w:line="240" w:lineRule="auto"/>
              <w:jc w:val="center"/>
              <w:textAlignment w:val="center"/>
              <w:rPr>
                <w:color w:val="000000"/>
                <w:sz w:val="21"/>
                <w:szCs w:val="21"/>
                <w:highlight w:val="none"/>
              </w:rPr>
            </w:pPr>
            <w:r>
              <w:rPr>
                <w:color w:val="000000"/>
                <w:kern w:val="0"/>
                <w:sz w:val="21"/>
                <w:szCs w:val="21"/>
                <w:highlight w:val="none"/>
                <w:lang w:bidi="ar"/>
              </w:rPr>
              <w:t>9</w:t>
            </w:r>
          </w:p>
        </w:tc>
        <w:tc>
          <w:tcPr>
            <w:tcW w:w="1155" w:type="dxa"/>
            <w:tcBorders>
              <w:tl2br w:val="nil"/>
              <w:tr2bl w:val="nil"/>
            </w:tcBorders>
            <w:shd w:val="clear" w:color="auto" w:fill="auto"/>
            <w:noWrap/>
            <w:tcMar>
              <w:top w:w="15" w:type="dxa"/>
              <w:left w:w="15" w:type="dxa"/>
              <w:right w:w="15" w:type="dxa"/>
            </w:tcMar>
            <w:vAlign w:val="bottom"/>
          </w:tcPr>
          <w:p w14:paraId="4316D1C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HH-JJ-3</w:t>
            </w:r>
          </w:p>
        </w:tc>
        <w:tc>
          <w:tcPr>
            <w:tcW w:w="1080" w:type="dxa"/>
            <w:vMerge w:val="continue"/>
            <w:tcBorders>
              <w:tl2br w:val="nil"/>
              <w:tr2bl w:val="nil"/>
            </w:tcBorders>
            <w:shd w:val="clear" w:color="auto" w:fill="auto"/>
            <w:noWrap/>
            <w:tcMar>
              <w:top w:w="15" w:type="dxa"/>
              <w:left w:w="15" w:type="dxa"/>
              <w:right w:w="15" w:type="dxa"/>
            </w:tcMar>
            <w:vAlign w:val="center"/>
          </w:tcPr>
          <w:p w14:paraId="77FC3E2C">
            <w:pPr>
              <w:widowControl/>
              <w:spacing w:line="240" w:lineRule="auto"/>
              <w:jc w:val="center"/>
              <w:textAlignment w:val="center"/>
              <w:rPr>
                <w:kern w:val="0"/>
                <w:sz w:val="21"/>
                <w:szCs w:val="21"/>
                <w:highlight w:val="none"/>
                <w:lang w:bidi="ar"/>
              </w:rPr>
            </w:pPr>
          </w:p>
        </w:tc>
        <w:tc>
          <w:tcPr>
            <w:tcW w:w="2640" w:type="dxa"/>
            <w:tcBorders>
              <w:tl2br w:val="nil"/>
              <w:tr2bl w:val="nil"/>
            </w:tcBorders>
            <w:shd w:val="clear" w:color="auto" w:fill="auto"/>
            <w:noWrap/>
            <w:tcMar>
              <w:top w:w="15" w:type="dxa"/>
              <w:left w:w="15" w:type="dxa"/>
              <w:right w:w="15" w:type="dxa"/>
            </w:tcMar>
            <w:vAlign w:val="bottom"/>
          </w:tcPr>
          <w:p w14:paraId="083E2155">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居住用地</w:t>
            </w:r>
          </w:p>
        </w:tc>
        <w:tc>
          <w:tcPr>
            <w:tcW w:w="4103" w:type="dxa"/>
            <w:tcBorders>
              <w:tl2br w:val="nil"/>
              <w:tr2bl w:val="nil"/>
            </w:tcBorders>
            <w:shd w:val="clear" w:color="auto" w:fill="auto"/>
            <w:noWrap/>
            <w:tcMar>
              <w:top w:w="15" w:type="dxa"/>
              <w:left w:w="15" w:type="dxa"/>
              <w:right w:w="15" w:type="dxa"/>
            </w:tcMar>
            <w:vAlign w:val="center"/>
          </w:tcPr>
          <w:p w14:paraId="66E5434A">
            <w:pPr>
              <w:widowControl/>
              <w:spacing w:line="240" w:lineRule="auto"/>
              <w:jc w:val="center"/>
              <w:textAlignment w:val="center"/>
              <w:rPr>
                <w:kern w:val="0"/>
                <w:sz w:val="21"/>
                <w:szCs w:val="21"/>
                <w:highlight w:val="none"/>
                <w:lang w:bidi="ar"/>
              </w:rPr>
            </w:pPr>
            <w:r>
              <w:rPr>
                <w:kern w:val="0"/>
                <w:sz w:val="21"/>
                <w:szCs w:val="21"/>
                <w:highlight w:val="none"/>
                <w:lang w:bidi="ar"/>
              </w:rPr>
              <w:t>第一类用地筛选值</w:t>
            </w:r>
          </w:p>
        </w:tc>
      </w:tr>
      <w:tr w14:paraId="5C8202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57BFF51A">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1155" w:type="dxa"/>
            <w:tcBorders>
              <w:tl2br w:val="nil"/>
              <w:tr2bl w:val="nil"/>
            </w:tcBorders>
            <w:shd w:val="clear" w:color="auto" w:fill="auto"/>
            <w:noWrap/>
            <w:tcMar>
              <w:top w:w="15" w:type="dxa"/>
              <w:left w:w="15" w:type="dxa"/>
              <w:right w:w="15" w:type="dxa"/>
            </w:tcMar>
            <w:vAlign w:val="bottom"/>
          </w:tcPr>
          <w:p w14:paraId="26660E9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HH-JJ-4</w:t>
            </w:r>
          </w:p>
        </w:tc>
        <w:tc>
          <w:tcPr>
            <w:tcW w:w="1080" w:type="dxa"/>
            <w:vMerge w:val="continue"/>
            <w:tcBorders>
              <w:tl2br w:val="nil"/>
              <w:tr2bl w:val="nil"/>
            </w:tcBorders>
            <w:shd w:val="clear" w:color="auto" w:fill="auto"/>
            <w:noWrap/>
            <w:tcMar>
              <w:top w:w="15" w:type="dxa"/>
              <w:left w:w="15" w:type="dxa"/>
              <w:right w:w="15" w:type="dxa"/>
            </w:tcMar>
            <w:vAlign w:val="center"/>
          </w:tcPr>
          <w:p w14:paraId="5613C6E4">
            <w:pPr>
              <w:widowControl/>
              <w:spacing w:line="240" w:lineRule="auto"/>
              <w:jc w:val="center"/>
              <w:textAlignment w:val="center"/>
              <w:rPr>
                <w:kern w:val="0"/>
                <w:sz w:val="21"/>
                <w:szCs w:val="21"/>
                <w:highlight w:val="none"/>
                <w:lang w:bidi="ar"/>
              </w:rPr>
            </w:pPr>
          </w:p>
        </w:tc>
        <w:tc>
          <w:tcPr>
            <w:tcW w:w="2640" w:type="dxa"/>
            <w:tcBorders>
              <w:tl2br w:val="nil"/>
              <w:tr2bl w:val="nil"/>
            </w:tcBorders>
            <w:shd w:val="clear" w:color="auto" w:fill="auto"/>
            <w:noWrap/>
            <w:tcMar>
              <w:top w:w="15" w:type="dxa"/>
              <w:left w:w="15" w:type="dxa"/>
              <w:right w:w="15" w:type="dxa"/>
            </w:tcMar>
            <w:vAlign w:val="bottom"/>
          </w:tcPr>
          <w:p w14:paraId="168A1D6F">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居住用地</w:t>
            </w:r>
          </w:p>
        </w:tc>
        <w:tc>
          <w:tcPr>
            <w:tcW w:w="4103" w:type="dxa"/>
            <w:tcBorders>
              <w:tl2br w:val="nil"/>
              <w:tr2bl w:val="nil"/>
            </w:tcBorders>
            <w:shd w:val="clear" w:color="auto" w:fill="auto"/>
            <w:noWrap/>
            <w:tcMar>
              <w:top w:w="15" w:type="dxa"/>
              <w:left w:w="15" w:type="dxa"/>
              <w:right w:w="15" w:type="dxa"/>
            </w:tcMar>
            <w:vAlign w:val="center"/>
          </w:tcPr>
          <w:p w14:paraId="72DA7C2E">
            <w:pPr>
              <w:widowControl/>
              <w:spacing w:line="240" w:lineRule="auto"/>
              <w:jc w:val="center"/>
              <w:textAlignment w:val="center"/>
              <w:rPr>
                <w:kern w:val="0"/>
                <w:sz w:val="21"/>
                <w:szCs w:val="21"/>
                <w:highlight w:val="none"/>
                <w:lang w:bidi="ar"/>
              </w:rPr>
            </w:pPr>
            <w:r>
              <w:rPr>
                <w:kern w:val="0"/>
                <w:sz w:val="21"/>
                <w:szCs w:val="21"/>
                <w:highlight w:val="none"/>
                <w:lang w:bidi="ar"/>
              </w:rPr>
              <w:t>第一类用地筛选值</w:t>
            </w:r>
          </w:p>
        </w:tc>
      </w:tr>
      <w:tr w14:paraId="2FA8A6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6C70375A">
            <w:pPr>
              <w:widowControl/>
              <w:spacing w:line="240" w:lineRule="auto"/>
              <w:jc w:val="center"/>
              <w:textAlignment w:val="center"/>
              <w:rPr>
                <w:color w:val="000000"/>
                <w:sz w:val="21"/>
                <w:szCs w:val="21"/>
                <w:highlight w:val="none"/>
              </w:rPr>
            </w:pPr>
            <w:r>
              <w:rPr>
                <w:color w:val="000000"/>
                <w:kern w:val="0"/>
                <w:sz w:val="21"/>
                <w:szCs w:val="21"/>
                <w:highlight w:val="none"/>
                <w:lang w:bidi="ar"/>
              </w:rPr>
              <w:t>11</w:t>
            </w:r>
          </w:p>
        </w:tc>
        <w:tc>
          <w:tcPr>
            <w:tcW w:w="1155" w:type="dxa"/>
            <w:tcBorders>
              <w:tl2br w:val="nil"/>
              <w:tr2bl w:val="nil"/>
            </w:tcBorders>
            <w:shd w:val="clear" w:color="auto" w:fill="auto"/>
            <w:noWrap/>
            <w:tcMar>
              <w:top w:w="15" w:type="dxa"/>
              <w:left w:w="15" w:type="dxa"/>
              <w:right w:w="15" w:type="dxa"/>
            </w:tcMar>
            <w:vAlign w:val="center"/>
          </w:tcPr>
          <w:p w14:paraId="755F8249">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HH-JJ-5</w:t>
            </w:r>
          </w:p>
        </w:tc>
        <w:tc>
          <w:tcPr>
            <w:tcW w:w="1080" w:type="dxa"/>
            <w:vMerge w:val="continue"/>
            <w:tcBorders>
              <w:tl2br w:val="nil"/>
              <w:tr2bl w:val="nil"/>
            </w:tcBorders>
            <w:shd w:val="clear" w:color="auto" w:fill="auto"/>
            <w:noWrap/>
            <w:tcMar>
              <w:top w:w="15" w:type="dxa"/>
              <w:left w:w="15" w:type="dxa"/>
              <w:right w:w="15" w:type="dxa"/>
            </w:tcMar>
            <w:vAlign w:val="center"/>
          </w:tcPr>
          <w:p w14:paraId="164FEC51">
            <w:pPr>
              <w:widowControl/>
              <w:spacing w:line="240" w:lineRule="auto"/>
              <w:jc w:val="center"/>
              <w:textAlignment w:val="center"/>
              <w:rPr>
                <w:color w:val="000000"/>
                <w:sz w:val="21"/>
                <w:szCs w:val="21"/>
                <w:highlight w:val="none"/>
              </w:rPr>
            </w:pPr>
          </w:p>
        </w:tc>
        <w:tc>
          <w:tcPr>
            <w:tcW w:w="2640" w:type="dxa"/>
            <w:tcBorders>
              <w:tl2br w:val="nil"/>
              <w:tr2bl w:val="nil"/>
            </w:tcBorders>
            <w:shd w:val="clear" w:color="auto" w:fill="auto"/>
            <w:noWrap/>
            <w:tcMar>
              <w:top w:w="15" w:type="dxa"/>
              <w:left w:w="15" w:type="dxa"/>
              <w:right w:w="15" w:type="dxa"/>
            </w:tcMar>
            <w:vAlign w:val="bottom"/>
          </w:tcPr>
          <w:p w14:paraId="3F842039">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公共绿地</w:t>
            </w:r>
          </w:p>
        </w:tc>
        <w:tc>
          <w:tcPr>
            <w:tcW w:w="4103" w:type="dxa"/>
            <w:tcBorders>
              <w:tl2br w:val="nil"/>
              <w:tr2bl w:val="nil"/>
            </w:tcBorders>
            <w:shd w:val="clear" w:color="auto" w:fill="auto"/>
            <w:noWrap/>
            <w:tcMar>
              <w:top w:w="15" w:type="dxa"/>
              <w:left w:w="15" w:type="dxa"/>
              <w:right w:w="15" w:type="dxa"/>
            </w:tcMar>
            <w:vAlign w:val="center"/>
          </w:tcPr>
          <w:p w14:paraId="46EF00D3">
            <w:pPr>
              <w:widowControl/>
              <w:spacing w:line="240" w:lineRule="auto"/>
              <w:jc w:val="center"/>
              <w:textAlignment w:val="center"/>
              <w:rPr>
                <w:color w:val="000000"/>
                <w:sz w:val="21"/>
                <w:szCs w:val="21"/>
                <w:highlight w:val="none"/>
              </w:rPr>
            </w:pPr>
            <w:r>
              <w:rPr>
                <w:kern w:val="0"/>
                <w:sz w:val="21"/>
                <w:szCs w:val="21"/>
                <w:highlight w:val="none"/>
                <w:lang w:bidi="ar"/>
              </w:rPr>
              <w:t>第二类用地筛选值</w:t>
            </w:r>
          </w:p>
        </w:tc>
      </w:tr>
    </w:tbl>
    <w:p w14:paraId="5346AE39">
      <w:pPr>
        <w:pStyle w:val="2"/>
        <w:spacing w:after="0" w:line="240" w:lineRule="auto"/>
        <w:rPr>
          <w:rFonts w:hint="default" w:ascii="Times New Roman" w:hAnsi="Times New Roman" w:cs="Times New Roman"/>
          <w:b/>
          <w:bCs/>
          <w:color w:val="auto"/>
          <w:kern w:val="0"/>
          <w:sz w:val="18"/>
          <w:szCs w:val="18"/>
          <w:highlight w:val="none"/>
          <w:lang w:val="en-US" w:eastAsia="zh-CN"/>
        </w:rPr>
      </w:pPr>
      <w:r>
        <w:rPr>
          <w:rFonts w:hint="default" w:ascii="Times New Roman" w:hAnsi="Times New Roman" w:cs="Times New Roman"/>
          <w:b/>
          <w:bCs/>
          <w:color w:val="auto"/>
          <w:kern w:val="0"/>
          <w:sz w:val="18"/>
          <w:szCs w:val="18"/>
          <w:highlight w:val="none"/>
        </w:rPr>
        <w:t>注：</w:t>
      </w:r>
      <w:r>
        <w:rPr>
          <w:rFonts w:hint="default" w:ascii="Times New Roman" w:hAnsi="Times New Roman" w:cs="Times New Roman"/>
          <w:b/>
          <w:bCs/>
          <w:color w:val="auto"/>
          <w:kern w:val="0"/>
          <w:sz w:val="18"/>
          <w:szCs w:val="18"/>
          <w:highlight w:val="none"/>
          <w:lang w:val="en-US" w:eastAsia="zh-CN"/>
        </w:rPr>
        <w:t>①表列园区周边土壤点位用地类型为现状用地类型，已建成企业聚集区周边点位用地类型为规划用地类型；</w:t>
      </w:r>
    </w:p>
    <w:p w14:paraId="0132189E">
      <w:pPr>
        <w:pStyle w:val="2"/>
        <w:spacing w:after="0" w:line="240" w:lineRule="auto"/>
        <w:ind w:firstLine="361" w:firstLineChars="200"/>
        <w:rPr>
          <w:rFonts w:hint="default" w:ascii="Times New Roman" w:hAnsi="Times New Roman" w:cs="Times New Roman"/>
          <w:b/>
          <w:bCs/>
          <w:color w:val="auto"/>
          <w:kern w:val="0"/>
          <w:sz w:val="18"/>
          <w:szCs w:val="18"/>
          <w:highlight w:val="none"/>
          <w:lang w:val="en-US" w:eastAsia="zh-CN"/>
        </w:rPr>
      </w:pPr>
      <w:r>
        <w:rPr>
          <w:rFonts w:hint="default" w:cs="Times New Roman"/>
          <w:b/>
          <w:bCs/>
          <w:color w:val="auto"/>
          <w:kern w:val="0"/>
          <w:sz w:val="18"/>
          <w:szCs w:val="18"/>
          <w:highlight w:val="none"/>
          <w:lang w:val="en-US" w:eastAsia="zh-CN"/>
        </w:rPr>
        <w:t>②</w:t>
      </w:r>
      <w:r>
        <w:rPr>
          <w:rFonts w:ascii="Times New Roman" w:hAnsi="Times New Roman" w:eastAsia="宋体" w:cs="Times New Roman"/>
          <w:b/>
          <w:bCs/>
          <w:color w:val="auto"/>
          <w:kern w:val="0"/>
          <w:sz w:val="18"/>
          <w:szCs w:val="18"/>
          <w:highlight w:val="none"/>
        </w:rPr>
        <w:t>根据上文中评价标准选择原则，第一类/第二类用地筛选值按GB36600优先于深圳标准进行选择；</w:t>
      </w:r>
    </w:p>
    <w:p w14:paraId="02958115">
      <w:pPr>
        <w:pStyle w:val="2"/>
        <w:spacing w:after="0" w:line="240" w:lineRule="auto"/>
        <w:ind w:firstLine="361" w:firstLineChars="200"/>
        <w:rPr>
          <w:rFonts w:hint="default" w:ascii="Times New Roman" w:hAnsi="Times New Roman" w:eastAsia="宋体" w:cs="Times New Roman"/>
          <w:b/>
          <w:bCs/>
          <w:color w:val="auto"/>
          <w:kern w:val="0"/>
          <w:sz w:val="18"/>
          <w:szCs w:val="18"/>
          <w:highlight w:val="none"/>
          <w:lang w:eastAsia="zh-CN"/>
        </w:rPr>
      </w:pPr>
      <w:r>
        <w:rPr>
          <w:rFonts w:hint="default" w:cs="Times New Roman"/>
          <w:b/>
          <w:bCs/>
          <w:color w:val="auto"/>
          <w:kern w:val="0"/>
          <w:sz w:val="18"/>
          <w:szCs w:val="18"/>
          <w:highlight w:val="none"/>
          <w:lang w:val="en-US" w:eastAsia="zh-CN"/>
        </w:rPr>
        <w:t>③</w:t>
      </w:r>
      <w:r>
        <w:rPr>
          <w:rFonts w:hint="default" w:ascii="Times New Roman" w:hAnsi="Times New Roman" w:cs="Times New Roman"/>
          <w:b/>
          <w:bCs/>
          <w:color w:val="auto"/>
          <w:kern w:val="0"/>
          <w:sz w:val="18"/>
          <w:szCs w:val="18"/>
          <w:highlight w:val="none"/>
        </w:rPr>
        <w:t>其它指GB15618农用地中除果园、水田外的用地</w:t>
      </w:r>
      <w:r>
        <w:rPr>
          <w:rFonts w:hint="default" w:ascii="Times New Roman" w:hAnsi="Times New Roman" w:cs="Times New Roman"/>
          <w:b/>
          <w:bCs/>
          <w:color w:val="auto"/>
          <w:kern w:val="0"/>
          <w:sz w:val="18"/>
          <w:szCs w:val="18"/>
          <w:highlight w:val="none"/>
          <w:lang w:eastAsia="zh-CN"/>
        </w:rPr>
        <w:t>。</w:t>
      </w:r>
    </w:p>
    <w:p w14:paraId="02B307F4">
      <w:pPr>
        <w:pStyle w:val="2"/>
        <w:spacing w:after="0"/>
        <w:ind w:firstLine="480" w:firstLineChars="200"/>
        <w:rPr>
          <w:color w:val="000000"/>
          <w:kern w:val="0"/>
          <w:highlight w:val="none"/>
        </w:rPr>
      </w:pPr>
      <w:r>
        <w:rPr>
          <w:color w:val="000000"/>
          <w:kern w:val="0"/>
          <w:highlight w:val="none"/>
        </w:rPr>
        <w:t>具体标准值如下：</w:t>
      </w:r>
    </w:p>
    <w:p w14:paraId="407E928F">
      <w:pPr>
        <w:spacing w:line="240" w:lineRule="auto"/>
        <w:jc w:val="center"/>
        <w:rPr>
          <w:rFonts w:eastAsia="黑体"/>
          <w:b/>
          <w:bCs/>
          <w:highlight w:val="none"/>
        </w:rPr>
      </w:pPr>
      <w:r>
        <w:rPr>
          <w:rFonts w:eastAsia="黑体"/>
          <w:b/>
          <w:bCs/>
          <w:highlight w:val="none"/>
        </w:rPr>
        <w:t>表5-1-2 建设用地土壤污染风险筛选值（单位：mg/kg）</w:t>
      </w:r>
    </w:p>
    <w:tbl>
      <w:tblPr>
        <w:tblStyle w:val="21"/>
        <w:tblW w:w="9668" w:type="dxa"/>
        <w:jc w:val="center"/>
        <w:tblLayout w:type="fixed"/>
        <w:tblCellMar>
          <w:top w:w="0" w:type="dxa"/>
          <w:left w:w="0" w:type="dxa"/>
          <w:bottom w:w="0" w:type="dxa"/>
          <w:right w:w="0" w:type="dxa"/>
        </w:tblCellMar>
      </w:tblPr>
      <w:tblGrid>
        <w:gridCol w:w="1110"/>
        <w:gridCol w:w="2381"/>
        <w:gridCol w:w="1538"/>
        <w:gridCol w:w="2319"/>
        <w:gridCol w:w="2320"/>
      </w:tblGrid>
      <w:tr w14:paraId="31FEDE98">
        <w:tblPrEx>
          <w:tblCellMar>
            <w:top w:w="0" w:type="dxa"/>
            <w:left w:w="0" w:type="dxa"/>
            <w:bottom w:w="0" w:type="dxa"/>
            <w:right w:w="0" w:type="dxa"/>
          </w:tblCellMar>
        </w:tblPrEx>
        <w:trPr>
          <w:trHeight w:val="23" w:hRule="atLeast"/>
          <w:tblHeader/>
          <w:jc w:val="center"/>
        </w:trPr>
        <w:tc>
          <w:tcPr>
            <w:tcW w:w="1110" w:type="dxa"/>
            <w:tcBorders>
              <w:top w:val="single" w:color="000000" w:sz="12" w:space="0"/>
              <w:left w:val="nil"/>
              <w:bottom w:val="single" w:color="000000" w:sz="12" w:space="0"/>
              <w:right w:val="single" w:color="000000" w:sz="4" w:space="0"/>
            </w:tcBorders>
            <w:shd w:val="clear" w:color="auto" w:fill="auto"/>
            <w:noWrap/>
            <w:tcMar>
              <w:top w:w="15" w:type="dxa"/>
              <w:left w:w="15" w:type="dxa"/>
              <w:right w:w="15" w:type="dxa"/>
            </w:tcMar>
            <w:vAlign w:val="center"/>
          </w:tcPr>
          <w:p w14:paraId="494673DB">
            <w:pPr>
              <w:widowControl/>
              <w:spacing w:line="240" w:lineRule="auto"/>
              <w:jc w:val="center"/>
              <w:textAlignment w:val="center"/>
              <w:rPr>
                <w:b/>
                <w:sz w:val="21"/>
                <w:szCs w:val="21"/>
                <w:highlight w:val="none"/>
              </w:rPr>
            </w:pPr>
            <w:r>
              <w:rPr>
                <w:b/>
                <w:kern w:val="0"/>
                <w:sz w:val="21"/>
                <w:szCs w:val="21"/>
                <w:highlight w:val="none"/>
                <w:lang w:bidi="ar"/>
              </w:rPr>
              <w:t>序号</w:t>
            </w:r>
          </w:p>
        </w:tc>
        <w:tc>
          <w:tcPr>
            <w:tcW w:w="2381" w:type="dxa"/>
            <w:tcBorders>
              <w:top w:val="single" w:color="000000" w:sz="12"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14:paraId="079A9704">
            <w:pPr>
              <w:widowControl/>
              <w:spacing w:line="240" w:lineRule="auto"/>
              <w:jc w:val="center"/>
              <w:textAlignment w:val="center"/>
              <w:rPr>
                <w:b/>
                <w:sz w:val="21"/>
                <w:szCs w:val="21"/>
                <w:highlight w:val="none"/>
              </w:rPr>
            </w:pPr>
            <w:r>
              <w:rPr>
                <w:b/>
                <w:kern w:val="0"/>
                <w:sz w:val="21"/>
                <w:szCs w:val="21"/>
                <w:highlight w:val="none"/>
                <w:lang w:bidi="ar"/>
              </w:rPr>
              <w:t>污染物项目</w:t>
            </w:r>
          </w:p>
        </w:tc>
        <w:tc>
          <w:tcPr>
            <w:tcW w:w="1538" w:type="dxa"/>
            <w:tcBorders>
              <w:top w:val="single" w:color="000000" w:sz="12"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14:paraId="184A3C76">
            <w:pPr>
              <w:widowControl/>
              <w:spacing w:line="240" w:lineRule="auto"/>
              <w:jc w:val="center"/>
              <w:textAlignment w:val="center"/>
              <w:rPr>
                <w:b/>
                <w:sz w:val="21"/>
                <w:szCs w:val="21"/>
                <w:highlight w:val="none"/>
              </w:rPr>
            </w:pPr>
            <w:r>
              <w:rPr>
                <w:b/>
                <w:kern w:val="0"/>
                <w:sz w:val="21"/>
                <w:szCs w:val="21"/>
                <w:highlight w:val="none"/>
                <w:lang w:bidi="ar"/>
              </w:rPr>
              <w:t>CAS号</w:t>
            </w:r>
          </w:p>
        </w:tc>
        <w:tc>
          <w:tcPr>
            <w:tcW w:w="2319" w:type="dxa"/>
            <w:tcBorders>
              <w:top w:val="single" w:color="000000" w:sz="12"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14:paraId="57A8CA00">
            <w:pPr>
              <w:widowControl/>
              <w:spacing w:line="240" w:lineRule="auto"/>
              <w:jc w:val="center"/>
              <w:textAlignment w:val="center"/>
              <w:rPr>
                <w:b/>
                <w:sz w:val="21"/>
                <w:szCs w:val="21"/>
                <w:highlight w:val="none"/>
              </w:rPr>
            </w:pPr>
            <w:r>
              <w:rPr>
                <w:b/>
                <w:kern w:val="0"/>
                <w:sz w:val="21"/>
                <w:szCs w:val="21"/>
                <w:highlight w:val="none"/>
                <w:lang w:bidi="ar"/>
              </w:rPr>
              <w:t>第一类用地筛选值</w:t>
            </w:r>
          </w:p>
        </w:tc>
        <w:tc>
          <w:tcPr>
            <w:tcW w:w="2320" w:type="dxa"/>
            <w:tcBorders>
              <w:top w:val="single" w:color="000000" w:sz="12" w:space="0"/>
              <w:left w:val="single" w:color="000000" w:sz="4" w:space="0"/>
              <w:bottom w:val="single" w:color="000000" w:sz="12" w:space="0"/>
              <w:right w:val="nil"/>
            </w:tcBorders>
            <w:shd w:val="clear" w:color="auto" w:fill="auto"/>
            <w:noWrap/>
            <w:tcMar>
              <w:top w:w="15" w:type="dxa"/>
              <w:left w:w="15" w:type="dxa"/>
              <w:right w:w="15" w:type="dxa"/>
            </w:tcMar>
            <w:vAlign w:val="center"/>
          </w:tcPr>
          <w:p w14:paraId="5696E527">
            <w:pPr>
              <w:widowControl/>
              <w:spacing w:line="240" w:lineRule="auto"/>
              <w:jc w:val="center"/>
              <w:textAlignment w:val="center"/>
              <w:rPr>
                <w:b/>
                <w:sz w:val="21"/>
                <w:szCs w:val="21"/>
                <w:highlight w:val="none"/>
              </w:rPr>
            </w:pPr>
            <w:r>
              <w:rPr>
                <w:b/>
                <w:kern w:val="0"/>
                <w:sz w:val="21"/>
                <w:szCs w:val="21"/>
                <w:highlight w:val="none"/>
                <w:lang w:bidi="ar"/>
              </w:rPr>
              <w:t>第二类用地筛选值</w:t>
            </w:r>
          </w:p>
        </w:tc>
      </w:tr>
      <w:tr w14:paraId="655642FF">
        <w:tblPrEx>
          <w:tblCellMar>
            <w:top w:w="0" w:type="dxa"/>
            <w:left w:w="0" w:type="dxa"/>
            <w:bottom w:w="0" w:type="dxa"/>
            <w:right w:w="0" w:type="dxa"/>
          </w:tblCellMar>
        </w:tblPrEx>
        <w:trPr>
          <w:trHeight w:val="23" w:hRule="atLeast"/>
          <w:jc w:val="center"/>
        </w:trPr>
        <w:tc>
          <w:tcPr>
            <w:tcW w:w="9668" w:type="dxa"/>
            <w:gridSpan w:val="5"/>
            <w:tcBorders>
              <w:top w:val="single" w:color="000000" w:sz="12" w:space="0"/>
              <w:left w:val="nil"/>
              <w:bottom w:val="single" w:color="000000" w:sz="4" w:space="0"/>
              <w:right w:val="nil"/>
            </w:tcBorders>
            <w:shd w:val="clear" w:color="auto" w:fill="auto"/>
            <w:noWrap/>
            <w:tcMar>
              <w:top w:w="15" w:type="dxa"/>
              <w:left w:w="15" w:type="dxa"/>
              <w:right w:w="15" w:type="dxa"/>
            </w:tcMar>
            <w:vAlign w:val="center"/>
          </w:tcPr>
          <w:p w14:paraId="014CD755">
            <w:pPr>
              <w:widowControl/>
              <w:spacing w:line="240" w:lineRule="auto"/>
              <w:jc w:val="center"/>
              <w:textAlignment w:val="center"/>
              <w:rPr>
                <w:sz w:val="21"/>
                <w:szCs w:val="21"/>
                <w:highlight w:val="none"/>
              </w:rPr>
            </w:pPr>
            <w:r>
              <w:rPr>
                <w:kern w:val="0"/>
                <w:sz w:val="21"/>
                <w:szCs w:val="21"/>
                <w:highlight w:val="none"/>
                <w:lang w:bidi="ar"/>
              </w:rPr>
              <w:t>重金属和无机物</w:t>
            </w:r>
          </w:p>
        </w:tc>
      </w:tr>
      <w:tr w14:paraId="144AC2F4">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71B829D">
            <w:pPr>
              <w:widowControl/>
              <w:spacing w:line="240" w:lineRule="auto"/>
              <w:jc w:val="center"/>
              <w:textAlignment w:val="center"/>
              <w:rPr>
                <w:sz w:val="21"/>
                <w:szCs w:val="21"/>
                <w:highlight w:val="none"/>
              </w:rPr>
            </w:pPr>
            <w:r>
              <w:rPr>
                <w:kern w:val="0"/>
                <w:sz w:val="21"/>
                <w:szCs w:val="21"/>
                <w:highlight w:val="none"/>
                <w:lang w:bidi="ar"/>
              </w:rPr>
              <w:t>1</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02121C">
            <w:pPr>
              <w:widowControl/>
              <w:spacing w:line="240" w:lineRule="auto"/>
              <w:jc w:val="center"/>
              <w:textAlignment w:val="center"/>
              <w:rPr>
                <w:sz w:val="21"/>
                <w:szCs w:val="21"/>
                <w:highlight w:val="none"/>
              </w:rPr>
            </w:pPr>
            <w:r>
              <w:rPr>
                <w:rFonts w:hint="eastAsia"/>
                <w:kern w:val="0"/>
                <w:sz w:val="21"/>
                <w:szCs w:val="21"/>
                <w:highlight w:val="none"/>
                <w:lang w:bidi="ar"/>
              </w:rPr>
              <w:t>总氟化物</w:t>
            </w:r>
            <w:r>
              <w:rPr>
                <w:kern w:val="0"/>
                <w:sz w:val="21"/>
                <w:szCs w:val="21"/>
                <w:highlight w:val="none"/>
                <w:vertAlign w:val="superscript"/>
                <w:lang w:bidi="ar"/>
              </w:rPr>
              <w:t>①</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FED70A">
            <w:pPr>
              <w:widowControl/>
              <w:spacing w:line="240" w:lineRule="auto"/>
              <w:jc w:val="center"/>
              <w:textAlignment w:val="center"/>
              <w:rPr>
                <w:sz w:val="21"/>
                <w:szCs w:val="21"/>
                <w:highlight w:val="none"/>
              </w:rPr>
            </w:pPr>
            <w:r>
              <w:rPr>
                <w:sz w:val="21"/>
                <w:szCs w:val="21"/>
                <w:highlight w:val="none"/>
              </w:rPr>
              <w:t>16984-48-8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6AD6FB">
            <w:pPr>
              <w:widowControl/>
              <w:spacing w:line="240" w:lineRule="auto"/>
              <w:jc w:val="center"/>
              <w:textAlignment w:val="center"/>
              <w:rPr>
                <w:sz w:val="21"/>
                <w:szCs w:val="21"/>
                <w:highlight w:val="none"/>
              </w:rPr>
            </w:pPr>
            <w:r>
              <w:rPr>
                <w:kern w:val="0"/>
                <w:sz w:val="21"/>
                <w:szCs w:val="21"/>
                <w:highlight w:val="none"/>
                <w:lang w:bidi="ar"/>
              </w:rPr>
              <w:t>1960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E4F6127">
            <w:pPr>
              <w:widowControl/>
              <w:spacing w:line="240" w:lineRule="auto"/>
              <w:jc w:val="center"/>
              <w:textAlignment w:val="center"/>
              <w:rPr>
                <w:sz w:val="21"/>
                <w:szCs w:val="21"/>
                <w:highlight w:val="none"/>
              </w:rPr>
            </w:pPr>
            <w:r>
              <w:rPr>
                <w:kern w:val="0"/>
                <w:sz w:val="21"/>
                <w:szCs w:val="21"/>
                <w:highlight w:val="none"/>
                <w:lang w:bidi="ar"/>
              </w:rPr>
              <w:t>10000</w:t>
            </w:r>
          </w:p>
        </w:tc>
      </w:tr>
      <w:tr w14:paraId="2A06478D">
        <w:tblPrEx>
          <w:tblCellMar>
            <w:top w:w="0" w:type="dxa"/>
            <w:left w:w="0" w:type="dxa"/>
            <w:bottom w:w="0" w:type="dxa"/>
            <w:right w:w="0" w:type="dxa"/>
          </w:tblCellMar>
        </w:tblPrEx>
        <w:trPr>
          <w:trHeight w:val="23" w:hRule="atLeast"/>
          <w:jc w:val="center"/>
        </w:trPr>
        <w:tc>
          <w:tcPr>
            <w:tcW w:w="1110" w:type="dxa"/>
            <w:tcBorders>
              <w:top w:val="single" w:color="auto"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3B263442">
            <w:pPr>
              <w:widowControl/>
              <w:spacing w:line="240" w:lineRule="auto"/>
              <w:jc w:val="center"/>
              <w:textAlignment w:val="center"/>
              <w:rPr>
                <w:sz w:val="21"/>
                <w:szCs w:val="21"/>
                <w:highlight w:val="none"/>
              </w:rPr>
            </w:pPr>
            <w:r>
              <w:rPr>
                <w:rFonts w:hint="eastAsia"/>
                <w:sz w:val="21"/>
                <w:szCs w:val="21"/>
                <w:highlight w:val="none"/>
              </w:rPr>
              <w:t>2</w:t>
            </w:r>
          </w:p>
        </w:tc>
        <w:tc>
          <w:tcPr>
            <w:tcW w:w="2381"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D85B5D">
            <w:pPr>
              <w:widowControl/>
              <w:spacing w:line="240" w:lineRule="auto"/>
              <w:jc w:val="center"/>
              <w:textAlignment w:val="center"/>
              <w:rPr>
                <w:sz w:val="21"/>
                <w:szCs w:val="21"/>
                <w:highlight w:val="none"/>
              </w:rPr>
            </w:pPr>
            <w:r>
              <w:rPr>
                <w:kern w:val="0"/>
                <w:sz w:val="21"/>
                <w:szCs w:val="21"/>
                <w:highlight w:val="none"/>
                <w:lang w:bidi="ar"/>
              </w:rPr>
              <w:t>铅</w:t>
            </w:r>
          </w:p>
        </w:tc>
        <w:tc>
          <w:tcPr>
            <w:tcW w:w="1538"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A8F262">
            <w:pPr>
              <w:widowControl/>
              <w:spacing w:line="240" w:lineRule="auto"/>
              <w:jc w:val="center"/>
              <w:textAlignment w:val="center"/>
              <w:rPr>
                <w:sz w:val="21"/>
                <w:szCs w:val="21"/>
                <w:highlight w:val="none"/>
              </w:rPr>
            </w:pPr>
            <w:r>
              <w:rPr>
                <w:kern w:val="0"/>
                <w:sz w:val="21"/>
                <w:szCs w:val="21"/>
                <w:highlight w:val="none"/>
                <w:lang w:bidi="ar"/>
              </w:rPr>
              <w:t>7439-92-1</w:t>
            </w:r>
          </w:p>
        </w:tc>
        <w:tc>
          <w:tcPr>
            <w:tcW w:w="2319"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5AF012">
            <w:pPr>
              <w:widowControl/>
              <w:spacing w:line="240" w:lineRule="auto"/>
              <w:jc w:val="center"/>
              <w:textAlignment w:val="center"/>
              <w:rPr>
                <w:sz w:val="21"/>
                <w:szCs w:val="21"/>
                <w:highlight w:val="none"/>
              </w:rPr>
            </w:pPr>
            <w:r>
              <w:rPr>
                <w:kern w:val="0"/>
                <w:sz w:val="21"/>
                <w:szCs w:val="21"/>
                <w:highlight w:val="none"/>
                <w:lang w:bidi="ar"/>
              </w:rPr>
              <w:t>400</w:t>
            </w:r>
          </w:p>
        </w:tc>
        <w:tc>
          <w:tcPr>
            <w:tcW w:w="2320" w:type="dxa"/>
            <w:tcBorders>
              <w:top w:val="single" w:color="auto"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D1C0579">
            <w:pPr>
              <w:widowControl/>
              <w:spacing w:line="240" w:lineRule="auto"/>
              <w:jc w:val="center"/>
              <w:textAlignment w:val="center"/>
              <w:rPr>
                <w:sz w:val="21"/>
                <w:szCs w:val="21"/>
                <w:highlight w:val="none"/>
              </w:rPr>
            </w:pPr>
            <w:r>
              <w:rPr>
                <w:kern w:val="0"/>
                <w:sz w:val="21"/>
                <w:szCs w:val="21"/>
                <w:highlight w:val="none"/>
                <w:lang w:bidi="ar"/>
              </w:rPr>
              <w:t>800</w:t>
            </w:r>
          </w:p>
        </w:tc>
      </w:tr>
      <w:tr w14:paraId="1F4F00BC">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57F5699">
            <w:pPr>
              <w:widowControl/>
              <w:spacing w:line="240" w:lineRule="auto"/>
              <w:jc w:val="center"/>
              <w:textAlignment w:val="center"/>
              <w:rPr>
                <w:sz w:val="21"/>
                <w:szCs w:val="21"/>
                <w:highlight w:val="none"/>
              </w:rPr>
            </w:pPr>
            <w:r>
              <w:rPr>
                <w:kern w:val="0"/>
                <w:sz w:val="21"/>
                <w:szCs w:val="21"/>
                <w:highlight w:val="none"/>
                <w:lang w:bidi="ar"/>
              </w:rPr>
              <w:t>3</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CBD2E2">
            <w:pPr>
              <w:widowControl/>
              <w:spacing w:line="240" w:lineRule="auto"/>
              <w:jc w:val="center"/>
              <w:textAlignment w:val="center"/>
              <w:rPr>
                <w:sz w:val="21"/>
                <w:szCs w:val="21"/>
                <w:highlight w:val="none"/>
              </w:rPr>
            </w:pPr>
            <w:r>
              <w:rPr>
                <w:kern w:val="0"/>
                <w:sz w:val="21"/>
                <w:szCs w:val="21"/>
                <w:highlight w:val="none"/>
                <w:lang w:bidi="ar"/>
              </w:rPr>
              <w:t>汞</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4C3E98">
            <w:pPr>
              <w:widowControl/>
              <w:spacing w:line="240" w:lineRule="auto"/>
              <w:jc w:val="center"/>
              <w:textAlignment w:val="center"/>
              <w:rPr>
                <w:sz w:val="21"/>
                <w:szCs w:val="21"/>
                <w:highlight w:val="none"/>
              </w:rPr>
            </w:pPr>
            <w:r>
              <w:rPr>
                <w:kern w:val="0"/>
                <w:sz w:val="21"/>
                <w:szCs w:val="21"/>
                <w:highlight w:val="none"/>
                <w:lang w:bidi="ar"/>
              </w:rPr>
              <w:t>7439-97-6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165870">
            <w:pPr>
              <w:widowControl/>
              <w:spacing w:line="240" w:lineRule="auto"/>
              <w:jc w:val="center"/>
              <w:textAlignment w:val="center"/>
              <w:rPr>
                <w:sz w:val="21"/>
                <w:szCs w:val="21"/>
                <w:highlight w:val="none"/>
              </w:rPr>
            </w:pPr>
            <w:r>
              <w:rPr>
                <w:kern w:val="0"/>
                <w:sz w:val="21"/>
                <w:szCs w:val="21"/>
                <w:highlight w:val="none"/>
                <w:lang w:bidi="ar"/>
              </w:rPr>
              <w:t>8</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07FC88A">
            <w:pPr>
              <w:widowControl/>
              <w:spacing w:line="240" w:lineRule="auto"/>
              <w:jc w:val="center"/>
              <w:textAlignment w:val="center"/>
              <w:rPr>
                <w:sz w:val="21"/>
                <w:szCs w:val="21"/>
                <w:highlight w:val="none"/>
              </w:rPr>
            </w:pPr>
            <w:r>
              <w:rPr>
                <w:kern w:val="0"/>
                <w:sz w:val="21"/>
                <w:szCs w:val="21"/>
                <w:highlight w:val="none"/>
                <w:lang w:bidi="ar"/>
              </w:rPr>
              <w:t>38</w:t>
            </w:r>
          </w:p>
        </w:tc>
      </w:tr>
      <w:tr w14:paraId="6342F1A5">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494A18B">
            <w:pPr>
              <w:widowControl/>
              <w:spacing w:line="240" w:lineRule="auto"/>
              <w:jc w:val="center"/>
              <w:textAlignment w:val="center"/>
              <w:rPr>
                <w:sz w:val="21"/>
                <w:szCs w:val="21"/>
                <w:highlight w:val="none"/>
              </w:rPr>
            </w:pPr>
            <w:r>
              <w:rPr>
                <w:rFonts w:hint="eastAsia"/>
                <w:sz w:val="21"/>
                <w:szCs w:val="21"/>
                <w:highlight w:val="none"/>
              </w:rPr>
              <w:t>4</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E54114">
            <w:pPr>
              <w:widowControl/>
              <w:spacing w:line="240" w:lineRule="auto"/>
              <w:jc w:val="center"/>
              <w:textAlignment w:val="center"/>
              <w:rPr>
                <w:sz w:val="21"/>
                <w:szCs w:val="21"/>
                <w:highlight w:val="none"/>
              </w:rPr>
            </w:pPr>
            <w:r>
              <w:rPr>
                <w:kern w:val="0"/>
                <w:sz w:val="21"/>
                <w:szCs w:val="21"/>
                <w:highlight w:val="none"/>
                <w:lang w:bidi="ar"/>
              </w:rPr>
              <w:t>镉</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45E96C">
            <w:pPr>
              <w:widowControl/>
              <w:spacing w:line="240" w:lineRule="auto"/>
              <w:jc w:val="center"/>
              <w:textAlignment w:val="center"/>
              <w:rPr>
                <w:sz w:val="21"/>
                <w:szCs w:val="21"/>
                <w:highlight w:val="none"/>
              </w:rPr>
            </w:pPr>
            <w:r>
              <w:rPr>
                <w:kern w:val="0"/>
                <w:sz w:val="21"/>
                <w:szCs w:val="21"/>
                <w:highlight w:val="none"/>
                <w:lang w:bidi="ar"/>
              </w:rPr>
              <w:t>7440-43-9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71B71A">
            <w:pPr>
              <w:widowControl/>
              <w:spacing w:line="240" w:lineRule="auto"/>
              <w:jc w:val="center"/>
              <w:textAlignment w:val="center"/>
              <w:rPr>
                <w:sz w:val="21"/>
                <w:szCs w:val="21"/>
                <w:highlight w:val="none"/>
              </w:rPr>
            </w:pPr>
            <w:r>
              <w:rPr>
                <w:kern w:val="0"/>
                <w:sz w:val="21"/>
                <w:szCs w:val="21"/>
                <w:highlight w:val="none"/>
                <w:lang w:bidi="ar"/>
              </w:rPr>
              <w:t>20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145B751F">
            <w:pPr>
              <w:widowControl/>
              <w:spacing w:line="240" w:lineRule="auto"/>
              <w:jc w:val="center"/>
              <w:textAlignment w:val="center"/>
              <w:rPr>
                <w:sz w:val="21"/>
                <w:szCs w:val="21"/>
                <w:highlight w:val="none"/>
              </w:rPr>
            </w:pPr>
            <w:r>
              <w:rPr>
                <w:kern w:val="0"/>
                <w:sz w:val="21"/>
                <w:szCs w:val="21"/>
                <w:highlight w:val="none"/>
                <w:lang w:bidi="ar"/>
              </w:rPr>
              <w:t>65</w:t>
            </w:r>
          </w:p>
        </w:tc>
      </w:tr>
      <w:tr w14:paraId="53C8FC54">
        <w:tblPrEx>
          <w:tblCellMar>
            <w:top w:w="0" w:type="dxa"/>
            <w:left w:w="0" w:type="dxa"/>
            <w:bottom w:w="0" w:type="dxa"/>
            <w:right w:w="0" w:type="dxa"/>
          </w:tblCellMar>
        </w:tblPrEx>
        <w:trPr>
          <w:trHeight w:val="90"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3BAFFA0">
            <w:pPr>
              <w:widowControl/>
              <w:spacing w:line="240" w:lineRule="auto"/>
              <w:jc w:val="center"/>
              <w:textAlignment w:val="center"/>
              <w:rPr>
                <w:sz w:val="21"/>
                <w:szCs w:val="21"/>
                <w:highlight w:val="none"/>
              </w:rPr>
            </w:pPr>
            <w:r>
              <w:rPr>
                <w:kern w:val="0"/>
                <w:sz w:val="21"/>
                <w:szCs w:val="21"/>
                <w:highlight w:val="none"/>
                <w:lang w:bidi="ar"/>
              </w:rPr>
              <w:t>5</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8173A7">
            <w:pPr>
              <w:widowControl/>
              <w:spacing w:line="240" w:lineRule="auto"/>
              <w:jc w:val="center"/>
              <w:textAlignment w:val="center"/>
              <w:rPr>
                <w:sz w:val="21"/>
                <w:szCs w:val="21"/>
                <w:highlight w:val="none"/>
              </w:rPr>
            </w:pPr>
            <w:r>
              <w:rPr>
                <w:kern w:val="0"/>
                <w:sz w:val="21"/>
                <w:szCs w:val="21"/>
                <w:highlight w:val="none"/>
                <w:lang w:bidi="ar"/>
              </w:rPr>
              <w:t>铜</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466758">
            <w:pPr>
              <w:widowControl/>
              <w:spacing w:line="240" w:lineRule="auto"/>
              <w:jc w:val="center"/>
              <w:textAlignment w:val="center"/>
              <w:rPr>
                <w:sz w:val="21"/>
                <w:szCs w:val="21"/>
                <w:highlight w:val="none"/>
              </w:rPr>
            </w:pPr>
            <w:r>
              <w:rPr>
                <w:kern w:val="0"/>
                <w:sz w:val="21"/>
                <w:szCs w:val="21"/>
                <w:highlight w:val="none"/>
                <w:lang w:bidi="ar"/>
              </w:rPr>
              <w:t>7440-50-8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D599D9">
            <w:pPr>
              <w:widowControl/>
              <w:spacing w:line="240" w:lineRule="auto"/>
              <w:jc w:val="center"/>
              <w:textAlignment w:val="center"/>
              <w:rPr>
                <w:sz w:val="21"/>
                <w:szCs w:val="21"/>
                <w:highlight w:val="none"/>
              </w:rPr>
            </w:pPr>
            <w:r>
              <w:rPr>
                <w:kern w:val="0"/>
                <w:sz w:val="21"/>
                <w:szCs w:val="21"/>
                <w:highlight w:val="none"/>
                <w:lang w:bidi="ar"/>
              </w:rPr>
              <w:t>2000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D7136CA">
            <w:pPr>
              <w:widowControl/>
              <w:spacing w:line="240" w:lineRule="auto"/>
              <w:jc w:val="center"/>
              <w:textAlignment w:val="center"/>
              <w:rPr>
                <w:sz w:val="21"/>
                <w:szCs w:val="21"/>
                <w:highlight w:val="none"/>
              </w:rPr>
            </w:pPr>
            <w:r>
              <w:rPr>
                <w:kern w:val="0"/>
                <w:sz w:val="21"/>
                <w:szCs w:val="21"/>
                <w:highlight w:val="none"/>
                <w:lang w:bidi="ar"/>
              </w:rPr>
              <w:t>18000</w:t>
            </w:r>
          </w:p>
        </w:tc>
      </w:tr>
      <w:tr w14:paraId="60E39C01">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57070FE">
            <w:pPr>
              <w:widowControl/>
              <w:spacing w:line="240" w:lineRule="auto"/>
              <w:jc w:val="center"/>
              <w:textAlignment w:val="center"/>
              <w:rPr>
                <w:sz w:val="21"/>
                <w:szCs w:val="21"/>
                <w:highlight w:val="none"/>
              </w:rPr>
            </w:pPr>
            <w:r>
              <w:rPr>
                <w:kern w:val="0"/>
                <w:sz w:val="21"/>
                <w:szCs w:val="21"/>
                <w:highlight w:val="none"/>
                <w:lang w:bidi="ar"/>
              </w:rPr>
              <w:t>6</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B9EA0E">
            <w:pPr>
              <w:widowControl/>
              <w:spacing w:line="240" w:lineRule="auto"/>
              <w:jc w:val="center"/>
              <w:textAlignment w:val="center"/>
              <w:rPr>
                <w:sz w:val="21"/>
                <w:szCs w:val="21"/>
                <w:highlight w:val="none"/>
              </w:rPr>
            </w:pPr>
            <w:r>
              <w:rPr>
                <w:kern w:val="0"/>
                <w:sz w:val="21"/>
                <w:szCs w:val="21"/>
                <w:highlight w:val="none"/>
                <w:lang w:bidi="ar"/>
              </w:rPr>
              <w:t>镍</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D67014">
            <w:pPr>
              <w:widowControl/>
              <w:spacing w:line="240" w:lineRule="auto"/>
              <w:jc w:val="center"/>
              <w:textAlignment w:val="center"/>
              <w:rPr>
                <w:sz w:val="21"/>
                <w:szCs w:val="21"/>
                <w:highlight w:val="none"/>
              </w:rPr>
            </w:pPr>
            <w:r>
              <w:rPr>
                <w:kern w:val="0"/>
                <w:sz w:val="21"/>
                <w:szCs w:val="21"/>
                <w:highlight w:val="none"/>
                <w:lang w:bidi="ar"/>
              </w:rPr>
              <w:t>7440-02-0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11ADBE">
            <w:pPr>
              <w:widowControl/>
              <w:spacing w:line="240" w:lineRule="auto"/>
              <w:jc w:val="center"/>
              <w:textAlignment w:val="center"/>
              <w:rPr>
                <w:sz w:val="21"/>
                <w:szCs w:val="21"/>
                <w:highlight w:val="none"/>
              </w:rPr>
            </w:pPr>
            <w:r>
              <w:rPr>
                <w:kern w:val="0"/>
                <w:sz w:val="21"/>
                <w:szCs w:val="21"/>
                <w:highlight w:val="none"/>
                <w:lang w:bidi="ar"/>
              </w:rPr>
              <w:t>150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11DD7547">
            <w:pPr>
              <w:widowControl/>
              <w:spacing w:line="240" w:lineRule="auto"/>
              <w:jc w:val="center"/>
              <w:textAlignment w:val="center"/>
              <w:rPr>
                <w:sz w:val="21"/>
                <w:szCs w:val="21"/>
                <w:highlight w:val="none"/>
              </w:rPr>
            </w:pPr>
            <w:r>
              <w:rPr>
                <w:kern w:val="0"/>
                <w:sz w:val="21"/>
                <w:szCs w:val="21"/>
                <w:highlight w:val="none"/>
                <w:lang w:bidi="ar"/>
              </w:rPr>
              <w:t>900</w:t>
            </w:r>
          </w:p>
        </w:tc>
      </w:tr>
      <w:tr w14:paraId="47B1F632">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2F28245">
            <w:pPr>
              <w:widowControl/>
              <w:spacing w:line="240" w:lineRule="auto"/>
              <w:jc w:val="center"/>
              <w:textAlignment w:val="center"/>
              <w:rPr>
                <w:sz w:val="21"/>
                <w:szCs w:val="21"/>
                <w:highlight w:val="none"/>
              </w:rPr>
            </w:pPr>
            <w:r>
              <w:rPr>
                <w:kern w:val="0"/>
                <w:sz w:val="21"/>
                <w:szCs w:val="21"/>
                <w:highlight w:val="none"/>
                <w:lang w:bidi="ar"/>
              </w:rPr>
              <w:t>7</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21E41C">
            <w:pPr>
              <w:widowControl/>
              <w:spacing w:line="240" w:lineRule="auto"/>
              <w:jc w:val="center"/>
              <w:textAlignment w:val="center"/>
              <w:rPr>
                <w:kern w:val="0"/>
                <w:sz w:val="21"/>
                <w:szCs w:val="21"/>
                <w:highlight w:val="none"/>
                <w:lang w:bidi="ar"/>
              </w:rPr>
            </w:pPr>
            <w:r>
              <w:rPr>
                <w:kern w:val="0"/>
                <w:sz w:val="21"/>
                <w:szCs w:val="21"/>
                <w:highlight w:val="none"/>
                <w:lang w:bidi="ar"/>
              </w:rPr>
              <w:t>铬</w:t>
            </w:r>
            <w:r>
              <w:rPr>
                <w:kern w:val="0"/>
                <w:sz w:val="21"/>
                <w:szCs w:val="21"/>
                <w:highlight w:val="none"/>
                <w:vertAlign w:val="superscript"/>
                <w:lang w:bidi="ar"/>
              </w:rPr>
              <w:t>①</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FBDF2D">
            <w:pPr>
              <w:widowControl/>
              <w:spacing w:line="240" w:lineRule="auto"/>
              <w:jc w:val="center"/>
              <w:textAlignment w:val="center"/>
              <w:rPr>
                <w:kern w:val="0"/>
                <w:sz w:val="21"/>
                <w:szCs w:val="21"/>
                <w:highlight w:val="none"/>
                <w:lang w:bidi="ar"/>
              </w:rPr>
            </w:pPr>
            <w:r>
              <w:rPr>
                <w:kern w:val="0"/>
                <w:sz w:val="21"/>
                <w:szCs w:val="21"/>
                <w:highlight w:val="none"/>
                <w:lang w:bidi="ar"/>
              </w:rPr>
              <w:t>7440-47-3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44EE6D">
            <w:pPr>
              <w:widowControl/>
              <w:spacing w:line="240" w:lineRule="auto"/>
              <w:jc w:val="center"/>
              <w:textAlignment w:val="center"/>
              <w:rPr>
                <w:kern w:val="0"/>
                <w:sz w:val="21"/>
                <w:szCs w:val="21"/>
                <w:highlight w:val="none"/>
                <w:lang w:bidi="ar"/>
              </w:rPr>
            </w:pPr>
            <w:r>
              <w:rPr>
                <w:kern w:val="0"/>
                <w:sz w:val="21"/>
                <w:szCs w:val="21"/>
                <w:highlight w:val="none"/>
                <w:lang w:bidi="ar"/>
              </w:rPr>
              <w:t>1210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C709EEF">
            <w:pPr>
              <w:widowControl/>
              <w:spacing w:line="240" w:lineRule="auto"/>
              <w:jc w:val="center"/>
              <w:textAlignment w:val="center"/>
              <w:rPr>
                <w:kern w:val="0"/>
                <w:sz w:val="21"/>
                <w:szCs w:val="21"/>
                <w:highlight w:val="none"/>
                <w:lang w:bidi="ar"/>
              </w:rPr>
            </w:pPr>
            <w:r>
              <w:rPr>
                <w:kern w:val="0"/>
                <w:sz w:val="21"/>
                <w:szCs w:val="21"/>
                <w:highlight w:val="none"/>
                <w:lang w:bidi="ar"/>
              </w:rPr>
              <w:t>2420</w:t>
            </w:r>
          </w:p>
        </w:tc>
      </w:tr>
      <w:tr w14:paraId="6E86E6C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8FC4830">
            <w:pPr>
              <w:widowControl/>
              <w:spacing w:line="240" w:lineRule="auto"/>
              <w:jc w:val="center"/>
              <w:textAlignment w:val="center"/>
              <w:rPr>
                <w:kern w:val="0"/>
                <w:sz w:val="21"/>
                <w:szCs w:val="21"/>
                <w:highlight w:val="none"/>
                <w:lang w:bidi="ar"/>
              </w:rPr>
            </w:pPr>
            <w:r>
              <w:rPr>
                <w:kern w:val="0"/>
                <w:sz w:val="21"/>
                <w:szCs w:val="21"/>
                <w:highlight w:val="none"/>
                <w:lang w:bidi="ar"/>
              </w:rPr>
              <w:t>8</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A7CD8E">
            <w:pPr>
              <w:widowControl/>
              <w:spacing w:line="240" w:lineRule="auto"/>
              <w:jc w:val="center"/>
              <w:textAlignment w:val="center"/>
              <w:rPr>
                <w:kern w:val="0"/>
                <w:sz w:val="21"/>
                <w:szCs w:val="21"/>
                <w:highlight w:val="none"/>
                <w:lang w:bidi="ar"/>
              </w:rPr>
            </w:pPr>
            <w:r>
              <w:rPr>
                <w:kern w:val="0"/>
                <w:sz w:val="21"/>
                <w:szCs w:val="21"/>
                <w:highlight w:val="none"/>
                <w:lang w:bidi="ar"/>
              </w:rPr>
              <w:t>铬（六价）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1AC742">
            <w:pPr>
              <w:widowControl/>
              <w:spacing w:line="240" w:lineRule="auto"/>
              <w:jc w:val="center"/>
              <w:textAlignment w:val="center"/>
              <w:rPr>
                <w:kern w:val="0"/>
                <w:sz w:val="21"/>
                <w:szCs w:val="21"/>
                <w:highlight w:val="none"/>
                <w:lang w:bidi="ar"/>
              </w:rPr>
            </w:pPr>
            <w:r>
              <w:rPr>
                <w:kern w:val="0"/>
                <w:sz w:val="21"/>
                <w:szCs w:val="21"/>
                <w:highlight w:val="none"/>
                <w:lang w:bidi="ar"/>
              </w:rPr>
              <w:t>18540-29-9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945B57">
            <w:pPr>
              <w:widowControl/>
              <w:spacing w:line="240" w:lineRule="auto"/>
              <w:jc w:val="center"/>
              <w:textAlignment w:val="center"/>
              <w:rPr>
                <w:kern w:val="0"/>
                <w:sz w:val="21"/>
                <w:szCs w:val="21"/>
                <w:highlight w:val="none"/>
                <w:lang w:bidi="ar"/>
              </w:rPr>
            </w:pPr>
            <w:r>
              <w:rPr>
                <w:kern w:val="0"/>
                <w:sz w:val="21"/>
                <w:szCs w:val="21"/>
                <w:highlight w:val="none"/>
                <w:lang w:bidi="ar"/>
              </w:rPr>
              <w:t>3.0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D4398F7">
            <w:pPr>
              <w:widowControl/>
              <w:spacing w:line="240" w:lineRule="auto"/>
              <w:jc w:val="center"/>
              <w:textAlignment w:val="center"/>
              <w:rPr>
                <w:kern w:val="0"/>
                <w:sz w:val="21"/>
                <w:szCs w:val="21"/>
                <w:highlight w:val="none"/>
                <w:lang w:bidi="ar"/>
              </w:rPr>
            </w:pPr>
            <w:r>
              <w:rPr>
                <w:kern w:val="0"/>
                <w:sz w:val="21"/>
                <w:szCs w:val="21"/>
                <w:highlight w:val="none"/>
                <w:lang w:bidi="ar"/>
              </w:rPr>
              <w:t>5.7</w:t>
            </w:r>
          </w:p>
        </w:tc>
      </w:tr>
      <w:tr w14:paraId="726E4858">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390F910">
            <w:pPr>
              <w:widowControl/>
              <w:spacing w:line="240" w:lineRule="auto"/>
              <w:jc w:val="center"/>
              <w:textAlignment w:val="center"/>
              <w:rPr>
                <w:kern w:val="0"/>
                <w:sz w:val="21"/>
                <w:szCs w:val="21"/>
                <w:highlight w:val="none"/>
                <w:lang w:bidi="ar"/>
              </w:rPr>
            </w:pPr>
            <w:r>
              <w:rPr>
                <w:kern w:val="0"/>
                <w:sz w:val="21"/>
                <w:szCs w:val="21"/>
                <w:highlight w:val="none"/>
                <w:lang w:bidi="ar"/>
              </w:rPr>
              <w:t>9</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9934FE">
            <w:pPr>
              <w:widowControl/>
              <w:spacing w:line="240" w:lineRule="auto"/>
              <w:jc w:val="center"/>
              <w:textAlignment w:val="center"/>
              <w:rPr>
                <w:sz w:val="21"/>
                <w:szCs w:val="21"/>
                <w:highlight w:val="none"/>
              </w:rPr>
            </w:pPr>
            <w:r>
              <w:rPr>
                <w:kern w:val="0"/>
                <w:sz w:val="21"/>
                <w:szCs w:val="21"/>
                <w:highlight w:val="none"/>
                <w:lang w:bidi="ar"/>
              </w:rPr>
              <w:t>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026D95">
            <w:pPr>
              <w:widowControl/>
              <w:spacing w:line="240" w:lineRule="auto"/>
              <w:jc w:val="center"/>
              <w:textAlignment w:val="center"/>
              <w:rPr>
                <w:sz w:val="21"/>
                <w:szCs w:val="21"/>
                <w:highlight w:val="none"/>
              </w:rPr>
            </w:pPr>
            <w:r>
              <w:rPr>
                <w:kern w:val="0"/>
                <w:sz w:val="21"/>
                <w:szCs w:val="21"/>
                <w:highlight w:val="none"/>
                <w:lang w:bidi="ar"/>
              </w:rPr>
              <w:t>7440-38-2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C2B3C0">
            <w:pPr>
              <w:widowControl/>
              <w:spacing w:line="240" w:lineRule="auto"/>
              <w:jc w:val="center"/>
              <w:textAlignment w:val="center"/>
              <w:rPr>
                <w:sz w:val="21"/>
                <w:szCs w:val="21"/>
                <w:highlight w:val="none"/>
              </w:rPr>
            </w:pPr>
            <w:r>
              <w:rPr>
                <w:kern w:val="0"/>
                <w:sz w:val="21"/>
                <w:szCs w:val="21"/>
                <w:highlight w:val="none"/>
                <w:lang w:bidi="ar"/>
              </w:rPr>
              <w:t>20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BC3D256">
            <w:pPr>
              <w:widowControl/>
              <w:spacing w:line="240" w:lineRule="auto"/>
              <w:jc w:val="center"/>
              <w:textAlignment w:val="center"/>
              <w:rPr>
                <w:sz w:val="21"/>
                <w:szCs w:val="21"/>
                <w:highlight w:val="none"/>
              </w:rPr>
            </w:pPr>
            <w:r>
              <w:rPr>
                <w:kern w:val="0"/>
                <w:sz w:val="21"/>
                <w:szCs w:val="21"/>
                <w:highlight w:val="none"/>
                <w:lang w:bidi="ar"/>
              </w:rPr>
              <w:t>60</w:t>
            </w:r>
          </w:p>
        </w:tc>
      </w:tr>
      <w:tr w14:paraId="341DBD03">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2F1485B">
            <w:pPr>
              <w:widowControl/>
              <w:spacing w:line="240" w:lineRule="auto"/>
              <w:jc w:val="center"/>
              <w:textAlignment w:val="center"/>
              <w:rPr>
                <w:sz w:val="21"/>
                <w:szCs w:val="21"/>
                <w:highlight w:val="none"/>
              </w:rPr>
            </w:pPr>
            <w:r>
              <w:rPr>
                <w:kern w:val="0"/>
                <w:sz w:val="21"/>
                <w:szCs w:val="21"/>
                <w:highlight w:val="none"/>
                <w:lang w:bidi="ar"/>
              </w:rPr>
              <w:t>10</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76E8D3">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锑</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F98BD1">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7</w:t>
            </w:r>
            <w:r>
              <w:rPr>
                <w:kern w:val="0"/>
                <w:sz w:val="21"/>
                <w:szCs w:val="21"/>
                <w:highlight w:val="none"/>
                <w:lang w:bidi="ar"/>
              </w:rPr>
              <w:t>440</w:t>
            </w:r>
            <w:r>
              <w:rPr>
                <w:rFonts w:hint="eastAsia"/>
                <w:kern w:val="0"/>
                <w:sz w:val="21"/>
                <w:szCs w:val="21"/>
                <w:highlight w:val="none"/>
                <w:lang w:bidi="ar"/>
              </w:rPr>
              <w:t>-</w:t>
            </w:r>
            <w:r>
              <w:rPr>
                <w:kern w:val="0"/>
                <w:sz w:val="21"/>
                <w:szCs w:val="21"/>
                <w:highlight w:val="none"/>
                <w:lang w:bidi="ar"/>
              </w:rPr>
              <w:t>36</w:t>
            </w:r>
            <w:r>
              <w:rPr>
                <w:rFonts w:hint="eastAsia"/>
                <w:kern w:val="0"/>
                <w:sz w:val="21"/>
                <w:szCs w:val="21"/>
                <w:highlight w:val="none"/>
                <w:lang w:bidi="ar"/>
              </w:rPr>
              <w:t>-</w:t>
            </w:r>
            <w:r>
              <w:rPr>
                <w:kern w:val="0"/>
                <w:sz w:val="21"/>
                <w:szCs w:val="21"/>
                <w:highlight w:val="none"/>
                <w:lang w:bidi="ar"/>
              </w:rPr>
              <w:t>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D4D954">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2</w:t>
            </w:r>
            <w:r>
              <w:rPr>
                <w:kern w:val="0"/>
                <w:sz w:val="21"/>
                <w:szCs w:val="21"/>
                <w:highlight w:val="none"/>
                <w:lang w:bidi="ar"/>
              </w:rPr>
              <w:t>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B246E47">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1</w:t>
            </w:r>
            <w:r>
              <w:rPr>
                <w:kern w:val="0"/>
                <w:sz w:val="21"/>
                <w:szCs w:val="21"/>
                <w:highlight w:val="none"/>
                <w:lang w:bidi="ar"/>
              </w:rPr>
              <w:t>80</w:t>
            </w:r>
          </w:p>
        </w:tc>
      </w:tr>
      <w:tr w14:paraId="6E44C21F">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163B0E05">
            <w:pPr>
              <w:widowControl/>
              <w:spacing w:line="240" w:lineRule="auto"/>
              <w:jc w:val="center"/>
              <w:textAlignment w:val="center"/>
              <w:rPr>
                <w:kern w:val="0"/>
                <w:sz w:val="21"/>
                <w:szCs w:val="21"/>
                <w:highlight w:val="none"/>
                <w:lang w:bidi="ar"/>
              </w:rPr>
            </w:pPr>
            <w:r>
              <w:rPr>
                <w:kern w:val="0"/>
                <w:sz w:val="21"/>
                <w:szCs w:val="21"/>
                <w:highlight w:val="none"/>
                <w:lang w:bidi="ar"/>
              </w:rPr>
              <w:t>有机物 - 石油烃</w:t>
            </w:r>
          </w:p>
        </w:tc>
      </w:tr>
      <w:tr w14:paraId="2CBA4C60">
        <w:tblPrEx>
          <w:tblCellMar>
            <w:top w:w="0" w:type="dxa"/>
            <w:left w:w="0" w:type="dxa"/>
            <w:bottom w:w="0" w:type="dxa"/>
            <w:right w:w="0" w:type="dxa"/>
          </w:tblCellMar>
        </w:tblPrEx>
        <w:trPr>
          <w:trHeight w:val="90"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F545F5B">
            <w:pPr>
              <w:widowControl/>
              <w:spacing w:line="240" w:lineRule="auto"/>
              <w:jc w:val="center"/>
              <w:textAlignment w:val="center"/>
              <w:rPr>
                <w:kern w:val="0"/>
                <w:sz w:val="21"/>
                <w:szCs w:val="21"/>
                <w:highlight w:val="none"/>
                <w:lang w:bidi="ar"/>
              </w:rPr>
            </w:pPr>
            <w:r>
              <w:rPr>
                <w:kern w:val="0"/>
                <w:sz w:val="21"/>
                <w:szCs w:val="21"/>
                <w:highlight w:val="none"/>
                <w:lang w:bidi="ar"/>
              </w:rPr>
              <w:t>1</w:t>
            </w:r>
            <w:r>
              <w:rPr>
                <w:rFonts w:hint="eastAsia"/>
                <w:kern w:val="0"/>
                <w:sz w:val="21"/>
                <w:szCs w:val="21"/>
                <w:highlight w:val="none"/>
                <w:lang w:bidi="ar"/>
              </w:rPr>
              <w:t>1</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626410">
            <w:pPr>
              <w:widowControl/>
              <w:spacing w:line="240" w:lineRule="auto"/>
              <w:jc w:val="center"/>
              <w:textAlignment w:val="center"/>
              <w:rPr>
                <w:kern w:val="0"/>
                <w:sz w:val="21"/>
                <w:szCs w:val="21"/>
                <w:highlight w:val="none"/>
                <w:lang w:bidi="ar"/>
              </w:rPr>
            </w:pPr>
            <w:r>
              <w:rPr>
                <w:kern w:val="0"/>
                <w:sz w:val="21"/>
                <w:szCs w:val="21"/>
                <w:highlight w:val="none"/>
                <w:lang w:bidi="ar"/>
              </w:rPr>
              <w:t>石油烃（C</w:t>
            </w:r>
            <w:r>
              <w:rPr>
                <w:kern w:val="0"/>
                <w:sz w:val="21"/>
                <w:szCs w:val="21"/>
                <w:highlight w:val="none"/>
                <w:vertAlign w:val="subscript"/>
                <w:lang w:bidi="ar"/>
              </w:rPr>
              <w:t>10</w:t>
            </w:r>
            <w:r>
              <w:rPr>
                <w:kern w:val="0"/>
                <w:sz w:val="21"/>
                <w:szCs w:val="21"/>
                <w:highlight w:val="none"/>
                <w:lang w:bidi="ar"/>
              </w:rPr>
              <w:t>-C</w:t>
            </w:r>
            <w:r>
              <w:rPr>
                <w:kern w:val="0"/>
                <w:sz w:val="21"/>
                <w:szCs w:val="21"/>
                <w:highlight w:val="none"/>
                <w:vertAlign w:val="subscript"/>
                <w:lang w:bidi="ar"/>
              </w:rPr>
              <w:t>40</w:t>
            </w:r>
            <w:r>
              <w:rPr>
                <w:kern w:val="0"/>
                <w:sz w:val="21"/>
                <w:szCs w:val="21"/>
                <w:highlight w:val="none"/>
                <w:lang w:bidi="ar"/>
              </w:rPr>
              <w:t>）</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08EAE0">
            <w:pPr>
              <w:widowControl/>
              <w:spacing w:line="240" w:lineRule="auto"/>
              <w:jc w:val="center"/>
              <w:textAlignment w:val="center"/>
              <w:rPr>
                <w:kern w:val="0"/>
                <w:sz w:val="21"/>
                <w:szCs w:val="21"/>
                <w:highlight w:val="none"/>
                <w:lang w:bidi="ar"/>
              </w:rPr>
            </w:pPr>
            <w:r>
              <w:rPr>
                <w:kern w:val="0"/>
                <w:sz w:val="21"/>
                <w:szCs w:val="21"/>
                <w:highlight w:val="none"/>
                <w:lang w:bidi="ar"/>
              </w:rPr>
              <w:t>--</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3EE526">
            <w:pPr>
              <w:widowControl/>
              <w:spacing w:line="240" w:lineRule="auto"/>
              <w:jc w:val="center"/>
              <w:textAlignment w:val="center"/>
              <w:rPr>
                <w:kern w:val="0"/>
                <w:sz w:val="21"/>
                <w:szCs w:val="21"/>
                <w:highlight w:val="none"/>
                <w:lang w:bidi="ar"/>
              </w:rPr>
            </w:pPr>
            <w:r>
              <w:rPr>
                <w:kern w:val="0"/>
                <w:sz w:val="21"/>
                <w:szCs w:val="21"/>
                <w:highlight w:val="none"/>
                <w:lang w:bidi="ar"/>
              </w:rPr>
              <w:t>826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CD43FEB">
            <w:pPr>
              <w:widowControl/>
              <w:spacing w:line="240" w:lineRule="auto"/>
              <w:jc w:val="center"/>
              <w:textAlignment w:val="center"/>
              <w:rPr>
                <w:kern w:val="0"/>
                <w:sz w:val="21"/>
                <w:szCs w:val="21"/>
                <w:highlight w:val="none"/>
                <w:lang w:bidi="ar"/>
              </w:rPr>
            </w:pPr>
            <w:r>
              <w:rPr>
                <w:kern w:val="0"/>
                <w:sz w:val="21"/>
                <w:szCs w:val="21"/>
                <w:highlight w:val="none"/>
                <w:lang w:bidi="ar"/>
              </w:rPr>
              <w:t>4500</w:t>
            </w:r>
          </w:p>
        </w:tc>
      </w:tr>
      <w:tr w14:paraId="72A466CA">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4E17B39F">
            <w:pPr>
              <w:widowControl/>
              <w:spacing w:line="240" w:lineRule="auto"/>
              <w:jc w:val="center"/>
              <w:textAlignment w:val="center"/>
              <w:rPr>
                <w:sz w:val="21"/>
                <w:szCs w:val="21"/>
                <w:highlight w:val="none"/>
              </w:rPr>
            </w:pPr>
            <w:r>
              <w:rPr>
                <w:kern w:val="0"/>
                <w:sz w:val="21"/>
                <w:szCs w:val="21"/>
                <w:highlight w:val="none"/>
                <w:lang w:bidi="ar"/>
              </w:rPr>
              <w:t>挥发性有机物 - 单环芳烃类(MAH)</w:t>
            </w:r>
          </w:p>
        </w:tc>
      </w:tr>
      <w:tr w14:paraId="72AE7FED">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629729C">
            <w:pPr>
              <w:widowControl/>
              <w:spacing w:line="240" w:lineRule="auto"/>
              <w:jc w:val="center"/>
              <w:textAlignment w:val="center"/>
              <w:rPr>
                <w:sz w:val="21"/>
                <w:szCs w:val="21"/>
                <w:highlight w:val="none"/>
              </w:rPr>
            </w:pPr>
            <w:r>
              <w:rPr>
                <w:rFonts w:hint="eastAsia"/>
                <w:sz w:val="21"/>
                <w:szCs w:val="21"/>
                <w:highlight w:val="none"/>
              </w:rPr>
              <w:t>12</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A1A2E1">
            <w:pPr>
              <w:widowControl/>
              <w:spacing w:line="240" w:lineRule="auto"/>
              <w:jc w:val="center"/>
              <w:textAlignment w:val="center"/>
              <w:rPr>
                <w:sz w:val="21"/>
                <w:szCs w:val="21"/>
                <w:highlight w:val="none"/>
              </w:rPr>
            </w:pPr>
            <w:r>
              <w:rPr>
                <w:kern w:val="0"/>
                <w:sz w:val="21"/>
                <w:szCs w:val="21"/>
                <w:highlight w:val="none"/>
                <w:lang w:bidi="ar"/>
              </w:rPr>
              <w:t>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BED8DD">
            <w:pPr>
              <w:widowControl/>
              <w:spacing w:line="240" w:lineRule="auto"/>
              <w:jc w:val="center"/>
              <w:textAlignment w:val="center"/>
              <w:rPr>
                <w:sz w:val="21"/>
                <w:szCs w:val="21"/>
                <w:highlight w:val="none"/>
              </w:rPr>
            </w:pPr>
            <w:r>
              <w:rPr>
                <w:kern w:val="0"/>
                <w:sz w:val="21"/>
                <w:szCs w:val="21"/>
                <w:highlight w:val="none"/>
                <w:lang w:bidi="ar"/>
              </w:rPr>
              <w:t>71-43-2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4E5128">
            <w:pPr>
              <w:widowControl/>
              <w:spacing w:line="240" w:lineRule="auto"/>
              <w:jc w:val="center"/>
              <w:textAlignment w:val="center"/>
              <w:rPr>
                <w:sz w:val="21"/>
                <w:szCs w:val="21"/>
                <w:highlight w:val="none"/>
              </w:rPr>
            </w:pPr>
            <w:r>
              <w:rPr>
                <w:kern w:val="0"/>
                <w:sz w:val="21"/>
                <w:szCs w:val="21"/>
                <w:highlight w:val="none"/>
                <w:lang w:bidi="ar"/>
              </w:rPr>
              <w:t>1</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80D2271">
            <w:pPr>
              <w:widowControl/>
              <w:spacing w:line="240" w:lineRule="auto"/>
              <w:jc w:val="center"/>
              <w:textAlignment w:val="center"/>
              <w:rPr>
                <w:sz w:val="21"/>
                <w:szCs w:val="21"/>
                <w:highlight w:val="none"/>
              </w:rPr>
            </w:pPr>
            <w:r>
              <w:rPr>
                <w:kern w:val="0"/>
                <w:sz w:val="21"/>
                <w:szCs w:val="21"/>
                <w:highlight w:val="none"/>
                <w:lang w:bidi="ar"/>
              </w:rPr>
              <w:t>4</w:t>
            </w:r>
          </w:p>
        </w:tc>
      </w:tr>
      <w:tr w14:paraId="665AEA59">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05D8A84">
            <w:pPr>
              <w:widowControl/>
              <w:spacing w:line="240" w:lineRule="auto"/>
              <w:jc w:val="center"/>
              <w:textAlignment w:val="center"/>
              <w:rPr>
                <w:sz w:val="21"/>
                <w:szCs w:val="21"/>
                <w:highlight w:val="none"/>
              </w:rPr>
            </w:pPr>
            <w:r>
              <w:rPr>
                <w:rFonts w:hint="eastAsia"/>
                <w:sz w:val="21"/>
                <w:szCs w:val="21"/>
                <w:highlight w:val="none"/>
              </w:rPr>
              <w:t>13</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869EE5">
            <w:pPr>
              <w:widowControl/>
              <w:spacing w:line="240" w:lineRule="auto"/>
              <w:jc w:val="center"/>
              <w:textAlignment w:val="center"/>
              <w:rPr>
                <w:sz w:val="21"/>
                <w:szCs w:val="21"/>
                <w:highlight w:val="none"/>
              </w:rPr>
            </w:pPr>
            <w:r>
              <w:rPr>
                <w:kern w:val="0"/>
                <w:sz w:val="21"/>
                <w:szCs w:val="21"/>
                <w:highlight w:val="none"/>
                <w:lang w:bidi="ar"/>
              </w:rPr>
              <w:t>甲苯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106054">
            <w:pPr>
              <w:widowControl/>
              <w:spacing w:line="240" w:lineRule="auto"/>
              <w:jc w:val="center"/>
              <w:textAlignment w:val="center"/>
              <w:rPr>
                <w:sz w:val="21"/>
                <w:szCs w:val="21"/>
                <w:highlight w:val="none"/>
              </w:rPr>
            </w:pPr>
            <w:r>
              <w:rPr>
                <w:kern w:val="0"/>
                <w:sz w:val="21"/>
                <w:szCs w:val="21"/>
                <w:highlight w:val="none"/>
                <w:lang w:bidi="ar"/>
              </w:rPr>
              <w:t>108-88-3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9B5FCB">
            <w:pPr>
              <w:widowControl/>
              <w:spacing w:line="240" w:lineRule="auto"/>
              <w:jc w:val="center"/>
              <w:textAlignment w:val="center"/>
              <w:rPr>
                <w:sz w:val="21"/>
                <w:szCs w:val="21"/>
                <w:highlight w:val="none"/>
              </w:rPr>
            </w:pPr>
            <w:r>
              <w:rPr>
                <w:kern w:val="0"/>
                <w:sz w:val="21"/>
                <w:szCs w:val="21"/>
                <w:highlight w:val="none"/>
                <w:lang w:bidi="ar"/>
              </w:rPr>
              <w:t>1200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D0855C3">
            <w:pPr>
              <w:widowControl/>
              <w:spacing w:line="240" w:lineRule="auto"/>
              <w:jc w:val="center"/>
              <w:textAlignment w:val="center"/>
              <w:rPr>
                <w:sz w:val="21"/>
                <w:szCs w:val="21"/>
                <w:highlight w:val="none"/>
              </w:rPr>
            </w:pPr>
            <w:r>
              <w:rPr>
                <w:kern w:val="0"/>
                <w:sz w:val="21"/>
                <w:szCs w:val="21"/>
                <w:highlight w:val="none"/>
                <w:lang w:bidi="ar"/>
              </w:rPr>
              <w:t>1200</w:t>
            </w:r>
          </w:p>
        </w:tc>
      </w:tr>
      <w:tr w14:paraId="7CF071A0">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BBCECD5">
            <w:pPr>
              <w:widowControl/>
              <w:spacing w:line="240" w:lineRule="auto"/>
              <w:jc w:val="center"/>
              <w:textAlignment w:val="center"/>
              <w:rPr>
                <w:sz w:val="21"/>
                <w:szCs w:val="21"/>
                <w:highlight w:val="none"/>
              </w:rPr>
            </w:pPr>
            <w:r>
              <w:rPr>
                <w:rFonts w:hint="eastAsia"/>
                <w:sz w:val="21"/>
                <w:szCs w:val="21"/>
                <w:highlight w:val="none"/>
              </w:rPr>
              <w:t>14</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04E57D">
            <w:pPr>
              <w:widowControl/>
              <w:spacing w:line="240" w:lineRule="auto"/>
              <w:jc w:val="center"/>
              <w:textAlignment w:val="center"/>
              <w:rPr>
                <w:sz w:val="21"/>
                <w:szCs w:val="21"/>
                <w:highlight w:val="none"/>
              </w:rPr>
            </w:pPr>
            <w:r>
              <w:rPr>
                <w:kern w:val="0"/>
                <w:sz w:val="21"/>
                <w:szCs w:val="21"/>
                <w:highlight w:val="none"/>
                <w:lang w:bidi="ar"/>
              </w:rPr>
              <w:t>乙苯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13E4DC">
            <w:pPr>
              <w:widowControl/>
              <w:spacing w:line="240" w:lineRule="auto"/>
              <w:jc w:val="center"/>
              <w:textAlignment w:val="center"/>
              <w:rPr>
                <w:sz w:val="21"/>
                <w:szCs w:val="21"/>
                <w:highlight w:val="none"/>
              </w:rPr>
            </w:pPr>
            <w:r>
              <w:rPr>
                <w:kern w:val="0"/>
                <w:sz w:val="21"/>
                <w:szCs w:val="21"/>
                <w:highlight w:val="none"/>
                <w:lang w:bidi="ar"/>
              </w:rPr>
              <w:t>100-41-4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82CBDC">
            <w:pPr>
              <w:widowControl/>
              <w:spacing w:line="240" w:lineRule="auto"/>
              <w:jc w:val="center"/>
              <w:textAlignment w:val="center"/>
              <w:rPr>
                <w:sz w:val="21"/>
                <w:szCs w:val="21"/>
                <w:highlight w:val="none"/>
              </w:rPr>
            </w:pPr>
            <w:r>
              <w:rPr>
                <w:kern w:val="0"/>
                <w:sz w:val="21"/>
                <w:szCs w:val="21"/>
                <w:highlight w:val="none"/>
                <w:lang w:bidi="ar"/>
              </w:rPr>
              <w:t>7.2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FE7B1EB">
            <w:pPr>
              <w:widowControl/>
              <w:spacing w:line="240" w:lineRule="auto"/>
              <w:jc w:val="center"/>
              <w:textAlignment w:val="center"/>
              <w:rPr>
                <w:sz w:val="21"/>
                <w:szCs w:val="21"/>
                <w:highlight w:val="none"/>
              </w:rPr>
            </w:pPr>
            <w:r>
              <w:rPr>
                <w:kern w:val="0"/>
                <w:sz w:val="21"/>
                <w:szCs w:val="21"/>
                <w:highlight w:val="none"/>
                <w:lang w:bidi="ar"/>
              </w:rPr>
              <w:t>28</w:t>
            </w:r>
          </w:p>
        </w:tc>
      </w:tr>
      <w:tr w14:paraId="615FAE02">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9786781">
            <w:pPr>
              <w:widowControl/>
              <w:spacing w:line="240" w:lineRule="auto"/>
              <w:jc w:val="center"/>
              <w:textAlignment w:val="center"/>
              <w:rPr>
                <w:sz w:val="21"/>
                <w:szCs w:val="21"/>
                <w:highlight w:val="none"/>
              </w:rPr>
            </w:pPr>
            <w:r>
              <w:rPr>
                <w:rFonts w:hint="eastAsia"/>
                <w:kern w:val="0"/>
                <w:sz w:val="21"/>
                <w:szCs w:val="21"/>
                <w:highlight w:val="none"/>
                <w:lang w:bidi="ar"/>
              </w:rPr>
              <w:t>15</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4E5363">
            <w:pPr>
              <w:widowControl/>
              <w:spacing w:line="240" w:lineRule="auto"/>
              <w:jc w:val="center"/>
              <w:textAlignment w:val="center"/>
              <w:rPr>
                <w:sz w:val="21"/>
                <w:szCs w:val="21"/>
                <w:highlight w:val="none"/>
              </w:rPr>
            </w:pPr>
            <w:r>
              <w:rPr>
                <w:kern w:val="0"/>
                <w:sz w:val="21"/>
                <w:szCs w:val="21"/>
                <w:highlight w:val="none"/>
                <w:lang w:bidi="ar"/>
              </w:rPr>
              <w:t>间-二甲苯和对-二甲苯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016F49">
            <w:pPr>
              <w:widowControl/>
              <w:spacing w:line="240" w:lineRule="auto"/>
              <w:jc w:val="center"/>
              <w:textAlignment w:val="center"/>
              <w:rPr>
                <w:sz w:val="21"/>
                <w:szCs w:val="21"/>
                <w:highlight w:val="none"/>
              </w:rPr>
            </w:pPr>
            <w:r>
              <w:rPr>
                <w:kern w:val="0"/>
                <w:sz w:val="21"/>
                <w:szCs w:val="21"/>
                <w:highlight w:val="none"/>
                <w:lang w:bidi="ar"/>
              </w:rPr>
              <w:t>108-38-3 106-42-3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3FFC35">
            <w:pPr>
              <w:widowControl/>
              <w:spacing w:line="240" w:lineRule="auto"/>
              <w:jc w:val="center"/>
              <w:textAlignment w:val="center"/>
              <w:rPr>
                <w:sz w:val="21"/>
                <w:szCs w:val="21"/>
                <w:highlight w:val="none"/>
              </w:rPr>
            </w:pPr>
            <w:r>
              <w:rPr>
                <w:kern w:val="0"/>
                <w:sz w:val="21"/>
                <w:szCs w:val="21"/>
                <w:highlight w:val="none"/>
                <w:lang w:bidi="ar"/>
              </w:rPr>
              <w:t>163</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198620AE">
            <w:pPr>
              <w:widowControl/>
              <w:spacing w:line="240" w:lineRule="auto"/>
              <w:jc w:val="center"/>
              <w:textAlignment w:val="center"/>
              <w:rPr>
                <w:sz w:val="21"/>
                <w:szCs w:val="21"/>
                <w:highlight w:val="none"/>
              </w:rPr>
            </w:pPr>
            <w:r>
              <w:rPr>
                <w:kern w:val="0"/>
                <w:sz w:val="21"/>
                <w:szCs w:val="21"/>
                <w:highlight w:val="none"/>
                <w:lang w:bidi="ar"/>
              </w:rPr>
              <w:t>570</w:t>
            </w:r>
          </w:p>
        </w:tc>
      </w:tr>
      <w:tr w14:paraId="7EB554F2">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9DE2868">
            <w:pPr>
              <w:widowControl/>
              <w:spacing w:line="240" w:lineRule="auto"/>
              <w:jc w:val="center"/>
              <w:textAlignment w:val="center"/>
              <w:rPr>
                <w:sz w:val="21"/>
                <w:szCs w:val="21"/>
                <w:highlight w:val="none"/>
              </w:rPr>
            </w:pPr>
            <w:r>
              <w:rPr>
                <w:kern w:val="0"/>
                <w:sz w:val="21"/>
                <w:szCs w:val="21"/>
                <w:highlight w:val="none"/>
                <w:lang w:bidi="ar"/>
              </w:rPr>
              <w:t>1</w:t>
            </w:r>
            <w:r>
              <w:rPr>
                <w:rFonts w:hint="eastAsia"/>
                <w:kern w:val="0"/>
                <w:sz w:val="21"/>
                <w:szCs w:val="21"/>
                <w:highlight w:val="none"/>
                <w:lang w:bidi="ar"/>
              </w:rPr>
              <w:t>6</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5138CB">
            <w:pPr>
              <w:widowControl/>
              <w:spacing w:line="240" w:lineRule="auto"/>
              <w:jc w:val="center"/>
              <w:textAlignment w:val="center"/>
              <w:rPr>
                <w:sz w:val="21"/>
                <w:szCs w:val="21"/>
                <w:highlight w:val="none"/>
              </w:rPr>
            </w:pPr>
            <w:r>
              <w:rPr>
                <w:kern w:val="0"/>
                <w:sz w:val="21"/>
                <w:szCs w:val="21"/>
                <w:highlight w:val="none"/>
                <w:lang w:bidi="ar"/>
              </w:rPr>
              <w:t>邻-二甲苯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DEA34B">
            <w:pPr>
              <w:widowControl/>
              <w:spacing w:line="240" w:lineRule="auto"/>
              <w:jc w:val="center"/>
              <w:textAlignment w:val="center"/>
              <w:rPr>
                <w:sz w:val="21"/>
                <w:szCs w:val="21"/>
                <w:highlight w:val="none"/>
              </w:rPr>
            </w:pPr>
            <w:r>
              <w:rPr>
                <w:kern w:val="0"/>
                <w:sz w:val="21"/>
                <w:szCs w:val="21"/>
                <w:highlight w:val="none"/>
                <w:lang w:bidi="ar"/>
              </w:rPr>
              <w:t>95-47-6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11379E">
            <w:pPr>
              <w:widowControl/>
              <w:spacing w:line="240" w:lineRule="auto"/>
              <w:jc w:val="center"/>
              <w:textAlignment w:val="center"/>
              <w:rPr>
                <w:sz w:val="21"/>
                <w:szCs w:val="21"/>
                <w:highlight w:val="none"/>
              </w:rPr>
            </w:pPr>
            <w:r>
              <w:rPr>
                <w:kern w:val="0"/>
                <w:sz w:val="21"/>
                <w:szCs w:val="21"/>
                <w:highlight w:val="none"/>
                <w:lang w:bidi="ar"/>
              </w:rPr>
              <w:t>222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10911F7">
            <w:pPr>
              <w:widowControl/>
              <w:spacing w:line="240" w:lineRule="auto"/>
              <w:jc w:val="center"/>
              <w:textAlignment w:val="center"/>
              <w:rPr>
                <w:sz w:val="21"/>
                <w:szCs w:val="21"/>
                <w:highlight w:val="none"/>
              </w:rPr>
            </w:pPr>
            <w:r>
              <w:rPr>
                <w:kern w:val="0"/>
                <w:sz w:val="21"/>
                <w:szCs w:val="21"/>
                <w:highlight w:val="none"/>
                <w:lang w:bidi="ar"/>
              </w:rPr>
              <w:t>640</w:t>
            </w:r>
          </w:p>
        </w:tc>
      </w:tr>
      <w:tr w14:paraId="2960D20F">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CAC0E2B">
            <w:pPr>
              <w:widowControl/>
              <w:spacing w:line="240" w:lineRule="auto"/>
              <w:jc w:val="center"/>
              <w:textAlignment w:val="center"/>
              <w:rPr>
                <w:sz w:val="21"/>
                <w:szCs w:val="21"/>
                <w:highlight w:val="none"/>
              </w:rPr>
            </w:pPr>
            <w:r>
              <w:rPr>
                <w:kern w:val="0"/>
                <w:sz w:val="21"/>
                <w:szCs w:val="21"/>
                <w:highlight w:val="none"/>
                <w:lang w:bidi="ar"/>
              </w:rPr>
              <w:t>1</w:t>
            </w:r>
            <w:r>
              <w:rPr>
                <w:rFonts w:hint="eastAsia"/>
                <w:kern w:val="0"/>
                <w:sz w:val="21"/>
                <w:szCs w:val="21"/>
                <w:highlight w:val="none"/>
                <w:lang w:bidi="ar"/>
              </w:rPr>
              <w:t>7</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A59B77">
            <w:pPr>
              <w:widowControl/>
              <w:spacing w:line="240" w:lineRule="auto"/>
              <w:jc w:val="center"/>
              <w:textAlignment w:val="center"/>
              <w:rPr>
                <w:sz w:val="21"/>
                <w:szCs w:val="21"/>
                <w:highlight w:val="none"/>
              </w:rPr>
            </w:pPr>
            <w:r>
              <w:rPr>
                <w:kern w:val="0"/>
                <w:sz w:val="21"/>
                <w:szCs w:val="21"/>
                <w:highlight w:val="none"/>
                <w:lang w:bidi="ar"/>
              </w:rPr>
              <w:t>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5F3F1B">
            <w:pPr>
              <w:widowControl/>
              <w:spacing w:line="240" w:lineRule="auto"/>
              <w:jc w:val="center"/>
              <w:textAlignment w:val="center"/>
              <w:rPr>
                <w:sz w:val="21"/>
                <w:szCs w:val="21"/>
                <w:highlight w:val="none"/>
              </w:rPr>
            </w:pPr>
            <w:r>
              <w:rPr>
                <w:kern w:val="0"/>
                <w:sz w:val="21"/>
                <w:szCs w:val="21"/>
                <w:highlight w:val="none"/>
                <w:lang w:bidi="ar"/>
              </w:rPr>
              <w:t>100-42-5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B9BF97">
            <w:pPr>
              <w:widowControl/>
              <w:spacing w:line="240" w:lineRule="auto"/>
              <w:jc w:val="center"/>
              <w:textAlignment w:val="center"/>
              <w:rPr>
                <w:sz w:val="21"/>
                <w:szCs w:val="21"/>
                <w:highlight w:val="none"/>
              </w:rPr>
            </w:pPr>
            <w:r>
              <w:rPr>
                <w:kern w:val="0"/>
                <w:sz w:val="21"/>
                <w:szCs w:val="21"/>
                <w:highlight w:val="none"/>
                <w:lang w:bidi="ar"/>
              </w:rPr>
              <w:t>1290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4C1ECC9">
            <w:pPr>
              <w:widowControl/>
              <w:spacing w:line="240" w:lineRule="auto"/>
              <w:jc w:val="center"/>
              <w:textAlignment w:val="center"/>
              <w:rPr>
                <w:sz w:val="21"/>
                <w:szCs w:val="21"/>
                <w:highlight w:val="none"/>
              </w:rPr>
            </w:pPr>
            <w:r>
              <w:rPr>
                <w:kern w:val="0"/>
                <w:sz w:val="21"/>
                <w:szCs w:val="21"/>
                <w:highlight w:val="none"/>
                <w:lang w:bidi="ar"/>
              </w:rPr>
              <w:t>1290</w:t>
            </w:r>
          </w:p>
        </w:tc>
      </w:tr>
      <w:tr w14:paraId="1F4786CE">
        <w:tblPrEx>
          <w:tblCellMar>
            <w:top w:w="0" w:type="dxa"/>
            <w:left w:w="0" w:type="dxa"/>
            <w:bottom w:w="0" w:type="dxa"/>
            <w:right w:w="0" w:type="dxa"/>
          </w:tblCellMar>
        </w:tblPrEx>
        <w:trPr>
          <w:trHeight w:val="90"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63C405A7">
            <w:pPr>
              <w:widowControl/>
              <w:spacing w:line="240" w:lineRule="auto"/>
              <w:jc w:val="center"/>
              <w:textAlignment w:val="center"/>
              <w:rPr>
                <w:sz w:val="21"/>
                <w:szCs w:val="21"/>
                <w:highlight w:val="none"/>
              </w:rPr>
            </w:pPr>
            <w:r>
              <w:rPr>
                <w:kern w:val="0"/>
                <w:sz w:val="21"/>
                <w:szCs w:val="21"/>
                <w:highlight w:val="none"/>
                <w:lang w:bidi="ar"/>
              </w:rPr>
              <w:t>挥发性有机物 - 卤代脂肪烃</w:t>
            </w:r>
          </w:p>
        </w:tc>
      </w:tr>
      <w:tr w14:paraId="38966EEA">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573994F">
            <w:pPr>
              <w:widowControl/>
              <w:spacing w:line="240" w:lineRule="auto"/>
              <w:jc w:val="center"/>
              <w:textAlignment w:val="center"/>
              <w:rPr>
                <w:sz w:val="21"/>
                <w:szCs w:val="21"/>
                <w:highlight w:val="none"/>
              </w:rPr>
            </w:pPr>
            <w:r>
              <w:rPr>
                <w:rFonts w:hint="eastAsia"/>
                <w:sz w:val="21"/>
                <w:szCs w:val="21"/>
                <w:highlight w:val="none"/>
              </w:rPr>
              <w:t>18</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F143F9">
            <w:pPr>
              <w:widowControl/>
              <w:spacing w:line="240" w:lineRule="auto"/>
              <w:jc w:val="center"/>
              <w:textAlignment w:val="center"/>
              <w:rPr>
                <w:sz w:val="21"/>
                <w:szCs w:val="21"/>
                <w:highlight w:val="none"/>
              </w:rPr>
            </w:pPr>
            <w:r>
              <w:rPr>
                <w:kern w:val="0"/>
                <w:sz w:val="21"/>
                <w:szCs w:val="21"/>
                <w:highlight w:val="none"/>
                <w:lang w:bidi="ar"/>
              </w:rPr>
              <w:t>氯甲烷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489FDE">
            <w:pPr>
              <w:widowControl/>
              <w:spacing w:line="240" w:lineRule="auto"/>
              <w:jc w:val="center"/>
              <w:textAlignment w:val="center"/>
              <w:rPr>
                <w:sz w:val="21"/>
                <w:szCs w:val="21"/>
                <w:highlight w:val="none"/>
              </w:rPr>
            </w:pPr>
            <w:r>
              <w:rPr>
                <w:kern w:val="0"/>
                <w:sz w:val="21"/>
                <w:szCs w:val="21"/>
                <w:highlight w:val="none"/>
                <w:lang w:bidi="ar"/>
              </w:rPr>
              <w:t>74-87-3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5A4CD7">
            <w:pPr>
              <w:widowControl/>
              <w:spacing w:line="240" w:lineRule="auto"/>
              <w:jc w:val="center"/>
              <w:textAlignment w:val="center"/>
              <w:rPr>
                <w:sz w:val="21"/>
                <w:szCs w:val="21"/>
                <w:highlight w:val="none"/>
              </w:rPr>
            </w:pPr>
            <w:r>
              <w:rPr>
                <w:kern w:val="0"/>
                <w:sz w:val="21"/>
                <w:szCs w:val="21"/>
                <w:highlight w:val="none"/>
                <w:lang w:bidi="ar"/>
              </w:rPr>
              <w:t>12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98E0A50">
            <w:pPr>
              <w:widowControl/>
              <w:spacing w:line="240" w:lineRule="auto"/>
              <w:jc w:val="center"/>
              <w:textAlignment w:val="center"/>
              <w:rPr>
                <w:sz w:val="21"/>
                <w:szCs w:val="21"/>
                <w:highlight w:val="none"/>
              </w:rPr>
            </w:pPr>
            <w:r>
              <w:rPr>
                <w:kern w:val="0"/>
                <w:sz w:val="21"/>
                <w:szCs w:val="21"/>
                <w:highlight w:val="none"/>
                <w:lang w:bidi="ar"/>
              </w:rPr>
              <w:t>37</w:t>
            </w:r>
          </w:p>
        </w:tc>
      </w:tr>
      <w:tr w14:paraId="6C6738DC">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3625B7D3">
            <w:pPr>
              <w:widowControl/>
              <w:spacing w:line="240" w:lineRule="auto"/>
              <w:jc w:val="center"/>
              <w:textAlignment w:val="center"/>
              <w:rPr>
                <w:sz w:val="21"/>
                <w:szCs w:val="21"/>
                <w:highlight w:val="none"/>
              </w:rPr>
            </w:pPr>
            <w:r>
              <w:rPr>
                <w:rFonts w:hint="eastAsia"/>
                <w:sz w:val="21"/>
                <w:szCs w:val="21"/>
                <w:highlight w:val="none"/>
              </w:rPr>
              <w:t>19</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D90421">
            <w:pPr>
              <w:widowControl/>
              <w:spacing w:line="240" w:lineRule="auto"/>
              <w:jc w:val="center"/>
              <w:textAlignment w:val="center"/>
              <w:rPr>
                <w:sz w:val="21"/>
                <w:szCs w:val="21"/>
                <w:highlight w:val="none"/>
              </w:rPr>
            </w:pPr>
            <w:r>
              <w:rPr>
                <w:kern w:val="0"/>
                <w:sz w:val="21"/>
                <w:szCs w:val="21"/>
                <w:highlight w:val="none"/>
                <w:lang w:bidi="ar"/>
              </w:rPr>
              <w:t>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8751A7">
            <w:pPr>
              <w:widowControl/>
              <w:spacing w:line="240" w:lineRule="auto"/>
              <w:jc w:val="center"/>
              <w:textAlignment w:val="center"/>
              <w:rPr>
                <w:sz w:val="21"/>
                <w:szCs w:val="21"/>
                <w:highlight w:val="none"/>
              </w:rPr>
            </w:pPr>
            <w:r>
              <w:rPr>
                <w:kern w:val="0"/>
                <w:sz w:val="21"/>
                <w:szCs w:val="21"/>
                <w:highlight w:val="none"/>
                <w:lang w:bidi="ar"/>
              </w:rPr>
              <w:t>1975-1-4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2D0B22">
            <w:pPr>
              <w:widowControl/>
              <w:spacing w:line="240" w:lineRule="auto"/>
              <w:jc w:val="center"/>
              <w:textAlignment w:val="center"/>
              <w:rPr>
                <w:sz w:val="21"/>
                <w:szCs w:val="21"/>
                <w:highlight w:val="none"/>
              </w:rPr>
            </w:pPr>
            <w:r>
              <w:rPr>
                <w:kern w:val="0"/>
                <w:sz w:val="21"/>
                <w:szCs w:val="21"/>
                <w:highlight w:val="none"/>
                <w:lang w:bidi="ar"/>
              </w:rPr>
              <w:t>0.12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4AAE00C">
            <w:pPr>
              <w:widowControl/>
              <w:spacing w:line="240" w:lineRule="auto"/>
              <w:jc w:val="center"/>
              <w:textAlignment w:val="center"/>
              <w:rPr>
                <w:sz w:val="21"/>
                <w:szCs w:val="21"/>
                <w:highlight w:val="none"/>
              </w:rPr>
            </w:pPr>
            <w:r>
              <w:rPr>
                <w:kern w:val="0"/>
                <w:sz w:val="21"/>
                <w:szCs w:val="21"/>
                <w:highlight w:val="none"/>
                <w:lang w:bidi="ar"/>
              </w:rPr>
              <w:t>0.43</w:t>
            </w:r>
          </w:p>
        </w:tc>
      </w:tr>
      <w:tr w14:paraId="4EEBEF03">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8089EC8">
            <w:pPr>
              <w:widowControl/>
              <w:spacing w:line="240" w:lineRule="auto"/>
              <w:jc w:val="center"/>
              <w:textAlignment w:val="center"/>
              <w:rPr>
                <w:sz w:val="21"/>
                <w:szCs w:val="21"/>
                <w:highlight w:val="none"/>
              </w:rPr>
            </w:pPr>
            <w:r>
              <w:rPr>
                <w:rFonts w:hint="eastAsia"/>
                <w:sz w:val="21"/>
                <w:szCs w:val="21"/>
                <w:highlight w:val="none"/>
              </w:rPr>
              <w:t>20</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9BFC4E">
            <w:pPr>
              <w:widowControl/>
              <w:spacing w:line="240" w:lineRule="auto"/>
              <w:jc w:val="center"/>
              <w:textAlignment w:val="center"/>
              <w:rPr>
                <w:sz w:val="21"/>
                <w:szCs w:val="21"/>
                <w:highlight w:val="none"/>
              </w:rPr>
            </w:pPr>
            <w:r>
              <w:rPr>
                <w:kern w:val="0"/>
                <w:sz w:val="21"/>
                <w:szCs w:val="21"/>
                <w:highlight w:val="none"/>
                <w:lang w:bidi="ar"/>
              </w:rPr>
              <w:t>1,1-二氯乙烯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5C87AF">
            <w:pPr>
              <w:widowControl/>
              <w:spacing w:line="240" w:lineRule="auto"/>
              <w:jc w:val="center"/>
              <w:textAlignment w:val="center"/>
              <w:rPr>
                <w:sz w:val="21"/>
                <w:szCs w:val="21"/>
                <w:highlight w:val="none"/>
              </w:rPr>
            </w:pPr>
            <w:r>
              <w:rPr>
                <w:kern w:val="0"/>
                <w:sz w:val="21"/>
                <w:szCs w:val="21"/>
                <w:highlight w:val="none"/>
                <w:lang w:bidi="ar"/>
              </w:rPr>
              <w:t>75-35-4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2FA80C">
            <w:pPr>
              <w:widowControl/>
              <w:spacing w:line="240" w:lineRule="auto"/>
              <w:jc w:val="center"/>
              <w:textAlignment w:val="center"/>
              <w:rPr>
                <w:sz w:val="21"/>
                <w:szCs w:val="21"/>
                <w:highlight w:val="none"/>
              </w:rPr>
            </w:pPr>
            <w:r>
              <w:rPr>
                <w:kern w:val="0"/>
                <w:sz w:val="21"/>
                <w:szCs w:val="21"/>
                <w:highlight w:val="none"/>
                <w:lang w:bidi="ar"/>
              </w:rPr>
              <w:t>12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F287C38">
            <w:pPr>
              <w:widowControl/>
              <w:spacing w:line="240" w:lineRule="auto"/>
              <w:jc w:val="center"/>
              <w:textAlignment w:val="center"/>
              <w:rPr>
                <w:sz w:val="21"/>
                <w:szCs w:val="21"/>
                <w:highlight w:val="none"/>
              </w:rPr>
            </w:pPr>
            <w:r>
              <w:rPr>
                <w:kern w:val="0"/>
                <w:sz w:val="21"/>
                <w:szCs w:val="21"/>
                <w:highlight w:val="none"/>
                <w:lang w:bidi="ar"/>
              </w:rPr>
              <w:t>66</w:t>
            </w:r>
          </w:p>
        </w:tc>
      </w:tr>
      <w:tr w14:paraId="42C0EA24">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B93FEDD">
            <w:pPr>
              <w:widowControl/>
              <w:spacing w:line="240" w:lineRule="auto"/>
              <w:jc w:val="center"/>
              <w:textAlignment w:val="center"/>
              <w:rPr>
                <w:sz w:val="21"/>
                <w:szCs w:val="21"/>
                <w:highlight w:val="none"/>
              </w:rPr>
            </w:pPr>
            <w:r>
              <w:rPr>
                <w:rFonts w:hint="eastAsia"/>
                <w:sz w:val="21"/>
                <w:szCs w:val="21"/>
                <w:highlight w:val="none"/>
              </w:rPr>
              <w:t>21</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DDB291">
            <w:pPr>
              <w:widowControl/>
              <w:spacing w:line="240" w:lineRule="auto"/>
              <w:jc w:val="center"/>
              <w:textAlignment w:val="center"/>
              <w:rPr>
                <w:sz w:val="21"/>
                <w:szCs w:val="21"/>
                <w:highlight w:val="none"/>
              </w:rPr>
            </w:pPr>
            <w:r>
              <w:rPr>
                <w:kern w:val="0"/>
                <w:sz w:val="21"/>
                <w:szCs w:val="21"/>
                <w:highlight w:val="none"/>
                <w:lang w:bidi="ar"/>
              </w:rPr>
              <w:t>二氯甲烷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B57789">
            <w:pPr>
              <w:widowControl/>
              <w:spacing w:line="240" w:lineRule="auto"/>
              <w:jc w:val="center"/>
              <w:textAlignment w:val="center"/>
              <w:rPr>
                <w:sz w:val="21"/>
                <w:szCs w:val="21"/>
                <w:highlight w:val="none"/>
              </w:rPr>
            </w:pPr>
            <w:r>
              <w:rPr>
                <w:kern w:val="0"/>
                <w:sz w:val="21"/>
                <w:szCs w:val="21"/>
                <w:highlight w:val="none"/>
                <w:lang w:bidi="ar"/>
              </w:rPr>
              <w:t>1975-9-2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85FBD7">
            <w:pPr>
              <w:widowControl/>
              <w:spacing w:line="240" w:lineRule="auto"/>
              <w:jc w:val="center"/>
              <w:textAlignment w:val="center"/>
              <w:rPr>
                <w:sz w:val="21"/>
                <w:szCs w:val="21"/>
                <w:highlight w:val="none"/>
              </w:rPr>
            </w:pPr>
            <w:r>
              <w:rPr>
                <w:kern w:val="0"/>
                <w:sz w:val="21"/>
                <w:szCs w:val="21"/>
                <w:highlight w:val="none"/>
                <w:lang w:bidi="ar"/>
              </w:rPr>
              <w:t>94</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00AC779">
            <w:pPr>
              <w:widowControl/>
              <w:spacing w:line="240" w:lineRule="auto"/>
              <w:jc w:val="center"/>
              <w:textAlignment w:val="center"/>
              <w:rPr>
                <w:sz w:val="21"/>
                <w:szCs w:val="21"/>
                <w:highlight w:val="none"/>
              </w:rPr>
            </w:pPr>
            <w:r>
              <w:rPr>
                <w:kern w:val="0"/>
                <w:sz w:val="21"/>
                <w:szCs w:val="21"/>
                <w:highlight w:val="none"/>
                <w:lang w:bidi="ar"/>
              </w:rPr>
              <w:t>616</w:t>
            </w:r>
          </w:p>
        </w:tc>
      </w:tr>
      <w:tr w14:paraId="4D8FBBCD">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F1BE899">
            <w:pPr>
              <w:widowControl/>
              <w:spacing w:line="240" w:lineRule="auto"/>
              <w:jc w:val="center"/>
              <w:textAlignment w:val="center"/>
              <w:rPr>
                <w:sz w:val="21"/>
                <w:szCs w:val="21"/>
                <w:highlight w:val="none"/>
              </w:rPr>
            </w:pPr>
            <w:r>
              <w:rPr>
                <w:rFonts w:hint="eastAsia"/>
                <w:sz w:val="21"/>
                <w:szCs w:val="21"/>
                <w:highlight w:val="none"/>
              </w:rPr>
              <w:t>22</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93C23C">
            <w:pPr>
              <w:widowControl/>
              <w:spacing w:line="240" w:lineRule="auto"/>
              <w:jc w:val="center"/>
              <w:textAlignment w:val="center"/>
              <w:rPr>
                <w:sz w:val="21"/>
                <w:szCs w:val="21"/>
                <w:highlight w:val="none"/>
              </w:rPr>
            </w:pPr>
            <w:r>
              <w:rPr>
                <w:kern w:val="0"/>
                <w:sz w:val="21"/>
                <w:szCs w:val="21"/>
                <w:highlight w:val="none"/>
                <w:lang w:bidi="ar"/>
              </w:rPr>
              <w:t>反式-1,2-二氯乙烯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74A2BA">
            <w:pPr>
              <w:widowControl/>
              <w:spacing w:line="240" w:lineRule="auto"/>
              <w:jc w:val="center"/>
              <w:textAlignment w:val="center"/>
              <w:rPr>
                <w:sz w:val="21"/>
                <w:szCs w:val="21"/>
                <w:highlight w:val="none"/>
              </w:rPr>
            </w:pPr>
            <w:r>
              <w:rPr>
                <w:kern w:val="0"/>
                <w:sz w:val="21"/>
                <w:szCs w:val="21"/>
                <w:highlight w:val="none"/>
                <w:lang w:bidi="ar"/>
              </w:rPr>
              <w:t>156-60-5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F498F5">
            <w:pPr>
              <w:widowControl/>
              <w:spacing w:line="240" w:lineRule="auto"/>
              <w:jc w:val="center"/>
              <w:textAlignment w:val="center"/>
              <w:rPr>
                <w:sz w:val="21"/>
                <w:szCs w:val="21"/>
                <w:highlight w:val="none"/>
              </w:rPr>
            </w:pPr>
            <w:r>
              <w:rPr>
                <w:kern w:val="0"/>
                <w:sz w:val="21"/>
                <w:szCs w:val="21"/>
                <w:highlight w:val="none"/>
                <w:lang w:bidi="ar"/>
              </w:rPr>
              <w:t>10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9590D6F">
            <w:pPr>
              <w:widowControl/>
              <w:spacing w:line="240" w:lineRule="auto"/>
              <w:jc w:val="center"/>
              <w:textAlignment w:val="center"/>
              <w:rPr>
                <w:sz w:val="21"/>
                <w:szCs w:val="21"/>
                <w:highlight w:val="none"/>
              </w:rPr>
            </w:pPr>
            <w:r>
              <w:rPr>
                <w:kern w:val="0"/>
                <w:sz w:val="21"/>
                <w:szCs w:val="21"/>
                <w:highlight w:val="none"/>
                <w:lang w:bidi="ar"/>
              </w:rPr>
              <w:t>54</w:t>
            </w:r>
          </w:p>
        </w:tc>
      </w:tr>
      <w:tr w14:paraId="6574BA91">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4607F6B">
            <w:pPr>
              <w:widowControl/>
              <w:spacing w:line="240" w:lineRule="auto"/>
              <w:jc w:val="center"/>
              <w:textAlignment w:val="center"/>
              <w:rPr>
                <w:sz w:val="21"/>
                <w:szCs w:val="21"/>
                <w:highlight w:val="none"/>
              </w:rPr>
            </w:pPr>
            <w:r>
              <w:rPr>
                <w:rFonts w:hint="eastAsia"/>
                <w:sz w:val="21"/>
                <w:szCs w:val="21"/>
                <w:highlight w:val="none"/>
              </w:rPr>
              <w:t>23</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95C9F1">
            <w:pPr>
              <w:widowControl/>
              <w:spacing w:line="240" w:lineRule="auto"/>
              <w:jc w:val="center"/>
              <w:textAlignment w:val="center"/>
              <w:rPr>
                <w:sz w:val="21"/>
                <w:szCs w:val="21"/>
                <w:highlight w:val="none"/>
              </w:rPr>
            </w:pPr>
            <w:r>
              <w:rPr>
                <w:kern w:val="0"/>
                <w:sz w:val="21"/>
                <w:szCs w:val="21"/>
                <w:highlight w:val="none"/>
                <w:lang w:bidi="ar"/>
              </w:rPr>
              <w:t>1,1-二氯乙烷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3F8F7A">
            <w:pPr>
              <w:widowControl/>
              <w:spacing w:line="240" w:lineRule="auto"/>
              <w:jc w:val="center"/>
              <w:textAlignment w:val="center"/>
              <w:rPr>
                <w:sz w:val="21"/>
                <w:szCs w:val="21"/>
                <w:highlight w:val="none"/>
              </w:rPr>
            </w:pPr>
            <w:r>
              <w:rPr>
                <w:kern w:val="0"/>
                <w:sz w:val="21"/>
                <w:szCs w:val="21"/>
                <w:highlight w:val="none"/>
                <w:lang w:bidi="ar"/>
              </w:rPr>
              <w:t>75-34-3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2CFEC1">
            <w:pPr>
              <w:widowControl/>
              <w:spacing w:line="240" w:lineRule="auto"/>
              <w:jc w:val="center"/>
              <w:textAlignment w:val="center"/>
              <w:rPr>
                <w:sz w:val="21"/>
                <w:szCs w:val="21"/>
                <w:highlight w:val="none"/>
              </w:rPr>
            </w:pPr>
            <w:r>
              <w:rPr>
                <w:kern w:val="0"/>
                <w:sz w:val="21"/>
                <w:szCs w:val="21"/>
                <w:highlight w:val="none"/>
                <w:lang w:bidi="ar"/>
              </w:rPr>
              <w:t>3</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4008B94">
            <w:pPr>
              <w:widowControl/>
              <w:spacing w:line="240" w:lineRule="auto"/>
              <w:jc w:val="center"/>
              <w:textAlignment w:val="center"/>
              <w:rPr>
                <w:sz w:val="21"/>
                <w:szCs w:val="21"/>
                <w:highlight w:val="none"/>
              </w:rPr>
            </w:pPr>
            <w:r>
              <w:rPr>
                <w:kern w:val="0"/>
                <w:sz w:val="21"/>
                <w:szCs w:val="21"/>
                <w:highlight w:val="none"/>
                <w:lang w:bidi="ar"/>
              </w:rPr>
              <w:t>9</w:t>
            </w:r>
          </w:p>
        </w:tc>
      </w:tr>
      <w:tr w14:paraId="6DC8C4B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A969177">
            <w:pPr>
              <w:widowControl/>
              <w:spacing w:line="240" w:lineRule="auto"/>
              <w:jc w:val="center"/>
              <w:textAlignment w:val="center"/>
              <w:rPr>
                <w:sz w:val="21"/>
                <w:szCs w:val="21"/>
                <w:highlight w:val="none"/>
              </w:rPr>
            </w:pPr>
            <w:r>
              <w:rPr>
                <w:rFonts w:hint="eastAsia"/>
                <w:sz w:val="21"/>
                <w:szCs w:val="21"/>
                <w:highlight w:val="none"/>
              </w:rPr>
              <w:t>24</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F5F692">
            <w:pPr>
              <w:widowControl/>
              <w:spacing w:line="240" w:lineRule="auto"/>
              <w:jc w:val="center"/>
              <w:textAlignment w:val="center"/>
              <w:rPr>
                <w:sz w:val="21"/>
                <w:szCs w:val="21"/>
                <w:highlight w:val="none"/>
              </w:rPr>
            </w:pPr>
            <w:r>
              <w:rPr>
                <w:kern w:val="0"/>
                <w:sz w:val="21"/>
                <w:szCs w:val="21"/>
                <w:highlight w:val="none"/>
                <w:lang w:bidi="ar"/>
              </w:rPr>
              <w:t>顺式-1,2-二氯乙烯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A3893E">
            <w:pPr>
              <w:widowControl/>
              <w:spacing w:line="240" w:lineRule="auto"/>
              <w:jc w:val="center"/>
              <w:textAlignment w:val="center"/>
              <w:rPr>
                <w:sz w:val="21"/>
                <w:szCs w:val="21"/>
                <w:highlight w:val="none"/>
              </w:rPr>
            </w:pPr>
            <w:r>
              <w:rPr>
                <w:kern w:val="0"/>
                <w:sz w:val="21"/>
                <w:szCs w:val="21"/>
                <w:highlight w:val="none"/>
                <w:lang w:bidi="ar"/>
              </w:rPr>
              <w:t>156-59-2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84AAC3">
            <w:pPr>
              <w:widowControl/>
              <w:spacing w:line="240" w:lineRule="auto"/>
              <w:jc w:val="center"/>
              <w:textAlignment w:val="center"/>
              <w:rPr>
                <w:sz w:val="21"/>
                <w:szCs w:val="21"/>
                <w:highlight w:val="none"/>
              </w:rPr>
            </w:pPr>
            <w:r>
              <w:rPr>
                <w:kern w:val="0"/>
                <w:sz w:val="21"/>
                <w:szCs w:val="21"/>
                <w:highlight w:val="none"/>
                <w:lang w:bidi="ar"/>
              </w:rPr>
              <w:t>66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40F0990">
            <w:pPr>
              <w:widowControl/>
              <w:spacing w:line="240" w:lineRule="auto"/>
              <w:jc w:val="center"/>
              <w:textAlignment w:val="center"/>
              <w:rPr>
                <w:sz w:val="21"/>
                <w:szCs w:val="21"/>
                <w:highlight w:val="none"/>
              </w:rPr>
            </w:pPr>
            <w:r>
              <w:rPr>
                <w:kern w:val="0"/>
                <w:sz w:val="21"/>
                <w:szCs w:val="21"/>
                <w:highlight w:val="none"/>
                <w:lang w:bidi="ar"/>
              </w:rPr>
              <w:t>596</w:t>
            </w:r>
          </w:p>
        </w:tc>
      </w:tr>
      <w:tr w14:paraId="2F855ED0">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F502FE6">
            <w:pPr>
              <w:widowControl/>
              <w:spacing w:line="240" w:lineRule="auto"/>
              <w:jc w:val="center"/>
              <w:textAlignment w:val="center"/>
              <w:rPr>
                <w:sz w:val="21"/>
                <w:szCs w:val="21"/>
                <w:highlight w:val="none"/>
              </w:rPr>
            </w:pPr>
            <w:r>
              <w:rPr>
                <w:rFonts w:hint="eastAsia"/>
                <w:sz w:val="21"/>
                <w:szCs w:val="21"/>
                <w:highlight w:val="none"/>
              </w:rPr>
              <w:t>25</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4627AB">
            <w:pPr>
              <w:widowControl/>
              <w:spacing w:line="240" w:lineRule="auto"/>
              <w:jc w:val="center"/>
              <w:textAlignment w:val="center"/>
              <w:rPr>
                <w:sz w:val="21"/>
                <w:szCs w:val="21"/>
                <w:highlight w:val="none"/>
              </w:rPr>
            </w:pPr>
            <w:r>
              <w:rPr>
                <w:kern w:val="0"/>
                <w:sz w:val="21"/>
                <w:szCs w:val="21"/>
                <w:highlight w:val="none"/>
                <w:lang w:bidi="ar"/>
              </w:rPr>
              <w:t>1,1,1-三氯乙烷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C84D4A">
            <w:pPr>
              <w:widowControl/>
              <w:spacing w:line="240" w:lineRule="auto"/>
              <w:jc w:val="center"/>
              <w:textAlignment w:val="center"/>
              <w:rPr>
                <w:sz w:val="21"/>
                <w:szCs w:val="21"/>
                <w:highlight w:val="none"/>
              </w:rPr>
            </w:pPr>
            <w:r>
              <w:rPr>
                <w:kern w:val="0"/>
                <w:sz w:val="21"/>
                <w:szCs w:val="21"/>
                <w:highlight w:val="none"/>
                <w:lang w:bidi="ar"/>
              </w:rPr>
              <w:t>71-55-6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688FBA">
            <w:pPr>
              <w:widowControl/>
              <w:spacing w:line="240" w:lineRule="auto"/>
              <w:jc w:val="center"/>
              <w:textAlignment w:val="center"/>
              <w:rPr>
                <w:sz w:val="21"/>
                <w:szCs w:val="21"/>
                <w:highlight w:val="none"/>
              </w:rPr>
            </w:pPr>
            <w:r>
              <w:rPr>
                <w:kern w:val="0"/>
                <w:sz w:val="21"/>
                <w:szCs w:val="21"/>
                <w:highlight w:val="none"/>
                <w:lang w:bidi="ar"/>
              </w:rPr>
              <w:t>701</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3C63361">
            <w:pPr>
              <w:widowControl/>
              <w:spacing w:line="240" w:lineRule="auto"/>
              <w:jc w:val="center"/>
              <w:textAlignment w:val="center"/>
              <w:rPr>
                <w:sz w:val="21"/>
                <w:szCs w:val="21"/>
                <w:highlight w:val="none"/>
              </w:rPr>
            </w:pPr>
            <w:r>
              <w:rPr>
                <w:kern w:val="0"/>
                <w:sz w:val="21"/>
                <w:szCs w:val="21"/>
                <w:highlight w:val="none"/>
                <w:lang w:bidi="ar"/>
              </w:rPr>
              <w:t>840</w:t>
            </w:r>
          </w:p>
        </w:tc>
      </w:tr>
      <w:tr w14:paraId="6ADE6DD4">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2AEFEF3">
            <w:pPr>
              <w:widowControl/>
              <w:spacing w:line="240" w:lineRule="auto"/>
              <w:jc w:val="center"/>
              <w:textAlignment w:val="center"/>
              <w:rPr>
                <w:sz w:val="21"/>
                <w:szCs w:val="21"/>
                <w:highlight w:val="none"/>
              </w:rPr>
            </w:pPr>
            <w:r>
              <w:rPr>
                <w:rFonts w:hint="eastAsia"/>
                <w:sz w:val="21"/>
                <w:szCs w:val="21"/>
                <w:highlight w:val="none"/>
              </w:rPr>
              <w:t>26</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0968AD">
            <w:pPr>
              <w:widowControl/>
              <w:spacing w:line="240" w:lineRule="auto"/>
              <w:jc w:val="center"/>
              <w:textAlignment w:val="center"/>
              <w:rPr>
                <w:sz w:val="21"/>
                <w:szCs w:val="21"/>
                <w:highlight w:val="none"/>
              </w:rPr>
            </w:pPr>
            <w:r>
              <w:rPr>
                <w:kern w:val="0"/>
                <w:sz w:val="21"/>
                <w:szCs w:val="21"/>
                <w:highlight w:val="none"/>
                <w:lang w:bidi="ar"/>
              </w:rPr>
              <w:t>四氯化碳</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24CFCF">
            <w:pPr>
              <w:widowControl/>
              <w:spacing w:line="240" w:lineRule="auto"/>
              <w:jc w:val="center"/>
              <w:textAlignment w:val="center"/>
              <w:rPr>
                <w:sz w:val="21"/>
                <w:szCs w:val="21"/>
                <w:highlight w:val="none"/>
              </w:rPr>
            </w:pPr>
            <w:r>
              <w:rPr>
                <w:kern w:val="0"/>
                <w:sz w:val="21"/>
                <w:szCs w:val="21"/>
                <w:highlight w:val="none"/>
                <w:lang w:bidi="ar"/>
              </w:rPr>
              <w:t>56-23-5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567449">
            <w:pPr>
              <w:widowControl/>
              <w:spacing w:line="240" w:lineRule="auto"/>
              <w:jc w:val="center"/>
              <w:textAlignment w:val="center"/>
              <w:rPr>
                <w:sz w:val="21"/>
                <w:szCs w:val="21"/>
                <w:highlight w:val="none"/>
              </w:rPr>
            </w:pPr>
            <w:r>
              <w:rPr>
                <w:kern w:val="0"/>
                <w:sz w:val="21"/>
                <w:szCs w:val="21"/>
                <w:highlight w:val="none"/>
                <w:lang w:bidi="ar"/>
              </w:rPr>
              <w:t>0.9</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1AD23B7E">
            <w:pPr>
              <w:widowControl/>
              <w:spacing w:line="240" w:lineRule="auto"/>
              <w:jc w:val="center"/>
              <w:textAlignment w:val="center"/>
              <w:rPr>
                <w:sz w:val="21"/>
                <w:szCs w:val="21"/>
                <w:highlight w:val="none"/>
              </w:rPr>
            </w:pPr>
            <w:r>
              <w:rPr>
                <w:kern w:val="0"/>
                <w:sz w:val="21"/>
                <w:szCs w:val="21"/>
                <w:highlight w:val="none"/>
                <w:lang w:bidi="ar"/>
              </w:rPr>
              <w:t>2.8</w:t>
            </w:r>
          </w:p>
        </w:tc>
      </w:tr>
      <w:tr w14:paraId="1B5B662F">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E078E7C">
            <w:pPr>
              <w:widowControl/>
              <w:spacing w:line="240" w:lineRule="auto"/>
              <w:jc w:val="center"/>
              <w:textAlignment w:val="center"/>
              <w:rPr>
                <w:sz w:val="21"/>
                <w:szCs w:val="21"/>
                <w:highlight w:val="none"/>
              </w:rPr>
            </w:pPr>
            <w:r>
              <w:rPr>
                <w:rFonts w:hint="eastAsia"/>
                <w:sz w:val="21"/>
                <w:szCs w:val="21"/>
                <w:highlight w:val="none"/>
              </w:rPr>
              <w:t>27</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227994">
            <w:pPr>
              <w:widowControl/>
              <w:spacing w:line="240" w:lineRule="auto"/>
              <w:jc w:val="center"/>
              <w:textAlignment w:val="center"/>
              <w:rPr>
                <w:sz w:val="21"/>
                <w:szCs w:val="21"/>
                <w:highlight w:val="none"/>
              </w:rPr>
            </w:pPr>
            <w:r>
              <w:rPr>
                <w:kern w:val="0"/>
                <w:sz w:val="21"/>
                <w:szCs w:val="21"/>
                <w:highlight w:val="none"/>
                <w:lang w:bidi="ar"/>
              </w:rPr>
              <w:t>1,2-二氯乙烷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834D2B">
            <w:pPr>
              <w:widowControl/>
              <w:spacing w:line="240" w:lineRule="auto"/>
              <w:jc w:val="center"/>
              <w:textAlignment w:val="center"/>
              <w:rPr>
                <w:sz w:val="21"/>
                <w:szCs w:val="21"/>
                <w:highlight w:val="none"/>
              </w:rPr>
            </w:pPr>
            <w:r>
              <w:rPr>
                <w:kern w:val="0"/>
                <w:sz w:val="21"/>
                <w:szCs w:val="21"/>
                <w:highlight w:val="none"/>
                <w:lang w:bidi="ar"/>
              </w:rPr>
              <w:t>107-06-2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0687C7">
            <w:pPr>
              <w:widowControl/>
              <w:spacing w:line="240" w:lineRule="auto"/>
              <w:jc w:val="center"/>
              <w:textAlignment w:val="center"/>
              <w:rPr>
                <w:sz w:val="21"/>
                <w:szCs w:val="21"/>
                <w:highlight w:val="none"/>
              </w:rPr>
            </w:pPr>
            <w:r>
              <w:rPr>
                <w:kern w:val="0"/>
                <w:sz w:val="21"/>
                <w:szCs w:val="21"/>
                <w:highlight w:val="none"/>
                <w:lang w:bidi="ar"/>
              </w:rPr>
              <w:t>0.52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7B12362">
            <w:pPr>
              <w:widowControl/>
              <w:spacing w:line="240" w:lineRule="auto"/>
              <w:jc w:val="center"/>
              <w:textAlignment w:val="center"/>
              <w:rPr>
                <w:sz w:val="21"/>
                <w:szCs w:val="21"/>
                <w:highlight w:val="none"/>
              </w:rPr>
            </w:pPr>
            <w:r>
              <w:rPr>
                <w:kern w:val="0"/>
                <w:sz w:val="21"/>
                <w:szCs w:val="21"/>
                <w:highlight w:val="none"/>
                <w:lang w:bidi="ar"/>
              </w:rPr>
              <w:t>5</w:t>
            </w:r>
          </w:p>
        </w:tc>
      </w:tr>
      <w:tr w14:paraId="301F4FE4">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9E3449F">
            <w:pPr>
              <w:widowControl/>
              <w:spacing w:line="240" w:lineRule="auto"/>
              <w:jc w:val="center"/>
              <w:textAlignment w:val="center"/>
              <w:rPr>
                <w:sz w:val="21"/>
                <w:szCs w:val="21"/>
                <w:highlight w:val="none"/>
              </w:rPr>
            </w:pPr>
            <w:r>
              <w:rPr>
                <w:kern w:val="0"/>
                <w:sz w:val="21"/>
                <w:szCs w:val="21"/>
                <w:highlight w:val="none"/>
                <w:lang w:bidi="ar"/>
              </w:rPr>
              <w:t>28</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1D55B2">
            <w:pPr>
              <w:widowControl/>
              <w:spacing w:line="240" w:lineRule="auto"/>
              <w:jc w:val="center"/>
              <w:textAlignment w:val="center"/>
              <w:rPr>
                <w:sz w:val="21"/>
                <w:szCs w:val="21"/>
                <w:highlight w:val="none"/>
              </w:rPr>
            </w:pPr>
            <w:r>
              <w:rPr>
                <w:kern w:val="0"/>
                <w:sz w:val="21"/>
                <w:szCs w:val="21"/>
                <w:highlight w:val="none"/>
                <w:lang w:bidi="ar"/>
              </w:rPr>
              <w:t>三氯乙烯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3EA37">
            <w:pPr>
              <w:widowControl/>
              <w:spacing w:line="240" w:lineRule="auto"/>
              <w:jc w:val="center"/>
              <w:textAlignment w:val="center"/>
              <w:rPr>
                <w:sz w:val="21"/>
                <w:szCs w:val="21"/>
                <w:highlight w:val="none"/>
              </w:rPr>
            </w:pPr>
            <w:r>
              <w:rPr>
                <w:kern w:val="0"/>
                <w:sz w:val="21"/>
                <w:szCs w:val="21"/>
                <w:highlight w:val="none"/>
                <w:lang w:bidi="ar"/>
              </w:rPr>
              <w:t>1979-1-6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BD7380">
            <w:pPr>
              <w:widowControl/>
              <w:spacing w:line="240" w:lineRule="auto"/>
              <w:jc w:val="center"/>
              <w:textAlignment w:val="center"/>
              <w:rPr>
                <w:sz w:val="21"/>
                <w:szCs w:val="21"/>
                <w:highlight w:val="none"/>
              </w:rPr>
            </w:pPr>
            <w:r>
              <w:rPr>
                <w:kern w:val="0"/>
                <w:sz w:val="21"/>
                <w:szCs w:val="21"/>
                <w:highlight w:val="none"/>
                <w:lang w:bidi="ar"/>
              </w:rPr>
              <w:t>0.7</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60D0F59">
            <w:pPr>
              <w:widowControl/>
              <w:spacing w:line="240" w:lineRule="auto"/>
              <w:jc w:val="center"/>
              <w:textAlignment w:val="center"/>
              <w:rPr>
                <w:sz w:val="21"/>
                <w:szCs w:val="21"/>
                <w:highlight w:val="none"/>
              </w:rPr>
            </w:pPr>
            <w:r>
              <w:rPr>
                <w:kern w:val="0"/>
                <w:sz w:val="21"/>
                <w:szCs w:val="21"/>
                <w:highlight w:val="none"/>
                <w:lang w:bidi="ar"/>
              </w:rPr>
              <w:t>2.8</w:t>
            </w:r>
          </w:p>
        </w:tc>
      </w:tr>
      <w:tr w14:paraId="4F6F9DF9">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897E7FF">
            <w:pPr>
              <w:widowControl/>
              <w:spacing w:line="240" w:lineRule="auto"/>
              <w:jc w:val="center"/>
              <w:textAlignment w:val="center"/>
              <w:rPr>
                <w:sz w:val="21"/>
                <w:szCs w:val="21"/>
                <w:highlight w:val="none"/>
              </w:rPr>
            </w:pPr>
            <w:r>
              <w:rPr>
                <w:kern w:val="0"/>
                <w:sz w:val="21"/>
                <w:szCs w:val="21"/>
                <w:highlight w:val="none"/>
                <w:lang w:bidi="ar"/>
              </w:rPr>
              <w:t>29</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852F77">
            <w:pPr>
              <w:widowControl/>
              <w:spacing w:line="240" w:lineRule="auto"/>
              <w:jc w:val="center"/>
              <w:textAlignment w:val="center"/>
              <w:rPr>
                <w:sz w:val="21"/>
                <w:szCs w:val="21"/>
                <w:highlight w:val="none"/>
              </w:rPr>
            </w:pPr>
            <w:r>
              <w:rPr>
                <w:kern w:val="0"/>
                <w:sz w:val="21"/>
                <w:szCs w:val="21"/>
                <w:highlight w:val="none"/>
                <w:lang w:bidi="ar"/>
              </w:rPr>
              <w:t>1,2-二氯丙烷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F6625">
            <w:pPr>
              <w:widowControl/>
              <w:spacing w:line="240" w:lineRule="auto"/>
              <w:jc w:val="center"/>
              <w:textAlignment w:val="center"/>
              <w:rPr>
                <w:sz w:val="21"/>
                <w:szCs w:val="21"/>
                <w:highlight w:val="none"/>
              </w:rPr>
            </w:pPr>
            <w:r>
              <w:rPr>
                <w:kern w:val="0"/>
                <w:sz w:val="21"/>
                <w:szCs w:val="21"/>
                <w:highlight w:val="none"/>
                <w:lang w:bidi="ar"/>
              </w:rPr>
              <w:t>78-87-5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6DCB35">
            <w:pPr>
              <w:widowControl/>
              <w:spacing w:line="240" w:lineRule="auto"/>
              <w:jc w:val="center"/>
              <w:textAlignment w:val="center"/>
              <w:rPr>
                <w:sz w:val="21"/>
                <w:szCs w:val="21"/>
                <w:highlight w:val="none"/>
              </w:rPr>
            </w:pPr>
            <w:r>
              <w:rPr>
                <w:kern w:val="0"/>
                <w:sz w:val="21"/>
                <w:szCs w:val="21"/>
                <w:highlight w:val="none"/>
                <w:lang w:bidi="ar"/>
              </w:rPr>
              <w:t>1</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1C95AFA6">
            <w:pPr>
              <w:widowControl/>
              <w:spacing w:line="240" w:lineRule="auto"/>
              <w:jc w:val="center"/>
              <w:textAlignment w:val="center"/>
              <w:rPr>
                <w:sz w:val="21"/>
                <w:szCs w:val="21"/>
                <w:highlight w:val="none"/>
              </w:rPr>
            </w:pPr>
            <w:r>
              <w:rPr>
                <w:kern w:val="0"/>
                <w:sz w:val="21"/>
                <w:szCs w:val="21"/>
                <w:highlight w:val="none"/>
                <w:lang w:bidi="ar"/>
              </w:rPr>
              <w:t>5</w:t>
            </w:r>
          </w:p>
        </w:tc>
      </w:tr>
      <w:tr w14:paraId="00183C8E">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1A4E287">
            <w:pPr>
              <w:widowControl/>
              <w:spacing w:line="240" w:lineRule="auto"/>
              <w:jc w:val="center"/>
              <w:textAlignment w:val="center"/>
              <w:rPr>
                <w:sz w:val="21"/>
                <w:szCs w:val="21"/>
                <w:highlight w:val="none"/>
              </w:rPr>
            </w:pPr>
            <w:r>
              <w:rPr>
                <w:kern w:val="0"/>
                <w:sz w:val="21"/>
                <w:szCs w:val="21"/>
                <w:highlight w:val="none"/>
                <w:lang w:bidi="ar"/>
              </w:rPr>
              <w:t>30</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9E5D7C">
            <w:pPr>
              <w:widowControl/>
              <w:spacing w:line="240" w:lineRule="auto"/>
              <w:jc w:val="center"/>
              <w:textAlignment w:val="center"/>
              <w:rPr>
                <w:sz w:val="21"/>
                <w:szCs w:val="21"/>
                <w:highlight w:val="none"/>
              </w:rPr>
            </w:pPr>
            <w:r>
              <w:rPr>
                <w:kern w:val="0"/>
                <w:sz w:val="21"/>
                <w:szCs w:val="21"/>
                <w:highlight w:val="none"/>
                <w:lang w:bidi="ar"/>
              </w:rPr>
              <w:t>1,1,2-三氯乙烷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6253D0">
            <w:pPr>
              <w:widowControl/>
              <w:spacing w:line="240" w:lineRule="auto"/>
              <w:jc w:val="center"/>
              <w:textAlignment w:val="center"/>
              <w:rPr>
                <w:sz w:val="21"/>
                <w:szCs w:val="21"/>
                <w:highlight w:val="none"/>
              </w:rPr>
            </w:pPr>
            <w:r>
              <w:rPr>
                <w:kern w:val="0"/>
                <w:sz w:val="21"/>
                <w:szCs w:val="21"/>
                <w:highlight w:val="none"/>
                <w:lang w:bidi="ar"/>
              </w:rPr>
              <w:t>79-00-5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F90131">
            <w:pPr>
              <w:widowControl/>
              <w:spacing w:line="240" w:lineRule="auto"/>
              <w:jc w:val="center"/>
              <w:textAlignment w:val="center"/>
              <w:rPr>
                <w:sz w:val="21"/>
                <w:szCs w:val="21"/>
                <w:highlight w:val="none"/>
              </w:rPr>
            </w:pPr>
            <w:r>
              <w:rPr>
                <w:kern w:val="0"/>
                <w:sz w:val="21"/>
                <w:szCs w:val="21"/>
                <w:highlight w:val="none"/>
                <w:lang w:bidi="ar"/>
              </w:rPr>
              <w:t>0.6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095C3EF1">
            <w:pPr>
              <w:widowControl/>
              <w:spacing w:line="240" w:lineRule="auto"/>
              <w:jc w:val="center"/>
              <w:textAlignment w:val="center"/>
              <w:rPr>
                <w:sz w:val="21"/>
                <w:szCs w:val="21"/>
                <w:highlight w:val="none"/>
              </w:rPr>
            </w:pPr>
            <w:r>
              <w:rPr>
                <w:kern w:val="0"/>
                <w:sz w:val="21"/>
                <w:szCs w:val="21"/>
                <w:highlight w:val="none"/>
                <w:lang w:bidi="ar"/>
              </w:rPr>
              <w:t>2.8</w:t>
            </w:r>
          </w:p>
        </w:tc>
      </w:tr>
      <w:tr w14:paraId="21AE9568">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2530EA9">
            <w:pPr>
              <w:widowControl/>
              <w:spacing w:line="240" w:lineRule="auto"/>
              <w:jc w:val="center"/>
              <w:textAlignment w:val="center"/>
              <w:rPr>
                <w:sz w:val="21"/>
                <w:szCs w:val="21"/>
                <w:highlight w:val="none"/>
              </w:rPr>
            </w:pPr>
            <w:r>
              <w:rPr>
                <w:kern w:val="0"/>
                <w:sz w:val="21"/>
                <w:szCs w:val="21"/>
                <w:highlight w:val="none"/>
                <w:lang w:bidi="ar"/>
              </w:rPr>
              <w:t>31</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E50797">
            <w:pPr>
              <w:widowControl/>
              <w:spacing w:line="240" w:lineRule="auto"/>
              <w:jc w:val="center"/>
              <w:textAlignment w:val="center"/>
              <w:rPr>
                <w:sz w:val="21"/>
                <w:szCs w:val="21"/>
                <w:highlight w:val="none"/>
              </w:rPr>
            </w:pPr>
            <w:r>
              <w:rPr>
                <w:kern w:val="0"/>
                <w:sz w:val="21"/>
                <w:szCs w:val="21"/>
                <w:highlight w:val="none"/>
                <w:lang w:bidi="ar"/>
              </w:rPr>
              <w:t>四氯乙烯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FEC5EB">
            <w:pPr>
              <w:widowControl/>
              <w:spacing w:line="240" w:lineRule="auto"/>
              <w:jc w:val="center"/>
              <w:textAlignment w:val="center"/>
              <w:rPr>
                <w:sz w:val="21"/>
                <w:szCs w:val="21"/>
                <w:highlight w:val="none"/>
              </w:rPr>
            </w:pPr>
            <w:r>
              <w:rPr>
                <w:kern w:val="0"/>
                <w:sz w:val="21"/>
                <w:szCs w:val="21"/>
                <w:highlight w:val="none"/>
                <w:lang w:bidi="ar"/>
              </w:rPr>
              <w:t>127-18-4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2D5B04">
            <w:pPr>
              <w:widowControl/>
              <w:spacing w:line="240" w:lineRule="auto"/>
              <w:jc w:val="center"/>
              <w:textAlignment w:val="center"/>
              <w:rPr>
                <w:sz w:val="21"/>
                <w:szCs w:val="21"/>
                <w:highlight w:val="none"/>
              </w:rPr>
            </w:pPr>
            <w:r>
              <w:rPr>
                <w:kern w:val="0"/>
                <w:sz w:val="21"/>
                <w:szCs w:val="21"/>
                <w:highlight w:val="none"/>
                <w:lang w:bidi="ar"/>
              </w:rPr>
              <w:t>11</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2AB1B9E">
            <w:pPr>
              <w:widowControl/>
              <w:spacing w:line="240" w:lineRule="auto"/>
              <w:jc w:val="center"/>
              <w:textAlignment w:val="center"/>
              <w:rPr>
                <w:sz w:val="21"/>
                <w:szCs w:val="21"/>
                <w:highlight w:val="none"/>
              </w:rPr>
            </w:pPr>
            <w:r>
              <w:rPr>
                <w:kern w:val="0"/>
                <w:sz w:val="21"/>
                <w:szCs w:val="21"/>
                <w:highlight w:val="none"/>
                <w:lang w:bidi="ar"/>
              </w:rPr>
              <w:t>53</w:t>
            </w:r>
          </w:p>
        </w:tc>
      </w:tr>
      <w:tr w14:paraId="33DFB9D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4B9AE54">
            <w:pPr>
              <w:widowControl/>
              <w:spacing w:line="240" w:lineRule="auto"/>
              <w:jc w:val="center"/>
              <w:textAlignment w:val="center"/>
              <w:rPr>
                <w:sz w:val="21"/>
                <w:szCs w:val="21"/>
                <w:highlight w:val="none"/>
              </w:rPr>
            </w:pPr>
            <w:r>
              <w:rPr>
                <w:kern w:val="0"/>
                <w:sz w:val="21"/>
                <w:szCs w:val="21"/>
                <w:highlight w:val="none"/>
                <w:lang w:bidi="ar"/>
              </w:rPr>
              <w:t>32</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EEE8FF">
            <w:pPr>
              <w:widowControl/>
              <w:spacing w:line="240" w:lineRule="auto"/>
              <w:jc w:val="center"/>
              <w:textAlignment w:val="center"/>
              <w:rPr>
                <w:sz w:val="21"/>
                <w:szCs w:val="21"/>
                <w:highlight w:val="none"/>
              </w:rPr>
            </w:pPr>
            <w:r>
              <w:rPr>
                <w:kern w:val="0"/>
                <w:sz w:val="21"/>
                <w:szCs w:val="21"/>
                <w:highlight w:val="none"/>
                <w:lang w:bidi="ar"/>
              </w:rPr>
              <w:t>1,1,1,2-四氯乙烷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B93F98">
            <w:pPr>
              <w:widowControl/>
              <w:spacing w:line="240" w:lineRule="auto"/>
              <w:jc w:val="center"/>
              <w:textAlignment w:val="center"/>
              <w:rPr>
                <w:sz w:val="21"/>
                <w:szCs w:val="21"/>
                <w:highlight w:val="none"/>
              </w:rPr>
            </w:pPr>
            <w:r>
              <w:rPr>
                <w:kern w:val="0"/>
                <w:sz w:val="21"/>
                <w:szCs w:val="21"/>
                <w:highlight w:val="none"/>
                <w:lang w:bidi="ar"/>
              </w:rPr>
              <w:t>630-20-6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556837">
            <w:pPr>
              <w:widowControl/>
              <w:spacing w:line="240" w:lineRule="auto"/>
              <w:jc w:val="center"/>
              <w:textAlignment w:val="center"/>
              <w:rPr>
                <w:sz w:val="21"/>
                <w:szCs w:val="21"/>
                <w:highlight w:val="none"/>
              </w:rPr>
            </w:pPr>
            <w:r>
              <w:rPr>
                <w:kern w:val="0"/>
                <w:sz w:val="21"/>
                <w:szCs w:val="21"/>
                <w:highlight w:val="none"/>
                <w:lang w:bidi="ar"/>
              </w:rPr>
              <w:t>2.6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C39D4C2">
            <w:pPr>
              <w:widowControl/>
              <w:spacing w:line="240" w:lineRule="auto"/>
              <w:jc w:val="center"/>
              <w:textAlignment w:val="center"/>
              <w:rPr>
                <w:sz w:val="21"/>
                <w:szCs w:val="21"/>
                <w:highlight w:val="none"/>
              </w:rPr>
            </w:pPr>
            <w:r>
              <w:rPr>
                <w:kern w:val="0"/>
                <w:sz w:val="21"/>
                <w:szCs w:val="21"/>
                <w:highlight w:val="none"/>
                <w:lang w:bidi="ar"/>
              </w:rPr>
              <w:t>10</w:t>
            </w:r>
          </w:p>
        </w:tc>
      </w:tr>
      <w:tr w14:paraId="3DDC8F0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EB7A92E">
            <w:pPr>
              <w:widowControl/>
              <w:spacing w:line="240" w:lineRule="auto"/>
              <w:jc w:val="center"/>
              <w:textAlignment w:val="center"/>
              <w:rPr>
                <w:sz w:val="21"/>
                <w:szCs w:val="21"/>
                <w:highlight w:val="none"/>
              </w:rPr>
            </w:pPr>
            <w:r>
              <w:rPr>
                <w:rFonts w:hint="eastAsia"/>
                <w:sz w:val="21"/>
                <w:szCs w:val="21"/>
                <w:highlight w:val="none"/>
              </w:rPr>
              <w:t>33</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347F18">
            <w:pPr>
              <w:widowControl/>
              <w:spacing w:line="240" w:lineRule="auto"/>
              <w:jc w:val="center"/>
              <w:textAlignment w:val="center"/>
              <w:rPr>
                <w:sz w:val="21"/>
                <w:szCs w:val="21"/>
                <w:highlight w:val="none"/>
              </w:rPr>
            </w:pPr>
            <w:r>
              <w:rPr>
                <w:kern w:val="0"/>
                <w:sz w:val="21"/>
                <w:szCs w:val="21"/>
                <w:highlight w:val="none"/>
                <w:lang w:bidi="ar"/>
              </w:rPr>
              <w:t>1,1,2,2-四氯乙烷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EAA699">
            <w:pPr>
              <w:widowControl/>
              <w:spacing w:line="240" w:lineRule="auto"/>
              <w:jc w:val="center"/>
              <w:textAlignment w:val="center"/>
              <w:rPr>
                <w:sz w:val="21"/>
                <w:szCs w:val="21"/>
                <w:highlight w:val="none"/>
              </w:rPr>
            </w:pPr>
            <w:r>
              <w:rPr>
                <w:kern w:val="0"/>
                <w:sz w:val="21"/>
                <w:szCs w:val="21"/>
                <w:highlight w:val="none"/>
                <w:lang w:bidi="ar"/>
              </w:rPr>
              <w:t>630-20-6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5FCD4C">
            <w:pPr>
              <w:widowControl/>
              <w:spacing w:line="240" w:lineRule="auto"/>
              <w:jc w:val="center"/>
              <w:textAlignment w:val="center"/>
              <w:rPr>
                <w:sz w:val="21"/>
                <w:szCs w:val="21"/>
                <w:highlight w:val="none"/>
              </w:rPr>
            </w:pPr>
            <w:r>
              <w:rPr>
                <w:kern w:val="0"/>
                <w:sz w:val="21"/>
                <w:szCs w:val="21"/>
                <w:highlight w:val="none"/>
                <w:lang w:bidi="ar"/>
              </w:rPr>
              <w:t>1.6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9C06FAE">
            <w:pPr>
              <w:widowControl/>
              <w:spacing w:line="240" w:lineRule="auto"/>
              <w:jc w:val="center"/>
              <w:textAlignment w:val="center"/>
              <w:rPr>
                <w:sz w:val="21"/>
                <w:szCs w:val="21"/>
                <w:highlight w:val="none"/>
              </w:rPr>
            </w:pPr>
            <w:r>
              <w:rPr>
                <w:kern w:val="0"/>
                <w:sz w:val="21"/>
                <w:szCs w:val="21"/>
                <w:highlight w:val="none"/>
                <w:lang w:bidi="ar"/>
              </w:rPr>
              <w:t>6.8</w:t>
            </w:r>
          </w:p>
        </w:tc>
      </w:tr>
      <w:tr w14:paraId="22A70FE1">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B618C06">
            <w:pPr>
              <w:widowControl/>
              <w:spacing w:line="240" w:lineRule="auto"/>
              <w:jc w:val="center"/>
              <w:textAlignment w:val="center"/>
              <w:rPr>
                <w:sz w:val="21"/>
                <w:szCs w:val="21"/>
                <w:highlight w:val="none"/>
              </w:rPr>
            </w:pPr>
            <w:r>
              <w:rPr>
                <w:kern w:val="0"/>
                <w:sz w:val="21"/>
                <w:szCs w:val="21"/>
                <w:highlight w:val="none"/>
                <w:lang w:bidi="ar"/>
              </w:rPr>
              <w:t>3</w:t>
            </w:r>
            <w:r>
              <w:rPr>
                <w:rFonts w:hint="eastAsia"/>
                <w:kern w:val="0"/>
                <w:sz w:val="21"/>
                <w:szCs w:val="21"/>
                <w:highlight w:val="none"/>
                <w:lang w:bidi="ar"/>
              </w:rPr>
              <w:t>4</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C24E7F">
            <w:pPr>
              <w:widowControl/>
              <w:spacing w:line="240" w:lineRule="auto"/>
              <w:jc w:val="center"/>
              <w:textAlignment w:val="center"/>
              <w:rPr>
                <w:sz w:val="21"/>
                <w:szCs w:val="21"/>
                <w:highlight w:val="none"/>
              </w:rPr>
            </w:pPr>
            <w:r>
              <w:rPr>
                <w:kern w:val="0"/>
                <w:sz w:val="21"/>
                <w:szCs w:val="21"/>
                <w:highlight w:val="none"/>
                <w:lang w:bidi="ar"/>
              </w:rPr>
              <w:t>1,2,3-三氯丙烷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B64B9A">
            <w:pPr>
              <w:widowControl/>
              <w:spacing w:line="240" w:lineRule="auto"/>
              <w:jc w:val="center"/>
              <w:textAlignment w:val="center"/>
              <w:rPr>
                <w:sz w:val="21"/>
                <w:szCs w:val="21"/>
                <w:highlight w:val="none"/>
              </w:rPr>
            </w:pPr>
            <w:r>
              <w:rPr>
                <w:kern w:val="0"/>
                <w:sz w:val="21"/>
                <w:szCs w:val="21"/>
                <w:highlight w:val="none"/>
                <w:lang w:bidi="ar"/>
              </w:rPr>
              <w:t>96-18-4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87EED4">
            <w:pPr>
              <w:widowControl/>
              <w:spacing w:line="240" w:lineRule="auto"/>
              <w:jc w:val="center"/>
              <w:textAlignment w:val="center"/>
              <w:rPr>
                <w:sz w:val="21"/>
                <w:szCs w:val="21"/>
                <w:highlight w:val="none"/>
              </w:rPr>
            </w:pPr>
            <w:r>
              <w:rPr>
                <w:kern w:val="0"/>
                <w:sz w:val="21"/>
                <w:szCs w:val="21"/>
                <w:highlight w:val="none"/>
                <w:lang w:bidi="ar"/>
              </w:rPr>
              <w:t>0.05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EDC2980">
            <w:pPr>
              <w:widowControl/>
              <w:spacing w:line="240" w:lineRule="auto"/>
              <w:jc w:val="center"/>
              <w:textAlignment w:val="center"/>
              <w:rPr>
                <w:sz w:val="21"/>
                <w:szCs w:val="21"/>
                <w:highlight w:val="none"/>
              </w:rPr>
            </w:pPr>
            <w:r>
              <w:rPr>
                <w:kern w:val="0"/>
                <w:sz w:val="21"/>
                <w:szCs w:val="21"/>
                <w:highlight w:val="none"/>
                <w:lang w:bidi="ar"/>
              </w:rPr>
              <w:t>0.5</w:t>
            </w:r>
          </w:p>
        </w:tc>
      </w:tr>
      <w:tr w14:paraId="0310F758">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227E2A57">
            <w:pPr>
              <w:widowControl/>
              <w:spacing w:line="240" w:lineRule="auto"/>
              <w:jc w:val="center"/>
              <w:textAlignment w:val="center"/>
              <w:rPr>
                <w:sz w:val="21"/>
                <w:szCs w:val="21"/>
                <w:highlight w:val="none"/>
              </w:rPr>
            </w:pPr>
            <w:r>
              <w:rPr>
                <w:kern w:val="0"/>
                <w:sz w:val="21"/>
                <w:szCs w:val="21"/>
                <w:highlight w:val="none"/>
                <w:lang w:bidi="ar"/>
              </w:rPr>
              <w:t>挥发性有机物 - 卤代芳香烃</w:t>
            </w:r>
          </w:p>
        </w:tc>
      </w:tr>
      <w:tr w14:paraId="42B91B6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C186FED">
            <w:pPr>
              <w:widowControl/>
              <w:spacing w:line="240" w:lineRule="auto"/>
              <w:jc w:val="center"/>
              <w:textAlignment w:val="center"/>
              <w:rPr>
                <w:sz w:val="21"/>
                <w:szCs w:val="21"/>
                <w:highlight w:val="none"/>
              </w:rPr>
            </w:pPr>
            <w:r>
              <w:rPr>
                <w:rFonts w:hint="eastAsia"/>
                <w:kern w:val="0"/>
                <w:sz w:val="21"/>
                <w:szCs w:val="21"/>
                <w:highlight w:val="none"/>
                <w:lang w:bidi="ar"/>
              </w:rPr>
              <w:t>35</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378F62">
            <w:pPr>
              <w:widowControl/>
              <w:spacing w:line="240" w:lineRule="auto"/>
              <w:jc w:val="center"/>
              <w:textAlignment w:val="center"/>
              <w:rPr>
                <w:sz w:val="21"/>
                <w:szCs w:val="21"/>
                <w:highlight w:val="none"/>
              </w:rPr>
            </w:pPr>
            <w:r>
              <w:rPr>
                <w:kern w:val="0"/>
                <w:sz w:val="21"/>
                <w:szCs w:val="21"/>
                <w:highlight w:val="none"/>
                <w:lang w:bidi="ar"/>
              </w:rPr>
              <w:t>氯苯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DCD53A">
            <w:pPr>
              <w:widowControl/>
              <w:spacing w:line="240" w:lineRule="auto"/>
              <w:jc w:val="center"/>
              <w:textAlignment w:val="center"/>
              <w:rPr>
                <w:sz w:val="21"/>
                <w:szCs w:val="21"/>
                <w:highlight w:val="none"/>
              </w:rPr>
            </w:pPr>
            <w:r>
              <w:rPr>
                <w:kern w:val="0"/>
                <w:sz w:val="21"/>
                <w:szCs w:val="21"/>
                <w:highlight w:val="none"/>
                <w:lang w:bidi="ar"/>
              </w:rPr>
              <w:t>108-90-7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1A9314">
            <w:pPr>
              <w:widowControl/>
              <w:spacing w:line="240" w:lineRule="auto"/>
              <w:jc w:val="center"/>
              <w:textAlignment w:val="center"/>
              <w:rPr>
                <w:sz w:val="21"/>
                <w:szCs w:val="21"/>
                <w:highlight w:val="none"/>
              </w:rPr>
            </w:pPr>
            <w:r>
              <w:rPr>
                <w:kern w:val="0"/>
                <w:sz w:val="21"/>
                <w:szCs w:val="21"/>
                <w:highlight w:val="none"/>
                <w:lang w:bidi="ar"/>
              </w:rPr>
              <w:t>68</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F252054">
            <w:pPr>
              <w:widowControl/>
              <w:spacing w:line="240" w:lineRule="auto"/>
              <w:jc w:val="center"/>
              <w:textAlignment w:val="center"/>
              <w:rPr>
                <w:sz w:val="21"/>
                <w:szCs w:val="21"/>
                <w:highlight w:val="none"/>
              </w:rPr>
            </w:pPr>
            <w:r>
              <w:rPr>
                <w:kern w:val="0"/>
                <w:sz w:val="21"/>
                <w:szCs w:val="21"/>
                <w:highlight w:val="none"/>
                <w:lang w:bidi="ar"/>
              </w:rPr>
              <w:t>270</w:t>
            </w:r>
          </w:p>
        </w:tc>
      </w:tr>
      <w:tr w14:paraId="76095491">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6B26924">
            <w:pPr>
              <w:widowControl/>
              <w:spacing w:line="240" w:lineRule="auto"/>
              <w:jc w:val="center"/>
              <w:textAlignment w:val="center"/>
              <w:rPr>
                <w:sz w:val="21"/>
                <w:szCs w:val="21"/>
                <w:highlight w:val="none"/>
              </w:rPr>
            </w:pPr>
            <w:r>
              <w:rPr>
                <w:rFonts w:hint="eastAsia"/>
                <w:kern w:val="0"/>
                <w:sz w:val="21"/>
                <w:szCs w:val="21"/>
                <w:highlight w:val="none"/>
                <w:lang w:bidi="ar"/>
              </w:rPr>
              <w:t>36</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6FA4FB">
            <w:pPr>
              <w:widowControl/>
              <w:spacing w:line="240" w:lineRule="auto"/>
              <w:jc w:val="center"/>
              <w:textAlignment w:val="center"/>
              <w:rPr>
                <w:sz w:val="21"/>
                <w:szCs w:val="21"/>
                <w:highlight w:val="none"/>
              </w:rPr>
            </w:pPr>
            <w:r>
              <w:rPr>
                <w:kern w:val="0"/>
                <w:sz w:val="21"/>
                <w:szCs w:val="21"/>
                <w:highlight w:val="none"/>
                <w:lang w:bidi="ar"/>
              </w:rPr>
              <w:t>1,4-二氯苯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E05266">
            <w:pPr>
              <w:widowControl/>
              <w:spacing w:line="240" w:lineRule="auto"/>
              <w:jc w:val="center"/>
              <w:textAlignment w:val="center"/>
              <w:rPr>
                <w:sz w:val="21"/>
                <w:szCs w:val="21"/>
                <w:highlight w:val="none"/>
              </w:rPr>
            </w:pPr>
            <w:r>
              <w:rPr>
                <w:kern w:val="0"/>
                <w:sz w:val="21"/>
                <w:szCs w:val="21"/>
                <w:highlight w:val="none"/>
                <w:lang w:bidi="ar"/>
              </w:rPr>
              <w:t>106-46-7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1A656A">
            <w:pPr>
              <w:widowControl/>
              <w:spacing w:line="240" w:lineRule="auto"/>
              <w:jc w:val="center"/>
              <w:textAlignment w:val="center"/>
              <w:rPr>
                <w:sz w:val="21"/>
                <w:szCs w:val="21"/>
                <w:highlight w:val="none"/>
              </w:rPr>
            </w:pPr>
            <w:r>
              <w:rPr>
                <w:kern w:val="0"/>
                <w:sz w:val="21"/>
                <w:szCs w:val="21"/>
                <w:highlight w:val="none"/>
                <w:lang w:bidi="ar"/>
              </w:rPr>
              <w:t>5.6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99469C0">
            <w:pPr>
              <w:widowControl/>
              <w:spacing w:line="240" w:lineRule="auto"/>
              <w:jc w:val="center"/>
              <w:textAlignment w:val="center"/>
              <w:rPr>
                <w:sz w:val="21"/>
                <w:szCs w:val="21"/>
                <w:highlight w:val="none"/>
              </w:rPr>
            </w:pPr>
            <w:r>
              <w:rPr>
                <w:kern w:val="0"/>
                <w:sz w:val="21"/>
                <w:szCs w:val="21"/>
                <w:highlight w:val="none"/>
                <w:lang w:bidi="ar"/>
              </w:rPr>
              <w:t>20</w:t>
            </w:r>
          </w:p>
        </w:tc>
      </w:tr>
      <w:tr w14:paraId="4FF275DA">
        <w:tblPrEx>
          <w:tblCellMar>
            <w:top w:w="0" w:type="dxa"/>
            <w:left w:w="0" w:type="dxa"/>
            <w:bottom w:w="0" w:type="dxa"/>
            <w:right w:w="0" w:type="dxa"/>
          </w:tblCellMar>
        </w:tblPrEx>
        <w:trPr>
          <w:trHeight w:val="90"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27EEB64">
            <w:pPr>
              <w:widowControl/>
              <w:spacing w:line="240" w:lineRule="auto"/>
              <w:jc w:val="center"/>
              <w:textAlignment w:val="center"/>
              <w:rPr>
                <w:sz w:val="21"/>
                <w:szCs w:val="21"/>
                <w:highlight w:val="none"/>
              </w:rPr>
            </w:pPr>
            <w:r>
              <w:rPr>
                <w:rFonts w:hint="eastAsia"/>
                <w:kern w:val="0"/>
                <w:sz w:val="21"/>
                <w:szCs w:val="21"/>
                <w:highlight w:val="none"/>
                <w:lang w:bidi="ar"/>
              </w:rPr>
              <w:t>37</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05C4F9">
            <w:pPr>
              <w:widowControl/>
              <w:spacing w:line="240" w:lineRule="auto"/>
              <w:jc w:val="center"/>
              <w:textAlignment w:val="center"/>
              <w:rPr>
                <w:sz w:val="21"/>
                <w:szCs w:val="21"/>
                <w:highlight w:val="none"/>
              </w:rPr>
            </w:pPr>
            <w:r>
              <w:rPr>
                <w:kern w:val="0"/>
                <w:sz w:val="21"/>
                <w:szCs w:val="21"/>
                <w:highlight w:val="none"/>
                <w:lang w:bidi="ar"/>
              </w:rPr>
              <w:t>1,2-二氯苯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D4B8EF">
            <w:pPr>
              <w:widowControl/>
              <w:spacing w:line="240" w:lineRule="auto"/>
              <w:jc w:val="center"/>
              <w:textAlignment w:val="center"/>
              <w:rPr>
                <w:sz w:val="21"/>
                <w:szCs w:val="21"/>
                <w:highlight w:val="none"/>
              </w:rPr>
            </w:pPr>
            <w:r>
              <w:rPr>
                <w:kern w:val="0"/>
                <w:sz w:val="21"/>
                <w:szCs w:val="21"/>
                <w:highlight w:val="none"/>
                <w:lang w:bidi="ar"/>
              </w:rPr>
              <w:t>95-50-1</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219B36">
            <w:pPr>
              <w:widowControl/>
              <w:spacing w:line="240" w:lineRule="auto"/>
              <w:jc w:val="center"/>
              <w:textAlignment w:val="center"/>
              <w:rPr>
                <w:sz w:val="21"/>
                <w:szCs w:val="21"/>
                <w:highlight w:val="none"/>
              </w:rPr>
            </w:pPr>
            <w:r>
              <w:rPr>
                <w:kern w:val="0"/>
                <w:sz w:val="21"/>
                <w:szCs w:val="21"/>
                <w:highlight w:val="none"/>
                <w:lang w:bidi="ar"/>
              </w:rPr>
              <w:t>560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DD094A1">
            <w:pPr>
              <w:widowControl/>
              <w:spacing w:line="240" w:lineRule="auto"/>
              <w:jc w:val="center"/>
              <w:textAlignment w:val="center"/>
              <w:rPr>
                <w:sz w:val="21"/>
                <w:szCs w:val="21"/>
                <w:highlight w:val="none"/>
              </w:rPr>
            </w:pPr>
            <w:r>
              <w:rPr>
                <w:kern w:val="0"/>
                <w:sz w:val="21"/>
                <w:szCs w:val="21"/>
                <w:highlight w:val="none"/>
                <w:lang w:bidi="ar"/>
              </w:rPr>
              <w:t>560</w:t>
            </w:r>
          </w:p>
        </w:tc>
      </w:tr>
      <w:tr w14:paraId="4377270B">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336842EE">
            <w:pPr>
              <w:widowControl/>
              <w:spacing w:line="240" w:lineRule="auto"/>
              <w:jc w:val="center"/>
              <w:textAlignment w:val="center"/>
              <w:rPr>
                <w:sz w:val="21"/>
                <w:szCs w:val="21"/>
                <w:highlight w:val="none"/>
              </w:rPr>
            </w:pPr>
            <w:r>
              <w:rPr>
                <w:kern w:val="0"/>
                <w:sz w:val="21"/>
                <w:szCs w:val="21"/>
                <w:highlight w:val="none"/>
                <w:lang w:bidi="ar"/>
              </w:rPr>
              <w:t>挥发性有机物 - 三卤甲烷 (THM)</w:t>
            </w:r>
          </w:p>
        </w:tc>
      </w:tr>
      <w:tr w14:paraId="0E79CB1F">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7E8352D">
            <w:pPr>
              <w:widowControl/>
              <w:spacing w:line="240" w:lineRule="auto"/>
              <w:jc w:val="center"/>
              <w:textAlignment w:val="center"/>
              <w:rPr>
                <w:sz w:val="21"/>
                <w:szCs w:val="21"/>
                <w:highlight w:val="none"/>
              </w:rPr>
            </w:pPr>
            <w:r>
              <w:rPr>
                <w:rFonts w:hint="eastAsia"/>
                <w:kern w:val="0"/>
                <w:sz w:val="21"/>
                <w:szCs w:val="21"/>
                <w:highlight w:val="none"/>
                <w:lang w:bidi="ar"/>
              </w:rPr>
              <w:t>38</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71E401">
            <w:pPr>
              <w:widowControl/>
              <w:spacing w:line="240" w:lineRule="auto"/>
              <w:jc w:val="center"/>
              <w:textAlignment w:val="center"/>
              <w:rPr>
                <w:sz w:val="21"/>
                <w:szCs w:val="21"/>
                <w:highlight w:val="none"/>
              </w:rPr>
            </w:pPr>
            <w:r>
              <w:rPr>
                <w:rFonts w:hint="eastAsia"/>
                <w:kern w:val="0"/>
                <w:sz w:val="21"/>
                <w:szCs w:val="21"/>
                <w:highlight w:val="none"/>
                <w:lang w:bidi="ar"/>
              </w:rPr>
              <w:t>三氯甲烷</w:t>
            </w:r>
            <w:r>
              <w:rPr>
                <w:kern w:val="0"/>
                <w:sz w:val="21"/>
                <w:szCs w:val="21"/>
                <w:highlight w:val="none"/>
                <w:lang w:bidi="ar"/>
              </w:rPr>
              <w:t>(氯仿)</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063658">
            <w:pPr>
              <w:spacing w:line="240" w:lineRule="auto"/>
              <w:jc w:val="center"/>
              <w:rPr>
                <w:sz w:val="21"/>
                <w:szCs w:val="21"/>
                <w:highlight w:val="none"/>
              </w:rPr>
            </w:pPr>
            <w:r>
              <w:rPr>
                <w:rFonts w:hint="eastAsia"/>
                <w:sz w:val="21"/>
                <w:szCs w:val="21"/>
                <w:highlight w:val="none"/>
              </w:rPr>
              <w:t>67-66-3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ACFBFA">
            <w:pPr>
              <w:widowControl/>
              <w:spacing w:line="240" w:lineRule="auto"/>
              <w:jc w:val="center"/>
              <w:textAlignment w:val="center"/>
              <w:rPr>
                <w:sz w:val="21"/>
                <w:szCs w:val="21"/>
                <w:highlight w:val="none"/>
              </w:rPr>
            </w:pPr>
            <w:r>
              <w:rPr>
                <w:kern w:val="0"/>
                <w:sz w:val="21"/>
                <w:szCs w:val="21"/>
                <w:highlight w:val="none"/>
                <w:lang w:bidi="ar"/>
              </w:rPr>
              <w:t>0.3</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3EC4BA0">
            <w:pPr>
              <w:widowControl/>
              <w:spacing w:line="240" w:lineRule="auto"/>
              <w:jc w:val="center"/>
              <w:textAlignment w:val="center"/>
              <w:rPr>
                <w:sz w:val="21"/>
                <w:szCs w:val="21"/>
                <w:highlight w:val="none"/>
              </w:rPr>
            </w:pPr>
            <w:r>
              <w:rPr>
                <w:kern w:val="0"/>
                <w:sz w:val="21"/>
                <w:szCs w:val="21"/>
                <w:highlight w:val="none"/>
                <w:lang w:bidi="ar"/>
              </w:rPr>
              <w:t>0.9</w:t>
            </w:r>
          </w:p>
        </w:tc>
      </w:tr>
      <w:tr w14:paraId="32E65396">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47DEA390">
            <w:pPr>
              <w:spacing w:line="240" w:lineRule="auto"/>
              <w:jc w:val="center"/>
              <w:rPr>
                <w:sz w:val="21"/>
                <w:szCs w:val="21"/>
                <w:highlight w:val="none"/>
              </w:rPr>
            </w:pPr>
            <w:r>
              <w:rPr>
                <w:kern w:val="0"/>
                <w:sz w:val="21"/>
                <w:szCs w:val="21"/>
                <w:highlight w:val="none"/>
                <w:lang w:bidi="ar"/>
              </w:rPr>
              <w:t>半挥发性有机物 - 苯酚类</w:t>
            </w:r>
          </w:p>
        </w:tc>
      </w:tr>
      <w:tr w14:paraId="4C0A39AF">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AEDBC11">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39</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CE1A05B">
            <w:pPr>
              <w:widowControl/>
              <w:spacing w:line="240" w:lineRule="auto"/>
              <w:jc w:val="center"/>
              <w:textAlignment w:val="center"/>
              <w:rPr>
                <w:kern w:val="0"/>
                <w:sz w:val="21"/>
                <w:szCs w:val="21"/>
                <w:highlight w:val="none"/>
                <w:lang w:bidi="ar"/>
              </w:rPr>
            </w:pPr>
            <w:r>
              <w:rPr>
                <w:kern w:val="0"/>
                <w:sz w:val="21"/>
                <w:szCs w:val="21"/>
                <w:highlight w:val="none"/>
                <w:lang w:bidi="ar"/>
              </w:rPr>
              <w:t>2-氯酚</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E310EAC">
            <w:pPr>
              <w:widowControl/>
              <w:spacing w:line="240" w:lineRule="auto"/>
              <w:jc w:val="center"/>
              <w:textAlignment w:val="center"/>
              <w:rPr>
                <w:kern w:val="0"/>
                <w:sz w:val="21"/>
                <w:szCs w:val="21"/>
                <w:highlight w:val="none"/>
                <w:lang w:bidi="ar"/>
              </w:rPr>
            </w:pPr>
            <w:r>
              <w:rPr>
                <w:kern w:val="0"/>
                <w:sz w:val="21"/>
                <w:szCs w:val="21"/>
                <w:highlight w:val="none"/>
                <w:lang w:bidi="ar"/>
              </w:rPr>
              <w:t>95-57-8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B58C37">
            <w:pPr>
              <w:widowControl/>
              <w:spacing w:line="240" w:lineRule="auto"/>
              <w:jc w:val="center"/>
              <w:textAlignment w:val="center"/>
              <w:rPr>
                <w:kern w:val="0"/>
                <w:sz w:val="21"/>
                <w:szCs w:val="21"/>
                <w:highlight w:val="none"/>
                <w:lang w:bidi="ar"/>
              </w:rPr>
            </w:pPr>
            <w:r>
              <w:rPr>
                <w:kern w:val="0"/>
                <w:sz w:val="21"/>
                <w:szCs w:val="21"/>
                <w:highlight w:val="none"/>
                <w:lang w:bidi="ar"/>
              </w:rPr>
              <w:t>250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45BD11D">
            <w:pPr>
              <w:widowControl/>
              <w:spacing w:line="240" w:lineRule="auto"/>
              <w:jc w:val="center"/>
              <w:textAlignment w:val="center"/>
              <w:rPr>
                <w:kern w:val="0"/>
                <w:sz w:val="21"/>
                <w:szCs w:val="21"/>
                <w:highlight w:val="none"/>
                <w:lang w:bidi="ar"/>
              </w:rPr>
            </w:pPr>
            <w:r>
              <w:rPr>
                <w:kern w:val="0"/>
                <w:sz w:val="21"/>
                <w:szCs w:val="21"/>
                <w:highlight w:val="none"/>
                <w:lang w:bidi="ar"/>
              </w:rPr>
              <w:t>2256</w:t>
            </w:r>
          </w:p>
        </w:tc>
      </w:tr>
      <w:tr w14:paraId="77EFEEEF">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52EE659B">
            <w:pPr>
              <w:widowControl/>
              <w:spacing w:line="240" w:lineRule="auto"/>
              <w:jc w:val="center"/>
              <w:textAlignment w:val="center"/>
              <w:rPr>
                <w:sz w:val="21"/>
                <w:szCs w:val="21"/>
                <w:highlight w:val="none"/>
              </w:rPr>
            </w:pPr>
            <w:r>
              <w:rPr>
                <w:kern w:val="0"/>
                <w:sz w:val="21"/>
                <w:szCs w:val="21"/>
                <w:highlight w:val="none"/>
                <w:lang w:bidi="ar"/>
              </w:rPr>
              <w:t>半挥发性有机物 - 多环芳烃类(PAHs)</w:t>
            </w:r>
          </w:p>
        </w:tc>
      </w:tr>
      <w:tr w14:paraId="42C1B3E9">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38C8AB02">
            <w:pPr>
              <w:widowControl/>
              <w:spacing w:line="240" w:lineRule="auto"/>
              <w:jc w:val="center"/>
              <w:textAlignment w:val="center"/>
              <w:rPr>
                <w:sz w:val="21"/>
                <w:szCs w:val="21"/>
                <w:highlight w:val="none"/>
              </w:rPr>
            </w:pPr>
            <w:r>
              <w:rPr>
                <w:rFonts w:hint="eastAsia"/>
                <w:sz w:val="21"/>
                <w:szCs w:val="21"/>
                <w:highlight w:val="none"/>
              </w:rPr>
              <w:t>40</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6DCDB7">
            <w:pPr>
              <w:widowControl/>
              <w:spacing w:line="240" w:lineRule="auto"/>
              <w:jc w:val="center"/>
              <w:textAlignment w:val="center"/>
              <w:rPr>
                <w:sz w:val="21"/>
                <w:szCs w:val="21"/>
                <w:highlight w:val="none"/>
              </w:rPr>
            </w:pPr>
            <w:r>
              <w:rPr>
                <w:kern w:val="0"/>
                <w:sz w:val="21"/>
                <w:szCs w:val="21"/>
                <w:highlight w:val="none"/>
                <w:lang w:bidi="ar"/>
              </w:rPr>
              <w:t>萘</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BE7112">
            <w:pPr>
              <w:widowControl/>
              <w:spacing w:line="240" w:lineRule="auto"/>
              <w:jc w:val="center"/>
              <w:textAlignment w:val="center"/>
              <w:rPr>
                <w:sz w:val="21"/>
                <w:szCs w:val="21"/>
                <w:highlight w:val="none"/>
              </w:rPr>
            </w:pPr>
            <w:r>
              <w:rPr>
                <w:kern w:val="0"/>
                <w:sz w:val="21"/>
                <w:szCs w:val="21"/>
                <w:highlight w:val="none"/>
                <w:lang w:bidi="ar"/>
              </w:rPr>
              <w:t>91-20-3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0B8AE7">
            <w:pPr>
              <w:widowControl/>
              <w:spacing w:line="240" w:lineRule="auto"/>
              <w:jc w:val="center"/>
              <w:textAlignment w:val="center"/>
              <w:rPr>
                <w:sz w:val="21"/>
                <w:szCs w:val="21"/>
                <w:highlight w:val="none"/>
              </w:rPr>
            </w:pPr>
            <w:r>
              <w:rPr>
                <w:kern w:val="0"/>
                <w:sz w:val="21"/>
                <w:szCs w:val="21"/>
                <w:highlight w:val="none"/>
                <w:lang w:bidi="ar"/>
              </w:rPr>
              <w:t>25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FD23BC6">
            <w:pPr>
              <w:widowControl/>
              <w:spacing w:line="240" w:lineRule="auto"/>
              <w:jc w:val="center"/>
              <w:textAlignment w:val="center"/>
              <w:rPr>
                <w:sz w:val="21"/>
                <w:szCs w:val="21"/>
                <w:highlight w:val="none"/>
              </w:rPr>
            </w:pPr>
            <w:r>
              <w:rPr>
                <w:kern w:val="0"/>
                <w:sz w:val="21"/>
                <w:szCs w:val="21"/>
                <w:highlight w:val="none"/>
                <w:lang w:bidi="ar"/>
              </w:rPr>
              <w:t>70</w:t>
            </w:r>
          </w:p>
        </w:tc>
      </w:tr>
      <w:tr w14:paraId="4F4E19F9">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EFB5E0E">
            <w:pPr>
              <w:widowControl/>
              <w:spacing w:line="240" w:lineRule="auto"/>
              <w:jc w:val="center"/>
              <w:textAlignment w:val="center"/>
              <w:rPr>
                <w:sz w:val="21"/>
                <w:szCs w:val="21"/>
                <w:highlight w:val="none"/>
              </w:rPr>
            </w:pPr>
            <w:r>
              <w:rPr>
                <w:rFonts w:hint="eastAsia"/>
                <w:sz w:val="21"/>
                <w:szCs w:val="21"/>
                <w:highlight w:val="none"/>
              </w:rPr>
              <w:t>41</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B55504">
            <w:pPr>
              <w:widowControl/>
              <w:spacing w:line="240" w:lineRule="auto"/>
              <w:jc w:val="center"/>
              <w:textAlignment w:val="center"/>
              <w:rPr>
                <w:sz w:val="21"/>
                <w:szCs w:val="21"/>
                <w:highlight w:val="none"/>
              </w:rPr>
            </w:pPr>
            <w:r>
              <w:rPr>
                <w:kern w:val="0"/>
                <w:sz w:val="21"/>
                <w:szCs w:val="21"/>
                <w:highlight w:val="none"/>
                <w:lang w:bidi="ar"/>
              </w:rPr>
              <w:t>苯并(a)蒽</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FBE3F0">
            <w:pPr>
              <w:widowControl/>
              <w:spacing w:line="240" w:lineRule="auto"/>
              <w:jc w:val="center"/>
              <w:textAlignment w:val="center"/>
              <w:rPr>
                <w:sz w:val="21"/>
                <w:szCs w:val="21"/>
                <w:highlight w:val="none"/>
              </w:rPr>
            </w:pPr>
            <w:r>
              <w:rPr>
                <w:kern w:val="0"/>
                <w:sz w:val="21"/>
                <w:szCs w:val="21"/>
                <w:highlight w:val="none"/>
                <w:lang w:bidi="ar"/>
              </w:rPr>
              <w:t>56-55-3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FDD2CB">
            <w:pPr>
              <w:widowControl/>
              <w:spacing w:line="240" w:lineRule="auto"/>
              <w:jc w:val="center"/>
              <w:textAlignment w:val="center"/>
              <w:rPr>
                <w:sz w:val="21"/>
                <w:szCs w:val="21"/>
                <w:highlight w:val="none"/>
              </w:rPr>
            </w:pPr>
            <w:r>
              <w:rPr>
                <w:kern w:val="0"/>
                <w:sz w:val="21"/>
                <w:szCs w:val="21"/>
                <w:highlight w:val="none"/>
                <w:lang w:bidi="ar"/>
              </w:rPr>
              <w:t>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6234D37">
            <w:pPr>
              <w:widowControl/>
              <w:spacing w:line="240" w:lineRule="auto"/>
              <w:jc w:val="center"/>
              <w:textAlignment w:val="center"/>
              <w:rPr>
                <w:sz w:val="21"/>
                <w:szCs w:val="21"/>
                <w:highlight w:val="none"/>
              </w:rPr>
            </w:pPr>
            <w:r>
              <w:rPr>
                <w:kern w:val="0"/>
                <w:sz w:val="21"/>
                <w:szCs w:val="21"/>
                <w:highlight w:val="none"/>
                <w:lang w:bidi="ar"/>
              </w:rPr>
              <w:t>15</w:t>
            </w:r>
          </w:p>
        </w:tc>
      </w:tr>
      <w:tr w14:paraId="11E1E9C3">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372C005D">
            <w:pPr>
              <w:widowControl/>
              <w:spacing w:line="240" w:lineRule="auto"/>
              <w:jc w:val="center"/>
              <w:textAlignment w:val="center"/>
              <w:rPr>
                <w:sz w:val="21"/>
                <w:szCs w:val="21"/>
                <w:highlight w:val="none"/>
              </w:rPr>
            </w:pPr>
            <w:r>
              <w:rPr>
                <w:rFonts w:hint="eastAsia"/>
                <w:sz w:val="21"/>
                <w:szCs w:val="21"/>
                <w:highlight w:val="none"/>
              </w:rPr>
              <w:t>42</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4A675E">
            <w:pPr>
              <w:widowControl/>
              <w:spacing w:line="240" w:lineRule="auto"/>
              <w:jc w:val="center"/>
              <w:textAlignment w:val="center"/>
              <w:rPr>
                <w:sz w:val="21"/>
                <w:szCs w:val="21"/>
                <w:highlight w:val="none"/>
              </w:rPr>
            </w:pPr>
            <w:r>
              <w:rPr>
                <w:kern w:val="0"/>
                <w:sz w:val="21"/>
                <w:szCs w:val="21"/>
                <w:highlight w:val="none"/>
                <w:lang w:bidi="ar"/>
              </w:rPr>
              <w:t>䓛</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A73AD3">
            <w:pPr>
              <w:widowControl/>
              <w:spacing w:line="240" w:lineRule="auto"/>
              <w:jc w:val="center"/>
              <w:textAlignment w:val="center"/>
              <w:rPr>
                <w:sz w:val="21"/>
                <w:szCs w:val="21"/>
                <w:highlight w:val="none"/>
              </w:rPr>
            </w:pPr>
            <w:r>
              <w:rPr>
                <w:kern w:val="0"/>
                <w:sz w:val="21"/>
                <w:szCs w:val="21"/>
                <w:highlight w:val="none"/>
                <w:lang w:bidi="ar"/>
              </w:rPr>
              <w:t>218-01-9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5A39BC">
            <w:pPr>
              <w:widowControl/>
              <w:spacing w:line="240" w:lineRule="auto"/>
              <w:jc w:val="center"/>
              <w:textAlignment w:val="center"/>
              <w:rPr>
                <w:sz w:val="21"/>
                <w:szCs w:val="21"/>
                <w:highlight w:val="none"/>
              </w:rPr>
            </w:pPr>
            <w:r>
              <w:rPr>
                <w:kern w:val="0"/>
                <w:sz w:val="21"/>
                <w:szCs w:val="21"/>
                <w:highlight w:val="none"/>
                <w:lang w:bidi="ar"/>
              </w:rPr>
              <w:t>480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B4CAEF3">
            <w:pPr>
              <w:widowControl/>
              <w:spacing w:line="240" w:lineRule="auto"/>
              <w:jc w:val="center"/>
              <w:textAlignment w:val="center"/>
              <w:rPr>
                <w:sz w:val="21"/>
                <w:szCs w:val="21"/>
                <w:highlight w:val="none"/>
              </w:rPr>
            </w:pPr>
            <w:r>
              <w:rPr>
                <w:kern w:val="0"/>
                <w:sz w:val="21"/>
                <w:szCs w:val="21"/>
                <w:highlight w:val="none"/>
                <w:lang w:bidi="ar"/>
              </w:rPr>
              <w:t>1293</w:t>
            </w:r>
          </w:p>
        </w:tc>
      </w:tr>
      <w:tr w14:paraId="0015F64F">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8BF0781">
            <w:pPr>
              <w:widowControl/>
              <w:spacing w:line="240" w:lineRule="auto"/>
              <w:jc w:val="center"/>
              <w:textAlignment w:val="center"/>
              <w:rPr>
                <w:sz w:val="21"/>
                <w:szCs w:val="21"/>
                <w:highlight w:val="none"/>
              </w:rPr>
            </w:pPr>
            <w:r>
              <w:rPr>
                <w:rFonts w:hint="eastAsia"/>
                <w:sz w:val="21"/>
                <w:szCs w:val="21"/>
                <w:highlight w:val="none"/>
              </w:rPr>
              <w:t>43</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BC29F4">
            <w:pPr>
              <w:widowControl/>
              <w:spacing w:line="240" w:lineRule="auto"/>
              <w:jc w:val="center"/>
              <w:textAlignment w:val="center"/>
              <w:rPr>
                <w:sz w:val="21"/>
                <w:szCs w:val="21"/>
                <w:highlight w:val="none"/>
              </w:rPr>
            </w:pPr>
            <w:r>
              <w:rPr>
                <w:kern w:val="0"/>
                <w:sz w:val="21"/>
                <w:szCs w:val="21"/>
                <w:highlight w:val="none"/>
                <w:lang w:bidi="ar"/>
              </w:rPr>
              <w:t>苯并(b)荧蒽</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1F0487">
            <w:pPr>
              <w:widowControl/>
              <w:spacing w:line="240" w:lineRule="auto"/>
              <w:jc w:val="center"/>
              <w:textAlignment w:val="center"/>
              <w:rPr>
                <w:sz w:val="21"/>
                <w:szCs w:val="21"/>
                <w:highlight w:val="none"/>
              </w:rPr>
            </w:pPr>
            <w:r>
              <w:rPr>
                <w:kern w:val="0"/>
                <w:sz w:val="21"/>
                <w:szCs w:val="21"/>
                <w:highlight w:val="none"/>
                <w:lang w:bidi="ar"/>
              </w:rPr>
              <w:t>205-99-2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84248B">
            <w:pPr>
              <w:widowControl/>
              <w:spacing w:line="240" w:lineRule="auto"/>
              <w:jc w:val="center"/>
              <w:textAlignment w:val="center"/>
              <w:rPr>
                <w:sz w:val="21"/>
                <w:szCs w:val="21"/>
                <w:highlight w:val="none"/>
              </w:rPr>
            </w:pPr>
            <w:r>
              <w:rPr>
                <w:kern w:val="0"/>
                <w:sz w:val="21"/>
                <w:szCs w:val="21"/>
                <w:highlight w:val="none"/>
                <w:lang w:bidi="ar"/>
              </w:rPr>
              <w:t>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0F502DD">
            <w:pPr>
              <w:widowControl/>
              <w:spacing w:line="240" w:lineRule="auto"/>
              <w:jc w:val="center"/>
              <w:textAlignment w:val="center"/>
              <w:rPr>
                <w:sz w:val="21"/>
                <w:szCs w:val="21"/>
                <w:highlight w:val="none"/>
              </w:rPr>
            </w:pPr>
            <w:r>
              <w:rPr>
                <w:kern w:val="0"/>
                <w:sz w:val="21"/>
                <w:szCs w:val="21"/>
                <w:highlight w:val="none"/>
                <w:lang w:bidi="ar"/>
              </w:rPr>
              <w:t>15</w:t>
            </w:r>
          </w:p>
        </w:tc>
      </w:tr>
      <w:tr w14:paraId="681DB66A">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923B193">
            <w:pPr>
              <w:widowControl/>
              <w:spacing w:line="240" w:lineRule="auto"/>
              <w:jc w:val="center"/>
              <w:textAlignment w:val="center"/>
              <w:rPr>
                <w:sz w:val="21"/>
                <w:szCs w:val="21"/>
                <w:highlight w:val="none"/>
              </w:rPr>
            </w:pPr>
            <w:r>
              <w:rPr>
                <w:rFonts w:hint="eastAsia"/>
                <w:sz w:val="21"/>
                <w:szCs w:val="21"/>
                <w:highlight w:val="none"/>
              </w:rPr>
              <w:t>44</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0C1A21">
            <w:pPr>
              <w:widowControl/>
              <w:spacing w:line="240" w:lineRule="auto"/>
              <w:jc w:val="center"/>
              <w:textAlignment w:val="center"/>
              <w:rPr>
                <w:sz w:val="21"/>
                <w:szCs w:val="21"/>
                <w:highlight w:val="none"/>
              </w:rPr>
            </w:pPr>
            <w:r>
              <w:rPr>
                <w:kern w:val="0"/>
                <w:sz w:val="21"/>
                <w:szCs w:val="21"/>
                <w:highlight w:val="none"/>
                <w:lang w:bidi="ar"/>
              </w:rPr>
              <w:t>苯并(k)荧蒽</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4EFDA8">
            <w:pPr>
              <w:widowControl/>
              <w:spacing w:line="240" w:lineRule="auto"/>
              <w:jc w:val="center"/>
              <w:textAlignment w:val="center"/>
              <w:rPr>
                <w:sz w:val="21"/>
                <w:szCs w:val="21"/>
                <w:highlight w:val="none"/>
              </w:rPr>
            </w:pPr>
            <w:r>
              <w:rPr>
                <w:kern w:val="0"/>
                <w:sz w:val="21"/>
                <w:szCs w:val="21"/>
                <w:highlight w:val="none"/>
                <w:lang w:bidi="ar"/>
              </w:rPr>
              <w:t>207-08-9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23A912">
            <w:pPr>
              <w:widowControl/>
              <w:spacing w:line="240" w:lineRule="auto"/>
              <w:jc w:val="center"/>
              <w:textAlignment w:val="center"/>
              <w:rPr>
                <w:sz w:val="21"/>
                <w:szCs w:val="21"/>
                <w:highlight w:val="none"/>
              </w:rPr>
            </w:pPr>
            <w:r>
              <w:rPr>
                <w:kern w:val="0"/>
                <w:sz w:val="21"/>
                <w:szCs w:val="21"/>
                <w:highlight w:val="none"/>
                <w:lang w:bidi="ar"/>
              </w:rPr>
              <w:t>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064FE4A">
            <w:pPr>
              <w:widowControl/>
              <w:spacing w:line="240" w:lineRule="auto"/>
              <w:jc w:val="center"/>
              <w:textAlignment w:val="center"/>
              <w:rPr>
                <w:sz w:val="21"/>
                <w:szCs w:val="21"/>
                <w:highlight w:val="none"/>
              </w:rPr>
            </w:pPr>
            <w:r>
              <w:rPr>
                <w:kern w:val="0"/>
                <w:sz w:val="21"/>
                <w:szCs w:val="21"/>
                <w:highlight w:val="none"/>
                <w:lang w:bidi="ar"/>
              </w:rPr>
              <w:t>151</w:t>
            </w:r>
          </w:p>
        </w:tc>
      </w:tr>
      <w:tr w14:paraId="52EBA4AC">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8274907">
            <w:pPr>
              <w:widowControl/>
              <w:spacing w:line="240" w:lineRule="auto"/>
              <w:jc w:val="center"/>
              <w:textAlignment w:val="center"/>
              <w:rPr>
                <w:sz w:val="21"/>
                <w:szCs w:val="21"/>
                <w:highlight w:val="none"/>
              </w:rPr>
            </w:pPr>
            <w:r>
              <w:rPr>
                <w:rFonts w:hint="eastAsia"/>
                <w:sz w:val="21"/>
                <w:szCs w:val="21"/>
                <w:highlight w:val="none"/>
              </w:rPr>
              <w:t>45</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DC79F7">
            <w:pPr>
              <w:widowControl/>
              <w:spacing w:line="240" w:lineRule="auto"/>
              <w:jc w:val="center"/>
              <w:textAlignment w:val="center"/>
              <w:rPr>
                <w:sz w:val="21"/>
                <w:szCs w:val="21"/>
                <w:highlight w:val="none"/>
              </w:rPr>
            </w:pPr>
            <w:r>
              <w:rPr>
                <w:kern w:val="0"/>
                <w:sz w:val="21"/>
                <w:szCs w:val="21"/>
                <w:highlight w:val="none"/>
                <w:lang w:bidi="ar"/>
              </w:rPr>
              <w:t>苯并(a)芘</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E6E62F">
            <w:pPr>
              <w:widowControl/>
              <w:spacing w:line="240" w:lineRule="auto"/>
              <w:jc w:val="center"/>
              <w:textAlignment w:val="center"/>
              <w:rPr>
                <w:sz w:val="21"/>
                <w:szCs w:val="21"/>
                <w:highlight w:val="none"/>
              </w:rPr>
            </w:pPr>
            <w:r>
              <w:rPr>
                <w:kern w:val="0"/>
                <w:sz w:val="21"/>
                <w:szCs w:val="21"/>
                <w:highlight w:val="none"/>
                <w:lang w:bidi="ar"/>
              </w:rPr>
              <w:t>50-32-8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E039BF">
            <w:pPr>
              <w:widowControl/>
              <w:spacing w:line="240" w:lineRule="auto"/>
              <w:jc w:val="center"/>
              <w:textAlignment w:val="center"/>
              <w:rPr>
                <w:sz w:val="21"/>
                <w:szCs w:val="21"/>
                <w:highlight w:val="none"/>
              </w:rPr>
            </w:pPr>
            <w:r>
              <w:rPr>
                <w:kern w:val="0"/>
                <w:sz w:val="21"/>
                <w:szCs w:val="21"/>
                <w:highlight w:val="none"/>
                <w:lang w:bidi="ar"/>
              </w:rPr>
              <w:t>0.55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0E4A0147">
            <w:pPr>
              <w:widowControl/>
              <w:spacing w:line="240" w:lineRule="auto"/>
              <w:jc w:val="center"/>
              <w:textAlignment w:val="center"/>
              <w:rPr>
                <w:sz w:val="21"/>
                <w:szCs w:val="21"/>
                <w:highlight w:val="none"/>
              </w:rPr>
            </w:pPr>
            <w:r>
              <w:rPr>
                <w:kern w:val="0"/>
                <w:sz w:val="21"/>
                <w:szCs w:val="21"/>
                <w:highlight w:val="none"/>
                <w:lang w:bidi="ar"/>
              </w:rPr>
              <w:t>1.5</w:t>
            </w:r>
          </w:p>
        </w:tc>
      </w:tr>
      <w:tr w14:paraId="170A330C">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FA31B99">
            <w:pPr>
              <w:widowControl/>
              <w:spacing w:line="240" w:lineRule="auto"/>
              <w:jc w:val="center"/>
              <w:textAlignment w:val="center"/>
              <w:rPr>
                <w:sz w:val="21"/>
                <w:szCs w:val="21"/>
                <w:highlight w:val="none"/>
              </w:rPr>
            </w:pPr>
            <w:r>
              <w:rPr>
                <w:rFonts w:hint="eastAsia"/>
                <w:sz w:val="21"/>
                <w:szCs w:val="21"/>
                <w:highlight w:val="none"/>
              </w:rPr>
              <w:t>46</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429B21">
            <w:pPr>
              <w:widowControl/>
              <w:spacing w:line="240" w:lineRule="auto"/>
              <w:jc w:val="center"/>
              <w:textAlignment w:val="center"/>
              <w:rPr>
                <w:sz w:val="21"/>
                <w:szCs w:val="21"/>
                <w:highlight w:val="none"/>
              </w:rPr>
            </w:pPr>
            <w:r>
              <w:rPr>
                <w:kern w:val="0"/>
                <w:sz w:val="21"/>
                <w:szCs w:val="21"/>
                <w:highlight w:val="none"/>
                <w:lang w:bidi="ar"/>
              </w:rPr>
              <w:t>茚并(1,2,3-cd)芘</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7EDD0D">
            <w:pPr>
              <w:widowControl/>
              <w:spacing w:line="240" w:lineRule="auto"/>
              <w:jc w:val="center"/>
              <w:textAlignment w:val="center"/>
              <w:rPr>
                <w:sz w:val="21"/>
                <w:szCs w:val="21"/>
                <w:highlight w:val="none"/>
              </w:rPr>
            </w:pPr>
            <w:r>
              <w:rPr>
                <w:kern w:val="0"/>
                <w:sz w:val="21"/>
                <w:szCs w:val="21"/>
                <w:highlight w:val="none"/>
                <w:lang w:bidi="ar"/>
              </w:rPr>
              <w:t>193-39-5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E3820C">
            <w:pPr>
              <w:widowControl/>
              <w:spacing w:line="240" w:lineRule="auto"/>
              <w:jc w:val="center"/>
              <w:textAlignment w:val="center"/>
              <w:rPr>
                <w:sz w:val="21"/>
                <w:szCs w:val="21"/>
                <w:highlight w:val="none"/>
              </w:rPr>
            </w:pPr>
            <w:r>
              <w:rPr>
                <w:kern w:val="0"/>
                <w:sz w:val="21"/>
                <w:szCs w:val="21"/>
                <w:highlight w:val="none"/>
                <w:lang w:bidi="ar"/>
              </w:rPr>
              <w:t>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7BC7979">
            <w:pPr>
              <w:widowControl/>
              <w:spacing w:line="240" w:lineRule="auto"/>
              <w:jc w:val="center"/>
              <w:textAlignment w:val="center"/>
              <w:rPr>
                <w:sz w:val="21"/>
                <w:szCs w:val="21"/>
                <w:highlight w:val="none"/>
              </w:rPr>
            </w:pPr>
            <w:r>
              <w:rPr>
                <w:kern w:val="0"/>
                <w:sz w:val="21"/>
                <w:szCs w:val="21"/>
                <w:highlight w:val="none"/>
                <w:lang w:bidi="ar"/>
              </w:rPr>
              <w:t>15</w:t>
            </w:r>
          </w:p>
        </w:tc>
      </w:tr>
      <w:tr w14:paraId="2EA2ECB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F57AD70">
            <w:pPr>
              <w:widowControl/>
              <w:spacing w:line="240" w:lineRule="auto"/>
              <w:jc w:val="center"/>
              <w:textAlignment w:val="center"/>
              <w:rPr>
                <w:sz w:val="21"/>
                <w:szCs w:val="21"/>
                <w:highlight w:val="none"/>
              </w:rPr>
            </w:pPr>
            <w:r>
              <w:rPr>
                <w:rFonts w:hint="eastAsia"/>
                <w:sz w:val="21"/>
                <w:szCs w:val="21"/>
                <w:highlight w:val="none"/>
              </w:rPr>
              <w:t>47</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D534AE">
            <w:pPr>
              <w:widowControl/>
              <w:spacing w:line="240" w:lineRule="auto"/>
              <w:jc w:val="center"/>
              <w:textAlignment w:val="center"/>
              <w:rPr>
                <w:sz w:val="21"/>
                <w:szCs w:val="21"/>
                <w:highlight w:val="none"/>
              </w:rPr>
            </w:pPr>
            <w:r>
              <w:rPr>
                <w:kern w:val="0"/>
                <w:sz w:val="21"/>
                <w:szCs w:val="21"/>
                <w:highlight w:val="none"/>
                <w:lang w:bidi="ar"/>
              </w:rPr>
              <w:t>二苯并(a,h)蒽</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06655B">
            <w:pPr>
              <w:widowControl/>
              <w:spacing w:line="240" w:lineRule="auto"/>
              <w:jc w:val="center"/>
              <w:textAlignment w:val="center"/>
              <w:rPr>
                <w:sz w:val="21"/>
                <w:szCs w:val="21"/>
                <w:highlight w:val="none"/>
              </w:rPr>
            </w:pPr>
            <w:r>
              <w:rPr>
                <w:kern w:val="0"/>
                <w:sz w:val="21"/>
                <w:szCs w:val="21"/>
                <w:highlight w:val="none"/>
                <w:lang w:bidi="ar"/>
              </w:rPr>
              <w:t>53-70-3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7AC5FB">
            <w:pPr>
              <w:widowControl/>
              <w:spacing w:line="240" w:lineRule="auto"/>
              <w:jc w:val="center"/>
              <w:textAlignment w:val="center"/>
              <w:rPr>
                <w:sz w:val="21"/>
                <w:szCs w:val="21"/>
                <w:highlight w:val="none"/>
              </w:rPr>
            </w:pPr>
            <w:r>
              <w:rPr>
                <w:kern w:val="0"/>
                <w:sz w:val="21"/>
                <w:szCs w:val="21"/>
                <w:highlight w:val="none"/>
                <w:lang w:bidi="ar"/>
              </w:rPr>
              <w:t>0.55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F99E9B1">
            <w:pPr>
              <w:widowControl/>
              <w:spacing w:line="240" w:lineRule="auto"/>
              <w:jc w:val="center"/>
              <w:textAlignment w:val="center"/>
              <w:rPr>
                <w:sz w:val="21"/>
                <w:szCs w:val="21"/>
                <w:highlight w:val="none"/>
              </w:rPr>
            </w:pPr>
            <w:r>
              <w:rPr>
                <w:kern w:val="0"/>
                <w:sz w:val="21"/>
                <w:szCs w:val="21"/>
                <w:highlight w:val="none"/>
                <w:lang w:bidi="ar"/>
              </w:rPr>
              <w:t>1.5</w:t>
            </w:r>
          </w:p>
        </w:tc>
      </w:tr>
      <w:tr w14:paraId="3C5808E9">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763C7777">
            <w:pPr>
              <w:widowControl/>
              <w:spacing w:line="240" w:lineRule="auto"/>
              <w:jc w:val="center"/>
              <w:textAlignment w:val="center"/>
              <w:rPr>
                <w:sz w:val="21"/>
                <w:szCs w:val="21"/>
                <w:highlight w:val="none"/>
              </w:rPr>
            </w:pPr>
            <w:r>
              <w:rPr>
                <w:kern w:val="0"/>
                <w:sz w:val="21"/>
                <w:szCs w:val="21"/>
                <w:highlight w:val="none"/>
                <w:lang w:bidi="ar"/>
              </w:rPr>
              <w:t>半挥发性有机物 - 硝基芳烃和酮类</w:t>
            </w:r>
          </w:p>
        </w:tc>
      </w:tr>
      <w:tr w14:paraId="1DFBAA2E">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FD440F1">
            <w:pPr>
              <w:widowControl/>
              <w:spacing w:line="240" w:lineRule="auto"/>
              <w:jc w:val="center"/>
              <w:textAlignment w:val="center"/>
              <w:rPr>
                <w:sz w:val="21"/>
                <w:szCs w:val="21"/>
                <w:highlight w:val="none"/>
              </w:rPr>
            </w:pPr>
            <w:r>
              <w:rPr>
                <w:rFonts w:hint="eastAsia"/>
                <w:sz w:val="21"/>
                <w:szCs w:val="21"/>
                <w:highlight w:val="none"/>
              </w:rPr>
              <w:t>48</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B58718">
            <w:pPr>
              <w:widowControl/>
              <w:spacing w:line="240" w:lineRule="auto"/>
              <w:jc w:val="center"/>
              <w:textAlignment w:val="center"/>
              <w:rPr>
                <w:sz w:val="21"/>
                <w:szCs w:val="21"/>
                <w:highlight w:val="none"/>
              </w:rPr>
            </w:pPr>
            <w:r>
              <w:rPr>
                <w:kern w:val="0"/>
                <w:sz w:val="21"/>
                <w:szCs w:val="21"/>
                <w:highlight w:val="none"/>
                <w:lang w:bidi="ar"/>
              </w:rPr>
              <w:t>硝基苯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0F585C">
            <w:pPr>
              <w:widowControl/>
              <w:spacing w:line="240" w:lineRule="auto"/>
              <w:jc w:val="center"/>
              <w:textAlignment w:val="center"/>
              <w:rPr>
                <w:sz w:val="21"/>
                <w:szCs w:val="21"/>
                <w:highlight w:val="none"/>
              </w:rPr>
            </w:pPr>
            <w:r>
              <w:rPr>
                <w:kern w:val="0"/>
                <w:sz w:val="21"/>
                <w:szCs w:val="21"/>
                <w:highlight w:val="none"/>
                <w:lang w:bidi="ar"/>
              </w:rPr>
              <w:t>98-95-3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AC9901">
            <w:pPr>
              <w:widowControl/>
              <w:spacing w:line="240" w:lineRule="auto"/>
              <w:jc w:val="center"/>
              <w:textAlignment w:val="center"/>
              <w:rPr>
                <w:sz w:val="21"/>
                <w:szCs w:val="21"/>
                <w:highlight w:val="none"/>
              </w:rPr>
            </w:pPr>
            <w:r>
              <w:rPr>
                <w:kern w:val="0"/>
                <w:sz w:val="21"/>
                <w:szCs w:val="21"/>
                <w:highlight w:val="none"/>
                <w:lang w:bidi="ar"/>
              </w:rPr>
              <w:t>34</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85566E5">
            <w:pPr>
              <w:widowControl/>
              <w:spacing w:line="240" w:lineRule="auto"/>
              <w:jc w:val="center"/>
              <w:textAlignment w:val="center"/>
              <w:rPr>
                <w:sz w:val="21"/>
                <w:szCs w:val="21"/>
                <w:highlight w:val="none"/>
              </w:rPr>
            </w:pPr>
            <w:r>
              <w:rPr>
                <w:kern w:val="0"/>
                <w:sz w:val="21"/>
                <w:szCs w:val="21"/>
                <w:highlight w:val="none"/>
                <w:lang w:bidi="ar"/>
              </w:rPr>
              <w:t>76</w:t>
            </w:r>
          </w:p>
        </w:tc>
      </w:tr>
      <w:tr w14:paraId="421C942C">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61C30CB2">
            <w:pPr>
              <w:widowControl/>
              <w:spacing w:line="240" w:lineRule="auto"/>
              <w:jc w:val="center"/>
              <w:textAlignment w:val="center"/>
              <w:rPr>
                <w:sz w:val="21"/>
                <w:szCs w:val="21"/>
                <w:highlight w:val="none"/>
              </w:rPr>
            </w:pPr>
            <w:r>
              <w:rPr>
                <w:kern w:val="0"/>
                <w:sz w:val="21"/>
                <w:szCs w:val="21"/>
                <w:highlight w:val="none"/>
                <w:lang w:bidi="ar"/>
              </w:rPr>
              <w:t>半挥发性有机物 - 苯胺和联苯胺类</w:t>
            </w:r>
          </w:p>
        </w:tc>
      </w:tr>
      <w:tr w14:paraId="2F9CD633">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auto" w:sz="12" w:space="0"/>
              <w:right w:val="single" w:color="000000" w:sz="4" w:space="0"/>
            </w:tcBorders>
            <w:shd w:val="clear" w:color="auto" w:fill="auto"/>
            <w:noWrap/>
            <w:tcMar>
              <w:top w:w="15" w:type="dxa"/>
              <w:left w:w="15" w:type="dxa"/>
              <w:right w:w="15" w:type="dxa"/>
            </w:tcMar>
            <w:vAlign w:val="center"/>
          </w:tcPr>
          <w:p w14:paraId="3B523CA9">
            <w:pPr>
              <w:widowControl/>
              <w:spacing w:line="240" w:lineRule="auto"/>
              <w:jc w:val="center"/>
              <w:textAlignment w:val="center"/>
              <w:rPr>
                <w:sz w:val="21"/>
                <w:szCs w:val="21"/>
                <w:highlight w:val="none"/>
              </w:rPr>
            </w:pPr>
            <w:r>
              <w:rPr>
                <w:rFonts w:hint="eastAsia"/>
                <w:sz w:val="21"/>
                <w:szCs w:val="21"/>
                <w:highlight w:val="none"/>
              </w:rPr>
              <w:t>49</w:t>
            </w:r>
          </w:p>
        </w:tc>
        <w:tc>
          <w:tcPr>
            <w:tcW w:w="2381" w:type="dxa"/>
            <w:tcBorders>
              <w:top w:val="single" w:color="000000" w:sz="4" w:space="0"/>
              <w:left w:val="single" w:color="000000" w:sz="4" w:space="0"/>
              <w:bottom w:val="single" w:color="auto" w:sz="12" w:space="0"/>
              <w:right w:val="single" w:color="000000" w:sz="4" w:space="0"/>
            </w:tcBorders>
            <w:shd w:val="clear" w:color="auto" w:fill="auto"/>
            <w:noWrap/>
            <w:tcMar>
              <w:top w:w="15" w:type="dxa"/>
              <w:left w:w="15" w:type="dxa"/>
              <w:right w:w="15" w:type="dxa"/>
            </w:tcMar>
            <w:vAlign w:val="center"/>
          </w:tcPr>
          <w:p w14:paraId="36E174F1">
            <w:pPr>
              <w:widowControl/>
              <w:spacing w:line="240" w:lineRule="auto"/>
              <w:jc w:val="center"/>
              <w:textAlignment w:val="center"/>
              <w:rPr>
                <w:sz w:val="21"/>
                <w:szCs w:val="21"/>
                <w:highlight w:val="none"/>
              </w:rPr>
            </w:pPr>
            <w:r>
              <w:rPr>
                <w:kern w:val="0"/>
                <w:sz w:val="21"/>
                <w:szCs w:val="21"/>
                <w:highlight w:val="none"/>
                <w:lang w:bidi="ar"/>
              </w:rPr>
              <w:t>苯胺</w:t>
            </w:r>
          </w:p>
        </w:tc>
        <w:tc>
          <w:tcPr>
            <w:tcW w:w="1538" w:type="dxa"/>
            <w:tcBorders>
              <w:top w:val="single" w:color="000000" w:sz="4" w:space="0"/>
              <w:left w:val="single" w:color="000000" w:sz="4" w:space="0"/>
              <w:bottom w:val="single" w:color="auto" w:sz="12" w:space="0"/>
              <w:right w:val="single" w:color="000000" w:sz="4" w:space="0"/>
            </w:tcBorders>
            <w:shd w:val="clear" w:color="auto" w:fill="auto"/>
            <w:noWrap/>
            <w:tcMar>
              <w:top w:w="15" w:type="dxa"/>
              <w:left w:w="15" w:type="dxa"/>
              <w:right w:w="15" w:type="dxa"/>
            </w:tcMar>
            <w:vAlign w:val="center"/>
          </w:tcPr>
          <w:p w14:paraId="2F3CCF59">
            <w:pPr>
              <w:widowControl/>
              <w:spacing w:line="240" w:lineRule="auto"/>
              <w:jc w:val="center"/>
              <w:textAlignment w:val="center"/>
              <w:rPr>
                <w:sz w:val="21"/>
                <w:szCs w:val="21"/>
                <w:highlight w:val="none"/>
              </w:rPr>
            </w:pPr>
            <w:r>
              <w:rPr>
                <w:kern w:val="0"/>
                <w:sz w:val="21"/>
                <w:szCs w:val="21"/>
                <w:highlight w:val="none"/>
                <w:lang w:bidi="ar"/>
              </w:rPr>
              <w:t>62-53-3</w:t>
            </w:r>
          </w:p>
        </w:tc>
        <w:tc>
          <w:tcPr>
            <w:tcW w:w="2319" w:type="dxa"/>
            <w:tcBorders>
              <w:top w:val="single" w:color="000000" w:sz="4" w:space="0"/>
              <w:left w:val="single" w:color="000000" w:sz="4" w:space="0"/>
              <w:bottom w:val="single" w:color="auto" w:sz="12" w:space="0"/>
              <w:right w:val="single" w:color="000000" w:sz="4" w:space="0"/>
            </w:tcBorders>
            <w:shd w:val="clear" w:color="auto" w:fill="auto"/>
            <w:noWrap/>
            <w:tcMar>
              <w:top w:w="15" w:type="dxa"/>
              <w:left w:w="15" w:type="dxa"/>
              <w:right w:w="15" w:type="dxa"/>
            </w:tcMar>
            <w:vAlign w:val="center"/>
          </w:tcPr>
          <w:p w14:paraId="17FF92EA">
            <w:pPr>
              <w:widowControl/>
              <w:spacing w:line="240" w:lineRule="auto"/>
              <w:jc w:val="center"/>
              <w:textAlignment w:val="center"/>
              <w:rPr>
                <w:sz w:val="21"/>
                <w:szCs w:val="21"/>
                <w:highlight w:val="none"/>
              </w:rPr>
            </w:pPr>
            <w:r>
              <w:rPr>
                <w:kern w:val="0"/>
                <w:sz w:val="21"/>
                <w:szCs w:val="21"/>
                <w:highlight w:val="none"/>
                <w:lang w:bidi="ar"/>
              </w:rPr>
              <w:t>92</w:t>
            </w:r>
          </w:p>
        </w:tc>
        <w:tc>
          <w:tcPr>
            <w:tcW w:w="2320" w:type="dxa"/>
            <w:tcBorders>
              <w:top w:val="single" w:color="000000" w:sz="4" w:space="0"/>
              <w:left w:val="single" w:color="000000" w:sz="4" w:space="0"/>
              <w:bottom w:val="single" w:color="auto" w:sz="12" w:space="0"/>
              <w:right w:val="nil"/>
            </w:tcBorders>
            <w:shd w:val="clear" w:color="auto" w:fill="auto"/>
            <w:noWrap/>
            <w:tcMar>
              <w:top w:w="15" w:type="dxa"/>
              <w:left w:w="15" w:type="dxa"/>
              <w:right w:w="15" w:type="dxa"/>
            </w:tcMar>
            <w:vAlign w:val="center"/>
          </w:tcPr>
          <w:p w14:paraId="6926DF84">
            <w:pPr>
              <w:widowControl/>
              <w:spacing w:line="240" w:lineRule="auto"/>
              <w:jc w:val="center"/>
              <w:textAlignment w:val="center"/>
              <w:rPr>
                <w:sz w:val="21"/>
                <w:szCs w:val="21"/>
                <w:highlight w:val="none"/>
              </w:rPr>
            </w:pPr>
            <w:r>
              <w:rPr>
                <w:kern w:val="0"/>
                <w:sz w:val="21"/>
                <w:szCs w:val="21"/>
                <w:highlight w:val="none"/>
                <w:lang w:bidi="ar"/>
              </w:rPr>
              <w:t>260</w:t>
            </w:r>
          </w:p>
        </w:tc>
      </w:tr>
    </w:tbl>
    <w:p w14:paraId="125A99C0">
      <w:pPr>
        <w:pStyle w:val="2"/>
        <w:spacing w:after="0" w:line="240" w:lineRule="auto"/>
        <w:rPr>
          <w:b/>
          <w:bCs/>
          <w:sz w:val="18"/>
          <w:szCs w:val="18"/>
          <w:highlight w:val="none"/>
        </w:rPr>
      </w:pPr>
      <w:r>
        <w:rPr>
          <w:b/>
          <w:bCs/>
          <w:sz w:val="18"/>
          <w:szCs w:val="18"/>
          <w:highlight w:val="none"/>
        </w:rPr>
        <w:t>注：①</w:t>
      </w:r>
      <w:r>
        <w:rPr>
          <w:rFonts w:hint="eastAsia"/>
          <w:b/>
          <w:bCs/>
          <w:kern w:val="0"/>
          <w:sz w:val="18"/>
          <w:szCs w:val="18"/>
          <w:highlight w:val="none"/>
          <w:lang w:bidi="ar"/>
        </w:rPr>
        <w:t>总氟化物</w:t>
      </w:r>
      <w:r>
        <w:rPr>
          <w:b/>
          <w:bCs/>
          <w:kern w:val="0"/>
          <w:sz w:val="18"/>
          <w:szCs w:val="18"/>
          <w:highlight w:val="none"/>
          <w:lang w:bidi="ar"/>
        </w:rPr>
        <w:t>、铬</w:t>
      </w:r>
      <w:r>
        <w:rPr>
          <w:rFonts w:hint="eastAsia"/>
          <w:b/>
          <w:bCs/>
          <w:kern w:val="0"/>
          <w:sz w:val="18"/>
          <w:szCs w:val="18"/>
          <w:highlight w:val="none"/>
          <w:lang w:bidi="ar"/>
        </w:rPr>
        <w:t>污染物项目参考深圳标准进行评价</w:t>
      </w:r>
      <w:r>
        <w:rPr>
          <w:b/>
          <w:bCs/>
          <w:sz w:val="18"/>
          <w:szCs w:val="18"/>
          <w:highlight w:val="none"/>
        </w:rPr>
        <w:t>。</w:t>
      </w:r>
    </w:p>
    <w:p w14:paraId="0DAC67C4">
      <w:pPr>
        <w:spacing w:line="240" w:lineRule="auto"/>
        <w:jc w:val="center"/>
        <w:rPr>
          <w:rFonts w:eastAsia="黑体"/>
          <w:b/>
          <w:bCs/>
          <w:highlight w:val="none"/>
        </w:rPr>
      </w:pPr>
      <w:r>
        <w:rPr>
          <w:rFonts w:eastAsia="黑体"/>
          <w:b/>
          <w:bCs/>
          <w:highlight w:val="none"/>
        </w:rPr>
        <w:t>表5-1-3 农用地土壤污染风险筛选值 （单位：mg/kg）</w:t>
      </w:r>
    </w:p>
    <w:tbl>
      <w:tblPr>
        <w:tblStyle w:val="21"/>
        <w:tblW w:w="966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611"/>
        <w:gridCol w:w="1611"/>
        <w:gridCol w:w="1611"/>
        <w:gridCol w:w="1611"/>
        <w:gridCol w:w="1612"/>
        <w:gridCol w:w="1612"/>
      </w:tblGrid>
      <w:tr w14:paraId="403DEF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jc w:val="center"/>
        </w:trPr>
        <w:tc>
          <w:tcPr>
            <w:tcW w:w="1611" w:type="dxa"/>
            <w:vMerge w:val="restart"/>
            <w:shd w:val="clear" w:color="auto" w:fill="auto"/>
            <w:noWrap/>
            <w:tcMar>
              <w:top w:w="15" w:type="dxa"/>
              <w:left w:w="15" w:type="dxa"/>
              <w:right w:w="15" w:type="dxa"/>
            </w:tcMar>
            <w:vAlign w:val="center"/>
          </w:tcPr>
          <w:p w14:paraId="176608BE">
            <w:pPr>
              <w:widowControl/>
              <w:spacing w:line="240" w:lineRule="auto"/>
              <w:jc w:val="center"/>
              <w:textAlignment w:val="center"/>
              <w:rPr>
                <w:b/>
                <w:color w:val="000000"/>
                <w:sz w:val="21"/>
                <w:szCs w:val="21"/>
                <w:highlight w:val="none"/>
              </w:rPr>
            </w:pPr>
            <w:r>
              <w:rPr>
                <w:b/>
                <w:color w:val="000000"/>
                <w:kern w:val="0"/>
                <w:sz w:val="21"/>
                <w:szCs w:val="21"/>
                <w:highlight w:val="none"/>
                <w:lang w:bidi="ar"/>
              </w:rPr>
              <w:t>序号</w:t>
            </w:r>
          </w:p>
        </w:tc>
        <w:tc>
          <w:tcPr>
            <w:tcW w:w="1611" w:type="dxa"/>
            <w:vMerge w:val="restart"/>
            <w:shd w:val="clear" w:color="auto" w:fill="auto"/>
            <w:noWrap/>
            <w:tcMar>
              <w:top w:w="15" w:type="dxa"/>
              <w:left w:w="15" w:type="dxa"/>
              <w:right w:w="15" w:type="dxa"/>
            </w:tcMar>
            <w:vAlign w:val="center"/>
          </w:tcPr>
          <w:p w14:paraId="4F70CED5">
            <w:pPr>
              <w:widowControl/>
              <w:spacing w:line="240" w:lineRule="auto"/>
              <w:jc w:val="center"/>
              <w:textAlignment w:val="center"/>
              <w:rPr>
                <w:b/>
                <w:color w:val="000000"/>
                <w:sz w:val="21"/>
                <w:szCs w:val="21"/>
                <w:highlight w:val="none"/>
              </w:rPr>
            </w:pPr>
            <w:r>
              <w:rPr>
                <w:b/>
                <w:color w:val="000000"/>
                <w:kern w:val="0"/>
                <w:sz w:val="21"/>
                <w:szCs w:val="21"/>
                <w:highlight w:val="none"/>
                <w:lang w:bidi="ar"/>
              </w:rPr>
              <w:t>污染物项目</w:t>
            </w:r>
          </w:p>
        </w:tc>
        <w:tc>
          <w:tcPr>
            <w:tcW w:w="6446" w:type="dxa"/>
            <w:gridSpan w:val="4"/>
            <w:shd w:val="clear" w:color="auto" w:fill="auto"/>
            <w:noWrap/>
            <w:tcMar>
              <w:top w:w="15" w:type="dxa"/>
              <w:left w:w="15" w:type="dxa"/>
              <w:right w:w="15" w:type="dxa"/>
            </w:tcMar>
            <w:vAlign w:val="center"/>
          </w:tcPr>
          <w:p w14:paraId="0A36100D">
            <w:pPr>
              <w:widowControl/>
              <w:spacing w:line="240" w:lineRule="auto"/>
              <w:jc w:val="center"/>
              <w:textAlignment w:val="center"/>
              <w:rPr>
                <w:b/>
                <w:color w:val="000000"/>
                <w:sz w:val="21"/>
                <w:szCs w:val="21"/>
                <w:highlight w:val="none"/>
              </w:rPr>
            </w:pPr>
            <w:r>
              <w:rPr>
                <w:b/>
                <w:color w:val="000000"/>
                <w:kern w:val="0"/>
                <w:sz w:val="21"/>
                <w:szCs w:val="21"/>
                <w:highlight w:val="none"/>
                <w:lang w:bidi="ar"/>
              </w:rPr>
              <w:t>风险筛选值</w:t>
            </w:r>
          </w:p>
        </w:tc>
      </w:tr>
      <w:tr w14:paraId="0B94BD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jc w:val="center"/>
        </w:trPr>
        <w:tc>
          <w:tcPr>
            <w:tcW w:w="1611" w:type="dxa"/>
            <w:vMerge w:val="continue"/>
            <w:tcBorders>
              <w:bottom w:val="single" w:color="auto" w:sz="12" w:space="0"/>
            </w:tcBorders>
            <w:shd w:val="clear" w:color="auto" w:fill="auto"/>
            <w:noWrap/>
            <w:tcMar>
              <w:top w:w="15" w:type="dxa"/>
              <w:left w:w="15" w:type="dxa"/>
              <w:right w:w="15" w:type="dxa"/>
            </w:tcMar>
            <w:vAlign w:val="center"/>
          </w:tcPr>
          <w:p w14:paraId="0CAFBA78">
            <w:pPr>
              <w:spacing w:line="240" w:lineRule="auto"/>
              <w:jc w:val="center"/>
              <w:rPr>
                <w:b/>
                <w:color w:val="000000"/>
                <w:sz w:val="21"/>
                <w:szCs w:val="21"/>
                <w:highlight w:val="none"/>
              </w:rPr>
            </w:pPr>
          </w:p>
        </w:tc>
        <w:tc>
          <w:tcPr>
            <w:tcW w:w="1611" w:type="dxa"/>
            <w:vMerge w:val="continue"/>
            <w:tcBorders>
              <w:bottom w:val="single" w:color="auto" w:sz="12" w:space="0"/>
            </w:tcBorders>
            <w:shd w:val="clear" w:color="auto" w:fill="auto"/>
            <w:noWrap/>
            <w:tcMar>
              <w:top w:w="15" w:type="dxa"/>
              <w:left w:w="15" w:type="dxa"/>
              <w:right w:w="15" w:type="dxa"/>
            </w:tcMar>
            <w:vAlign w:val="center"/>
          </w:tcPr>
          <w:p w14:paraId="33CC7A46">
            <w:pPr>
              <w:spacing w:line="240" w:lineRule="auto"/>
              <w:jc w:val="center"/>
              <w:rPr>
                <w:b/>
                <w:color w:val="000000"/>
                <w:sz w:val="21"/>
                <w:szCs w:val="21"/>
                <w:highlight w:val="none"/>
              </w:rPr>
            </w:pPr>
          </w:p>
        </w:tc>
        <w:tc>
          <w:tcPr>
            <w:tcW w:w="1611" w:type="dxa"/>
            <w:tcBorders>
              <w:bottom w:val="single" w:color="auto" w:sz="12" w:space="0"/>
            </w:tcBorders>
            <w:shd w:val="clear" w:color="auto" w:fill="auto"/>
            <w:tcMar>
              <w:top w:w="15" w:type="dxa"/>
              <w:left w:w="15" w:type="dxa"/>
              <w:right w:w="15" w:type="dxa"/>
            </w:tcMar>
          </w:tcPr>
          <w:p w14:paraId="68191CF1">
            <w:pPr>
              <w:widowControl/>
              <w:spacing w:line="240" w:lineRule="auto"/>
              <w:jc w:val="center"/>
              <w:textAlignment w:val="top"/>
              <w:rPr>
                <w:b/>
                <w:color w:val="000000"/>
                <w:sz w:val="21"/>
                <w:szCs w:val="21"/>
                <w:highlight w:val="none"/>
              </w:rPr>
            </w:pPr>
            <w:r>
              <w:rPr>
                <w:b/>
                <w:color w:val="000000"/>
                <w:kern w:val="0"/>
                <w:sz w:val="21"/>
                <w:szCs w:val="21"/>
                <w:highlight w:val="none"/>
                <w:lang w:bidi="ar"/>
              </w:rPr>
              <w:t>pH≤5.5</w:t>
            </w:r>
          </w:p>
        </w:tc>
        <w:tc>
          <w:tcPr>
            <w:tcW w:w="1611" w:type="dxa"/>
            <w:tcBorders>
              <w:bottom w:val="single" w:color="auto" w:sz="12" w:space="0"/>
            </w:tcBorders>
            <w:shd w:val="clear" w:color="auto" w:fill="auto"/>
            <w:tcMar>
              <w:top w:w="15" w:type="dxa"/>
              <w:left w:w="15" w:type="dxa"/>
              <w:right w:w="15" w:type="dxa"/>
            </w:tcMar>
          </w:tcPr>
          <w:p w14:paraId="735A5C9D">
            <w:pPr>
              <w:widowControl/>
              <w:spacing w:line="240" w:lineRule="auto"/>
              <w:jc w:val="center"/>
              <w:textAlignment w:val="top"/>
              <w:rPr>
                <w:b/>
                <w:color w:val="000000"/>
                <w:sz w:val="21"/>
                <w:szCs w:val="21"/>
                <w:highlight w:val="none"/>
              </w:rPr>
            </w:pPr>
            <w:r>
              <w:rPr>
                <w:b/>
                <w:color w:val="000000"/>
                <w:kern w:val="0"/>
                <w:sz w:val="21"/>
                <w:szCs w:val="21"/>
                <w:highlight w:val="none"/>
                <w:lang w:bidi="ar"/>
              </w:rPr>
              <w:t>5.5＜pH≤6.5</w:t>
            </w:r>
          </w:p>
        </w:tc>
        <w:tc>
          <w:tcPr>
            <w:tcW w:w="1612" w:type="dxa"/>
            <w:tcBorders>
              <w:bottom w:val="single" w:color="auto" w:sz="12" w:space="0"/>
            </w:tcBorders>
            <w:shd w:val="clear" w:color="auto" w:fill="auto"/>
            <w:tcMar>
              <w:top w:w="15" w:type="dxa"/>
              <w:left w:w="15" w:type="dxa"/>
              <w:right w:w="15" w:type="dxa"/>
            </w:tcMar>
          </w:tcPr>
          <w:p w14:paraId="672D1CAC">
            <w:pPr>
              <w:widowControl/>
              <w:spacing w:line="240" w:lineRule="auto"/>
              <w:jc w:val="center"/>
              <w:textAlignment w:val="top"/>
              <w:rPr>
                <w:b/>
                <w:color w:val="000000"/>
                <w:sz w:val="21"/>
                <w:szCs w:val="21"/>
                <w:highlight w:val="none"/>
              </w:rPr>
            </w:pPr>
            <w:r>
              <w:rPr>
                <w:b/>
                <w:color w:val="000000"/>
                <w:kern w:val="0"/>
                <w:sz w:val="21"/>
                <w:szCs w:val="21"/>
                <w:highlight w:val="none"/>
                <w:lang w:bidi="ar"/>
              </w:rPr>
              <w:t>6.5＜pH≤7.5</w:t>
            </w:r>
          </w:p>
        </w:tc>
        <w:tc>
          <w:tcPr>
            <w:tcW w:w="1612" w:type="dxa"/>
            <w:tcBorders>
              <w:bottom w:val="single" w:color="auto" w:sz="12" w:space="0"/>
            </w:tcBorders>
            <w:shd w:val="clear" w:color="auto" w:fill="auto"/>
            <w:tcMar>
              <w:top w:w="15" w:type="dxa"/>
              <w:left w:w="15" w:type="dxa"/>
              <w:right w:w="15" w:type="dxa"/>
            </w:tcMar>
          </w:tcPr>
          <w:p w14:paraId="05065A60">
            <w:pPr>
              <w:widowControl/>
              <w:spacing w:line="240" w:lineRule="auto"/>
              <w:jc w:val="center"/>
              <w:textAlignment w:val="top"/>
              <w:rPr>
                <w:b/>
                <w:color w:val="000000"/>
                <w:sz w:val="21"/>
                <w:szCs w:val="21"/>
                <w:highlight w:val="none"/>
              </w:rPr>
            </w:pPr>
            <w:r>
              <w:rPr>
                <w:b/>
                <w:color w:val="000000"/>
                <w:kern w:val="0"/>
                <w:sz w:val="21"/>
                <w:szCs w:val="21"/>
                <w:highlight w:val="none"/>
                <w:lang w:bidi="ar"/>
              </w:rPr>
              <w:t>pH＞7.5</w:t>
            </w:r>
          </w:p>
        </w:tc>
      </w:tr>
      <w:tr w14:paraId="3E9BB5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tcBorders>
              <w:top w:val="single" w:color="auto" w:sz="12" w:space="0"/>
              <w:tl2br w:val="nil"/>
              <w:tr2bl w:val="nil"/>
            </w:tcBorders>
            <w:shd w:val="clear" w:color="auto" w:fill="auto"/>
            <w:noWrap/>
            <w:tcMar>
              <w:top w:w="15" w:type="dxa"/>
              <w:left w:w="15" w:type="dxa"/>
              <w:right w:w="15" w:type="dxa"/>
            </w:tcMar>
            <w:vAlign w:val="center"/>
          </w:tcPr>
          <w:p w14:paraId="199B5213">
            <w:pPr>
              <w:widowControl/>
              <w:spacing w:line="240" w:lineRule="auto"/>
              <w:jc w:val="center"/>
              <w:textAlignment w:val="center"/>
              <w:rPr>
                <w:color w:val="000000"/>
                <w:sz w:val="21"/>
                <w:szCs w:val="21"/>
                <w:highlight w:val="none"/>
              </w:rPr>
            </w:pPr>
            <w:r>
              <w:rPr>
                <w:color w:val="000000"/>
                <w:kern w:val="0"/>
                <w:sz w:val="21"/>
                <w:szCs w:val="21"/>
                <w:highlight w:val="none"/>
                <w:lang w:bidi="ar"/>
              </w:rPr>
              <w:t>1</w:t>
            </w:r>
          </w:p>
        </w:tc>
        <w:tc>
          <w:tcPr>
            <w:tcW w:w="1611" w:type="dxa"/>
            <w:tcBorders>
              <w:top w:val="single" w:color="auto" w:sz="12" w:space="0"/>
              <w:tl2br w:val="nil"/>
              <w:tr2bl w:val="nil"/>
            </w:tcBorders>
            <w:shd w:val="clear" w:color="auto" w:fill="auto"/>
            <w:noWrap/>
            <w:tcMar>
              <w:top w:w="15" w:type="dxa"/>
              <w:left w:w="15" w:type="dxa"/>
              <w:right w:w="15" w:type="dxa"/>
            </w:tcMar>
            <w:vAlign w:val="center"/>
          </w:tcPr>
          <w:p w14:paraId="08056B31">
            <w:pPr>
              <w:widowControl/>
              <w:spacing w:line="240" w:lineRule="auto"/>
              <w:jc w:val="center"/>
              <w:textAlignment w:val="center"/>
              <w:rPr>
                <w:color w:val="000000"/>
                <w:sz w:val="21"/>
                <w:szCs w:val="21"/>
                <w:highlight w:val="none"/>
              </w:rPr>
            </w:pPr>
            <w:r>
              <w:rPr>
                <w:color w:val="000000"/>
                <w:kern w:val="0"/>
                <w:sz w:val="21"/>
                <w:szCs w:val="21"/>
                <w:highlight w:val="none"/>
                <w:lang w:bidi="ar"/>
              </w:rPr>
              <w:t>镉</w:t>
            </w:r>
          </w:p>
        </w:tc>
        <w:tc>
          <w:tcPr>
            <w:tcW w:w="1611" w:type="dxa"/>
            <w:tcBorders>
              <w:top w:val="single" w:color="auto" w:sz="12" w:space="0"/>
              <w:tl2br w:val="nil"/>
              <w:tr2bl w:val="nil"/>
            </w:tcBorders>
            <w:shd w:val="clear" w:color="auto" w:fill="auto"/>
            <w:noWrap/>
            <w:tcMar>
              <w:top w:w="15" w:type="dxa"/>
              <w:left w:w="15" w:type="dxa"/>
              <w:right w:w="15" w:type="dxa"/>
            </w:tcMar>
            <w:vAlign w:val="center"/>
          </w:tcPr>
          <w:p w14:paraId="1018CADD">
            <w:pPr>
              <w:widowControl/>
              <w:spacing w:line="240" w:lineRule="auto"/>
              <w:jc w:val="center"/>
              <w:textAlignment w:val="center"/>
              <w:rPr>
                <w:color w:val="000000"/>
                <w:sz w:val="21"/>
                <w:szCs w:val="21"/>
                <w:highlight w:val="none"/>
              </w:rPr>
            </w:pPr>
            <w:r>
              <w:rPr>
                <w:color w:val="000000"/>
                <w:kern w:val="0"/>
                <w:sz w:val="21"/>
                <w:szCs w:val="21"/>
                <w:highlight w:val="none"/>
                <w:lang w:bidi="ar"/>
              </w:rPr>
              <w:t>0.3</w:t>
            </w:r>
          </w:p>
        </w:tc>
        <w:tc>
          <w:tcPr>
            <w:tcW w:w="1611" w:type="dxa"/>
            <w:tcBorders>
              <w:top w:val="single" w:color="auto" w:sz="12" w:space="0"/>
              <w:tl2br w:val="nil"/>
              <w:tr2bl w:val="nil"/>
            </w:tcBorders>
            <w:shd w:val="clear" w:color="auto" w:fill="auto"/>
            <w:noWrap/>
            <w:tcMar>
              <w:top w:w="15" w:type="dxa"/>
              <w:left w:w="15" w:type="dxa"/>
              <w:right w:w="15" w:type="dxa"/>
            </w:tcMar>
            <w:vAlign w:val="center"/>
          </w:tcPr>
          <w:p w14:paraId="659D474D">
            <w:pPr>
              <w:widowControl/>
              <w:spacing w:line="240" w:lineRule="auto"/>
              <w:jc w:val="center"/>
              <w:textAlignment w:val="center"/>
              <w:rPr>
                <w:b w:val="0"/>
                <w:bCs/>
                <w:color w:val="000000"/>
                <w:sz w:val="21"/>
                <w:szCs w:val="21"/>
                <w:highlight w:val="none"/>
              </w:rPr>
            </w:pPr>
            <w:r>
              <w:rPr>
                <w:b w:val="0"/>
                <w:bCs/>
                <w:color w:val="000000"/>
                <w:kern w:val="0"/>
                <w:sz w:val="21"/>
                <w:szCs w:val="21"/>
                <w:highlight w:val="none"/>
                <w:lang w:bidi="ar"/>
              </w:rPr>
              <w:t>0.3</w:t>
            </w:r>
          </w:p>
        </w:tc>
        <w:tc>
          <w:tcPr>
            <w:tcW w:w="1612" w:type="dxa"/>
            <w:tcBorders>
              <w:top w:val="single" w:color="auto" w:sz="12" w:space="0"/>
              <w:tl2br w:val="nil"/>
              <w:tr2bl w:val="nil"/>
            </w:tcBorders>
            <w:shd w:val="clear" w:color="auto" w:fill="auto"/>
            <w:noWrap/>
            <w:tcMar>
              <w:top w:w="15" w:type="dxa"/>
              <w:left w:w="15" w:type="dxa"/>
              <w:right w:w="15" w:type="dxa"/>
            </w:tcMar>
            <w:vAlign w:val="center"/>
          </w:tcPr>
          <w:p w14:paraId="316C6E8A">
            <w:pPr>
              <w:widowControl/>
              <w:spacing w:line="240" w:lineRule="auto"/>
              <w:jc w:val="center"/>
              <w:textAlignment w:val="center"/>
              <w:rPr>
                <w:color w:val="000000"/>
                <w:sz w:val="21"/>
                <w:szCs w:val="21"/>
                <w:highlight w:val="none"/>
              </w:rPr>
            </w:pPr>
            <w:r>
              <w:rPr>
                <w:color w:val="000000"/>
                <w:kern w:val="0"/>
                <w:sz w:val="21"/>
                <w:szCs w:val="21"/>
                <w:highlight w:val="none"/>
                <w:lang w:bidi="ar"/>
              </w:rPr>
              <w:t>0.3</w:t>
            </w:r>
          </w:p>
        </w:tc>
        <w:tc>
          <w:tcPr>
            <w:tcW w:w="1612" w:type="dxa"/>
            <w:tcBorders>
              <w:top w:val="single" w:color="auto" w:sz="12" w:space="0"/>
              <w:tl2br w:val="nil"/>
              <w:tr2bl w:val="nil"/>
            </w:tcBorders>
            <w:shd w:val="clear" w:color="auto" w:fill="auto"/>
            <w:noWrap/>
            <w:tcMar>
              <w:top w:w="15" w:type="dxa"/>
              <w:left w:w="15" w:type="dxa"/>
              <w:right w:w="15" w:type="dxa"/>
            </w:tcMar>
            <w:vAlign w:val="center"/>
          </w:tcPr>
          <w:p w14:paraId="5936EFF8">
            <w:pPr>
              <w:widowControl/>
              <w:spacing w:line="240" w:lineRule="auto"/>
              <w:jc w:val="center"/>
              <w:textAlignment w:val="center"/>
              <w:rPr>
                <w:color w:val="000000"/>
                <w:sz w:val="21"/>
                <w:szCs w:val="21"/>
                <w:highlight w:val="none"/>
              </w:rPr>
            </w:pPr>
            <w:r>
              <w:rPr>
                <w:color w:val="000000"/>
                <w:kern w:val="0"/>
                <w:sz w:val="21"/>
                <w:szCs w:val="21"/>
                <w:highlight w:val="none"/>
                <w:lang w:bidi="ar"/>
              </w:rPr>
              <w:t>0.6</w:t>
            </w:r>
          </w:p>
        </w:tc>
      </w:tr>
      <w:tr w14:paraId="1857C7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tcBorders>
              <w:tl2br w:val="nil"/>
              <w:tr2bl w:val="nil"/>
            </w:tcBorders>
            <w:shd w:val="clear" w:color="auto" w:fill="auto"/>
            <w:noWrap/>
            <w:tcMar>
              <w:top w:w="15" w:type="dxa"/>
              <w:left w:w="15" w:type="dxa"/>
              <w:right w:w="15" w:type="dxa"/>
            </w:tcMar>
            <w:vAlign w:val="center"/>
          </w:tcPr>
          <w:p w14:paraId="6E55BBDC">
            <w:pPr>
              <w:widowControl/>
              <w:spacing w:line="240" w:lineRule="auto"/>
              <w:jc w:val="center"/>
              <w:textAlignment w:val="center"/>
              <w:rPr>
                <w:color w:val="000000"/>
                <w:sz w:val="21"/>
                <w:szCs w:val="21"/>
                <w:highlight w:val="none"/>
              </w:rPr>
            </w:pPr>
            <w:r>
              <w:rPr>
                <w:color w:val="000000"/>
                <w:kern w:val="0"/>
                <w:sz w:val="21"/>
                <w:szCs w:val="21"/>
                <w:highlight w:val="none"/>
                <w:lang w:bidi="ar"/>
              </w:rPr>
              <w:t>2</w:t>
            </w:r>
          </w:p>
        </w:tc>
        <w:tc>
          <w:tcPr>
            <w:tcW w:w="1611" w:type="dxa"/>
            <w:tcBorders>
              <w:tl2br w:val="nil"/>
              <w:tr2bl w:val="nil"/>
            </w:tcBorders>
            <w:shd w:val="clear" w:color="auto" w:fill="auto"/>
            <w:noWrap/>
            <w:tcMar>
              <w:top w:w="15" w:type="dxa"/>
              <w:left w:w="15" w:type="dxa"/>
              <w:right w:w="15" w:type="dxa"/>
            </w:tcMar>
            <w:vAlign w:val="center"/>
          </w:tcPr>
          <w:p w14:paraId="1E92CA2F">
            <w:pPr>
              <w:widowControl/>
              <w:spacing w:line="240" w:lineRule="auto"/>
              <w:jc w:val="center"/>
              <w:textAlignment w:val="center"/>
              <w:rPr>
                <w:color w:val="000000"/>
                <w:sz w:val="21"/>
                <w:szCs w:val="21"/>
                <w:highlight w:val="none"/>
              </w:rPr>
            </w:pPr>
            <w:r>
              <w:rPr>
                <w:color w:val="000000"/>
                <w:kern w:val="0"/>
                <w:sz w:val="21"/>
                <w:szCs w:val="21"/>
                <w:highlight w:val="none"/>
                <w:lang w:bidi="ar"/>
              </w:rPr>
              <w:t>汞</w:t>
            </w:r>
          </w:p>
        </w:tc>
        <w:tc>
          <w:tcPr>
            <w:tcW w:w="1611" w:type="dxa"/>
            <w:tcBorders>
              <w:tl2br w:val="nil"/>
              <w:tr2bl w:val="nil"/>
            </w:tcBorders>
            <w:shd w:val="clear" w:color="auto" w:fill="auto"/>
            <w:noWrap/>
            <w:tcMar>
              <w:top w:w="15" w:type="dxa"/>
              <w:left w:w="15" w:type="dxa"/>
              <w:right w:w="15" w:type="dxa"/>
            </w:tcMar>
            <w:vAlign w:val="center"/>
          </w:tcPr>
          <w:p w14:paraId="610CBA66">
            <w:pPr>
              <w:widowControl/>
              <w:spacing w:line="240" w:lineRule="auto"/>
              <w:jc w:val="center"/>
              <w:textAlignment w:val="center"/>
              <w:rPr>
                <w:color w:val="000000"/>
                <w:sz w:val="21"/>
                <w:szCs w:val="21"/>
                <w:highlight w:val="none"/>
              </w:rPr>
            </w:pPr>
            <w:r>
              <w:rPr>
                <w:color w:val="000000"/>
                <w:kern w:val="0"/>
                <w:sz w:val="21"/>
                <w:szCs w:val="21"/>
                <w:highlight w:val="none"/>
                <w:lang w:bidi="ar"/>
              </w:rPr>
              <w:t>1.3</w:t>
            </w:r>
          </w:p>
        </w:tc>
        <w:tc>
          <w:tcPr>
            <w:tcW w:w="1611" w:type="dxa"/>
            <w:tcBorders>
              <w:tl2br w:val="nil"/>
              <w:tr2bl w:val="nil"/>
            </w:tcBorders>
            <w:shd w:val="clear" w:color="auto" w:fill="auto"/>
            <w:noWrap/>
            <w:tcMar>
              <w:top w:w="15" w:type="dxa"/>
              <w:left w:w="15" w:type="dxa"/>
              <w:right w:w="15" w:type="dxa"/>
            </w:tcMar>
            <w:vAlign w:val="center"/>
          </w:tcPr>
          <w:p w14:paraId="60CBE398">
            <w:pPr>
              <w:widowControl/>
              <w:spacing w:line="240" w:lineRule="auto"/>
              <w:jc w:val="center"/>
              <w:textAlignment w:val="center"/>
              <w:rPr>
                <w:b w:val="0"/>
                <w:bCs/>
                <w:color w:val="000000"/>
                <w:sz w:val="21"/>
                <w:szCs w:val="21"/>
                <w:highlight w:val="none"/>
              </w:rPr>
            </w:pPr>
            <w:r>
              <w:rPr>
                <w:b w:val="0"/>
                <w:bCs/>
                <w:color w:val="000000"/>
                <w:kern w:val="0"/>
                <w:sz w:val="21"/>
                <w:szCs w:val="21"/>
                <w:highlight w:val="none"/>
                <w:lang w:bidi="ar"/>
              </w:rPr>
              <w:t>1.8</w:t>
            </w:r>
          </w:p>
        </w:tc>
        <w:tc>
          <w:tcPr>
            <w:tcW w:w="1612" w:type="dxa"/>
            <w:tcBorders>
              <w:tl2br w:val="nil"/>
              <w:tr2bl w:val="nil"/>
            </w:tcBorders>
            <w:shd w:val="clear" w:color="auto" w:fill="auto"/>
            <w:noWrap/>
            <w:tcMar>
              <w:top w:w="15" w:type="dxa"/>
              <w:left w:w="15" w:type="dxa"/>
              <w:right w:w="15" w:type="dxa"/>
            </w:tcMar>
            <w:vAlign w:val="center"/>
          </w:tcPr>
          <w:p w14:paraId="63235B5A">
            <w:pPr>
              <w:widowControl/>
              <w:spacing w:line="240" w:lineRule="auto"/>
              <w:jc w:val="center"/>
              <w:textAlignment w:val="center"/>
              <w:rPr>
                <w:color w:val="000000"/>
                <w:sz w:val="21"/>
                <w:szCs w:val="21"/>
                <w:highlight w:val="none"/>
              </w:rPr>
            </w:pPr>
            <w:r>
              <w:rPr>
                <w:color w:val="000000"/>
                <w:kern w:val="0"/>
                <w:sz w:val="21"/>
                <w:szCs w:val="21"/>
                <w:highlight w:val="none"/>
                <w:lang w:bidi="ar"/>
              </w:rPr>
              <w:t>2.4</w:t>
            </w:r>
          </w:p>
        </w:tc>
        <w:tc>
          <w:tcPr>
            <w:tcW w:w="1612" w:type="dxa"/>
            <w:tcBorders>
              <w:tl2br w:val="nil"/>
              <w:tr2bl w:val="nil"/>
            </w:tcBorders>
            <w:shd w:val="clear" w:color="auto" w:fill="auto"/>
            <w:noWrap/>
            <w:tcMar>
              <w:top w:w="15" w:type="dxa"/>
              <w:left w:w="15" w:type="dxa"/>
              <w:right w:w="15" w:type="dxa"/>
            </w:tcMar>
            <w:vAlign w:val="center"/>
          </w:tcPr>
          <w:p w14:paraId="3AEBAFA7">
            <w:pPr>
              <w:widowControl/>
              <w:spacing w:line="240" w:lineRule="auto"/>
              <w:jc w:val="center"/>
              <w:textAlignment w:val="center"/>
              <w:rPr>
                <w:color w:val="000000"/>
                <w:sz w:val="21"/>
                <w:szCs w:val="21"/>
                <w:highlight w:val="none"/>
              </w:rPr>
            </w:pPr>
            <w:r>
              <w:rPr>
                <w:color w:val="000000"/>
                <w:kern w:val="0"/>
                <w:sz w:val="21"/>
                <w:szCs w:val="21"/>
                <w:highlight w:val="none"/>
                <w:lang w:bidi="ar"/>
              </w:rPr>
              <w:t>3.4</w:t>
            </w:r>
          </w:p>
        </w:tc>
      </w:tr>
      <w:tr w14:paraId="133064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tcBorders>
              <w:tl2br w:val="nil"/>
              <w:tr2bl w:val="nil"/>
            </w:tcBorders>
            <w:shd w:val="clear" w:color="auto" w:fill="auto"/>
            <w:noWrap/>
            <w:tcMar>
              <w:top w:w="15" w:type="dxa"/>
              <w:left w:w="15" w:type="dxa"/>
              <w:right w:w="15" w:type="dxa"/>
            </w:tcMar>
            <w:vAlign w:val="center"/>
          </w:tcPr>
          <w:p w14:paraId="0DF3DAC6">
            <w:pPr>
              <w:widowControl/>
              <w:spacing w:line="240" w:lineRule="auto"/>
              <w:jc w:val="center"/>
              <w:textAlignment w:val="center"/>
              <w:rPr>
                <w:color w:val="000000"/>
                <w:sz w:val="21"/>
                <w:szCs w:val="21"/>
                <w:highlight w:val="none"/>
              </w:rPr>
            </w:pPr>
            <w:r>
              <w:rPr>
                <w:color w:val="000000"/>
                <w:kern w:val="0"/>
                <w:sz w:val="21"/>
                <w:szCs w:val="21"/>
                <w:highlight w:val="none"/>
                <w:lang w:bidi="ar"/>
              </w:rPr>
              <w:t>3</w:t>
            </w:r>
          </w:p>
        </w:tc>
        <w:tc>
          <w:tcPr>
            <w:tcW w:w="1611" w:type="dxa"/>
            <w:tcBorders>
              <w:tl2br w:val="nil"/>
              <w:tr2bl w:val="nil"/>
            </w:tcBorders>
            <w:shd w:val="clear" w:color="auto" w:fill="auto"/>
            <w:noWrap/>
            <w:tcMar>
              <w:top w:w="15" w:type="dxa"/>
              <w:left w:w="15" w:type="dxa"/>
              <w:right w:w="15" w:type="dxa"/>
            </w:tcMar>
            <w:vAlign w:val="center"/>
          </w:tcPr>
          <w:p w14:paraId="451224D9">
            <w:pPr>
              <w:widowControl/>
              <w:spacing w:line="240" w:lineRule="auto"/>
              <w:jc w:val="center"/>
              <w:textAlignment w:val="center"/>
              <w:rPr>
                <w:color w:val="000000"/>
                <w:sz w:val="21"/>
                <w:szCs w:val="21"/>
                <w:highlight w:val="none"/>
              </w:rPr>
            </w:pPr>
            <w:r>
              <w:rPr>
                <w:color w:val="000000"/>
                <w:kern w:val="0"/>
                <w:sz w:val="21"/>
                <w:szCs w:val="21"/>
                <w:highlight w:val="none"/>
                <w:lang w:bidi="ar"/>
              </w:rPr>
              <w:t>砷</w:t>
            </w:r>
          </w:p>
        </w:tc>
        <w:tc>
          <w:tcPr>
            <w:tcW w:w="1611" w:type="dxa"/>
            <w:tcBorders>
              <w:tl2br w:val="nil"/>
              <w:tr2bl w:val="nil"/>
            </w:tcBorders>
            <w:shd w:val="clear" w:color="auto" w:fill="auto"/>
            <w:noWrap/>
            <w:tcMar>
              <w:top w:w="15" w:type="dxa"/>
              <w:left w:w="15" w:type="dxa"/>
              <w:right w:w="15" w:type="dxa"/>
            </w:tcMar>
            <w:vAlign w:val="center"/>
          </w:tcPr>
          <w:p w14:paraId="0709C60C">
            <w:pPr>
              <w:widowControl/>
              <w:spacing w:line="240" w:lineRule="auto"/>
              <w:jc w:val="center"/>
              <w:textAlignment w:val="center"/>
              <w:rPr>
                <w:color w:val="000000"/>
                <w:sz w:val="21"/>
                <w:szCs w:val="21"/>
                <w:highlight w:val="none"/>
              </w:rPr>
            </w:pPr>
            <w:r>
              <w:rPr>
                <w:color w:val="000000"/>
                <w:kern w:val="0"/>
                <w:sz w:val="21"/>
                <w:szCs w:val="21"/>
                <w:highlight w:val="none"/>
                <w:lang w:bidi="ar"/>
              </w:rPr>
              <w:t>40</w:t>
            </w:r>
          </w:p>
        </w:tc>
        <w:tc>
          <w:tcPr>
            <w:tcW w:w="1611" w:type="dxa"/>
            <w:tcBorders>
              <w:tl2br w:val="nil"/>
              <w:tr2bl w:val="nil"/>
            </w:tcBorders>
            <w:shd w:val="clear" w:color="auto" w:fill="auto"/>
            <w:noWrap/>
            <w:tcMar>
              <w:top w:w="15" w:type="dxa"/>
              <w:left w:w="15" w:type="dxa"/>
              <w:right w:w="15" w:type="dxa"/>
            </w:tcMar>
            <w:vAlign w:val="center"/>
          </w:tcPr>
          <w:p w14:paraId="718E6DAD">
            <w:pPr>
              <w:widowControl/>
              <w:spacing w:line="240" w:lineRule="auto"/>
              <w:jc w:val="center"/>
              <w:textAlignment w:val="center"/>
              <w:rPr>
                <w:b w:val="0"/>
                <w:bCs/>
                <w:color w:val="000000"/>
                <w:sz w:val="21"/>
                <w:szCs w:val="21"/>
                <w:highlight w:val="none"/>
              </w:rPr>
            </w:pPr>
            <w:r>
              <w:rPr>
                <w:b w:val="0"/>
                <w:bCs/>
                <w:color w:val="000000"/>
                <w:kern w:val="0"/>
                <w:sz w:val="21"/>
                <w:szCs w:val="21"/>
                <w:highlight w:val="none"/>
                <w:lang w:bidi="ar"/>
              </w:rPr>
              <w:t>40</w:t>
            </w:r>
          </w:p>
        </w:tc>
        <w:tc>
          <w:tcPr>
            <w:tcW w:w="1612" w:type="dxa"/>
            <w:tcBorders>
              <w:tl2br w:val="nil"/>
              <w:tr2bl w:val="nil"/>
            </w:tcBorders>
            <w:shd w:val="clear" w:color="auto" w:fill="auto"/>
            <w:noWrap/>
            <w:tcMar>
              <w:top w:w="15" w:type="dxa"/>
              <w:left w:w="15" w:type="dxa"/>
              <w:right w:w="15" w:type="dxa"/>
            </w:tcMar>
            <w:vAlign w:val="center"/>
          </w:tcPr>
          <w:p w14:paraId="1027C581">
            <w:pPr>
              <w:widowControl/>
              <w:spacing w:line="240" w:lineRule="auto"/>
              <w:jc w:val="center"/>
              <w:textAlignment w:val="center"/>
              <w:rPr>
                <w:color w:val="000000"/>
                <w:sz w:val="21"/>
                <w:szCs w:val="21"/>
                <w:highlight w:val="none"/>
              </w:rPr>
            </w:pPr>
            <w:r>
              <w:rPr>
                <w:color w:val="000000"/>
                <w:kern w:val="0"/>
                <w:sz w:val="21"/>
                <w:szCs w:val="21"/>
                <w:highlight w:val="none"/>
                <w:lang w:bidi="ar"/>
              </w:rPr>
              <w:t>30</w:t>
            </w:r>
          </w:p>
        </w:tc>
        <w:tc>
          <w:tcPr>
            <w:tcW w:w="1612" w:type="dxa"/>
            <w:tcBorders>
              <w:tl2br w:val="nil"/>
              <w:tr2bl w:val="nil"/>
            </w:tcBorders>
            <w:shd w:val="clear" w:color="auto" w:fill="auto"/>
            <w:noWrap/>
            <w:tcMar>
              <w:top w:w="15" w:type="dxa"/>
              <w:left w:w="15" w:type="dxa"/>
              <w:right w:w="15" w:type="dxa"/>
            </w:tcMar>
            <w:vAlign w:val="center"/>
          </w:tcPr>
          <w:p w14:paraId="2970C11F">
            <w:pPr>
              <w:widowControl/>
              <w:spacing w:line="240" w:lineRule="auto"/>
              <w:jc w:val="center"/>
              <w:textAlignment w:val="center"/>
              <w:rPr>
                <w:color w:val="000000"/>
                <w:sz w:val="21"/>
                <w:szCs w:val="21"/>
                <w:highlight w:val="none"/>
              </w:rPr>
            </w:pPr>
            <w:r>
              <w:rPr>
                <w:color w:val="000000"/>
                <w:kern w:val="0"/>
                <w:sz w:val="21"/>
                <w:szCs w:val="21"/>
                <w:highlight w:val="none"/>
                <w:lang w:bidi="ar"/>
              </w:rPr>
              <w:t>25</w:t>
            </w:r>
          </w:p>
        </w:tc>
      </w:tr>
      <w:tr w14:paraId="76807B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tcBorders>
              <w:tl2br w:val="nil"/>
              <w:tr2bl w:val="nil"/>
            </w:tcBorders>
            <w:shd w:val="clear" w:color="auto" w:fill="auto"/>
            <w:noWrap/>
            <w:tcMar>
              <w:top w:w="15" w:type="dxa"/>
              <w:left w:w="15" w:type="dxa"/>
              <w:right w:w="15" w:type="dxa"/>
            </w:tcMar>
            <w:vAlign w:val="center"/>
          </w:tcPr>
          <w:p w14:paraId="6AB31833">
            <w:pPr>
              <w:widowControl/>
              <w:spacing w:line="240" w:lineRule="auto"/>
              <w:jc w:val="center"/>
              <w:textAlignment w:val="center"/>
              <w:rPr>
                <w:color w:val="000000"/>
                <w:sz w:val="21"/>
                <w:szCs w:val="21"/>
                <w:highlight w:val="none"/>
              </w:rPr>
            </w:pPr>
            <w:r>
              <w:rPr>
                <w:color w:val="000000"/>
                <w:kern w:val="0"/>
                <w:sz w:val="21"/>
                <w:szCs w:val="21"/>
                <w:highlight w:val="none"/>
                <w:lang w:bidi="ar"/>
              </w:rPr>
              <w:t>4</w:t>
            </w:r>
          </w:p>
        </w:tc>
        <w:tc>
          <w:tcPr>
            <w:tcW w:w="1611" w:type="dxa"/>
            <w:tcBorders>
              <w:tl2br w:val="nil"/>
              <w:tr2bl w:val="nil"/>
            </w:tcBorders>
            <w:shd w:val="clear" w:color="auto" w:fill="auto"/>
            <w:noWrap/>
            <w:tcMar>
              <w:top w:w="15" w:type="dxa"/>
              <w:left w:w="15" w:type="dxa"/>
              <w:right w:w="15" w:type="dxa"/>
            </w:tcMar>
            <w:vAlign w:val="center"/>
          </w:tcPr>
          <w:p w14:paraId="63A58100">
            <w:pPr>
              <w:widowControl/>
              <w:spacing w:line="240" w:lineRule="auto"/>
              <w:jc w:val="center"/>
              <w:textAlignment w:val="center"/>
              <w:rPr>
                <w:color w:val="000000"/>
                <w:sz w:val="21"/>
                <w:szCs w:val="21"/>
                <w:highlight w:val="none"/>
              </w:rPr>
            </w:pPr>
            <w:r>
              <w:rPr>
                <w:color w:val="000000"/>
                <w:kern w:val="0"/>
                <w:sz w:val="21"/>
                <w:szCs w:val="21"/>
                <w:highlight w:val="none"/>
                <w:lang w:bidi="ar"/>
              </w:rPr>
              <w:t>铅</w:t>
            </w:r>
          </w:p>
        </w:tc>
        <w:tc>
          <w:tcPr>
            <w:tcW w:w="1611" w:type="dxa"/>
            <w:tcBorders>
              <w:tl2br w:val="nil"/>
              <w:tr2bl w:val="nil"/>
            </w:tcBorders>
            <w:shd w:val="clear" w:color="auto" w:fill="auto"/>
            <w:noWrap/>
            <w:tcMar>
              <w:top w:w="15" w:type="dxa"/>
              <w:left w:w="15" w:type="dxa"/>
              <w:right w:w="15" w:type="dxa"/>
            </w:tcMar>
            <w:vAlign w:val="center"/>
          </w:tcPr>
          <w:p w14:paraId="71B180F5">
            <w:pPr>
              <w:widowControl/>
              <w:spacing w:line="240" w:lineRule="auto"/>
              <w:jc w:val="center"/>
              <w:textAlignment w:val="center"/>
              <w:rPr>
                <w:color w:val="000000"/>
                <w:sz w:val="21"/>
                <w:szCs w:val="21"/>
                <w:highlight w:val="none"/>
              </w:rPr>
            </w:pPr>
            <w:r>
              <w:rPr>
                <w:color w:val="000000"/>
                <w:kern w:val="0"/>
                <w:sz w:val="21"/>
                <w:szCs w:val="21"/>
                <w:highlight w:val="none"/>
                <w:lang w:bidi="ar"/>
              </w:rPr>
              <w:t>70</w:t>
            </w:r>
          </w:p>
        </w:tc>
        <w:tc>
          <w:tcPr>
            <w:tcW w:w="1611" w:type="dxa"/>
            <w:tcBorders>
              <w:tl2br w:val="nil"/>
              <w:tr2bl w:val="nil"/>
            </w:tcBorders>
            <w:shd w:val="clear" w:color="auto" w:fill="auto"/>
            <w:noWrap/>
            <w:tcMar>
              <w:top w:w="15" w:type="dxa"/>
              <w:left w:w="15" w:type="dxa"/>
              <w:right w:w="15" w:type="dxa"/>
            </w:tcMar>
            <w:vAlign w:val="center"/>
          </w:tcPr>
          <w:p w14:paraId="43649FD5">
            <w:pPr>
              <w:widowControl/>
              <w:spacing w:line="240" w:lineRule="auto"/>
              <w:jc w:val="center"/>
              <w:textAlignment w:val="center"/>
              <w:rPr>
                <w:b w:val="0"/>
                <w:bCs/>
                <w:color w:val="000000"/>
                <w:sz w:val="21"/>
                <w:szCs w:val="21"/>
                <w:highlight w:val="none"/>
              </w:rPr>
            </w:pPr>
            <w:r>
              <w:rPr>
                <w:b w:val="0"/>
                <w:bCs/>
                <w:color w:val="000000"/>
                <w:kern w:val="0"/>
                <w:sz w:val="21"/>
                <w:szCs w:val="21"/>
                <w:highlight w:val="none"/>
                <w:lang w:bidi="ar"/>
              </w:rPr>
              <w:t>90</w:t>
            </w:r>
          </w:p>
        </w:tc>
        <w:tc>
          <w:tcPr>
            <w:tcW w:w="1612" w:type="dxa"/>
            <w:tcBorders>
              <w:tl2br w:val="nil"/>
              <w:tr2bl w:val="nil"/>
            </w:tcBorders>
            <w:shd w:val="clear" w:color="auto" w:fill="auto"/>
            <w:noWrap/>
            <w:tcMar>
              <w:top w:w="15" w:type="dxa"/>
              <w:left w:w="15" w:type="dxa"/>
              <w:right w:w="15" w:type="dxa"/>
            </w:tcMar>
            <w:vAlign w:val="center"/>
          </w:tcPr>
          <w:p w14:paraId="56B1F950">
            <w:pPr>
              <w:widowControl/>
              <w:spacing w:line="240" w:lineRule="auto"/>
              <w:jc w:val="center"/>
              <w:textAlignment w:val="center"/>
              <w:rPr>
                <w:color w:val="000000"/>
                <w:sz w:val="21"/>
                <w:szCs w:val="21"/>
                <w:highlight w:val="none"/>
              </w:rPr>
            </w:pPr>
            <w:r>
              <w:rPr>
                <w:color w:val="000000"/>
                <w:kern w:val="0"/>
                <w:sz w:val="21"/>
                <w:szCs w:val="21"/>
                <w:highlight w:val="none"/>
                <w:lang w:bidi="ar"/>
              </w:rPr>
              <w:t>120</w:t>
            </w:r>
          </w:p>
        </w:tc>
        <w:tc>
          <w:tcPr>
            <w:tcW w:w="1612" w:type="dxa"/>
            <w:tcBorders>
              <w:tl2br w:val="nil"/>
              <w:tr2bl w:val="nil"/>
            </w:tcBorders>
            <w:shd w:val="clear" w:color="auto" w:fill="auto"/>
            <w:noWrap/>
            <w:tcMar>
              <w:top w:w="15" w:type="dxa"/>
              <w:left w:w="15" w:type="dxa"/>
              <w:right w:w="15" w:type="dxa"/>
            </w:tcMar>
            <w:vAlign w:val="center"/>
          </w:tcPr>
          <w:p w14:paraId="1AF317E9">
            <w:pPr>
              <w:widowControl/>
              <w:spacing w:line="240" w:lineRule="auto"/>
              <w:jc w:val="center"/>
              <w:textAlignment w:val="center"/>
              <w:rPr>
                <w:color w:val="000000"/>
                <w:sz w:val="21"/>
                <w:szCs w:val="21"/>
                <w:highlight w:val="none"/>
              </w:rPr>
            </w:pPr>
            <w:r>
              <w:rPr>
                <w:color w:val="000000"/>
                <w:kern w:val="0"/>
                <w:sz w:val="21"/>
                <w:szCs w:val="21"/>
                <w:highlight w:val="none"/>
                <w:lang w:bidi="ar"/>
              </w:rPr>
              <w:t>170</w:t>
            </w:r>
          </w:p>
        </w:tc>
      </w:tr>
      <w:tr w14:paraId="2D7A3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tcBorders>
              <w:tl2br w:val="nil"/>
              <w:tr2bl w:val="nil"/>
            </w:tcBorders>
            <w:shd w:val="clear" w:color="auto" w:fill="auto"/>
            <w:noWrap/>
            <w:tcMar>
              <w:top w:w="15" w:type="dxa"/>
              <w:left w:w="15" w:type="dxa"/>
              <w:right w:w="15" w:type="dxa"/>
            </w:tcMar>
            <w:vAlign w:val="center"/>
          </w:tcPr>
          <w:p w14:paraId="7DB589B4">
            <w:pPr>
              <w:widowControl/>
              <w:spacing w:line="240" w:lineRule="auto"/>
              <w:jc w:val="center"/>
              <w:textAlignment w:val="center"/>
              <w:rPr>
                <w:color w:val="000000"/>
                <w:sz w:val="21"/>
                <w:szCs w:val="21"/>
                <w:highlight w:val="none"/>
              </w:rPr>
            </w:pPr>
            <w:r>
              <w:rPr>
                <w:color w:val="000000"/>
                <w:kern w:val="0"/>
                <w:sz w:val="21"/>
                <w:szCs w:val="21"/>
                <w:highlight w:val="none"/>
                <w:lang w:bidi="ar"/>
              </w:rPr>
              <w:t>5</w:t>
            </w:r>
          </w:p>
        </w:tc>
        <w:tc>
          <w:tcPr>
            <w:tcW w:w="1611" w:type="dxa"/>
            <w:tcBorders>
              <w:tl2br w:val="nil"/>
              <w:tr2bl w:val="nil"/>
            </w:tcBorders>
            <w:shd w:val="clear" w:color="auto" w:fill="auto"/>
            <w:noWrap/>
            <w:tcMar>
              <w:top w:w="15" w:type="dxa"/>
              <w:left w:w="15" w:type="dxa"/>
              <w:right w:w="15" w:type="dxa"/>
            </w:tcMar>
            <w:vAlign w:val="center"/>
          </w:tcPr>
          <w:p w14:paraId="15044943">
            <w:pPr>
              <w:widowControl/>
              <w:spacing w:line="240" w:lineRule="auto"/>
              <w:jc w:val="center"/>
              <w:textAlignment w:val="center"/>
              <w:rPr>
                <w:color w:val="000000"/>
                <w:sz w:val="21"/>
                <w:szCs w:val="21"/>
                <w:highlight w:val="none"/>
              </w:rPr>
            </w:pPr>
            <w:r>
              <w:rPr>
                <w:color w:val="000000"/>
                <w:kern w:val="0"/>
                <w:sz w:val="21"/>
                <w:szCs w:val="21"/>
                <w:highlight w:val="none"/>
                <w:lang w:bidi="ar"/>
              </w:rPr>
              <w:t>铬</w:t>
            </w:r>
          </w:p>
        </w:tc>
        <w:tc>
          <w:tcPr>
            <w:tcW w:w="1611" w:type="dxa"/>
            <w:tcBorders>
              <w:tl2br w:val="nil"/>
              <w:tr2bl w:val="nil"/>
            </w:tcBorders>
            <w:shd w:val="clear" w:color="auto" w:fill="auto"/>
            <w:noWrap/>
            <w:tcMar>
              <w:top w:w="15" w:type="dxa"/>
              <w:left w:w="15" w:type="dxa"/>
              <w:right w:w="15" w:type="dxa"/>
            </w:tcMar>
            <w:vAlign w:val="center"/>
          </w:tcPr>
          <w:p w14:paraId="06BBD983">
            <w:pPr>
              <w:widowControl/>
              <w:spacing w:line="240" w:lineRule="auto"/>
              <w:jc w:val="center"/>
              <w:textAlignment w:val="center"/>
              <w:rPr>
                <w:color w:val="000000"/>
                <w:sz w:val="21"/>
                <w:szCs w:val="21"/>
                <w:highlight w:val="none"/>
              </w:rPr>
            </w:pPr>
            <w:r>
              <w:rPr>
                <w:color w:val="000000"/>
                <w:kern w:val="0"/>
                <w:sz w:val="21"/>
                <w:szCs w:val="21"/>
                <w:highlight w:val="none"/>
                <w:lang w:bidi="ar"/>
              </w:rPr>
              <w:t>150</w:t>
            </w:r>
          </w:p>
        </w:tc>
        <w:tc>
          <w:tcPr>
            <w:tcW w:w="1611" w:type="dxa"/>
            <w:tcBorders>
              <w:tl2br w:val="nil"/>
              <w:tr2bl w:val="nil"/>
            </w:tcBorders>
            <w:shd w:val="clear" w:color="auto" w:fill="auto"/>
            <w:noWrap/>
            <w:tcMar>
              <w:top w:w="15" w:type="dxa"/>
              <w:left w:w="15" w:type="dxa"/>
              <w:right w:w="15" w:type="dxa"/>
            </w:tcMar>
            <w:vAlign w:val="center"/>
          </w:tcPr>
          <w:p w14:paraId="35AEBE1E">
            <w:pPr>
              <w:widowControl/>
              <w:spacing w:line="240" w:lineRule="auto"/>
              <w:jc w:val="center"/>
              <w:textAlignment w:val="center"/>
              <w:rPr>
                <w:b w:val="0"/>
                <w:bCs/>
                <w:color w:val="000000"/>
                <w:sz w:val="21"/>
                <w:szCs w:val="21"/>
                <w:highlight w:val="none"/>
              </w:rPr>
            </w:pPr>
            <w:r>
              <w:rPr>
                <w:b w:val="0"/>
                <w:bCs/>
                <w:color w:val="000000"/>
                <w:kern w:val="0"/>
                <w:sz w:val="21"/>
                <w:szCs w:val="21"/>
                <w:highlight w:val="none"/>
                <w:lang w:bidi="ar"/>
              </w:rPr>
              <w:t>150</w:t>
            </w:r>
          </w:p>
        </w:tc>
        <w:tc>
          <w:tcPr>
            <w:tcW w:w="1612" w:type="dxa"/>
            <w:tcBorders>
              <w:tl2br w:val="nil"/>
              <w:tr2bl w:val="nil"/>
            </w:tcBorders>
            <w:shd w:val="clear" w:color="auto" w:fill="auto"/>
            <w:noWrap/>
            <w:tcMar>
              <w:top w:w="15" w:type="dxa"/>
              <w:left w:w="15" w:type="dxa"/>
              <w:right w:w="15" w:type="dxa"/>
            </w:tcMar>
            <w:vAlign w:val="center"/>
          </w:tcPr>
          <w:p w14:paraId="49BD6CD9">
            <w:pPr>
              <w:widowControl/>
              <w:spacing w:line="240" w:lineRule="auto"/>
              <w:jc w:val="center"/>
              <w:textAlignment w:val="center"/>
              <w:rPr>
                <w:color w:val="000000"/>
                <w:sz w:val="21"/>
                <w:szCs w:val="21"/>
                <w:highlight w:val="none"/>
              </w:rPr>
            </w:pPr>
            <w:r>
              <w:rPr>
                <w:color w:val="000000"/>
                <w:kern w:val="0"/>
                <w:sz w:val="21"/>
                <w:szCs w:val="21"/>
                <w:highlight w:val="none"/>
                <w:lang w:bidi="ar"/>
              </w:rPr>
              <w:t>200</w:t>
            </w:r>
          </w:p>
        </w:tc>
        <w:tc>
          <w:tcPr>
            <w:tcW w:w="1612" w:type="dxa"/>
            <w:tcBorders>
              <w:tl2br w:val="nil"/>
              <w:tr2bl w:val="nil"/>
            </w:tcBorders>
            <w:shd w:val="clear" w:color="auto" w:fill="auto"/>
            <w:noWrap/>
            <w:tcMar>
              <w:top w:w="15" w:type="dxa"/>
              <w:left w:w="15" w:type="dxa"/>
              <w:right w:w="15" w:type="dxa"/>
            </w:tcMar>
            <w:vAlign w:val="center"/>
          </w:tcPr>
          <w:p w14:paraId="66341ABB">
            <w:pPr>
              <w:widowControl/>
              <w:spacing w:line="240" w:lineRule="auto"/>
              <w:jc w:val="center"/>
              <w:textAlignment w:val="center"/>
              <w:rPr>
                <w:color w:val="000000"/>
                <w:sz w:val="21"/>
                <w:szCs w:val="21"/>
                <w:highlight w:val="none"/>
              </w:rPr>
            </w:pPr>
            <w:r>
              <w:rPr>
                <w:color w:val="000000"/>
                <w:kern w:val="0"/>
                <w:sz w:val="21"/>
                <w:szCs w:val="21"/>
                <w:highlight w:val="none"/>
                <w:lang w:bidi="ar"/>
              </w:rPr>
              <w:t>250</w:t>
            </w:r>
          </w:p>
        </w:tc>
      </w:tr>
      <w:tr w14:paraId="0DE63A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tcBorders>
              <w:tl2br w:val="nil"/>
              <w:tr2bl w:val="nil"/>
            </w:tcBorders>
            <w:shd w:val="clear" w:color="auto" w:fill="auto"/>
            <w:noWrap/>
            <w:tcMar>
              <w:top w:w="15" w:type="dxa"/>
              <w:left w:w="15" w:type="dxa"/>
              <w:right w:w="15" w:type="dxa"/>
            </w:tcMar>
            <w:vAlign w:val="center"/>
          </w:tcPr>
          <w:p w14:paraId="7A0160AF">
            <w:pPr>
              <w:widowControl/>
              <w:spacing w:line="240" w:lineRule="auto"/>
              <w:jc w:val="center"/>
              <w:textAlignment w:val="center"/>
              <w:rPr>
                <w:color w:val="000000"/>
                <w:sz w:val="21"/>
                <w:szCs w:val="21"/>
                <w:highlight w:val="none"/>
              </w:rPr>
            </w:pPr>
            <w:r>
              <w:rPr>
                <w:color w:val="000000"/>
                <w:kern w:val="0"/>
                <w:sz w:val="21"/>
                <w:szCs w:val="21"/>
                <w:highlight w:val="none"/>
                <w:lang w:bidi="ar"/>
              </w:rPr>
              <w:t>6</w:t>
            </w:r>
          </w:p>
        </w:tc>
        <w:tc>
          <w:tcPr>
            <w:tcW w:w="1611" w:type="dxa"/>
            <w:tcBorders>
              <w:tl2br w:val="nil"/>
              <w:tr2bl w:val="nil"/>
            </w:tcBorders>
            <w:shd w:val="clear" w:color="auto" w:fill="auto"/>
            <w:noWrap/>
            <w:tcMar>
              <w:top w:w="15" w:type="dxa"/>
              <w:left w:w="15" w:type="dxa"/>
              <w:right w:w="15" w:type="dxa"/>
            </w:tcMar>
            <w:vAlign w:val="center"/>
          </w:tcPr>
          <w:p w14:paraId="4599151B">
            <w:pPr>
              <w:widowControl/>
              <w:spacing w:line="240" w:lineRule="auto"/>
              <w:jc w:val="center"/>
              <w:textAlignment w:val="center"/>
              <w:rPr>
                <w:color w:val="000000"/>
                <w:sz w:val="21"/>
                <w:szCs w:val="21"/>
                <w:highlight w:val="none"/>
              </w:rPr>
            </w:pPr>
            <w:r>
              <w:rPr>
                <w:color w:val="000000"/>
                <w:kern w:val="0"/>
                <w:sz w:val="21"/>
                <w:szCs w:val="21"/>
                <w:highlight w:val="none"/>
                <w:lang w:bidi="ar"/>
              </w:rPr>
              <w:t>铜</w:t>
            </w:r>
          </w:p>
        </w:tc>
        <w:tc>
          <w:tcPr>
            <w:tcW w:w="1611" w:type="dxa"/>
            <w:tcBorders>
              <w:tl2br w:val="nil"/>
              <w:tr2bl w:val="nil"/>
            </w:tcBorders>
            <w:shd w:val="clear" w:color="auto" w:fill="auto"/>
            <w:noWrap/>
            <w:tcMar>
              <w:top w:w="15" w:type="dxa"/>
              <w:left w:w="15" w:type="dxa"/>
              <w:right w:w="15" w:type="dxa"/>
            </w:tcMar>
            <w:vAlign w:val="center"/>
          </w:tcPr>
          <w:p w14:paraId="67C308DE">
            <w:pPr>
              <w:widowControl/>
              <w:spacing w:line="240" w:lineRule="auto"/>
              <w:jc w:val="center"/>
              <w:textAlignment w:val="center"/>
              <w:rPr>
                <w:color w:val="000000"/>
                <w:sz w:val="21"/>
                <w:szCs w:val="21"/>
                <w:highlight w:val="none"/>
              </w:rPr>
            </w:pPr>
            <w:r>
              <w:rPr>
                <w:color w:val="000000"/>
                <w:kern w:val="0"/>
                <w:sz w:val="21"/>
                <w:szCs w:val="21"/>
                <w:highlight w:val="none"/>
                <w:lang w:bidi="ar"/>
              </w:rPr>
              <w:t>50</w:t>
            </w:r>
          </w:p>
        </w:tc>
        <w:tc>
          <w:tcPr>
            <w:tcW w:w="1611" w:type="dxa"/>
            <w:tcBorders>
              <w:tl2br w:val="nil"/>
              <w:tr2bl w:val="nil"/>
            </w:tcBorders>
            <w:shd w:val="clear" w:color="auto" w:fill="auto"/>
            <w:noWrap/>
            <w:tcMar>
              <w:top w:w="15" w:type="dxa"/>
              <w:left w:w="15" w:type="dxa"/>
              <w:right w:w="15" w:type="dxa"/>
            </w:tcMar>
            <w:vAlign w:val="center"/>
          </w:tcPr>
          <w:p w14:paraId="7CFD9C2B">
            <w:pPr>
              <w:widowControl/>
              <w:spacing w:line="240" w:lineRule="auto"/>
              <w:jc w:val="center"/>
              <w:textAlignment w:val="center"/>
              <w:rPr>
                <w:b w:val="0"/>
                <w:bCs/>
                <w:color w:val="000000"/>
                <w:sz w:val="21"/>
                <w:szCs w:val="21"/>
                <w:highlight w:val="none"/>
              </w:rPr>
            </w:pPr>
            <w:r>
              <w:rPr>
                <w:b w:val="0"/>
                <w:bCs/>
                <w:color w:val="000000"/>
                <w:kern w:val="0"/>
                <w:sz w:val="21"/>
                <w:szCs w:val="21"/>
                <w:highlight w:val="none"/>
                <w:lang w:bidi="ar"/>
              </w:rPr>
              <w:t>50</w:t>
            </w:r>
          </w:p>
        </w:tc>
        <w:tc>
          <w:tcPr>
            <w:tcW w:w="1612" w:type="dxa"/>
            <w:tcBorders>
              <w:tl2br w:val="nil"/>
              <w:tr2bl w:val="nil"/>
            </w:tcBorders>
            <w:shd w:val="clear" w:color="auto" w:fill="auto"/>
            <w:noWrap/>
            <w:tcMar>
              <w:top w:w="15" w:type="dxa"/>
              <w:left w:w="15" w:type="dxa"/>
              <w:right w:w="15" w:type="dxa"/>
            </w:tcMar>
            <w:vAlign w:val="center"/>
          </w:tcPr>
          <w:p w14:paraId="699FD6D4">
            <w:pPr>
              <w:widowControl/>
              <w:spacing w:line="240" w:lineRule="auto"/>
              <w:jc w:val="center"/>
              <w:textAlignment w:val="center"/>
              <w:rPr>
                <w:color w:val="000000"/>
                <w:sz w:val="21"/>
                <w:szCs w:val="21"/>
                <w:highlight w:val="none"/>
              </w:rPr>
            </w:pPr>
            <w:r>
              <w:rPr>
                <w:color w:val="000000"/>
                <w:kern w:val="0"/>
                <w:sz w:val="21"/>
                <w:szCs w:val="21"/>
                <w:highlight w:val="none"/>
                <w:lang w:bidi="ar"/>
              </w:rPr>
              <w:t>100</w:t>
            </w:r>
          </w:p>
        </w:tc>
        <w:tc>
          <w:tcPr>
            <w:tcW w:w="1612" w:type="dxa"/>
            <w:tcBorders>
              <w:tl2br w:val="nil"/>
              <w:tr2bl w:val="nil"/>
            </w:tcBorders>
            <w:shd w:val="clear" w:color="auto" w:fill="auto"/>
            <w:noWrap/>
            <w:tcMar>
              <w:top w:w="15" w:type="dxa"/>
              <w:left w:w="15" w:type="dxa"/>
              <w:right w:w="15" w:type="dxa"/>
            </w:tcMar>
            <w:vAlign w:val="center"/>
          </w:tcPr>
          <w:p w14:paraId="5A335718">
            <w:pPr>
              <w:widowControl/>
              <w:spacing w:line="240" w:lineRule="auto"/>
              <w:jc w:val="center"/>
              <w:textAlignment w:val="center"/>
              <w:rPr>
                <w:color w:val="000000"/>
                <w:sz w:val="21"/>
                <w:szCs w:val="21"/>
                <w:highlight w:val="none"/>
              </w:rPr>
            </w:pPr>
            <w:r>
              <w:rPr>
                <w:color w:val="000000"/>
                <w:kern w:val="0"/>
                <w:sz w:val="21"/>
                <w:szCs w:val="21"/>
                <w:highlight w:val="none"/>
                <w:lang w:bidi="ar"/>
              </w:rPr>
              <w:t>100</w:t>
            </w:r>
          </w:p>
        </w:tc>
      </w:tr>
      <w:tr w14:paraId="320B60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tcBorders>
              <w:tl2br w:val="nil"/>
              <w:tr2bl w:val="nil"/>
            </w:tcBorders>
            <w:shd w:val="clear" w:color="auto" w:fill="auto"/>
            <w:noWrap/>
            <w:tcMar>
              <w:top w:w="15" w:type="dxa"/>
              <w:left w:w="15" w:type="dxa"/>
              <w:right w:w="15" w:type="dxa"/>
            </w:tcMar>
            <w:vAlign w:val="center"/>
          </w:tcPr>
          <w:p w14:paraId="70CA930D">
            <w:pPr>
              <w:widowControl/>
              <w:spacing w:line="240" w:lineRule="auto"/>
              <w:jc w:val="center"/>
              <w:textAlignment w:val="center"/>
              <w:rPr>
                <w:color w:val="000000"/>
                <w:sz w:val="21"/>
                <w:szCs w:val="21"/>
                <w:highlight w:val="none"/>
              </w:rPr>
            </w:pPr>
            <w:r>
              <w:rPr>
                <w:color w:val="000000"/>
                <w:kern w:val="0"/>
                <w:sz w:val="21"/>
                <w:szCs w:val="21"/>
                <w:highlight w:val="none"/>
                <w:lang w:bidi="ar"/>
              </w:rPr>
              <w:t>7</w:t>
            </w:r>
          </w:p>
        </w:tc>
        <w:tc>
          <w:tcPr>
            <w:tcW w:w="1611" w:type="dxa"/>
            <w:tcBorders>
              <w:tl2br w:val="nil"/>
              <w:tr2bl w:val="nil"/>
            </w:tcBorders>
            <w:shd w:val="clear" w:color="auto" w:fill="auto"/>
            <w:noWrap/>
            <w:tcMar>
              <w:top w:w="15" w:type="dxa"/>
              <w:left w:w="15" w:type="dxa"/>
              <w:right w:w="15" w:type="dxa"/>
            </w:tcMar>
            <w:vAlign w:val="center"/>
          </w:tcPr>
          <w:p w14:paraId="2A1E60E9">
            <w:pPr>
              <w:widowControl/>
              <w:spacing w:line="240" w:lineRule="auto"/>
              <w:jc w:val="center"/>
              <w:textAlignment w:val="center"/>
              <w:rPr>
                <w:color w:val="000000"/>
                <w:sz w:val="21"/>
                <w:szCs w:val="21"/>
                <w:highlight w:val="none"/>
              </w:rPr>
            </w:pPr>
            <w:r>
              <w:rPr>
                <w:color w:val="000000"/>
                <w:kern w:val="0"/>
                <w:sz w:val="21"/>
                <w:szCs w:val="21"/>
                <w:highlight w:val="none"/>
                <w:lang w:bidi="ar"/>
              </w:rPr>
              <w:t>镍</w:t>
            </w:r>
          </w:p>
        </w:tc>
        <w:tc>
          <w:tcPr>
            <w:tcW w:w="1611" w:type="dxa"/>
            <w:tcBorders>
              <w:tl2br w:val="nil"/>
              <w:tr2bl w:val="nil"/>
            </w:tcBorders>
            <w:shd w:val="clear" w:color="auto" w:fill="auto"/>
            <w:noWrap/>
            <w:tcMar>
              <w:top w:w="15" w:type="dxa"/>
              <w:left w:w="15" w:type="dxa"/>
              <w:right w:w="15" w:type="dxa"/>
            </w:tcMar>
            <w:vAlign w:val="center"/>
          </w:tcPr>
          <w:p w14:paraId="39B09DC7">
            <w:pPr>
              <w:widowControl/>
              <w:spacing w:line="240" w:lineRule="auto"/>
              <w:jc w:val="center"/>
              <w:textAlignment w:val="center"/>
              <w:rPr>
                <w:color w:val="000000"/>
                <w:sz w:val="21"/>
                <w:szCs w:val="21"/>
                <w:highlight w:val="none"/>
              </w:rPr>
            </w:pPr>
            <w:r>
              <w:rPr>
                <w:color w:val="000000"/>
                <w:kern w:val="0"/>
                <w:sz w:val="21"/>
                <w:szCs w:val="21"/>
                <w:highlight w:val="none"/>
                <w:lang w:bidi="ar"/>
              </w:rPr>
              <w:t>60</w:t>
            </w:r>
          </w:p>
        </w:tc>
        <w:tc>
          <w:tcPr>
            <w:tcW w:w="1611" w:type="dxa"/>
            <w:tcBorders>
              <w:tl2br w:val="nil"/>
              <w:tr2bl w:val="nil"/>
            </w:tcBorders>
            <w:shd w:val="clear" w:color="auto" w:fill="auto"/>
            <w:noWrap/>
            <w:tcMar>
              <w:top w:w="15" w:type="dxa"/>
              <w:left w:w="15" w:type="dxa"/>
              <w:right w:w="15" w:type="dxa"/>
            </w:tcMar>
            <w:vAlign w:val="center"/>
          </w:tcPr>
          <w:p w14:paraId="05B94937">
            <w:pPr>
              <w:widowControl/>
              <w:spacing w:line="240" w:lineRule="auto"/>
              <w:jc w:val="center"/>
              <w:textAlignment w:val="center"/>
              <w:rPr>
                <w:b w:val="0"/>
                <w:bCs/>
                <w:color w:val="000000"/>
                <w:sz w:val="21"/>
                <w:szCs w:val="21"/>
                <w:highlight w:val="none"/>
              </w:rPr>
            </w:pPr>
            <w:r>
              <w:rPr>
                <w:b w:val="0"/>
                <w:bCs/>
                <w:color w:val="000000"/>
                <w:kern w:val="0"/>
                <w:sz w:val="21"/>
                <w:szCs w:val="21"/>
                <w:highlight w:val="none"/>
                <w:lang w:bidi="ar"/>
              </w:rPr>
              <w:t>70</w:t>
            </w:r>
          </w:p>
        </w:tc>
        <w:tc>
          <w:tcPr>
            <w:tcW w:w="1612" w:type="dxa"/>
            <w:tcBorders>
              <w:tl2br w:val="nil"/>
              <w:tr2bl w:val="nil"/>
            </w:tcBorders>
            <w:shd w:val="clear" w:color="auto" w:fill="auto"/>
            <w:noWrap/>
            <w:tcMar>
              <w:top w:w="15" w:type="dxa"/>
              <w:left w:w="15" w:type="dxa"/>
              <w:right w:w="15" w:type="dxa"/>
            </w:tcMar>
            <w:vAlign w:val="center"/>
          </w:tcPr>
          <w:p w14:paraId="737E89CA">
            <w:pPr>
              <w:widowControl/>
              <w:spacing w:line="240" w:lineRule="auto"/>
              <w:jc w:val="center"/>
              <w:textAlignment w:val="center"/>
              <w:rPr>
                <w:color w:val="000000"/>
                <w:sz w:val="21"/>
                <w:szCs w:val="21"/>
                <w:highlight w:val="none"/>
              </w:rPr>
            </w:pPr>
            <w:r>
              <w:rPr>
                <w:color w:val="000000"/>
                <w:kern w:val="0"/>
                <w:sz w:val="21"/>
                <w:szCs w:val="21"/>
                <w:highlight w:val="none"/>
                <w:lang w:bidi="ar"/>
              </w:rPr>
              <w:t>100</w:t>
            </w:r>
          </w:p>
        </w:tc>
        <w:tc>
          <w:tcPr>
            <w:tcW w:w="1612" w:type="dxa"/>
            <w:tcBorders>
              <w:tl2br w:val="nil"/>
              <w:tr2bl w:val="nil"/>
            </w:tcBorders>
            <w:shd w:val="clear" w:color="auto" w:fill="auto"/>
            <w:noWrap/>
            <w:tcMar>
              <w:top w:w="15" w:type="dxa"/>
              <w:left w:w="15" w:type="dxa"/>
              <w:right w:w="15" w:type="dxa"/>
            </w:tcMar>
            <w:vAlign w:val="center"/>
          </w:tcPr>
          <w:p w14:paraId="098BE4C5">
            <w:pPr>
              <w:widowControl/>
              <w:spacing w:line="240" w:lineRule="auto"/>
              <w:jc w:val="center"/>
              <w:textAlignment w:val="center"/>
              <w:rPr>
                <w:color w:val="000000"/>
                <w:sz w:val="21"/>
                <w:szCs w:val="21"/>
                <w:highlight w:val="none"/>
              </w:rPr>
            </w:pPr>
            <w:r>
              <w:rPr>
                <w:color w:val="000000"/>
                <w:kern w:val="0"/>
                <w:sz w:val="21"/>
                <w:szCs w:val="21"/>
                <w:highlight w:val="none"/>
                <w:lang w:bidi="ar"/>
              </w:rPr>
              <w:t>190</w:t>
            </w:r>
          </w:p>
        </w:tc>
      </w:tr>
      <w:tr w14:paraId="601C61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tcBorders>
              <w:tl2br w:val="nil"/>
              <w:tr2bl w:val="nil"/>
            </w:tcBorders>
            <w:shd w:val="clear" w:color="auto" w:fill="auto"/>
            <w:noWrap/>
            <w:tcMar>
              <w:top w:w="15" w:type="dxa"/>
              <w:left w:w="15" w:type="dxa"/>
              <w:right w:w="15" w:type="dxa"/>
            </w:tcMar>
            <w:vAlign w:val="center"/>
          </w:tcPr>
          <w:p w14:paraId="343A72EB">
            <w:pPr>
              <w:widowControl/>
              <w:spacing w:line="240" w:lineRule="auto"/>
              <w:jc w:val="center"/>
              <w:textAlignment w:val="center"/>
              <w:rPr>
                <w:color w:val="000000"/>
                <w:sz w:val="21"/>
                <w:szCs w:val="21"/>
                <w:highlight w:val="none"/>
              </w:rPr>
            </w:pPr>
            <w:r>
              <w:rPr>
                <w:color w:val="000000"/>
                <w:kern w:val="0"/>
                <w:sz w:val="21"/>
                <w:szCs w:val="21"/>
                <w:highlight w:val="none"/>
                <w:lang w:bidi="ar"/>
              </w:rPr>
              <w:t>8</w:t>
            </w:r>
          </w:p>
        </w:tc>
        <w:tc>
          <w:tcPr>
            <w:tcW w:w="1611" w:type="dxa"/>
            <w:tcBorders>
              <w:tl2br w:val="nil"/>
              <w:tr2bl w:val="nil"/>
            </w:tcBorders>
            <w:shd w:val="clear" w:color="auto" w:fill="auto"/>
            <w:noWrap/>
            <w:tcMar>
              <w:top w:w="15" w:type="dxa"/>
              <w:left w:w="15" w:type="dxa"/>
              <w:right w:w="15" w:type="dxa"/>
            </w:tcMar>
            <w:vAlign w:val="center"/>
          </w:tcPr>
          <w:p w14:paraId="70D7B5F6">
            <w:pPr>
              <w:widowControl/>
              <w:spacing w:line="240" w:lineRule="auto"/>
              <w:jc w:val="center"/>
              <w:textAlignment w:val="center"/>
              <w:rPr>
                <w:color w:val="000000"/>
                <w:sz w:val="21"/>
                <w:szCs w:val="21"/>
                <w:highlight w:val="none"/>
              </w:rPr>
            </w:pPr>
            <w:r>
              <w:rPr>
                <w:color w:val="000000"/>
                <w:kern w:val="0"/>
                <w:sz w:val="21"/>
                <w:szCs w:val="21"/>
                <w:highlight w:val="none"/>
                <w:lang w:bidi="ar"/>
              </w:rPr>
              <w:t>锌</w:t>
            </w:r>
          </w:p>
        </w:tc>
        <w:tc>
          <w:tcPr>
            <w:tcW w:w="1611" w:type="dxa"/>
            <w:tcBorders>
              <w:tl2br w:val="nil"/>
              <w:tr2bl w:val="nil"/>
            </w:tcBorders>
            <w:shd w:val="clear" w:color="auto" w:fill="auto"/>
            <w:noWrap/>
            <w:tcMar>
              <w:top w:w="15" w:type="dxa"/>
              <w:left w:w="15" w:type="dxa"/>
              <w:right w:w="15" w:type="dxa"/>
            </w:tcMar>
            <w:vAlign w:val="center"/>
          </w:tcPr>
          <w:p w14:paraId="1DC7AD68">
            <w:pPr>
              <w:widowControl/>
              <w:spacing w:line="240" w:lineRule="auto"/>
              <w:jc w:val="center"/>
              <w:textAlignment w:val="center"/>
              <w:rPr>
                <w:color w:val="000000"/>
                <w:sz w:val="21"/>
                <w:szCs w:val="21"/>
                <w:highlight w:val="none"/>
              </w:rPr>
            </w:pPr>
            <w:r>
              <w:rPr>
                <w:color w:val="000000"/>
                <w:kern w:val="0"/>
                <w:sz w:val="21"/>
                <w:szCs w:val="21"/>
                <w:highlight w:val="none"/>
                <w:lang w:bidi="ar"/>
              </w:rPr>
              <w:t>200</w:t>
            </w:r>
          </w:p>
        </w:tc>
        <w:tc>
          <w:tcPr>
            <w:tcW w:w="1611" w:type="dxa"/>
            <w:tcBorders>
              <w:tl2br w:val="nil"/>
              <w:tr2bl w:val="nil"/>
            </w:tcBorders>
            <w:shd w:val="clear" w:color="auto" w:fill="auto"/>
            <w:noWrap/>
            <w:tcMar>
              <w:top w:w="15" w:type="dxa"/>
              <w:left w:w="15" w:type="dxa"/>
              <w:right w:w="15" w:type="dxa"/>
            </w:tcMar>
            <w:vAlign w:val="center"/>
          </w:tcPr>
          <w:p w14:paraId="0A0FAC25">
            <w:pPr>
              <w:widowControl/>
              <w:spacing w:line="240" w:lineRule="auto"/>
              <w:jc w:val="center"/>
              <w:textAlignment w:val="center"/>
              <w:rPr>
                <w:b w:val="0"/>
                <w:bCs/>
                <w:color w:val="000000"/>
                <w:sz w:val="21"/>
                <w:szCs w:val="21"/>
                <w:highlight w:val="none"/>
              </w:rPr>
            </w:pPr>
            <w:r>
              <w:rPr>
                <w:b w:val="0"/>
                <w:bCs/>
                <w:color w:val="000000"/>
                <w:kern w:val="0"/>
                <w:sz w:val="21"/>
                <w:szCs w:val="21"/>
                <w:highlight w:val="none"/>
                <w:lang w:bidi="ar"/>
              </w:rPr>
              <w:t>200</w:t>
            </w:r>
          </w:p>
        </w:tc>
        <w:tc>
          <w:tcPr>
            <w:tcW w:w="1612" w:type="dxa"/>
            <w:tcBorders>
              <w:tl2br w:val="nil"/>
              <w:tr2bl w:val="nil"/>
            </w:tcBorders>
            <w:shd w:val="clear" w:color="auto" w:fill="auto"/>
            <w:noWrap/>
            <w:tcMar>
              <w:top w:w="15" w:type="dxa"/>
              <w:left w:w="15" w:type="dxa"/>
              <w:right w:w="15" w:type="dxa"/>
            </w:tcMar>
            <w:vAlign w:val="center"/>
          </w:tcPr>
          <w:p w14:paraId="67BFC3C1">
            <w:pPr>
              <w:widowControl/>
              <w:spacing w:line="240" w:lineRule="auto"/>
              <w:jc w:val="center"/>
              <w:textAlignment w:val="center"/>
              <w:rPr>
                <w:color w:val="000000"/>
                <w:sz w:val="21"/>
                <w:szCs w:val="21"/>
                <w:highlight w:val="none"/>
              </w:rPr>
            </w:pPr>
            <w:r>
              <w:rPr>
                <w:color w:val="000000"/>
                <w:kern w:val="0"/>
                <w:sz w:val="21"/>
                <w:szCs w:val="21"/>
                <w:highlight w:val="none"/>
                <w:lang w:bidi="ar"/>
              </w:rPr>
              <w:t>250</w:t>
            </w:r>
          </w:p>
        </w:tc>
        <w:tc>
          <w:tcPr>
            <w:tcW w:w="1612" w:type="dxa"/>
            <w:tcBorders>
              <w:tl2br w:val="nil"/>
              <w:tr2bl w:val="nil"/>
            </w:tcBorders>
            <w:shd w:val="clear" w:color="auto" w:fill="auto"/>
            <w:noWrap/>
            <w:tcMar>
              <w:top w:w="15" w:type="dxa"/>
              <w:left w:w="15" w:type="dxa"/>
              <w:right w:w="15" w:type="dxa"/>
            </w:tcMar>
            <w:vAlign w:val="center"/>
          </w:tcPr>
          <w:p w14:paraId="6E48F130">
            <w:pPr>
              <w:widowControl/>
              <w:spacing w:line="240" w:lineRule="auto"/>
              <w:jc w:val="center"/>
              <w:textAlignment w:val="center"/>
              <w:rPr>
                <w:color w:val="000000"/>
                <w:sz w:val="21"/>
                <w:szCs w:val="21"/>
                <w:highlight w:val="none"/>
              </w:rPr>
            </w:pPr>
            <w:r>
              <w:rPr>
                <w:color w:val="000000"/>
                <w:kern w:val="0"/>
                <w:sz w:val="21"/>
                <w:szCs w:val="21"/>
                <w:highlight w:val="none"/>
                <w:lang w:bidi="ar"/>
              </w:rPr>
              <w:t>300</w:t>
            </w:r>
          </w:p>
        </w:tc>
      </w:tr>
    </w:tbl>
    <w:p w14:paraId="5589F912">
      <w:pPr>
        <w:pStyle w:val="2"/>
        <w:spacing w:after="0" w:line="240" w:lineRule="auto"/>
        <w:rPr>
          <w:b/>
          <w:bCs/>
          <w:sz w:val="18"/>
          <w:szCs w:val="18"/>
          <w:highlight w:val="none"/>
        </w:rPr>
      </w:pPr>
      <w:r>
        <w:rPr>
          <w:b/>
          <w:bCs/>
          <w:sz w:val="18"/>
          <w:szCs w:val="18"/>
          <w:highlight w:val="none"/>
        </w:rPr>
        <w:t>注：根据表5-1-1，本报告仅涉及GB15618中其它类别风险筛选值。</w:t>
      </w:r>
    </w:p>
    <w:p w14:paraId="697FC844">
      <w:pPr>
        <w:pStyle w:val="5"/>
        <w:rPr>
          <w:highlight w:val="none"/>
        </w:rPr>
      </w:pPr>
      <w:r>
        <w:rPr>
          <w:highlight w:val="none"/>
        </w:rPr>
        <w:t>土壤背景值</w:t>
      </w:r>
    </w:p>
    <w:p w14:paraId="5E8C08E8">
      <w:pPr>
        <w:ind w:firstLine="480" w:firstLineChars="200"/>
        <w:jc w:val="left"/>
        <w:rPr>
          <w:rFonts w:eastAsiaTheme="minorEastAsia"/>
          <w:highlight w:val="none"/>
        </w:rPr>
      </w:pPr>
      <w:r>
        <w:rPr>
          <w:rFonts w:eastAsiaTheme="minorEastAsia"/>
          <w:highlight w:val="none"/>
        </w:rPr>
        <w:t>由于缺少园区所在区域内土壤环境质量相关数据，本报告参考中国环境监测总站编制的《中国土壤元素背景值》中湖北省土壤中重金属背景值及《土壤环境质量建设用地土壤污染风险管控标准（试行）（GB36600-2018）》（以下简称GB36600）附录A作为区域土壤环境状况背景。</w:t>
      </w:r>
    </w:p>
    <w:p w14:paraId="53F6CADB">
      <w:pPr>
        <w:pStyle w:val="2"/>
        <w:spacing w:after="0" w:line="240" w:lineRule="auto"/>
        <w:jc w:val="center"/>
        <w:rPr>
          <w:rFonts w:eastAsia="黑体"/>
          <w:b/>
          <w:highlight w:val="none"/>
        </w:rPr>
      </w:pPr>
      <w:r>
        <w:rPr>
          <w:rFonts w:eastAsia="黑体"/>
          <w:b/>
          <w:highlight w:val="none"/>
        </w:rPr>
        <w:t>表5-1-4 土壤背景值一览表</w:t>
      </w:r>
    </w:p>
    <w:tbl>
      <w:tblPr>
        <w:tblStyle w:val="22"/>
        <w:tblW w:w="4996" w:type="pct"/>
        <w:tblInd w:w="0" w:type="dxa"/>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3512"/>
        <w:gridCol w:w="2117"/>
        <w:gridCol w:w="2777"/>
      </w:tblGrid>
      <w:tr w14:paraId="43BB0083">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6" w:type="pct"/>
            <w:tcBorders>
              <w:top w:val="single" w:color="auto" w:sz="12" w:space="0"/>
              <w:bottom w:val="single" w:color="auto" w:sz="12" w:space="0"/>
            </w:tcBorders>
            <w:vAlign w:val="center"/>
          </w:tcPr>
          <w:p w14:paraId="58334DFF">
            <w:pPr>
              <w:pStyle w:val="2"/>
              <w:spacing w:after="0" w:line="240" w:lineRule="auto"/>
              <w:jc w:val="center"/>
              <w:rPr>
                <w:rFonts w:eastAsiaTheme="minorEastAsia"/>
                <w:b/>
                <w:sz w:val="21"/>
                <w:szCs w:val="21"/>
                <w:highlight w:val="none"/>
              </w:rPr>
            </w:pPr>
            <w:r>
              <w:rPr>
                <w:rFonts w:eastAsiaTheme="minorEastAsia"/>
                <w:b/>
                <w:sz w:val="21"/>
                <w:szCs w:val="21"/>
                <w:highlight w:val="none"/>
              </w:rPr>
              <w:t>序号</w:t>
            </w:r>
          </w:p>
        </w:tc>
        <w:tc>
          <w:tcPr>
            <w:tcW w:w="1793" w:type="pct"/>
            <w:tcBorders>
              <w:top w:val="single" w:color="auto" w:sz="12" w:space="0"/>
              <w:bottom w:val="single" w:color="auto" w:sz="12" w:space="0"/>
            </w:tcBorders>
            <w:vAlign w:val="center"/>
          </w:tcPr>
          <w:p w14:paraId="54B405CF">
            <w:pPr>
              <w:pStyle w:val="2"/>
              <w:spacing w:after="0" w:line="240" w:lineRule="auto"/>
              <w:jc w:val="center"/>
              <w:rPr>
                <w:rFonts w:eastAsiaTheme="minorEastAsia"/>
                <w:b/>
                <w:sz w:val="21"/>
                <w:szCs w:val="21"/>
                <w:highlight w:val="none"/>
              </w:rPr>
            </w:pPr>
            <w:r>
              <w:rPr>
                <w:rFonts w:eastAsiaTheme="minorEastAsia"/>
                <w:b/>
                <w:sz w:val="21"/>
                <w:szCs w:val="21"/>
                <w:highlight w:val="none"/>
              </w:rPr>
              <w:t>重金属</w:t>
            </w:r>
          </w:p>
        </w:tc>
        <w:tc>
          <w:tcPr>
            <w:tcW w:w="1081" w:type="pct"/>
            <w:tcBorders>
              <w:top w:val="single" w:color="auto" w:sz="12" w:space="0"/>
              <w:bottom w:val="single" w:color="auto" w:sz="12" w:space="0"/>
            </w:tcBorders>
            <w:vAlign w:val="center"/>
          </w:tcPr>
          <w:p w14:paraId="1E4F2FCB">
            <w:pPr>
              <w:pStyle w:val="2"/>
              <w:spacing w:after="0" w:line="240" w:lineRule="auto"/>
              <w:jc w:val="center"/>
              <w:rPr>
                <w:rFonts w:eastAsiaTheme="minorEastAsia"/>
                <w:b/>
                <w:sz w:val="21"/>
                <w:szCs w:val="21"/>
                <w:highlight w:val="none"/>
              </w:rPr>
            </w:pPr>
            <w:r>
              <w:rPr>
                <w:rFonts w:eastAsiaTheme="minorEastAsia"/>
                <w:b/>
                <w:sz w:val="21"/>
                <w:szCs w:val="21"/>
                <w:highlight w:val="none"/>
              </w:rPr>
              <w:t>背景值（mg/kg）</w:t>
            </w:r>
          </w:p>
        </w:tc>
        <w:tc>
          <w:tcPr>
            <w:tcW w:w="1418" w:type="pct"/>
            <w:tcBorders>
              <w:top w:val="single" w:color="auto" w:sz="12" w:space="0"/>
              <w:bottom w:val="single" w:color="auto" w:sz="12" w:space="0"/>
            </w:tcBorders>
            <w:vAlign w:val="center"/>
          </w:tcPr>
          <w:p w14:paraId="6806AE11">
            <w:pPr>
              <w:pStyle w:val="2"/>
              <w:spacing w:after="0" w:line="240" w:lineRule="auto"/>
              <w:jc w:val="center"/>
              <w:rPr>
                <w:rFonts w:eastAsiaTheme="minorEastAsia"/>
                <w:b/>
                <w:sz w:val="21"/>
                <w:szCs w:val="21"/>
                <w:highlight w:val="none"/>
              </w:rPr>
            </w:pPr>
            <w:r>
              <w:rPr>
                <w:rFonts w:eastAsiaTheme="minorEastAsia"/>
                <w:b/>
                <w:sz w:val="21"/>
                <w:szCs w:val="21"/>
                <w:highlight w:val="none"/>
              </w:rPr>
              <w:t>背景值来源</w:t>
            </w:r>
          </w:p>
        </w:tc>
      </w:tr>
      <w:tr w14:paraId="6AF0ED14">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6" w:type="pct"/>
            <w:tcBorders>
              <w:top w:val="single" w:color="auto" w:sz="12" w:space="0"/>
            </w:tcBorders>
            <w:vAlign w:val="center"/>
          </w:tcPr>
          <w:p w14:paraId="48D52F38">
            <w:pPr>
              <w:pStyle w:val="2"/>
              <w:spacing w:after="0" w:line="240" w:lineRule="auto"/>
              <w:jc w:val="center"/>
              <w:rPr>
                <w:rFonts w:eastAsiaTheme="minorEastAsia"/>
                <w:bCs/>
                <w:sz w:val="21"/>
                <w:szCs w:val="21"/>
                <w:highlight w:val="none"/>
              </w:rPr>
            </w:pPr>
            <w:r>
              <w:rPr>
                <w:rFonts w:eastAsiaTheme="minorEastAsia"/>
                <w:bCs/>
                <w:sz w:val="21"/>
                <w:szCs w:val="21"/>
                <w:highlight w:val="none"/>
              </w:rPr>
              <w:t>1</w:t>
            </w:r>
          </w:p>
        </w:tc>
        <w:tc>
          <w:tcPr>
            <w:tcW w:w="1793" w:type="pct"/>
            <w:tcBorders>
              <w:top w:val="single" w:color="auto" w:sz="12" w:space="0"/>
            </w:tcBorders>
            <w:vAlign w:val="center"/>
          </w:tcPr>
          <w:p w14:paraId="557F1549">
            <w:pPr>
              <w:pStyle w:val="2"/>
              <w:spacing w:after="0" w:line="240" w:lineRule="auto"/>
              <w:jc w:val="center"/>
              <w:rPr>
                <w:rFonts w:eastAsiaTheme="minorEastAsia"/>
                <w:bCs/>
                <w:sz w:val="21"/>
                <w:szCs w:val="21"/>
                <w:highlight w:val="none"/>
              </w:rPr>
            </w:pPr>
            <w:r>
              <w:rPr>
                <w:rFonts w:eastAsiaTheme="minorEastAsia"/>
                <w:bCs/>
                <w:sz w:val="21"/>
                <w:szCs w:val="21"/>
                <w:highlight w:val="none"/>
              </w:rPr>
              <w:t>锌</w:t>
            </w:r>
          </w:p>
        </w:tc>
        <w:tc>
          <w:tcPr>
            <w:tcW w:w="1081" w:type="pct"/>
            <w:tcBorders>
              <w:top w:val="single" w:color="auto" w:sz="12" w:space="0"/>
            </w:tcBorders>
            <w:vAlign w:val="center"/>
          </w:tcPr>
          <w:p w14:paraId="256D413C">
            <w:pPr>
              <w:pStyle w:val="2"/>
              <w:spacing w:after="0" w:line="240" w:lineRule="auto"/>
              <w:jc w:val="center"/>
              <w:rPr>
                <w:rFonts w:eastAsiaTheme="minorEastAsia"/>
                <w:bCs/>
                <w:sz w:val="21"/>
                <w:szCs w:val="21"/>
                <w:highlight w:val="none"/>
              </w:rPr>
            </w:pPr>
            <w:r>
              <w:rPr>
                <w:rFonts w:eastAsiaTheme="minorEastAsia"/>
                <w:bCs/>
                <w:sz w:val="21"/>
                <w:szCs w:val="21"/>
                <w:highlight w:val="none"/>
              </w:rPr>
              <w:t>144</w:t>
            </w:r>
          </w:p>
        </w:tc>
        <w:tc>
          <w:tcPr>
            <w:tcW w:w="1418" w:type="pct"/>
            <w:vMerge w:val="restart"/>
            <w:tcBorders>
              <w:top w:val="single" w:color="auto" w:sz="12" w:space="0"/>
            </w:tcBorders>
            <w:vAlign w:val="center"/>
          </w:tcPr>
          <w:p w14:paraId="2293DD60">
            <w:pPr>
              <w:pStyle w:val="2"/>
              <w:spacing w:after="0" w:line="240" w:lineRule="auto"/>
              <w:jc w:val="center"/>
              <w:rPr>
                <w:rFonts w:eastAsiaTheme="minorEastAsia"/>
                <w:bCs/>
                <w:sz w:val="21"/>
                <w:szCs w:val="21"/>
                <w:highlight w:val="none"/>
              </w:rPr>
            </w:pPr>
            <w:r>
              <w:rPr>
                <w:rFonts w:eastAsiaTheme="minorEastAsia"/>
                <w:bCs/>
                <w:sz w:val="21"/>
                <w:szCs w:val="21"/>
                <w:highlight w:val="none"/>
              </w:rPr>
              <w:t>《中国土壤元素背景值》</w:t>
            </w:r>
            <w:r>
              <w:rPr>
                <w:rFonts w:hint="eastAsia" w:eastAsiaTheme="minorEastAsia"/>
                <w:bCs/>
                <w:sz w:val="21"/>
                <w:szCs w:val="21"/>
                <w:highlight w:val="none"/>
              </w:rPr>
              <w:t>（国家环境保护局 主持. 中国环境监测总站 主编</w:t>
            </w:r>
            <w:r>
              <w:rPr>
                <w:rFonts w:eastAsiaTheme="minorEastAsia"/>
                <w:bCs/>
                <w:sz w:val="21"/>
                <w:szCs w:val="21"/>
                <w:highlight w:val="none"/>
              </w:rPr>
              <w:t xml:space="preserve">. </w:t>
            </w:r>
            <w:r>
              <w:rPr>
                <w:rFonts w:hint="eastAsia" w:eastAsiaTheme="minorEastAsia"/>
                <w:bCs/>
                <w:sz w:val="21"/>
                <w:szCs w:val="21"/>
                <w:highlight w:val="none"/>
              </w:rPr>
              <w:t>中国土壤元素背景值[</w:t>
            </w:r>
            <w:r>
              <w:rPr>
                <w:rFonts w:eastAsiaTheme="minorEastAsia"/>
                <w:bCs/>
                <w:sz w:val="21"/>
                <w:szCs w:val="21"/>
                <w:highlight w:val="none"/>
              </w:rPr>
              <w:t>J].1990.</w:t>
            </w:r>
            <w:r>
              <w:rPr>
                <w:rFonts w:hint="eastAsia" w:eastAsiaTheme="minorEastAsia"/>
                <w:bCs/>
                <w:sz w:val="21"/>
                <w:szCs w:val="21"/>
                <w:highlight w:val="none"/>
              </w:rPr>
              <w:t>）</w:t>
            </w:r>
            <w:r>
              <w:rPr>
                <w:rFonts w:eastAsiaTheme="minorEastAsia"/>
                <w:bCs/>
                <w:sz w:val="21"/>
                <w:szCs w:val="21"/>
                <w:highlight w:val="none"/>
              </w:rPr>
              <w:t>0-20cm土壤95%置信</w:t>
            </w:r>
            <w:r>
              <w:rPr>
                <w:rFonts w:hint="eastAsia" w:eastAsiaTheme="minorEastAsia"/>
                <w:bCs/>
                <w:sz w:val="21"/>
                <w:szCs w:val="21"/>
                <w:highlight w:val="none"/>
              </w:rPr>
              <w:t>上限</w:t>
            </w:r>
            <w:r>
              <w:rPr>
                <w:rFonts w:eastAsiaTheme="minorEastAsia"/>
                <w:bCs/>
                <w:sz w:val="21"/>
                <w:szCs w:val="21"/>
                <w:highlight w:val="none"/>
              </w:rPr>
              <w:t>值</w:t>
            </w:r>
          </w:p>
        </w:tc>
      </w:tr>
      <w:tr w14:paraId="106E4D7B">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3EF5E85A">
            <w:pPr>
              <w:pStyle w:val="2"/>
              <w:spacing w:after="0" w:line="240" w:lineRule="auto"/>
              <w:jc w:val="center"/>
              <w:rPr>
                <w:rFonts w:eastAsiaTheme="minorEastAsia"/>
                <w:bCs/>
                <w:sz w:val="21"/>
                <w:szCs w:val="21"/>
                <w:highlight w:val="none"/>
              </w:rPr>
            </w:pPr>
            <w:r>
              <w:rPr>
                <w:rFonts w:eastAsiaTheme="minorEastAsia"/>
                <w:bCs/>
                <w:sz w:val="21"/>
                <w:szCs w:val="21"/>
                <w:highlight w:val="none"/>
              </w:rPr>
              <w:t>2</w:t>
            </w:r>
          </w:p>
        </w:tc>
        <w:tc>
          <w:tcPr>
            <w:tcW w:w="1793" w:type="pct"/>
            <w:vAlign w:val="center"/>
          </w:tcPr>
          <w:p w14:paraId="4324231A">
            <w:pPr>
              <w:pStyle w:val="2"/>
              <w:spacing w:after="0" w:line="240" w:lineRule="auto"/>
              <w:jc w:val="center"/>
              <w:rPr>
                <w:rFonts w:eastAsiaTheme="minorEastAsia"/>
                <w:bCs/>
                <w:sz w:val="21"/>
                <w:szCs w:val="21"/>
                <w:highlight w:val="none"/>
              </w:rPr>
            </w:pPr>
            <w:r>
              <w:rPr>
                <w:rFonts w:eastAsiaTheme="minorEastAsia"/>
                <w:bCs/>
                <w:sz w:val="21"/>
                <w:szCs w:val="21"/>
                <w:highlight w:val="none"/>
              </w:rPr>
              <w:t>镍</w:t>
            </w:r>
          </w:p>
        </w:tc>
        <w:tc>
          <w:tcPr>
            <w:tcW w:w="1081" w:type="pct"/>
            <w:vAlign w:val="center"/>
          </w:tcPr>
          <w:p w14:paraId="33FEA635">
            <w:pPr>
              <w:pStyle w:val="2"/>
              <w:spacing w:after="0" w:line="240" w:lineRule="auto"/>
              <w:jc w:val="center"/>
              <w:rPr>
                <w:rFonts w:eastAsiaTheme="minorEastAsia"/>
                <w:bCs/>
                <w:sz w:val="21"/>
                <w:szCs w:val="21"/>
                <w:highlight w:val="none"/>
              </w:rPr>
            </w:pPr>
            <w:r>
              <w:rPr>
                <w:rFonts w:eastAsiaTheme="minorEastAsia"/>
                <w:bCs/>
                <w:sz w:val="21"/>
                <w:szCs w:val="21"/>
                <w:highlight w:val="none"/>
              </w:rPr>
              <w:t>54.2</w:t>
            </w:r>
          </w:p>
        </w:tc>
        <w:tc>
          <w:tcPr>
            <w:tcW w:w="1418" w:type="pct"/>
            <w:vMerge w:val="continue"/>
            <w:vAlign w:val="center"/>
          </w:tcPr>
          <w:p w14:paraId="5966D1FA">
            <w:pPr>
              <w:pStyle w:val="2"/>
              <w:spacing w:after="0" w:line="240" w:lineRule="auto"/>
              <w:jc w:val="center"/>
              <w:rPr>
                <w:rFonts w:eastAsiaTheme="minorEastAsia"/>
                <w:bCs/>
                <w:sz w:val="21"/>
                <w:szCs w:val="21"/>
                <w:highlight w:val="none"/>
              </w:rPr>
            </w:pPr>
          </w:p>
        </w:tc>
      </w:tr>
      <w:tr w14:paraId="599BD7E9">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17505999">
            <w:pPr>
              <w:pStyle w:val="2"/>
              <w:spacing w:after="0" w:line="240" w:lineRule="auto"/>
              <w:jc w:val="center"/>
              <w:rPr>
                <w:rFonts w:eastAsiaTheme="minorEastAsia"/>
                <w:bCs/>
                <w:sz w:val="21"/>
                <w:szCs w:val="21"/>
                <w:highlight w:val="none"/>
              </w:rPr>
            </w:pPr>
            <w:r>
              <w:rPr>
                <w:rFonts w:eastAsiaTheme="minorEastAsia"/>
                <w:bCs/>
                <w:sz w:val="21"/>
                <w:szCs w:val="21"/>
                <w:highlight w:val="none"/>
              </w:rPr>
              <w:t>3</w:t>
            </w:r>
          </w:p>
        </w:tc>
        <w:tc>
          <w:tcPr>
            <w:tcW w:w="1793" w:type="pct"/>
            <w:vAlign w:val="center"/>
          </w:tcPr>
          <w:p w14:paraId="31156B9B">
            <w:pPr>
              <w:pStyle w:val="2"/>
              <w:spacing w:after="0" w:line="240" w:lineRule="auto"/>
              <w:jc w:val="center"/>
              <w:rPr>
                <w:rFonts w:eastAsiaTheme="minorEastAsia"/>
                <w:bCs/>
                <w:sz w:val="21"/>
                <w:szCs w:val="21"/>
                <w:highlight w:val="none"/>
              </w:rPr>
            </w:pPr>
            <w:r>
              <w:rPr>
                <w:rFonts w:eastAsiaTheme="minorEastAsia"/>
                <w:bCs/>
                <w:sz w:val="21"/>
                <w:szCs w:val="21"/>
                <w:highlight w:val="none"/>
              </w:rPr>
              <w:t>铬</w:t>
            </w:r>
          </w:p>
        </w:tc>
        <w:tc>
          <w:tcPr>
            <w:tcW w:w="1081" w:type="pct"/>
            <w:vAlign w:val="center"/>
          </w:tcPr>
          <w:p w14:paraId="2D12582C">
            <w:pPr>
              <w:pStyle w:val="2"/>
              <w:spacing w:after="0" w:line="240" w:lineRule="auto"/>
              <w:jc w:val="center"/>
              <w:rPr>
                <w:rFonts w:eastAsiaTheme="minorEastAsia"/>
                <w:bCs/>
                <w:sz w:val="21"/>
                <w:szCs w:val="21"/>
                <w:highlight w:val="none"/>
              </w:rPr>
            </w:pPr>
            <w:r>
              <w:rPr>
                <w:rFonts w:eastAsiaTheme="minorEastAsia"/>
                <w:bCs/>
                <w:sz w:val="21"/>
                <w:szCs w:val="21"/>
                <w:highlight w:val="none"/>
              </w:rPr>
              <w:t>146.8</w:t>
            </w:r>
          </w:p>
        </w:tc>
        <w:tc>
          <w:tcPr>
            <w:tcW w:w="1418" w:type="pct"/>
            <w:vMerge w:val="continue"/>
            <w:vAlign w:val="center"/>
          </w:tcPr>
          <w:p w14:paraId="1ABBEEBC">
            <w:pPr>
              <w:pStyle w:val="2"/>
              <w:spacing w:after="0" w:line="240" w:lineRule="auto"/>
              <w:jc w:val="center"/>
              <w:rPr>
                <w:rFonts w:eastAsiaTheme="minorEastAsia"/>
                <w:bCs/>
                <w:sz w:val="21"/>
                <w:szCs w:val="21"/>
                <w:highlight w:val="none"/>
              </w:rPr>
            </w:pPr>
          </w:p>
        </w:tc>
      </w:tr>
      <w:tr w14:paraId="587F563D">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49E3F080">
            <w:pPr>
              <w:pStyle w:val="2"/>
              <w:spacing w:after="0" w:line="240" w:lineRule="auto"/>
              <w:jc w:val="center"/>
              <w:rPr>
                <w:rFonts w:eastAsiaTheme="minorEastAsia"/>
                <w:bCs/>
                <w:sz w:val="21"/>
                <w:szCs w:val="21"/>
                <w:highlight w:val="none"/>
              </w:rPr>
            </w:pPr>
            <w:r>
              <w:rPr>
                <w:rFonts w:eastAsiaTheme="minorEastAsia"/>
                <w:bCs/>
                <w:sz w:val="21"/>
                <w:szCs w:val="21"/>
                <w:highlight w:val="none"/>
              </w:rPr>
              <w:t>4</w:t>
            </w:r>
          </w:p>
        </w:tc>
        <w:tc>
          <w:tcPr>
            <w:tcW w:w="1793" w:type="pct"/>
            <w:vAlign w:val="center"/>
          </w:tcPr>
          <w:p w14:paraId="1BAF79B0">
            <w:pPr>
              <w:pStyle w:val="2"/>
              <w:spacing w:after="0" w:line="240" w:lineRule="auto"/>
              <w:jc w:val="center"/>
              <w:rPr>
                <w:rFonts w:eastAsiaTheme="minorEastAsia"/>
                <w:bCs/>
                <w:sz w:val="21"/>
                <w:szCs w:val="21"/>
                <w:highlight w:val="none"/>
              </w:rPr>
            </w:pPr>
            <w:r>
              <w:rPr>
                <w:rFonts w:eastAsiaTheme="minorEastAsia"/>
                <w:bCs/>
                <w:sz w:val="21"/>
                <w:szCs w:val="21"/>
                <w:highlight w:val="none"/>
              </w:rPr>
              <w:t>铜</w:t>
            </w:r>
          </w:p>
        </w:tc>
        <w:tc>
          <w:tcPr>
            <w:tcW w:w="1081" w:type="pct"/>
            <w:vAlign w:val="center"/>
          </w:tcPr>
          <w:p w14:paraId="6EBBF0D5">
            <w:pPr>
              <w:pStyle w:val="2"/>
              <w:spacing w:after="0" w:line="240" w:lineRule="auto"/>
              <w:jc w:val="center"/>
              <w:rPr>
                <w:rFonts w:eastAsiaTheme="minorEastAsia"/>
                <w:bCs/>
                <w:sz w:val="21"/>
                <w:szCs w:val="21"/>
                <w:highlight w:val="none"/>
              </w:rPr>
            </w:pPr>
            <w:r>
              <w:rPr>
                <w:rFonts w:eastAsiaTheme="minorEastAsia"/>
                <w:bCs/>
                <w:sz w:val="21"/>
                <w:szCs w:val="21"/>
                <w:highlight w:val="none"/>
              </w:rPr>
              <w:t>56.4</w:t>
            </w:r>
          </w:p>
        </w:tc>
        <w:tc>
          <w:tcPr>
            <w:tcW w:w="1418" w:type="pct"/>
            <w:vMerge w:val="continue"/>
            <w:vAlign w:val="center"/>
          </w:tcPr>
          <w:p w14:paraId="4301A113">
            <w:pPr>
              <w:pStyle w:val="2"/>
              <w:spacing w:after="0" w:line="240" w:lineRule="auto"/>
              <w:jc w:val="center"/>
              <w:rPr>
                <w:rFonts w:eastAsiaTheme="minorEastAsia"/>
                <w:bCs/>
                <w:sz w:val="21"/>
                <w:szCs w:val="21"/>
                <w:highlight w:val="none"/>
              </w:rPr>
            </w:pPr>
          </w:p>
        </w:tc>
      </w:tr>
      <w:tr w14:paraId="15380927">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2252318B">
            <w:pPr>
              <w:pStyle w:val="2"/>
              <w:spacing w:after="0" w:line="240" w:lineRule="auto"/>
              <w:jc w:val="center"/>
              <w:rPr>
                <w:rFonts w:eastAsiaTheme="minorEastAsia"/>
                <w:bCs/>
                <w:sz w:val="21"/>
                <w:szCs w:val="21"/>
                <w:highlight w:val="none"/>
              </w:rPr>
            </w:pPr>
            <w:r>
              <w:rPr>
                <w:rFonts w:eastAsiaTheme="minorEastAsia"/>
                <w:bCs/>
                <w:sz w:val="21"/>
                <w:szCs w:val="21"/>
                <w:highlight w:val="none"/>
              </w:rPr>
              <w:t>5</w:t>
            </w:r>
          </w:p>
        </w:tc>
        <w:tc>
          <w:tcPr>
            <w:tcW w:w="1793" w:type="pct"/>
            <w:vAlign w:val="center"/>
          </w:tcPr>
          <w:p w14:paraId="2F08F852">
            <w:pPr>
              <w:pStyle w:val="2"/>
              <w:spacing w:after="0" w:line="240" w:lineRule="auto"/>
              <w:jc w:val="center"/>
              <w:rPr>
                <w:rFonts w:eastAsiaTheme="minorEastAsia"/>
                <w:bCs/>
                <w:sz w:val="21"/>
                <w:szCs w:val="21"/>
                <w:highlight w:val="none"/>
              </w:rPr>
            </w:pPr>
            <w:r>
              <w:rPr>
                <w:rFonts w:eastAsiaTheme="minorEastAsia"/>
                <w:bCs/>
                <w:sz w:val="21"/>
                <w:szCs w:val="21"/>
                <w:highlight w:val="none"/>
              </w:rPr>
              <w:t>镉</w:t>
            </w:r>
          </w:p>
        </w:tc>
        <w:tc>
          <w:tcPr>
            <w:tcW w:w="1081" w:type="pct"/>
            <w:vAlign w:val="center"/>
          </w:tcPr>
          <w:p w14:paraId="30D21094">
            <w:pPr>
              <w:pStyle w:val="2"/>
              <w:spacing w:after="0" w:line="240" w:lineRule="auto"/>
              <w:jc w:val="center"/>
              <w:rPr>
                <w:rFonts w:eastAsiaTheme="minorEastAsia"/>
                <w:bCs/>
                <w:sz w:val="21"/>
                <w:szCs w:val="21"/>
                <w:highlight w:val="none"/>
              </w:rPr>
            </w:pPr>
            <w:r>
              <w:rPr>
                <w:rFonts w:eastAsiaTheme="minorEastAsia"/>
                <w:bCs/>
                <w:sz w:val="21"/>
                <w:szCs w:val="21"/>
                <w:highlight w:val="none"/>
              </w:rPr>
              <w:t>0.5643</w:t>
            </w:r>
          </w:p>
        </w:tc>
        <w:tc>
          <w:tcPr>
            <w:tcW w:w="1418" w:type="pct"/>
            <w:vMerge w:val="continue"/>
            <w:vAlign w:val="center"/>
          </w:tcPr>
          <w:p w14:paraId="0C3BF8EB">
            <w:pPr>
              <w:pStyle w:val="2"/>
              <w:spacing w:after="0" w:line="240" w:lineRule="auto"/>
              <w:jc w:val="center"/>
              <w:rPr>
                <w:rFonts w:eastAsiaTheme="minorEastAsia"/>
                <w:bCs/>
                <w:sz w:val="21"/>
                <w:szCs w:val="21"/>
                <w:highlight w:val="none"/>
              </w:rPr>
            </w:pPr>
          </w:p>
        </w:tc>
      </w:tr>
      <w:tr w14:paraId="2FC2346E">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7CF49950">
            <w:pPr>
              <w:pStyle w:val="2"/>
              <w:spacing w:after="0" w:line="240" w:lineRule="auto"/>
              <w:jc w:val="center"/>
              <w:rPr>
                <w:rFonts w:eastAsiaTheme="minorEastAsia"/>
                <w:bCs/>
                <w:sz w:val="21"/>
                <w:szCs w:val="21"/>
                <w:highlight w:val="none"/>
              </w:rPr>
            </w:pPr>
            <w:r>
              <w:rPr>
                <w:rFonts w:eastAsiaTheme="minorEastAsia"/>
                <w:bCs/>
                <w:sz w:val="21"/>
                <w:szCs w:val="21"/>
                <w:highlight w:val="none"/>
              </w:rPr>
              <w:t>6</w:t>
            </w:r>
          </w:p>
        </w:tc>
        <w:tc>
          <w:tcPr>
            <w:tcW w:w="1793" w:type="pct"/>
            <w:vAlign w:val="center"/>
          </w:tcPr>
          <w:p w14:paraId="534CA00D">
            <w:pPr>
              <w:pStyle w:val="2"/>
              <w:spacing w:after="0" w:line="240" w:lineRule="auto"/>
              <w:jc w:val="center"/>
              <w:rPr>
                <w:rFonts w:eastAsiaTheme="minorEastAsia"/>
                <w:bCs/>
                <w:sz w:val="21"/>
                <w:szCs w:val="21"/>
                <w:highlight w:val="none"/>
              </w:rPr>
            </w:pPr>
            <w:r>
              <w:rPr>
                <w:rFonts w:eastAsiaTheme="minorEastAsia"/>
                <w:bCs/>
                <w:sz w:val="21"/>
                <w:szCs w:val="21"/>
                <w:highlight w:val="none"/>
              </w:rPr>
              <w:t>汞</w:t>
            </w:r>
          </w:p>
        </w:tc>
        <w:tc>
          <w:tcPr>
            <w:tcW w:w="1081" w:type="pct"/>
            <w:vAlign w:val="center"/>
          </w:tcPr>
          <w:p w14:paraId="4767DE69">
            <w:pPr>
              <w:pStyle w:val="2"/>
              <w:spacing w:after="0" w:line="240" w:lineRule="auto"/>
              <w:jc w:val="center"/>
              <w:rPr>
                <w:rFonts w:eastAsiaTheme="minorEastAsia"/>
                <w:bCs/>
                <w:sz w:val="21"/>
                <w:szCs w:val="21"/>
                <w:highlight w:val="none"/>
              </w:rPr>
            </w:pPr>
            <w:r>
              <w:rPr>
                <w:rFonts w:eastAsiaTheme="minorEastAsia"/>
                <w:bCs/>
                <w:sz w:val="21"/>
                <w:szCs w:val="21"/>
                <w:highlight w:val="none"/>
              </w:rPr>
              <w:t>0.193</w:t>
            </w:r>
          </w:p>
        </w:tc>
        <w:tc>
          <w:tcPr>
            <w:tcW w:w="1418" w:type="pct"/>
            <w:vMerge w:val="continue"/>
            <w:vAlign w:val="center"/>
          </w:tcPr>
          <w:p w14:paraId="08B6017E">
            <w:pPr>
              <w:pStyle w:val="2"/>
              <w:spacing w:after="0" w:line="240" w:lineRule="auto"/>
              <w:jc w:val="center"/>
              <w:rPr>
                <w:rFonts w:eastAsiaTheme="minorEastAsia"/>
                <w:bCs/>
                <w:sz w:val="21"/>
                <w:szCs w:val="21"/>
                <w:highlight w:val="none"/>
              </w:rPr>
            </w:pPr>
          </w:p>
        </w:tc>
      </w:tr>
      <w:tr w14:paraId="3EEAF28B">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0B585F53">
            <w:pPr>
              <w:pStyle w:val="2"/>
              <w:spacing w:after="0" w:line="240" w:lineRule="auto"/>
              <w:jc w:val="center"/>
              <w:rPr>
                <w:rFonts w:eastAsiaTheme="minorEastAsia"/>
                <w:bCs/>
                <w:sz w:val="21"/>
                <w:szCs w:val="21"/>
                <w:highlight w:val="none"/>
              </w:rPr>
            </w:pPr>
            <w:r>
              <w:rPr>
                <w:rFonts w:eastAsiaTheme="minorEastAsia"/>
                <w:bCs/>
                <w:sz w:val="21"/>
                <w:szCs w:val="21"/>
                <w:highlight w:val="none"/>
              </w:rPr>
              <w:t>7</w:t>
            </w:r>
          </w:p>
        </w:tc>
        <w:tc>
          <w:tcPr>
            <w:tcW w:w="1793" w:type="pct"/>
            <w:vAlign w:val="center"/>
          </w:tcPr>
          <w:p w14:paraId="7184AD8D">
            <w:pPr>
              <w:pStyle w:val="2"/>
              <w:spacing w:after="0" w:line="240" w:lineRule="auto"/>
              <w:jc w:val="center"/>
              <w:rPr>
                <w:rFonts w:eastAsiaTheme="minorEastAsia"/>
                <w:bCs/>
                <w:sz w:val="21"/>
                <w:szCs w:val="21"/>
                <w:highlight w:val="none"/>
              </w:rPr>
            </w:pPr>
            <w:r>
              <w:rPr>
                <w:rFonts w:eastAsiaTheme="minorEastAsia"/>
                <w:bCs/>
                <w:sz w:val="21"/>
                <w:szCs w:val="21"/>
                <w:highlight w:val="none"/>
              </w:rPr>
              <w:t>铅</w:t>
            </w:r>
          </w:p>
        </w:tc>
        <w:tc>
          <w:tcPr>
            <w:tcW w:w="1081" w:type="pct"/>
            <w:vAlign w:val="center"/>
          </w:tcPr>
          <w:p w14:paraId="1A758A60">
            <w:pPr>
              <w:pStyle w:val="2"/>
              <w:spacing w:after="0" w:line="240" w:lineRule="auto"/>
              <w:jc w:val="center"/>
              <w:rPr>
                <w:rFonts w:eastAsiaTheme="minorEastAsia"/>
                <w:bCs/>
                <w:sz w:val="21"/>
                <w:szCs w:val="21"/>
                <w:highlight w:val="none"/>
              </w:rPr>
            </w:pPr>
            <w:r>
              <w:rPr>
                <w:rFonts w:eastAsiaTheme="minorEastAsia"/>
                <w:bCs/>
                <w:sz w:val="21"/>
                <w:szCs w:val="21"/>
                <w:highlight w:val="none"/>
              </w:rPr>
              <w:t>42.3</w:t>
            </w:r>
          </w:p>
        </w:tc>
        <w:tc>
          <w:tcPr>
            <w:tcW w:w="1418" w:type="pct"/>
            <w:vMerge w:val="continue"/>
            <w:vAlign w:val="center"/>
          </w:tcPr>
          <w:p w14:paraId="3FC44E59">
            <w:pPr>
              <w:pStyle w:val="2"/>
              <w:spacing w:after="0" w:line="240" w:lineRule="auto"/>
              <w:jc w:val="center"/>
              <w:rPr>
                <w:rFonts w:eastAsiaTheme="minorEastAsia"/>
                <w:bCs/>
                <w:sz w:val="21"/>
                <w:szCs w:val="21"/>
                <w:highlight w:val="none"/>
              </w:rPr>
            </w:pPr>
          </w:p>
        </w:tc>
      </w:tr>
      <w:tr w14:paraId="06D5BB10">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4404653A">
            <w:pPr>
              <w:pStyle w:val="2"/>
              <w:spacing w:after="0" w:line="240" w:lineRule="auto"/>
              <w:jc w:val="center"/>
              <w:rPr>
                <w:rFonts w:eastAsiaTheme="minorEastAsia"/>
                <w:bCs/>
                <w:sz w:val="21"/>
                <w:szCs w:val="21"/>
                <w:highlight w:val="none"/>
              </w:rPr>
            </w:pPr>
            <w:r>
              <w:rPr>
                <w:rFonts w:hint="eastAsia" w:eastAsiaTheme="minorEastAsia"/>
                <w:bCs/>
                <w:sz w:val="21"/>
                <w:szCs w:val="21"/>
                <w:highlight w:val="none"/>
              </w:rPr>
              <w:t>8</w:t>
            </w:r>
          </w:p>
        </w:tc>
        <w:tc>
          <w:tcPr>
            <w:tcW w:w="1793" w:type="pct"/>
            <w:vAlign w:val="center"/>
          </w:tcPr>
          <w:p w14:paraId="3F0BD9D5">
            <w:pPr>
              <w:pStyle w:val="2"/>
              <w:spacing w:after="0" w:line="240" w:lineRule="auto"/>
              <w:jc w:val="center"/>
              <w:rPr>
                <w:rFonts w:eastAsiaTheme="minorEastAsia"/>
                <w:bCs/>
                <w:sz w:val="21"/>
                <w:szCs w:val="21"/>
                <w:highlight w:val="none"/>
              </w:rPr>
            </w:pPr>
            <w:r>
              <w:rPr>
                <w:rFonts w:hint="eastAsia" w:eastAsiaTheme="minorEastAsia"/>
                <w:bCs/>
                <w:sz w:val="21"/>
                <w:szCs w:val="21"/>
                <w:highlight w:val="none"/>
              </w:rPr>
              <w:t>锑</w:t>
            </w:r>
          </w:p>
        </w:tc>
        <w:tc>
          <w:tcPr>
            <w:tcW w:w="1081" w:type="pct"/>
            <w:vAlign w:val="center"/>
          </w:tcPr>
          <w:p w14:paraId="492FF5F4">
            <w:pPr>
              <w:pStyle w:val="2"/>
              <w:spacing w:after="0" w:line="240" w:lineRule="auto"/>
              <w:jc w:val="center"/>
              <w:rPr>
                <w:rFonts w:eastAsiaTheme="minorEastAsia"/>
                <w:bCs/>
                <w:sz w:val="21"/>
                <w:szCs w:val="21"/>
                <w:highlight w:val="none"/>
              </w:rPr>
            </w:pPr>
            <w:r>
              <w:rPr>
                <w:rFonts w:hint="eastAsia" w:eastAsiaTheme="minorEastAsia"/>
                <w:bCs/>
                <w:sz w:val="21"/>
                <w:szCs w:val="21"/>
                <w:highlight w:val="none"/>
              </w:rPr>
              <w:t>2</w:t>
            </w:r>
            <w:r>
              <w:rPr>
                <w:rFonts w:eastAsiaTheme="minorEastAsia"/>
                <w:bCs/>
                <w:sz w:val="21"/>
                <w:szCs w:val="21"/>
                <w:highlight w:val="none"/>
              </w:rPr>
              <w:t>.23</w:t>
            </w:r>
          </w:p>
        </w:tc>
        <w:tc>
          <w:tcPr>
            <w:tcW w:w="1418" w:type="pct"/>
            <w:vMerge w:val="continue"/>
            <w:vAlign w:val="center"/>
          </w:tcPr>
          <w:p w14:paraId="4265B8F2">
            <w:pPr>
              <w:pStyle w:val="2"/>
              <w:spacing w:after="0" w:line="240" w:lineRule="auto"/>
              <w:jc w:val="center"/>
              <w:rPr>
                <w:rFonts w:eastAsiaTheme="minorEastAsia"/>
                <w:bCs/>
                <w:sz w:val="21"/>
                <w:szCs w:val="21"/>
                <w:highlight w:val="none"/>
              </w:rPr>
            </w:pPr>
          </w:p>
        </w:tc>
      </w:tr>
      <w:tr w14:paraId="48408361">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6B2753FE">
            <w:pPr>
              <w:pStyle w:val="2"/>
              <w:spacing w:after="0" w:line="240" w:lineRule="auto"/>
              <w:jc w:val="center"/>
              <w:rPr>
                <w:rFonts w:eastAsiaTheme="minorEastAsia"/>
                <w:bCs/>
                <w:sz w:val="21"/>
                <w:szCs w:val="21"/>
                <w:highlight w:val="none"/>
              </w:rPr>
            </w:pPr>
            <w:r>
              <w:rPr>
                <w:rFonts w:hint="eastAsia" w:eastAsiaTheme="minorEastAsia"/>
                <w:bCs/>
                <w:sz w:val="21"/>
                <w:szCs w:val="21"/>
                <w:highlight w:val="none"/>
              </w:rPr>
              <w:t>9</w:t>
            </w:r>
          </w:p>
        </w:tc>
        <w:tc>
          <w:tcPr>
            <w:tcW w:w="1793" w:type="pct"/>
            <w:vAlign w:val="center"/>
          </w:tcPr>
          <w:p w14:paraId="14DD3ABC">
            <w:pPr>
              <w:pStyle w:val="2"/>
              <w:spacing w:after="0" w:line="240" w:lineRule="auto"/>
              <w:jc w:val="center"/>
              <w:rPr>
                <w:rFonts w:eastAsiaTheme="minorEastAsia"/>
                <w:bCs/>
                <w:sz w:val="21"/>
                <w:szCs w:val="21"/>
                <w:highlight w:val="none"/>
              </w:rPr>
            </w:pPr>
            <w:r>
              <w:rPr>
                <w:rFonts w:eastAsiaTheme="minorEastAsia"/>
                <w:bCs/>
                <w:sz w:val="21"/>
                <w:szCs w:val="21"/>
                <w:highlight w:val="none"/>
              </w:rPr>
              <w:t>砷</w:t>
            </w:r>
            <w:r>
              <w:rPr>
                <w:rFonts w:eastAsiaTheme="minorEastAsia"/>
                <w:b/>
                <w:sz w:val="21"/>
                <w:szCs w:val="21"/>
                <w:highlight w:val="none"/>
                <w:vertAlign w:val="superscript"/>
              </w:rPr>
              <w:t>①</w:t>
            </w:r>
          </w:p>
        </w:tc>
        <w:tc>
          <w:tcPr>
            <w:tcW w:w="1081" w:type="pct"/>
            <w:vAlign w:val="center"/>
          </w:tcPr>
          <w:p w14:paraId="405195AB">
            <w:pPr>
              <w:pStyle w:val="2"/>
              <w:spacing w:after="0" w:line="240" w:lineRule="auto"/>
              <w:jc w:val="center"/>
              <w:rPr>
                <w:rFonts w:eastAsiaTheme="minorEastAsia"/>
                <w:bCs/>
                <w:sz w:val="21"/>
                <w:szCs w:val="21"/>
                <w:highlight w:val="none"/>
              </w:rPr>
            </w:pPr>
            <w:r>
              <w:rPr>
                <w:rFonts w:eastAsiaTheme="minorEastAsia"/>
                <w:bCs/>
                <w:sz w:val="21"/>
                <w:szCs w:val="21"/>
                <w:highlight w:val="none"/>
              </w:rPr>
              <w:t>40</w:t>
            </w:r>
          </w:p>
        </w:tc>
        <w:tc>
          <w:tcPr>
            <w:tcW w:w="1418" w:type="pct"/>
            <w:vAlign w:val="center"/>
          </w:tcPr>
          <w:p w14:paraId="24188376">
            <w:pPr>
              <w:pStyle w:val="2"/>
              <w:spacing w:after="0" w:line="240" w:lineRule="auto"/>
              <w:jc w:val="center"/>
              <w:rPr>
                <w:rFonts w:eastAsiaTheme="minorEastAsia"/>
                <w:bCs/>
                <w:sz w:val="21"/>
                <w:szCs w:val="21"/>
                <w:highlight w:val="none"/>
              </w:rPr>
            </w:pPr>
            <w:r>
              <w:rPr>
                <w:rFonts w:eastAsiaTheme="minorEastAsia"/>
                <w:bCs/>
                <w:sz w:val="21"/>
                <w:szCs w:val="21"/>
                <w:highlight w:val="none"/>
              </w:rPr>
              <w:t>GB36600附录A</w:t>
            </w:r>
          </w:p>
        </w:tc>
      </w:tr>
    </w:tbl>
    <w:p w14:paraId="375301DD">
      <w:pPr>
        <w:pStyle w:val="2"/>
        <w:spacing w:after="0" w:line="240" w:lineRule="auto"/>
        <w:rPr>
          <w:b/>
          <w:bCs/>
          <w:sz w:val="18"/>
          <w:szCs w:val="18"/>
          <w:highlight w:val="none"/>
        </w:rPr>
      </w:pPr>
      <w:r>
        <w:rPr>
          <w:b/>
          <w:bCs/>
          <w:sz w:val="18"/>
          <w:szCs w:val="18"/>
          <w:highlight w:val="none"/>
        </w:rPr>
        <w:t>注：①根据“土壤信息服务平台”（http://www.soilinfo.cn/map/index.aspx），</w:t>
      </w:r>
      <w:r>
        <w:rPr>
          <w:rFonts w:hint="eastAsia"/>
          <w:b/>
          <w:bCs/>
          <w:sz w:val="18"/>
          <w:szCs w:val="18"/>
          <w:highlight w:val="none"/>
        </w:rPr>
        <w:t>花湖开发区</w:t>
      </w:r>
      <w:r>
        <w:rPr>
          <w:b/>
          <w:bCs/>
          <w:sz w:val="18"/>
          <w:szCs w:val="18"/>
          <w:highlight w:val="none"/>
        </w:rPr>
        <w:t>主要土壤类型为水稻土、黄棕壤、红壤，因此参考</w:t>
      </w:r>
      <w:r>
        <w:rPr>
          <w:rFonts w:eastAsiaTheme="minorEastAsia"/>
          <w:b/>
          <w:bCs/>
          <w:sz w:val="18"/>
          <w:szCs w:val="18"/>
          <w:highlight w:val="none"/>
        </w:rPr>
        <w:t>GB36600附录A确定砷背景值为40mg/kg。</w:t>
      </w:r>
    </w:p>
    <w:p w14:paraId="6FE7B90F">
      <w:pPr>
        <w:pStyle w:val="5"/>
        <w:tabs>
          <w:tab w:val="left" w:pos="425"/>
        </w:tabs>
        <w:rPr>
          <w:highlight w:val="none"/>
        </w:rPr>
      </w:pPr>
      <w:r>
        <w:rPr>
          <w:highlight w:val="none"/>
        </w:rPr>
        <w:t>地下水评价标准</w:t>
      </w:r>
    </w:p>
    <w:p w14:paraId="42357CB0">
      <w:pPr>
        <w:ind w:firstLine="480" w:firstLineChars="200"/>
        <w:rPr>
          <w:color w:val="000000" w:themeColor="text1"/>
          <w:szCs w:val="20"/>
          <w:highlight w:val="none"/>
          <w14:textFill>
            <w14:solidFill>
              <w14:schemeClr w14:val="tx1"/>
            </w14:solidFill>
          </w14:textFill>
        </w:rPr>
      </w:pPr>
      <w:r>
        <w:rPr>
          <w:color w:val="000000" w:themeColor="text1"/>
          <w:highlight w:val="none"/>
          <w14:textFill>
            <w14:solidFill>
              <w14:schemeClr w14:val="tx1"/>
            </w14:solidFill>
          </w14:textFill>
        </w:rPr>
        <w:t>调查园区地下水类型主要为潜水</w:t>
      </w:r>
      <w:r>
        <w:rPr>
          <w:color w:val="000000" w:themeColor="text1"/>
          <w:szCs w:val="20"/>
          <w:highlight w:val="none"/>
          <w14:textFill>
            <w14:solidFill>
              <w14:schemeClr w14:val="tx1"/>
            </w14:solidFill>
          </w14:textFill>
        </w:rPr>
        <w:t>，</w:t>
      </w:r>
      <w:r>
        <w:rPr>
          <w:color w:val="000000" w:themeColor="text1"/>
          <w:highlight w:val="none"/>
          <w14:textFill>
            <w14:solidFill>
              <w14:schemeClr w14:val="tx1"/>
            </w14:solidFill>
          </w14:textFill>
        </w:rPr>
        <w:t>测试项目包括无机项目、金属类、有机类等共32项，各指标</w:t>
      </w:r>
      <w:r>
        <w:rPr>
          <w:color w:val="000000" w:themeColor="text1"/>
          <w:szCs w:val="20"/>
          <w:highlight w:val="none"/>
          <w14:textFill>
            <w14:solidFill>
              <w14:schemeClr w14:val="tx1"/>
            </w14:solidFill>
          </w14:textFill>
        </w:rPr>
        <w:t>评价标准选取原则如下：</w:t>
      </w:r>
    </w:p>
    <w:p w14:paraId="00B83F7F">
      <w:pPr>
        <w:ind w:firstLine="360" w:firstLineChars="150"/>
        <w:rPr>
          <w:color w:val="000000" w:themeColor="text1"/>
          <w:highlight w:val="none"/>
          <w14:textFill>
            <w14:solidFill>
              <w14:schemeClr w14:val="tx1"/>
            </w14:solidFill>
          </w14:textFill>
        </w:rPr>
      </w:pPr>
      <w:r>
        <w:rPr>
          <w:color w:val="000000" w:themeColor="text1"/>
          <w:szCs w:val="20"/>
          <w:highlight w:val="none"/>
          <w14:textFill>
            <w14:solidFill>
              <w14:schemeClr w14:val="tx1"/>
            </w14:solidFill>
          </w14:textFill>
        </w:rPr>
        <w:t>（1）本次调查钻探的地下水</w:t>
      </w:r>
      <w:r>
        <w:rPr>
          <w:rFonts w:hint="eastAsia"/>
          <w:color w:val="000000" w:themeColor="text1"/>
          <w:szCs w:val="20"/>
          <w:highlight w:val="none"/>
          <w14:textFill>
            <w14:solidFill>
              <w14:schemeClr w14:val="tx1"/>
            </w14:solidFill>
          </w14:textFill>
        </w:rPr>
        <w:t>类型</w:t>
      </w:r>
      <w:r>
        <w:rPr>
          <w:color w:val="000000" w:themeColor="text1"/>
          <w:szCs w:val="20"/>
          <w:highlight w:val="none"/>
          <w14:textFill>
            <w14:solidFill>
              <w14:schemeClr w14:val="tx1"/>
            </w14:solidFill>
          </w14:textFill>
        </w:rPr>
        <w:t>为潜水</w:t>
      </w:r>
      <w:r>
        <w:rPr>
          <w:rFonts w:hint="eastAsia"/>
          <w:color w:val="000000" w:themeColor="text1"/>
          <w:szCs w:val="20"/>
          <w:highlight w:val="none"/>
          <w14:textFill>
            <w14:solidFill>
              <w14:schemeClr w14:val="tx1"/>
            </w14:solidFill>
          </w14:textFill>
        </w:rPr>
        <w:t>，位于</w:t>
      </w:r>
      <w:r>
        <w:rPr>
          <w:rFonts w:hint="eastAsia"/>
          <w:color w:val="000000" w:themeColor="text1"/>
          <w:szCs w:val="20"/>
          <w:highlight w:val="none"/>
          <w:lang w:val="en-US" w:eastAsia="zh-CN"/>
          <w14:textFill>
            <w14:solidFill>
              <w14:schemeClr w14:val="tx1"/>
            </w14:solidFill>
          </w14:textFill>
        </w:rPr>
        <w:t>工业园区</w:t>
      </w:r>
      <w:r>
        <w:rPr>
          <w:rFonts w:hint="eastAsia"/>
          <w:color w:val="000000" w:themeColor="text1"/>
          <w:szCs w:val="20"/>
          <w:highlight w:val="none"/>
          <w14:textFill>
            <w14:solidFill>
              <w14:schemeClr w14:val="tx1"/>
            </w14:solidFill>
          </w14:textFill>
        </w:rPr>
        <w:t>企业周边，</w:t>
      </w:r>
      <w:r>
        <w:rPr>
          <w:rFonts w:hint="eastAsia"/>
          <w:color w:val="000000" w:themeColor="text1"/>
          <w:szCs w:val="20"/>
          <w:highlight w:val="none"/>
          <w:lang w:val="en-US" w:eastAsia="zh-CN"/>
          <w14:textFill>
            <w14:solidFill>
              <w14:schemeClr w14:val="tx1"/>
            </w14:solidFill>
          </w14:textFill>
        </w:rPr>
        <w:t>且根据《湖北省地下水污染防治规划实施方案（2011-2020年）》，“全省地下水开发利用较高的分布于沿江城市及江汉平原，利用地下水的城市主要有孝感市、襄阳市，前者主要用于生活，后者用于工、农业、生活等方面”，因此，本次钻探地下水点位所在区域</w:t>
      </w:r>
      <w:r>
        <w:rPr>
          <w:rFonts w:hint="eastAsia"/>
          <w:color w:val="000000" w:themeColor="text1"/>
          <w:szCs w:val="20"/>
          <w:highlight w:val="none"/>
          <w14:textFill>
            <w14:solidFill>
              <w14:schemeClr w14:val="tx1"/>
            </w14:solidFill>
          </w14:textFill>
        </w:rPr>
        <w:t>地下水不</w:t>
      </w:r>
      <w:r>
        <w:rPr>
          <w:rFonts w:hint="eastAsia"/>
          <w:color w:val="000000" w:themeColor="text1"/>
          <w:szCs w:val="20"/>
          <w:highlight w:val="none"/>
          <w:lang w:val="en-US" w:eastAsia="zh-CN"/>
          <w14:textFill>
            <w14:solidFill>
              <w14:schemeClr w14:val="tx1"/>
            </w14:solidFill>
          </w14:textFill>
        </w:rPr>
        <w:t>具备</w:t>
      </w:r>
      <w:r>
        <w:rPr>
          <w:rFonts w:hint="eastAsia"/>
          <w:color w:val="000000" w:themeColor="text1"/>
          <w:szCs w:val="20"/>
          <w:highlight w:val="none"/>
          <w14:textFill>
            <w14:solidFill>
              <w14:schemeClr w14:val="tx1"/>
            </w14:solidFill>
          </w14:textFill>
        </w:rPr>
        <w:t>开发利用</w:t>
      </w:r>
      <w:r>
        <w:rPr>
          <w:rFonts w:hint="eastAsia"/>
          <w:color w:val="000000" w:themeColor="text1"/>
          <w:szCs w:val="20"/>
          <w:highlight w:val="none"/>
          <w:lang w:val="en-US" w:eastAsia="zh-CN"/>
          <w14:textFill>
            <w14:solidFill>
              <w14:schemeClr w14:val="tx1"/>
            </w14:solidFill>
          </w14:textFill>
        </w:rPr>
        <w:t>功能</w:t>
      </w:r>
      <w:r>
        <w:rPr>
          <w:rFonts w:hint="eastAsia" w:cs="Times New Roman"/>
          <w:color w:val="000000" w:themeColor="text1"/>
          <w:szCs w:val="20"/>
          <w:highlight w:val="none"/>
          <w:lang w:val="en-US" w:eastAsia="zh-CN"/>
          <w14:textFill>
            <w14:solidFill>
              <w14:schemeClr w14:val="tx1"/>
            </w14:solidFill>
          </w14:textFill>
        </w:rPr>
        <w:t>，</w:t>
      </w:r>
      <w:r>
        <w:rPr>
          <w:rFonts w:hint="default" w:ascii="Times New Roman" w:hAnsi="Times New Roman" w:cs="Times New Roman"/>
          <w:color w:val="auto"/>
          <w:highlight w:val="none"/>
        </w:rPr>
        <w:t>位于</w:t>
      </w:r>
      <w:r>
        <w:rPr>
          <w:rFonts w:hint="eastAsia" w:cs="Times New Roman"/>
          <w:color w:val="auto"/>
          <w:highlight w:val="none"/>
          <w:lang w:eastAsia="zh-CN"/>
        </w:rPr>
        <w:t>工业</w:t>
      </w:r>
      <w:r>
        <w:rPr>
          <w:rFonts w:hint="default" w:ascii="Times New Roman" w:hAnsi="Times New Roman" w:cs="Times New Roman"/>
          <w:color w:val="auto"/>
          <w:highlight w:val="none"/>
        </w:rPr>
        <w:t>企业周边</w:t>
      </w:r>
      <w:r>
        <w:rPr>
          <w:rFonts w:hint="default" w:ascii="Times New Roman" w:hAnsi="Times New Roman" w:cs="Times New Roman"/>
          <w:color w:val="000000" w:themeColor="text1"/>
          <w:szCs w:val="20"/>
          <w:highlight w:val="none"/>
          <w14:textFill>
            <w14:solidFill>
              <w14:schemeClr w14:val="tx1"/>
            </w14:solidFill>
          </w14:textFill>
        </w:rPr>
        <w:t>，</w:t>
      </w:r>
      <w:r>
        <w:rPr>
          <w:rFonts w:hint="eastAsia"/>
          <w:color w:val="000000" w:themeColor="text1"/>
          <w:szCs w:val="20"/>
          <w:highlight w:val="none"/>
          <w:lang w:val="en-US" w:eastAsia="zh-CN"/>
          <w14:textFill>
            <w14:solidFill>
              <w14:schemeClr w14:val="tx1"/>
            </w14:solidFill>
          </w14:textFill>
        </w:rPr>
        <w:t>且</w:t>
      </w:r>
      <w:r>
        <w:rPr>
          <w:rFonts w:hint="eastAsia"/>
          <w:color w:val="000000" w:themeColor="text1"/>
          <w:szCs w:val="20"/>
          <w:highlight w:val="none"/>
          <w14:textFill>
            <w14:solidFill>
              <w14:schemeClr w14:val="tx1"/>
            </w14:solidFill>
          </w14:textFill>
        </w:rPr>
        <w:t>水井点位所在位置</w:t>
      </w:r>
      <w:r>
        <w:rPr>
          <w:color w:val="000000" w:themeColor="text1"/>
          <w:szCs w:val="20"/>
          <w:highlight w:val="none"/>
          <w14:textFill>
            <w14:solidFill>
              <w14:schemeClr w14:val="tx1"/>
            </w14:solidFill>
          </w14:textFill>
        </w:rPr>
        <w:t>不具备集中式生活饮用水水源功能</w:t>
      </w:r>
      <w:r>
        <w:rPr>
          <w:rFonts w:hint="eastAsia"/>
          <w:color w:val="000000" w:themeColor="text1"/>
          <w:highlight w:val="none"/>
          <w14:textFill>
            <w14:solidFill>
              <w14:schemeClr w14:val="tx1"/>
            </w14:solidFill>
          </w14:textFill>
        </w:rPr>
        <w:t>，</w:t>
      </w:r>
      <w:r>
        <w:rPr>
          <w:color w:val="000000" w:themeColor="text1"/>
          <w:szCs w:val="20"/>
          <w:highlight w:val="none"/>
          <w14:textFill>
            <w14:solidFill>
              <w14:schemeClr w14:val="tx1"/>
            </w14:solidFill>
          </w14:textFill>
        </w:rPr>
        <w:t>评价时优先选用</w:t>
      </w:r>
      <w:r>
        <w:rPr>
          <w:color w:val="000000" w:themeColor="text1"/>
          <w:highlight w:val="none"/>
          <w14:textFill>
            <w14:solidFill>
              <w14:schemeClr w14:val="tx1"/>
            </w14:solidFill>
          </w14:textFill>
        </w:rPr>
        <w:t>《地下水质量标准》（GB/T 14848-2017）（以下简称GB/T-14848）Ⅳ类标准限值进行评价</w:t>
      </w:r>
      <w:r>
        <w:rPr>
          <w:rFonts w:hint="eastAsia"/>
          <w:color w:val="000000" w:themeColor="text1"/>
          <w:highlight w:val="none"/>
          <w14:textFill>
            <w14:solidFill>
              <w14:schemeClr w14:val="tx1"/>
            </w14:solidFill>
          </w14:textFill>
        </w:rPr>
        <w:t>。</w:t>
      </w:r>
    </w:p>
    <w:p w14:paraId="32722598">
      <w:pPr>
        <w:ind w:firstLine="360" w:firstLineChars="1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lang w:eastAsia="zh-CN"/>
          <w14:textFill>
            <w14:solidFill>
              <w14:schemeClr w14:val="tx1"/>
            </w14:solidFill>
          </w14:textFill>
        </w:rPr>
        <w:t>对于</w:t>
      </w:r>
      <w:r>
        <w:rPr>
          <w:color w:val="000000" w:themeColor="text1"/>
          <w:highlight w:val="none"/>
          <w14:textFill>
            <w14:solidFill>
              <w14:schemeClr w14:val="tx1"/>
            </w14:solidFill>
          </w14:textFill>
        </w:rPr>
        <w:t>GB 14848中没有规定的指标（如石油类）</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参考《地表水环境质量标准》（GB3838-2002）（以下简称GB3838）Ⅳ类标准限值进行评价</w:t>
      </w:r>
      <w:r>
        <w:rPr>
          <w:rFonts w:hint="eastAsia"/>
          <w:color w:val="000000" w:themeColor="text1"/>
          <w:highlight w:val="none"/>
          <w14:textFill>
            <w14:solidFill>
              <w14:schemeClr w14:val="tx1"/>
            </w14:solidFill>
          </w14:textFill>
        </w:rPr>
        <w:t>。</w:t>
      </w:r>
    </w:p>
    <w:p w14:paraId="726E13F9">
      <w:pPr>
        <w:spacing w:before="165" w:beforeLines="50" w:line="240" w:lineRule="auto"/>
        <w:jc w:val="center"/>
        <w:rPr>
          <w:highlight w:val="none"/>
        </w:rPr>
      </w:pPr>
      <w:r>
        <w:rPr>
          <w:rFonts w:eastAsia="黑体"/>
          <w:b/>
          <w:bCs/>
          <w:highlight w:val="none"/>
        </w:rPr>
        <w:t>表5-1-5  地下水质量指标及限值  （单位：mg/L）</w:t>
      </w:r>
    </w:p>
    <w:tbl>
      <w:tblPr>
        <w:tblStyle w:val="21"/>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22"/>
        <w:gridCol w:w="4100"/>
        <w:gridCol w:w="922"/>
        <w:gridCol w:w="1558"/>
        <w:gridCol w:w="2399"/>
      </w:tblGrid>
      <w:tr w14:paraId="3DC7F3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blHeader/>
          <w:jc w:val="center"/>
        </w:trPr>
        <w:tc>
          <w:tcPr>
            <w:tcW w:w="332" w:type="pct"/>
            <w:tcBorders>
              <w:bottom w:val="single" w:color="auto" w:sz="12" w:space="0"/>
            </w:tcBorders>
            <w:shd w:val="clear" w:color="auto" w:fill="auto"/>
            <w:noWrap/>
            <w:tcMar>
              <w:top w:w="15" w:type="dxa"/>
              <w:left w:w="15" w:type="dxa"/>
              <w:right w:w="15" w:type="dxa"/>
            </w:tcMar>
            <w:vAlign w:val="center"/>
          </w:tcPr>
          <w:p w14:paraId="0B87C2F8">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序号</w:t>
            </w:r>
          </w:p>
        </w:tc>
        <w:tc>
          <w:tcPr>
            <w:tcW w:w="2142" w:type="pct"/>
            <w:tcBorders>
              <w:bottom w:val="single" w:color="auto" w:sz="12" w:space="0"/>
            </w:tcBorders>
            <w:shd w:val="clear" w:color="auto" w:fill="auto"/>
            <w:tcMar>
              <w:top w:w="15" w:type="dxa"/>
              <w:left w:w="15" w:type="dxa"/>
              <w:right w:w="15" w:type="dxa"/>
            </w:tcMar>
            <w:vAlign w:val="center"/>
          </w:tcPr>
          <w:p w14:paraId="7F4F14F0">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监测指标</w:t>
            </w:r>
          </w:p>
        </w:tc>
        <w:tc>
          <w:tcPr>
            <w:tcW w:w="488" w:type="pct"/>
            <w:tcBorders>
              <w:bottom w:val="single" w:color="auto" w:sz="12" w:space="0"/>
            </w:tcBorders>
            <w:shd w:val="clear" w:color="auto" w:fill="auto"/>
            <w:tcMar>
              <w:top w:w="15" w:type="dxa"/>
              <w:left w:w="15" w:type="dxa"/>
              <w:right w:w="15" w:type="dxa"/>
            </w:tcMar>
            <w:vAlign w:val="center"/>
          </w:tcPr>
          <w:p w14:paraId="08E35CFE">
            <w:pPr>
              <w:widowControl/>
              <w:spacing w:line="240" w:lineRule="auto"/>
              <w:jc w:val="center"/>
              <w:textAlignment w:val="center"/>
              <w:rPr>
                <w:b/>
                <w:bCs/>
                <w:color w:val="000000"/>
                <w:kern w:val="0"/>
                <w:sz w:val="21"/>
                <w:szCs w:val="21"/>
                <w:highlight w:val="none"/>
                <w:lang w:bidi="ar"/>
              </w:rPr>
            </w:pPr>
            <w:r>
              <w:rPr>
                <w:b/>
                <w:bCs/>
                <w:color w:val="000000"/>
                <w:kern w:val="0"/>
                <w:sz w:val="21"/>
                <w:szCs w:val="21"/>
                <w:highlight w:val="none"/>
                <w:lang w:bidi="ar"/>
              </w:rPr>
              <w:t>单位</w:t>
            </w:r>
          </w:p>
        </w:tc>
        <w:tc>
          <w:tcPr>
            <w:tcW w:w="819" w:type="pct"/>
            <w:tcBorders>
              <w:bottom w:val="single" w:color="auto" w:sz="12" w:space="0"/>
            </w:tcBorders>
            <w:shd w:val="clear" w:color="auto" w:fill="auto"/>
            <w:noWrap/>
            <w:tcMar>
              <w:top w:w="15" w:type="dxa"/>
              <w:left w:w="15" w:type="dxa"/>
              <w:right w:w="15" w:type="dxa"/>
            </w:tcMar>
            <w:vAlign w:val="center"/>
          </w:tcPr>
          <w:p w14:paraId="4440BA2E">
            <w:pPr>
              <w:widowControl/>
              <w:spacing w:line="240" w:lineRule="auto"/>
              <w:jc w:val="center"/>
              <w:textAlignment w:val="top"/>
              <w:rPr>
                <w:b/>
                <w:bCs/>
                <w:color w:val="000000"/>
                <w:kern w:val="0"/>
                <w:sz w:val="21"/>
                <w:szCs w:val="21"/>
                <w:highlight w:val="none"/>
                <w:lang w:bidi="ar"/>
              </w:rPr>
            </w:pPr>
            <w:r>
              <w:rPr>
                <w:b/>
                <w:bCs/>
                <w:color w:val="000000"/>
                <w:sz w:val="21"/>
                <w:szCs w:val="21"/>
                <w:highlight w:val="none"/>
              </w:rPr>
              <w:t>标准值</w:t>
            </w:r>
          </w:p>
        </w:tc>
        <w:tc>
          <w:tcPr>
            <w:tcW w:w="1217" w:type="pct"/>
            <w:tcBorders>
              <w:bottom w:val="single" w:color="auto" w:sz="12" w:space="0"/>
            </w:tcBorders>
            <w:shd w:val="clear" w:color="auto" w:fill="auto"/>
            <w:noWrap/>
            <w:tcMar>
              <w:top w:w="15" w:type="dxa"/>
              <w:left w:w="15" w:type="dxa"/>
              <w:right w:w="15" w:type="dxa"/>
            </w:tcMar>
            <w:vAlign w:val="center"/>
          </w:tcPr>
          <w:p w14:paraId="493EFDDD">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标准来源</w:t>
            </w:r>
          </w:p>
        </w:tc>
      </w:tr>
      <w:tr w14:paraId="5BDEAB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op w:val="single" w:color="auto" w:sz="12" w:space="0"/>
              <w:tl2br w:val="nil"/>
              <w:tr2bl w:val="nil"/>
            </w:tcBorders>
            <w:shd w:val="clear" w:color="auto" w:fill="auto"/>
            <w:noWrap/>
            <w:tcMar>
              <w:top w:w="15" w:type="dxa"/>
              <w:left w:w="15" w:type="dxa"/>
              <w:right w:w="15" w:type="dxa"/>
            </w:tcMar>
            <w:vAlign w:val="center"/>
          </w:tcPr>
          <w:p w14:paraId="76CBC697">
            <w:pPr>
              <w:widowControl/>
              <w:spacing w:line="240" w:lineRule="auto"/>
              <w:jc w:val="center"/>
              <w:textAlignment w:val="center"/>
              <w:rPr>
                <w:color w:val="000000"/>
                <w:sz w:val="21"/>
                <w:szCs w:val="21"/>
                <w:highlight w:val="none"/>
              </w:rPr>
            </w:pPr>
            <w:r>
              <w:rPr>
                <w:color w:val="000000"/>
                <w:kern w:val="0"/>
                <w:sz w:val="21"/>
                <w:szCs w:val="21"/>
                <w:highlight w:val="none"/>
                <w:lang w:bidi="ar"/>
              </w:rPr>
              <w:t>1</w:t>
            </w:r>
          </w:p>
        </w:tc>
        <w:tc>
          <w:tcPr>
            <w:tcW w:w="2142" w:type="pct"/>
            <w:tcBorders>
              <w:top w:val="single" w:color="auto" w:sz="12" w:space="0"/>
              <w:tl2br w:val="nil"/>
              <w:tr2bl w:val="nil"/>
            </w:tcBorders>
            <w:shd w:val="clear" w:color="auto" w:fill="auto"/>
            <w:tcMar>
              <w:top w:w="15" w:type="dxa"/>
              <w:left w:w="15" w:type="dxa"/>
              <w:right w:w="15" w:type="dxa"/>
            </w:tcMar>
            <w:vAlign w:val="center"/>
          </w:tcPr>
          <w:p w14:paraId="3D4173DA">
            <w:pPr>
              <w:widowControl/>
              <w:spacing w:line="240" w:lineRule="auto"/>
              <w:jc w:val="center"/>
              <w:textAlignment w:val="top"/>
              <w:rPr>
                <w:color w:val="000000"/>
                <w:sz w:val="21"/>
                <w:szCs w:val="21"/>
                <w:highlight w:val="none"/>
              </w:rPr>
            </w:pPr>
            <w:r>
              <w:rPr>
                <w:color w:val="000000"/>
                <w:kern w:val="0"/>
                <w:sz w:val="21"/>
                <w:szCs w:val="21"/>
                <w:highlight w:val="none"/>
                <w:lang w:bidi="ar"/>
              </w:rPr>
              <w:t>pH 值</w:t>
            </w:r>
          </w:p>
        </w:tc>
        <w:tc>
          <w:tcPr>
            <w:tcW w:w="488" w:type="pct"/>
            <w:tcBorders>
              <w:top w:val="single" w:color="auto" w:sz="12" w:space="0"/>
              <w:tl2br w:val="nil"/>
              <w:tr2bl w:val="nil"/>
            </w:tcBorders>
            <w:shd w:val="clear" w:color="auto" w:fill="auto"/>
            <w:tcMar>
              <w:top w:w="15" w:type="dxa"/>
              <w:left w:w="15" w:type="dxa"/>
              <w:right w:w="15" w:type="dxa"/>
            </w:tcMar>
            <w:vAlign w:val="center"/>
          </w:tcPr>
          <w:p w14:paraId="0CC6E350">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无量纲</w:t>
            </w:r>
          </w:p>
        </w:tc>
        <w:tc>
          <w:tcPr>
            <w:tcW w:w="819" w:type="pct"/>
            <w:tcBorders>
              <w:top w:val="single" w:color="auto" w:sz="12" w:space="0"/>
              <w:tl2br w:val="nil"/>
              <w:tr2bl w:val="nil"/>
            </w:tcBorders>
            <w:shd w:val="clear" w:color="auto" w:fill="auto"/>
            <w:tcMar>
              <w:top w:w="15" w:type="dxa"/>
              <w:left w:w="15" w:type="dxa"/>
              <w:right w:w="15" w:type="dxa"/>
            </w:tcMar>
            <w:vAlign w:val="center"/>
          </w:tcPr>
          <w:p w14:paraId="4A799879">
            <w:pPr>
              <w:widowControl/>
              <w:spacing w:line="240" w:lineRule="auto"/>
              <w:jc w:val="center"/>
              <w:textAlignment w:val="top"/>
              <w:rPr>
                <w:rFonts w:hint="eastAsia"/>
                <w:color w:val="000000"/>
                <w:kern w:val="0"/>
                <w:sz w:val="21"/>
                <w:szCs w:val="21"/>
                <w:highlight w:val="none"/>
                <w:lang w:val="en-US" w:eastAsia="zh-CN" w:bidi="ar"/>
              </w:rPr>
            </w:pPr>
            <w:r>
              <w:rPr>
                <w:rFonts w:hint="default"/>
                <w:color w:val="000000"/>
                <w:kern w:val="0"/>
                <w:sz w:val="21"/>
                <w:szCs w:val="21"/>
                <w:highlight w:val="none"/>
                <w:lang w:val="en-US" w:eastAsia="zh-CN" w:bidi="ar"/>
              </w:rPr>
              <w:t>5.</w:t>
            </w:r>
            <w:r>
              <w:rPr>
                <w:rFonts w:hint="eastAsia"/>
                <w:color w:val="000000"/>
                <w:kern w:val="0"/>
                <w:sz w:val="21"/>
                <w:szCs w:val="21"/>
                <w:highlight w:val="none"/>
                <w:lang w:val="en-US" w:eastAsia="zh-CN" w:bidi="ar"/>
              </w:rPr>
              <w:t>5</w:t>
            </w:r>
            <w:r>
              <w:rPr>
                <w:rFonts w:hint="default"/>
                <w:color w:val="000000"/>
                <w:kern w:val="0"/>
                <w:sz w:val="21"/>
                <w:szCs w:val="21"/>
                <w:highlight w:val="none"/>
                <w:lang w:val="en-US" w:eastAsia="zh-CN" w:bidi="ar"/>
              </w:rPr>
              <w:t>≤</w:t>
            </w:r>
            <w:r>
              <w:rPr>
                <w:rFonts w:hint="eastAsia"/>
                <w:color w:val="000000"/>
                <w:kern w:val="0"/>
                <w:sz w:val="21"/>
                <w:szCs w:val="21"/>
                <w:highlight w:val="none"/>
                <w:lang w:val="en-US" w:eastAsia="zh-CN" w:bidi="ar"/>
              </w:rPr>
              <w:t>pH＜6.5</w:t>
            </w:r>
          </w:p>
          <w:p w14:paraId="3E1EBD63">
            <w:pPr>
              <w:widowControl/>
              <w:spacing w:line="240" w:lineRule="auto"/>
              <w:jc w:val="center"/>
              <w:textAlignment w:val="top"/>
              <w:rPr>
                <w:color w:val="000000"/>
                <w:kern w:val="0"/>
                <w:sz w:val="21"/>
                <w:szCs w:val="21"/>
                <w:highlight w:val="none"/>
                <w:lang w:bidi="ar"/>
              </w:rPr>
            </w:pPr>
            <w:r>
              <w:rPr>
                <w:rFonts w:hint="eastAsia"/>
                <w:color w:val="000000"/>
                <w:kern w:val="0"/>
                <w:sz w:val="21"/>
                <w:szCs w:val="21"/>
                <w:highlight w:val="none"/>
                <w:lang w:val="en-US" w:eastAsia="zh-CN" w:bidi="ar"/>
              </w:rPr>
              <w:t>或8.5＜pH</w:t>
            </w:r>
            <w:r>
              <w:rPr>
                <w:rFonts w:hint="default"/>
                <w:color w:val="000000"/>
                <w:kern w:val="0"/>
                <w:sz w:val="21"/>
                <w:szCs w:val="21"/>
                <w:highlight w:val="none"/>
                <w:lang w:val="en-US" w:eastAsia="zh-CN" w:bidi="ar"/>
              </w:rPr>
              <w:t>≤9.0</w:t>
            </w:r>
          </w:p>
        </w:tc>
        <w:tc>
          <w:tcPr>
            <w:tcW w:w="1217" w:type="pct"/>
            <w:tcBorders>
              <w:top w:val="single" w:color="auto" w:sz="12" w:space="0"/>
              <w:tl2br w:val="nil"/>
              <w:tr2bl w:val="nil"/>
            </w:tcBorders>
            <w:shd w:val="clear" w:color="auto" w:fill="auto"/>
            <w:tcMar>
              <w:top w:w="15" w:type="dxa"/>
              <w:left w:w="15" w:type="dxa"/>
              <w:right w:w="15" w:type="dxa"/>
            </w:tcMar>
            <w:vAlign w:val="center"/>
          </w:tcPr>
          <w:p w14:paraId="6CEBFF4E">
            <w:pPr>
              <w:spacing w:line="240" w:lineRule="auto"/>
              <w:jc w:val="center"/>
              <w:rPr>
                <w:color w:val="000000"/>
                <w:sz w:val="21"/>
                <w:szCs w:val="21"/>
                <w:highlight w:val="none"/>
              </w:rPr>
            </w:pPr>
            <w:r>
              <w:rPr>
                <w:color w:val="000000"/>
                <w:sz w:val="21"/>
                <w:szCs w:val="21"/>
                <w:highlight w:val="none"/>
              </w:rPr>
              <w:t>GB/T 14848</w:t>
            </w:r>
            <w:r>
              <w:rPr>
                <w:rFonts w:hint="eastAsia"/>
                <w:color w:val="000000"/>
                <w:sz w:val="21"/>
                <w:szCs w:val="21"/>
                <w:highlight w:val="none"/>
              </w:rPr>
              <w:t>-20</w:t>
            </w:r>
            <w:r>
              <w:rPr>
                <w:color w:val="000000"/>
                <w:sz w:val="21"/>
                <w:szCs w:val="21"/>
                <w:highlight w:val="none"/>
              </w:rPr>
              <w:t>17</w:t>
            </w:r>
          </w:p>
        </w:tc>
      </w:tr>
      <w:tr w14:paraId="711FDC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5BBDAEED">
            <w:pPr>
              <w:widowControl/>
              <w:spacing w:line="240" w:lineRule="auto"/>
              <w:jc w:val="center"/>
              <w:textAlignment w:val="center"/>
              <w:rPr>
                <w:color w:val="000000"/>
                <w:sz w:val="21"/>
                <w:szCs w:val="21"/>
                <w:highlight w:val="none"/>
              </w:rPr>
            </w:pPr>
            <w:r>
              <w:rPr>
                <w:color w:val="000000"/>
                <w:kern w:val="0"/>
                <w:sz w:val="21"/>
                <w:szCs w:val="21"/>
                <w:highlight w:val="none"/>
                <w:lang w:bidi="ar"/>
              </w:rPr>
              <w:t>2</w:t>
            </w:r>
          </w:p>
        </w:tc>
        <w:tc>
          <w:tcPr>
            <w:tcW w:w="2142" w:type="pct"/>
            <w:tcBorders>
              <w:tl2br w:val="nil"/>
              <w:tr2bl w:val="nil"/>
            </w:tcBorders>
            <w:shd w:val="clear" w:color="auto" w:fill="auto"/>
            <w:tcMar>
              <w:top w:w="15" w:type="dxa"/>
              <w:left w:w="15" w:type="dxa"/>
              <w:right w:w="15" w:type="dxa"/>
            </w:tcMar>
            <w:vAlign w:val="center"/>
          </w:tcPr>
          <w:p w14:paraId="0CCDB546">
            <w:pPr>
              <w:widowControl/>
              <w:spacing w:line="240" w:lineRule="auto"/>
              <w:jc w:val="center"/>
              <w:textAlignment w:val="top"/>
              <w:rPr>
                <w:color w:val="000000"/>
                <w:sz w:val="21"/>
                <w:szCs w:val="21"/>
                <w:highlight w:val="none"/>
              </w:rPr>
            </w:pPr>
            <w:r>
              <w:rPr>
                <w:color w:val="000000"/>
                <w:kern w:val="0"/>
                <w:sz w:val="21"/>
                <w:szCs w:val="21"/>
                <w:highlight w:val="none"/>
                <w:lang w:bidi="ar"/>
              </w:rPr>
              <w:t>总硬度</w:t>
            </w:r>
          </w:p>
        </w:tc>
        <w:tc>
          <w:tcPr>
            <w:tcW w:w="488" w:type="pct"/>
            <w:tcBorders>
              <w:tl2br w:val="nil"/>
              <w:tr2bl w:val="nil"/>
            </w:tcBorders>
            <w:shd w:val="clear" w:color="auto" w:fill="auto"/>
            <w:tcMar>
              <w:top w:w="15" w:type="dxa"/>
              <w:left w:w="15" w:type="dxa"/>
              <w:right w:w="15" w:type="dxa"/>
            </w:tcMar>
            <w:vAlign w:val="center"/>
          </w:tcPr>
          <w:p w14:paraId="6B462405">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310F5981">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≤650</w:t>
            </w:r>
          </w:p>
        </w:tc>
        <w:tc>
          <w:tcPr>
            <w:tcW w:w="1217" w:type="pct"/>
            <w:vMerge w:val="restart"/>
            <w:tcBorders>
              <w:tl2br w:val="nil"/>
              <w:tr2bl w:val="nil"/>
            </w:tcBorders>
            <w:shd w:val="clear" w:color="auto" w:fill="auto"/>
            <w:noWrap/>
            <w:tcMar>
              <w:top w:w="15" w:type="dxa"/>
              <w:left w:w="15" w:type="dxa"/>
              <w:right w:w="15" w:type="dxa"/>
            </w:tcMar>
            <w:vAlign w:val="center"/>
          </w:tcPr>
          <w:p w14:paraId="63611DD3">
            <w:pPr>
              <w:spacing w:line="240" w:lineRule="auto"/>
              <w:jc w:val="center"/>
              <w:rPr>
                <w:color w:val="000000"/>
                <w:sz w:val="21"/>
                <w:szCs w:val="21"/>
                <w:highlight w:val="none"/>
              </w:rPr>
            </w:pPr>
            <w:r>
              <w:rPr>
                <w:color w:val="000000"/>
                <w:sz w:val="21"/>
                <w:szCs w:val="21"/>
                <w:highlight w:val="none"/>
              </w:rPr>
              <w:t>GB/T 14848</w:t>
            </w:r>
            <w:r>
              <w:rPr>
                <w:rFonts w:hint="eastAsia"/>
                <w:color w:val="000000"/>
                <w:sz w:val="21"/>
                <w:szCs w:val="21"/>
                <w:highlight w:val="none"/>
              </w:rPr>
              <w:t>-2017</w:t>
            </w:r>
          </w:p>
          <w:p w14:paraId="554D3DBF">
            <w:pPr>
              <w:spacing w:line="240" w:lineRule="auto"/>
              <w:jc w:val="center"/>
              <w:rPr>
                <w:color w:val="000000"/>
                <w:sz w:val="21"/>
                <w:szCs w:val="21"/>
                <w:highlight w:val="none"/>
              </w:rPr>
            </w:pPr>
            <w:r>
              <w:rPr>
                <w:rFonts w:hint="eastAsia"/>
                <w:color w:val="000000"/>
                <w:sz w:val="21"/>
                <w:szCs w:val="21"/>
                <w:highlight w:val="none"/>
              </w:rPr>
              <w:t>IV类标准</w:t>
            </w:r>
          </w:p>
        </w:tc>
      </w:tr>
      <w:tr w14:paraId="007D29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59C16CA8">
            <w:pPr>
              <w:widowControl/>
              <w:spacing w:line="240" w:lineRule="auto"/>
              <w:jc w:val="center"/>
              <w:textAlignment w:val="center"/>
              <w:rPr>
                <w:color w:val="000000"/>
                <w:sz w:val="21"/>
                <w:szCs w:val="21"/>
                <w:highlight w:val="none"/>
              </w:rPr>
            </w:pPr>
            <w:r>
              <w:rPr>
                <w:color w:val="000000"/>
                <w:kern w:val="0"/>
                <w:sz w:val="21"/>
                <w:szCs w:val="21"/>
                <w:highlight w:val="none"/>
                <w:lang w:bidi="ar"/>
              </w:rPr>
              <w:t>3</w:t>
            </w:r>
          </w:p>
        </w:tc>
        <w:tc>
          <w:tcPr>
            <w:tcW w:w="2142" w:type="pct"/>
            <w:tcBorders>
              <w:tl2br w:val="nil"/>
              <w:tr2bl w:val="nil"/>
            </w:tcBorders>
            <w:shd w:val="clear" w:color="auto" w:fill="auto"/>
            <w:tcMar>
              <w:top w:w="15" w:type="dxa"/>
              <w:left w:w="15" w:type="dxa"/>
              <w:right w:w="15" w:type="dxa"/>
            </w:tcMar>
            <w:vAlign w:val="center"/>
          </w:tcPr>
          <w:p w14:paraId="75F8E56D">
            <w:pPr>
              <w:widowControl/>
              <w:spacing w:line="240" w:lineRule="auto"/>
              <w:jc w:val="center"/>
              <w:textAlignment w:val="top"/>
              <w:rPr>
                <w:color w:val="000000"/>
                <w:sz w:val="21"/>
                <w:szCs w:val="21"/>
                <w:highlight w:val="none"/>
              </w:rPr>
            </w:pPr>
            <w:r>
              <w:rPr>
                <w:color w:val="000000"/>
                <w:kern w:val="0"/>
                <w:sz w:val="21"/>
                <w:szCs w:val="21"/>
                <w:highlight w:val="none"/>
                <w:lang w:bidi="ar"/>
              </w:rPr>
              <w:t>溶解性总固体</w:t>
            </w:r>
          </w:p>
        </w:tc>
        <w:tc>
          <w:tcPr>
            <w:tcW w:w="488" w:type="pct"/>
            <w:tcBorders>
              <w:tl2br w:val="nil"/>
              <w:tr2bl w:val="nil"/>
            </w:tcBorders>
            <w:shd w:val="clear" w:color="auto" w:fill="auto"/>
            <w:tcMar>
              <w:top w:w="15" w:type="dxa"/>
              <w:left w:w="15" w:type="dxa"/>
              <w:right w:w="15" w:type="dxa"/>
            </w:tcMar>
            <w:vAlign w:val="center"/>
          </w:tcPr>
          <w:p w14:paraId="7B50B857">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02E68195">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≤2000</w:t>
            </w:r>
          </w:p>
        </w:tc>
        <w:tc>
          <w:tcPr>
            <w:tcW w:w="1217" w:type="pct"/>
            <w:vMerge w:val="continue"/>
            <w:tcBorders>
              <w:tl2br w:val="nil"/>
              <w:tr2bl w:val="nil"/>
            </w:tcBorders>
            <w:shd w:val="clear" w:color="auto" w:fill="auto"/>
            <w:noWrap/>
            <w:tcMar>
              <w:top w:w="15" w:type="dxa"/>
              <w:left w:w="15" w:type="dxa"/>
              <w:right w:w="15" w:type="dxa"/>
            </w:tcMar>
            <w:vAlign w:val="center"/>
          </w:tcPr>
          <w:p w14:paraId="41195285">
            <w:pPr>
              <w:spacing w:line="240" w:lineRule="auto"/>
              <w:jc w:val="center"/>
              <w:rPr>
                <w:color w:val="000000"/>
                <w:sz w:val="21"/>
                <w:szCs w:val="21"/>
                <w:highlight w:val="none"/>
              </w:rPr>
            </w:pPr>
          </w:p>
        </w:tc>
      </w:tr>
      <w:tr w14:paraId="0A6EED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3EE7E97E">
            <w:pPr>
              <w:widowControl/>
              <w:spacing w:line="240" w:lineRule="auto"/>
              <w:jc w:val="center"/>
              <w:textAlignment w:val="center"/>
              <w:rPr>
                <w:color w:val="000000"/>
                <w:sz w:val="21"/>
                <w:szCs w:val="21"/>
                <w:highlight w:val="none"/>
              </w:rPr>
            </w:pPr>
            <w:r>
              <w:rPr>
                <w:color w:val="000000"/>
                <w:kern w:val="0"/>
                <w:sz w:val="21"/>
                <w:szCs w:val="21"/>
                <w:highlight w:val="none"/>
                <w:lang w:bidi="ar"/>
              </w:rPr>
              <w:t>4</w:t>
            </w:r>
          </w:p>
        </w:tc>
        <w:tc>
          <w:tcPr>
            <w:tcW w:w="2142" w:type="pct"/>
            <w:tcBorders>
              <w:tl2br w:val="nil"/>
              <w:tr2bl w:val="nil"/>
            </w:tcBorders>
            <w:shd w:val="clear" w:color="auto" w:fill="auto"/>
            <w:tcMar>
              <w:top w:w="15" w:type="dxa"/>
              <w:left w:w="15" w:type="dxa"/>
              <w:right w:w="15" w:type="dxa"/>
            </w:tcMar>
            <w:vAlign w:val="center"/>
          </w:tcPr>
          <w:p w14:paraId="30ACD2A7">
            <w:pPr>
              <w:widowControl/>
              <w:spacing w:line="240" w:lineRule="auto"/>
              <w:jc w:val="center"/>
              <w:textAlignment w:val="top"/>
              <w:rPr>
                <w:color w:val="000000"/>
                <w:sz w:val="21"/>
                <w:szCs w:val="21"/>
                <w:highlight w:val="none"/>
              </w:rPr>
            </w:pPr>
            <w:r>
              <w:rPr>
                <w:color w:val="000000"/>
                <w:kern w:val="0"/>
                <w:sz w:val="21"/>
                <w:szCs w:val="21"/>
                <w:highlight w:val="none"/>
                <w:lang w:bidi="ar"/>
              </w:rPr>
              <w:t>耗氧量（COD</w:t>
            </w:r>
            <w:r>
              <w:rPr>
                <w:color w:val="000000"/>
                <w:kern w:val="0"/>
                <w:sz w:val="21"/>
                <w:szCs w:val="21"/>
                <w:highlight w:val="none"/>
                <w:vertAlign w:val="subscript"/>
                <w:lang w:bidi="ar"/>
              </w:rPr>
              <w:t>Mn</w:t>
            </w:r>
            <w:r>
              <w:rPr>
                <w:color w:val="000000"/>
                <w:kern w:val="0"/>
                <w:sz w:val="21"/>
                <w:szCs w:val="21"/>
                <w:highlight w:val="none"/>
                <w:lang w:bidi="ar"/>
              </w:rPr>
              <w:t>法，以O</w:t>
            </w:r>
            <w:r>
              <w:rPr>
                <w:color w:val="000000"/>
                <w:kern w:val="0"/>
                <w:sz w:val="21"/>
                <w:szCs w:val="21"/>
                <w:highlight w:val="none"/>
                <w:vertAlign w:val="subscript"/>
                <w:lang w:bidi="ar"/>
              </w:rPr>
              <w:t>2</w:t>
            </w:r>
            <w:r>
              <w:rPr>
                <w:color w:val="000000"/>
                <w:kern w:val="0"/>
                <w:sz w:val="21"/>
                <w:szCs w:val="21"/>
                <w:highlight w:val="none"/>
                <w:lang w:bidi="ar"/>
              </w:rPr>
              <w:t>计）</w:t>
            </w:r>
          </w:p>
        </w:tc>
        <w:tc>
          <w:tcPr>
            <w:tcW w:w="488" w:type="pct"/>
            <w:tcBorders>
              <w:tl2br w:val="nil"/>
              <w:tr2bl w:val="nil"/>
            </w:tcBorders>
            <w:shd w:val="clear" w:color="auto" w:fill="auto"/>
            <w:tcMar>
              <w:top w:w="15" w:type="dxa"/>
              <w:left w:w="15" w:type="dxa"/>
              <w:right w:w="15" w:type="dxa"/>
            </w:tcMar>
            <w:vAlign w:val="center"/>
          </w:tcPr>
          <w:p w14:paraId="1E5EA48D">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49251BF8">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≤10</w:t>
            </w:r>
          </w:p>
        </w:tc>
        <w:tc>
          <w:tcPr>
            <w:tcW w:w="1217" w:type="pct"/>
            <w:vMerge w:val="continue"/>
            <w:tcBorders>
              <w:tl2br w:val="nil"/>
              <w:tr2bl w:val="nil"/>
            </w:tcBorders>
            <w:shd w:val="clear" w:color="auto" w:fill="auto"/>
            <w:noWrap/>
            <w:tcMar>
              <w:top w:w="15" w:type="dxa"/>
              <w:left w:w="15" w:type="dxa"/>
              <w:right w:w="15" w:type="dxa"/>
            </w:tcMar>
            <w:vAlign w:val="center"/>
          </w:tcPr>
          <w:p w14:paraId="75D48BE0">
            <w:pPr>
              <w:spacing w:line="240" w:lineRule="auto"/>
              <w:jc w:val="center"/>
              <w:rPr>
                <w:color w:val="000000"/>
                <w:sz w:val="21"/>
                <w:szCs w:val="21"/>
                <w:highlight w:val="none"/>
              </w:rPr>
            </w:pPr>
          </w:p>
        </w:tc>
      </w:tr>
      <w:tr w14:paraId="2847BF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1F200553">
            <w:pPr>
              <w:widowControl/>
              <w:spacing w:line="240" w:lineRule="auto"/>
              <w:jc w:val="center"/>
              <w:textAlignment w:val="center"/>
              <w:rPr>
                <w:color w:val="000000"/>
                <w:sz w:val="21"/>
                <w:szCs w:val="21"/>
                <w:highlight w:val="none"/>
              </w:rPr>
            </w:pPr>
            <w:r>
              <w:rPr>
                <w:color w:val="000000"/>
                <w:kern w:val="0"/>
                <w:sz w:val="21"/>
                <w:szCs w:val="21"/>
                <w:highlight w:val="none"/>
                <w:lang w:bidi="ar"/>
              </w:rPr>
              <w:t>5</w:t>
            </w:r>
          </w:p>
        </w:tc>
        <w:tc>
          <w:tcPr>
            <w:tcW w:w="2142" w:type="pct"/>
            <w:tcBorders>
              <w:tl2br w:val="nil"/>
              <w:tr2bl w:val="nil"/>
            </w:tcBorders>
            <w:shd w:val="clear" w:color="auto" w:fill="auto"/>
            <w:tcMar>
              <w:top w:w="15" w:type="dxa"/>
              <w:left w:w="15" w:type="dxa"/>
              <w:right w:w="15" w:type="dxa"/>
            </w:tcMar>
            <w:vAlign w:val="center"/>
          </w:tcPr>
          <w:p w14:paraId="5DE553CF">
            <w:pPr>
              <w:widowControl/>
              <w:spacing w:line="240" w:lineRule="auto"/>
              <w:jc w:val="center"/>
              <w:textAlignment w:val="top"/>
              <w:rPr>
                <w:color w:val="000000"/>
                <w:sz w:val="21"/>
                <w:szCs w:val="21"/>
                <w:highlight w:val="none"/>
              </w:rPr>
            </w:pPr>
            <w:r>
              <w:rPr>
                <w:color w:val="000000"/>
                <w:kern w:val="0"/>
                <w:sz w:val="21"/>
                <w:szCs w:val="21"/>
                <w:highlight w:val="none"/>
                <w:lang w:bidi="ar"/>
              </w:rPr>
              <w:t>硫酸盐</w:t>
            </w:r>
          </w:p>
        </w:tc>
        <w:tc>
          <w:tcPr>
            <w:tcW w:w="488" w:type="pct"/>
            <w:tcBorders>
              <w:tl2br w:val="nil"/>
              <w:tr2bl w:val="nil"/>
            </w:tcBorders>
            <w:shd w:val="clear" w:color="auto" w:fill="auto"/>
            <w:tcMar>
              <w:top w:w="15" w:type="dxa"/>
              <w:left w:w="15" w:type="dxa"/>
              <w:right w:w="15" w:type="dxa"/>
            </w:tcMar>
            <w:vAlign w:val="center"/>
          </w:tcPr>
          <w:p w14:paraId="59A70EEE">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67F52446">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≤350</w:t>
            </w:r>
          </w:p>
        </w:tc>
        <w:tc>
          <w:tcPr>
            <w:tcW w:w="1217" w:type="pct"/>
            <w:vMerge w:val="continue"/>
            <w:tcBorders>
              <w:tl2br w:val="nil"/>
              <w:tr2bl w:val="nil"/>
            </w:tcBorders>
            <w:shd w:val="clear" w:color="auto" w:fill="auto"/>
            <w:noWrap/>
            <w:tcMar>
              <w:top w:w="15" w:type="dxa"/>
              <w:left w:w="15" w:type="dxa"/>
              <w:right w:w="15" w:type="dxa"/>
            </w:tcMar>
            <w:vAlign w:val="center"/>
          </w:tcPr>
          <w:p w14:paraId="1CD80FC3">
            <w:pPr>
              <w:spacing w:line="240" w:lineRule="auto"/>
              <w:jc w:val="center"/>
              <w:rPr>
                <w:color w:val="000000"/>
                <w:sz w:val="21"/>
                <w:szCs w:val="21"/>
                <w:highlight w:val="none"/>
              </w:rPr>
            </w:pPr>
          </w:p>
        </w:tc>
      </w:tr>
      <w:tr w14:paraId="205596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24C933E0">
            <w:pPr>
              <w:widowControl/>
              <w:spacing w:line="240" w:lineRule="auto"/>
              <w:jc w:val="center"/>
              <w:textAlignment w:val="center"/>
              <w:rPr>
                <w:color w:val="000000"/>
                <w:sz w:val="21"/>
                <w:szCs w:val="21"/>
                <w:highlight w:val="none"/>
              </w:rPr>
            </w:pPr>
            <w:r>
              <w:rPr>
                <w:color w:val="000000"/>
                <w:kern w:val="0"/>
                <w:sz w:val="21"/>
                <w:szCs w:val="21"/>
                <w:highlight w:val="none"/>
                <w:lang w:bidi="ar"/>
              </w:rPr>
              <w:t>6</w:t>
            </w:r>
          </w:p>
        </w:tc>
        <w:tc>
          <w:tcPr>
            <w:tcW w:w="2142" w:type="pct"/>
            <w:tcBorders>
              <w:tl2br w:val="nil"/>
              <w:tr2bl w:val="nil"/>
            </w:tcBorders>
            <w:shd w:val="clear" w:color="auto" w:fill="auto"/>
            <w:tcMar>
              <w:top w:w="15" w:type="dxa"/>
              <w:left w:w="15" w:type="dxa"/>
              <w:right w:w="15" w:type="dxa"/>
            </w:tcMar>
            <w:vAlign w:val="center"/>
          </w:tcPr>
          <w:p w14:paraId="09708F53">
            <w:pPr>
              <w:widowControl/>
              <w:spacing w:line="240" w:lineRule="auto"/>
              <w:jc w:val="center"/>
              <w:textAlignment w:val="top"/>
              <w:rPr>
                <w:color w:val="000000"/>
                <w:sz w:val="21"/>
                <w:szCs w:val="21"/>
                <w:highlight w:val="none"/>
              </w:rPr>
            </w:pPr>
            <w:r>
              <w:rPr>
                <w:color w:val="000000"/>
                <w:kern w:val="0"/>
                <w:sz w:val="21"/>
                <w:szCs w:val="21"/>
                <w:highlight w:val="none"/>
                <w:lang w:bidi="ar"/>
              </w:rPr>
              <w:t>硝酸盐(以N计)</w:t>
            </w:r>
          </w:p>
        </w:tc>
        <w:tc>
          <w:tcPr>
            <w:tcW w:w="488" w:type="pct"/>
            <w:tcBorders>
              <w:tl2br w:val="nil"/>
              <w:tr2bl w:val="nil"/>
            </w:tcBorders>
            <w:shd w:val="clear" w:color="auto" w:fill="auto"/>
            <w:tcMar>
              <w:top w:w="15" w:type="dxa"/>
              <w:left w:w="15" w:type="dxa"/>
              <w:right w:w="15" w:type="dxa"/>
            </w:tcMar>
            <w:vAlign w:val="center"/>
          </w:tcPr>
          <w:p w14:paraId="71253637">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0089677C">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≤30</w:t>
            </w:r>
          </w:p>
        </w:tc>
        <w:tc>
          <w:tcPr>
            <w:tcW w:w="1217" w:type="pct"/>
            <w:vMerge w:val="continue"/>
            <w:tcBorders>
              <w:tl2br w:val="nil"/>
              <w:tr2bl w:val="nil"/>
            </w:tcBorders>
            <w:shd w:val="clear" w:color="auto" w:fill="auto"/>
            <w:noWrap/>
            <w:tcMar>
              <w:top w:w="15" w:type="dxa"/>
              <w:left w:w="15" w:type="dxa"/>
              <w:right w:w="15" w:type="dxa"/>
            </w:tcMar>
            <w:vAlign w:val="center"/>
          </w:tcPr>
          <w:p w14:paraId="301B77E4">
            <w:pPr>
              <w:spacing w:line="240" w:lineRule="auto"/>
              <w:jc w:val="center"/>
              <w:rPr>
                <w:color w:val="000000"/>
                <w:sz w:val="21"/>
                <w:szCs w:val="21"/>
                <w:highlight w:val="none"/>
              </w:rPr>
            </w:pPr>
          </w:p>
        </w:tc>
      </w:tr>
      <w:tr w14:paraId="634D90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4F017F97">
            <w:pPr>
              <w:widowControl/>
              <w:spacing w:line="240" w:lineRule="auto"/>
              <w:jc w:val="center"/>
              <w:textAlignment w:val="center"/>
              <w:rPr>
                <w:color w:val="000000"/>
                <w:sz w:val="21"/>
                <w:szCs w:val="21"/>
                <w:highlight w:val="none"/>
              </w:rPr>
            </w:pPr>
            <w:r>
              <w:rPr>
                <w:color w:val="000000"/>
                <w:kern w:val="0"/>
                <w:sz w:val="21"/>
                <w:szCs w:val="21"/>
                <w:highlight w:val="none"/>
                <w:lang w:bidi="ar"/>
              </w:rPr>
              <w:t>7</w:t>
            </w:r>
          </w:p>
        </w:tc>
        <w:tc>
          <w:tcPr>
            <w:tcW w:w="2142" w:type="pct"/>
            <w:tcBorders>
              <w:tl2br w:val="nil"/>
              <w:tr2bl w:val="nil"/>
            </w:tcBorders>
            <w:shd w:val="clear" w:color="auto" w:fill="auto"/>
            <w:tcMar>
              <w:top w:w="15" w:type="dxa"/>
              <w:left w:w="15" w:type="dxa"/>
              <w:right w:w="15" w:type="dxa"/>
            </w:tcMar>
            <w:vAlign w:val="center"/>
          </w:tcPr>
          <w:p w14:paraId="0D50EDFC">
            <w:pPr>
              <w:widowControl/>
              <w:spacing w:line="240" w:lineRule="auto"/>
              <w:jc w:val="center"/>
              <w:textAlignment w:val="top"/>
              <w:rPr>
                <w:color w:val="000000"/>
                <w:sz w:val="21"/>
                <w:szCs w:val="21"/>
                <w:highlight w:val="none"/>
              </w:rPr>
            </w:pPr>
            <w:r>
              <w:rPr>
                <w:color w:val="000000"/>
                <w:kern w:val="0"/>
                <w:sz w:val="21"/>
                <w:szCs w:val="21"/>
                <w:highlight w:val="none"/>
                <w:lang w:bidi="ar"/>
              </w:rPr>
              <w:t>氯化物</w:t>
            </w:r>
          </w:p>
        </w:tc>
        <w:tc>
          <w:tcPr>
            <w:tcW w:w="488" w:type="pct"/>
            <w:tcBorders>
              <w:tl2br w:val="nil"/>
              <w:tr2bl w:val="nil"/>
            </w:tcBorders>
            <w:shd w:val="clear" w:color="auto" w:fill="auto"/>
            <w:tcMar>
              <w:top w:w="15" w:type="dxa"/>
              <w:left w:w="15" w:type="dxa"/>
              <w:right w:w="15" w:type="dxa"/>
            </w:tcMar>
            <w:vAlign w:val="center"/>
          </w:tcPr>
          <w:p w14:paraId="24EAFCEA">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25FC8692">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≤350</w:t>
            </w:r>
          </w:p>
        </w:tc>
        <w:tc>
          <w:tcPr>
            <w:tcW w:w="1217" w:type="pct"/>
            <w:vMerge w:val="continue"/>
            <w:tcBorders>
              <w:tl2br w:val="nil"/>
              <w:tr2bl w:val="nil"/>
            </w:tcBorders>
            <w:shd w:val="clear" w:color="auto" w:fill="auto"/>
            <w:noWrap/>
            <w:tcMar>
              <w:top w:w="15" w:type="dxa"/>
              <w:left w:w="15" w:type="dxa"/>
              <w:right w:w="15" w:type="dxa"/>
            </w:tcMar>
            <w:vAlign w:val="center"/>
          </w:tcPr>
          <w:p w14:paraId="429229C3">
            <w:pPr>
              <w:spacing w:line="240" w:lineRule="auto"/>
              <w:jc w:val="center"/>
              <w:rPr>
                <w:color w:val="000000"/>
                <w:sz w:val="21"/>
                <w:szCs w:val="21"/>
                <w:highlight w:val="none"/>
              </w:rPr>
            </w:pPr>
          </w:p>
        </w:tc>
      </w:tr>
      <w:tr w14:paraId="2DFE95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23DCC659">
            <w:pPr>
              <w:widowControl/>
              <w:spacing w:line="240" w:lineRule="auto"/>
              <w:jc w:val="center"/>
              <w:textAlignment w:val="center"/>
              <w:rPr>
                <w:color w:val="000000"/>
                <w:sz w:val="21"/>
                <w:szCs w:val="21"/>
                <w:highlight w:val="none"/>
              </w:rPr>
            </w:pPr>
            <w:r>
              <w:rPr>
                <w:color w:val="000000"/>
                <w:kern w:val="0"/>
                <w:sz w:val="21"/>
                <w:szCs w:val="21"/>
                <w:highlight w:val="none"/>
                <w:lang w:bidi="ar"/>
              </w:rPr>
              <w:t>8</w:t>
            </w:r>
          </w:p>
        </w:tc>
        <w:tc>
          <w:tcPr>
            <w:tcW w:w="2142" w:type="pct"/>
            <w:tcBorders>
              <w:tl2br w:val="nil"/>
              <w:tr2bl w:val="nil"/>
            </w:tcBorders>
            <w:shd w:val="clear" w:color="auto" w:fill="auto"/>
            <w:tcMar>
              <w:top w:w="15" w:type="dxa"/>
              <w:left w:w="15" w:type="dxa"/>
              <w:right w:w="15" w:type="dxa"/>
            </w:tcMar>
            <w:vAlign w:val="center"/>
          </w:tcPr>
          <w:p w14:paraId="21ECF5CB">
            <w:pPr>
              <w:widowControl/>
              <w:spacing w:line="240" w:lineRule="auto"/>
              <w:jc w:val="center"/>
              <w:textAlignment w:val="top"/>
              <w:rPr>
                <w:color w:val="000000"/>
                <w:sz w:val="21"/>
                <w:szCs w:val="21"/>
                <w:highlight w:val="none"/>
              </w:rPr>
            </w:pPr>
            <w:r>
              <w:rPr>
                <w:rFonts w:hint="eastAsia"/>
                <w:color w:val="000000"/>
                <w:kern w:val="0"/>
                <w:sz w:val="21"/>
                <w:szCs w:val="21"/>
                <w:highlight w:val="none"/>
                <w:lang w:bidi="ar"/>
              </w:rPr>
              <w:t>总氟化物</w:t>
            </w:r>
          </w:p>
        </w:tc>
        <w:tc>
          <w:tcPr>
            <w:tcW w:w="488" w:type="pct"/>
            <w:tcBorders>
              <w:tl2br w:val="nil"/>
              <w:tr2bl w:val="nil"/>
            </w:tcBorders>
            <w:shd w:val="clear" w:color="auto" w:fill="auto"/>
            <w:tcMar>
              <w:top w:w="15" w:type="dxa"/>
              <w:left w:w="15" w:type="dxa"/>
              <w:right w:w="15" w:type="dxa"/>
            </w:tcMar>
            <w:vAlign w:val="center"/>
          </w:tcPr>
          <w:p w14:paraId="096B7372">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441700AC">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≤2</w:t>
            </w:r>
            <w:r>
              <w:rPr>
                <w:rFonts w:hint="eastAsia"/>
                <w:color w:val="000000"/>
                <w:kern w:val="0"/>
                <w:sz w:val="21"/>
                <w:szCs w:val="21"/>
                <w:highlight w:val="none"/>
                <w:lang w:bidi="ar"/>
              </w:rPr>
              <w:t>.0</w:t>
            </w:r>
          </w:p>
        </w:tc>
        <w:tc>
          <w:tcPr>
            <w:tcW w:w="1217" w:type="pct"/>
            <w:vMerge w:val="continue"/>
            <w:tcBorders>
              <w:tl2br w:val="nil"/>
              <w:tr2bl w:val="nil"/>
            </w:tcBorders>
            <w:shd w:val="clear" w:color="auto" w:fill="auto"/>
            <w:noWrap/>
            <w:tcMar>
              <w:top w:w="15" w:type="dxa"/>
              <w:left w:w="15" w:type="dxa"/>
              <w:right w:w="15" w:type="dxa"/>
            </w:tcMar>
            <w:vAlign w:val="center"/>
          </w:tcPr>
          <w:p w14:paraId="37215E92">
            <w:pPr>
              <w:spacing w:line="240" w:lineRule="auto"/>
              <w:jc w:val="center"/>
              <w:rPr>
                <w:color w:val="000000"/>
                <w:sz w:val="21"/>
                <w:szCs w:val="21"/>
                <w:highlight w:val="none"/>
              </w:rPr>
            </w:pPr>
          </w:p>
        </w:tc>
      </w:tr>
      <w:tr w14:paraId="6E5E9A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28E83372">
            <w:pPr>
              <w:widowControl/>
              <w:spacing w:line="240" w:lineRule="auto"/>
              <w:jc w:val="center"/>
              <w:textAlignment w:val="center"/>
              <w:rPr>
                <w:color w:val="000000"/>
                <w:sz w:val="21"/>
                <w:szCs w:val="21"/>
                <w:highlight w:val="none"/>
              </w:rPr>
            </w:pPr>
            <w:r>
              <w:rPr>
                <w:color w:val="000000"/>
                <w:kern w:val="0"/>
                <w:sz w:val="21"/>
                <w:szCs w:val="21"/>
                <w:highlight w:val="none"/>
                <w:lang w:bidi="ar"/>
              </w:rPr>
              <w:t>9</w:t>
            </w:r>
          </w:p>
        </w:tc>
        <w:tc>
          <w:tcPr>
            <w:tcW w:w="2142" w:type="pct"/>
            <w:tcBorders>
              <w:tl2br w:val="nil"/>
              <w:tr2bl w:val="nil"/>
            </w:tcBorders>
            <w:shd w:val="clear" w:color="auto" w:fill="auto"/>
            <w:tcMar>
              <w:top w:w="15" w:type="dxa"/>
              <w:left w:w="15" w:type="dxa"/>
              <w:right w:w="15" w:type="dxa"/>
            </w:tcMar>
            <w:vAlign w:val="center"/>
          </w:tcPr>
          <w:p w14:paraId="302BB4A0">
            <w:pPr>
              <w:widowControl/>
              <w:spacing w:line="240" w:lineRule="auto"/>
              <w:jc w:val="center"/>
              <w:textAlignment w:val="top"/>
              <w:rPr>
                <w:color w:val="000000"/>
                <w:sz w:val="21"/>
                <w:szCs w:val="21"/>
                <w:highlight w:val="none"/>
              </w:rPr>
            </w:pPr>
            <w:r>
              <w:rPr>
                <w:color w:val="000000"/>
                <w:kern w:val="0"/>
                <w:sz w:val="21"/>
                <w:szCs w:val="21"/>
                <w:highlight w:val="none"/>
                <w:lang w:bidi="ar"/>
              </w:rPr>
              <w:t>挥发酚(以苯酚计)</w:t>
            </w:r>
          </w:p>
        </w:tc>
        <w:tc>
          <w:tcPr>
            <w:tcW w:w="488" w:type="pct"/>
            <w:tcBorders>
              <w:tl2br w:val="nil"/>
              <w:tr2bl w:val="nil"/>
            </w:tcBorders>
            <w:shd w:val="clear" w:color="auto" w:fill="auto"/>
            <w:tcMar>
              <w:top w:w="15" w:type="dxa"/>
              <w:left w:w="15" w:type="dxa"/>
              <w:right w:w="15" w:type="dxa"/>
            </w:tcMar>
            <w:vAlign w:val="center"/>
          </w:tcPr>
          <w:p w14:paraId="5034340D">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2C9BF90C">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≤0.01</w:t>
            </w:r>
          </w:p>
        </w:tc>
        <w:tc>
          <w:tcPr>
            <w:tcW w:w="1217" w:type="pct"/>
            <w:vMerge w:val="continue"/>
            <w:tcBorders>
              <w:tl2br w:val="nil"/>
              <w:tr2bl w:val="nil"/>
            </w:tcBorders>
            <w:shd w:val="clear" w:color="auto" w:fill="auto"/>
            <w:noWrap/>
            <w:tcMar>
              <w:top w:w="15" w:type="dxa"/>
              <w:left w:w="15" w:type="dxa"/>
              <w:right w:w="15" w:type="dxa"/>
            </w:tcMar>
            <w:vAlign w:val="center"/>
          </w:tcPr>
          <w:p w14:paraId="7AD9048D">
            <w:pPr>
              <w:spacing w:line="240" w:lineRule="auto"/>
              <w:jc w:val="center"/>
              <w:rPr>
                <w:color w:val="000000"/>
                <w:sz w:val="21"/>
                <w:szCs w:val="21"/>
                <w:highlight w:val="none"/>
              </w:rPr>
            </w:pPr>
          </w:p>
        </w:tc>
      </w:tr>
      <w:tr w14:paraId="0A866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2E7D6E3B">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2142" w:type="pct"/>
            <w:tcBorders>
              <w:tl2br w:val="nil"/>
              <w:tr2bl w:val="nil"/>
            </w:tcBorders>
            <w:shd w:val="clear" w:color="auto" w:fill="auto"/>
            <w:tcMar>
              <w:top w:w="15" w:type="dxa"/>
              <w:left w:w="15" w:type="dxa"/>
              <w:right w:w="15" w:type="dxa"/>
            </w:tcMar>
            <w:vAlign w:val="center"/>
          </w:tcPr>
          <w:p w14:paraId="4E6F2176">
            <w:pPr>
              <w:widowControl/>
              <w:spacing w:line="240" w:lineRule="auto"/>
              <w:jc w:val="center"/>
              <w:textAlignment w:val="top"/>
              <w:rPr>
                <w:color w:val="000000"/>
                <w:sz w:val="21"/>
                <w:szCs w:val="21"/>
                <w:highlight w:val="none"/>
              </w:rPr>
            </w:pPr>
            <w:r>
              <w:rPr>
                <w:color w:val="000000"/>
                <w:kern w:val="0"/>
                <w:sz w:val="21"/>
                <w:szCs w:val="21"/>
                <w:highlight w:val="none"/>
                <w:lang w:bidi="ar"/>
              </w:rPr>
              <w:t>阴离子表面活性剂</w:t>
            </w:r>
          </w:p>
        </w:tc>
        <w:tc>
          <w:tcPr>
            <w:tcW w:w="488" w:type="pct"/>
            <w:tcBorders>
              <w:tl2br w:val="nil"/>
              <w:tr2bl w:val="nil"/>
            </w:tcBorders>
            <w:shd w:val="clear" w:color="auto" w:fill="auto"/>
            <w:tcMar>
              <w:top w:w="15" w:type="dxa"/>
              <w:left w:w="15" w:type="dxa"/>
              <w:right w:w="15" w:type="dxa"/>
            </w:tcMar>
            <w:vAlign w:val="center"/>
          </w:tcPr>
          <w:p w14:paraId="0B57F9E6">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5DE74F85">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≤0.3</w:t>
            </w:r>
          </w:p>
        </w:tc>
        <w:tc>
          <w:tcPr>
            <w:tcW w:w="1217" w:type="pct"/>
            <w:vMerge w:val="continue"/>
            <w:tcBorders>
              <w:tl2br w:val="nil"/>
              <w:tr2bl w:val="nil"/>
            </w:tcBorders>
            <w:shd w:val="clear" w:color="auto" w:fill="auto"/>
            <w:noWrap/>
            <w:tcMar>
              <w:top w:w="15" w:type="dxa"/>
              <w:left w:w="15" w:type="dxa"/>
              <w:right w:w="15" w:type="dxa"/>
            </w:tcMar>
            <w:vAlign w:val="center"/>
          </w:tcPr>
          <w:p w14:paraId="05224685">
            <w:pPr>
              <w:spacing w:line="240" w:lineRule="auto"/>
              <w:jc w:val="center"/>
              <w:rPr>
                <w:color w:val="000000"/>
                <w:sz w:val="21"/>
                <w:szCs w:val="21"/>
                <w:highlight w:val="none"/>
              </w:rPr>
            </w:pPr>
          </w:p>
        </w:tc>
      </w:tr>
      <w:tr w14:paraId="3E68D1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56F1758E">
            <w:pPr>
              <w:widowControl/>
              <w:spacing w:line="240" w:lineRule="auto"/>
              <w:jc w:val="center"/>
              <w:textAlignment w:val="center"/>
              <w:rPr>
                <w:color w:val="000000"/>
                <w:sz w:val="21"/>
                <w:szCs w:val="21"/>
                <w:highlight w:val="none"/>
              </w:rPr>
            </w:pPr>
            <w:r>
              <w:rPr>
                <w:color w:val="000000"/>
                <w:kern w:val="0"/>
                <w:sz w:val="21"/>
                <w:szCs w:val="21"/>
                <w:highlight w:val="none"/>
                <w:lang w:bidi="ar"/>
              </w:rPr>
              <w:t>11</w:t>
            </w:r>
          </w:p>
        </w:tc>
        <w:tc>
          <w:tcPr>
            <w:tcW w:w="2142" w:type="pct"/>
            <w:tcBorders>
              <w:tl2br w:val="nil"/>
              <w:tr2bl w:val="nil"/>
            </w:tcBorders>
            <w:shd w:val="clear" w:color="auto" w:fill="auto"/>
            <w:tcMar>
              <w:top w:w="15" w:type="dxa"/>
              <w:left w:w="15" w:type="dxa"/>
              <w:right w:w="15" w:type="dxa"/>
            </w:tcMar>
            <w:vAlign w:val="center"/>
          </w:tcPr>
          <w:p w14:paraId="031781E0">
            <w:pPr>
              <w:widowControl/>
              <w:spacing w:line="240" w:lineRule="auto"/>
              <w:jc w:val="center"/>
              <w:textAlignment w:val="top"/>
              <w:rPr>
                <w:color w:val="000000"/>
                <w:sz w:val="21"/>
                <w:szCs w:val="21"/>
                <w:highlight w:val="none"/>
              </w:rPr>
            </w:pPr>
            <w:r>
              <w:rPr>
                <w:color w:val="000000"/>
                <w:kern w:val="0"/>
                <w:sz w:val="21"/>
                <w:szCs w:val="21"/>
                <w:highlight w:val="none"/>
                <w:lang w:bidi="ar"/>
              </w:rPr>
              <w:t>氨氮（以N计）</w:t>
            </w:r>
          </w:p>
        </w:tc>
        <w:tc>
          <w:tcPr>
            <w:tcW w:w="488" w:type="pct"/>
            <w:tcBorders>
              <w:tl2br w:val="nil"/>
              <w:tr2bl w:val="nil"/>
            </w:tcBorders>
            <w:shd w:val="clear" w:color="auto" w:fill="auto"/>
            <w:tcMar>
              <w:top w:w="15" w:type="dxa"/>
              <w:left w:w="15" w:type="dxa"/>
              <w:right w:w="15" w:type="dxa"/>
            </w:tcMar>
            <w:vAlign w:val="center"/>
          </w:tcPr>
          <w:p w14:paraId="128F048B">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60A6DF6C">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≤1.5</w:t>
            </w:r>
            <w:r>
              <w:rPr>
                <w:rFonts w:hint="eastAsia"/>
                <w:color w:val="000000"/>
                <w:kern w:val="0"/>
                <w:sz w:val="21"/>
                <w:szCs w:val="21"/>
                <w:highlight w:val="none"/>
                <w:lang w:bidi="ar"/>
              </w:rPr>
              <w:t>0</w:t>
            </w:r>
          </w:p>
        </w:tc>
        <w:tc>
          <w:tcPr>
            <w:tcW w:w="1217" w:type="pct"/>
            <w:vMerge w:val="continue"/>
            <w:tcBorders>
              <w:tl2br w:val="nil"/>
              <w:tr2bl w:val="nil"/>
            </w:tcBorders>
            <w:shd w:val="clear" w:color="auto" w:fill="auto"/>
            <w:noWrap/>
            <w:tcMar>
              <w:top w:w="15" w:type="dxa"/>
              <w:left w:w="15" w:type="dxa"/>
              <w:right w:w="15" w:type="dxa"/>
            </w:tcMar>
            <w:vAlign w:val="center"/>
          </w:tcPr>
          <w:p w14:paraId="6F480556">
            <w:pPr>
              <w:spacing w:line="240" w:lineRule="auto"/>
              <w:jc w:val="center"/>
              <w:rPr>
                <w:color w:val="000000"/>
                <w:sz w:val="21"/>
                <w:szCs w:val="21"/>
                <w:highlight w:val="none"/>
              </w:rPr>
            </w:pPr>
          </w:p>
        </w:tc>
      </w:tr>
      <w:tr w14:paraId="1805ED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4FCB61C9">
            <w:pPr>
              <w:widowControl/>
              <w:spacing w:line="240" w:lineRule="auto"/>
              <w:jc w:val="center"/>
              <w:textAlignment w:val="center"/>
              <w:rPr>
                <w:color w:val="000000"/>
                <w:sz w:val="21"/>
                <w:szCs w:val="21"/>
                <w:highlight w:val="none"/>
              </w:rPr>
            </w:pPr>
            <w:r>
              <w:rPr>
                <w:color w:val="000000"/>
                <w:kern w:val="0"/>
                <w:sz w:val="21"/>
                <w:szCs w:val="21"/>
                <w:highlight w:val="none"/>
                <w:lang w:bidi="ar"/>
              </w:rPr>
              <w:t>12</w:t>
            </w:r>
          </w:p>
        </w:tc>
        <w:tc>
          <w:tcPr>
            <w:tcW w:w="2142" w:type="pct"/>
            <w:tcBorders>
              <w:tl2br w:val="nil"/>
              <w:tr2bl w:val="nil"/>
            </w:tcBorders>
            <w:shd w:val="clear" w:color="auto" w:fill="auto"/>
            <w:tcMar>
              <w:top w:w="15" w:type="dxa"/>
              <w:left w:w="15" w:type="dxa"/>
              <w:right w:w="15" w:type="dxa"/>
            </w:tcMar>
            <w:vAlign w:val="center"/>
          </w:tcPr>
          <w:p w14:paraId="3742390D">
            <w:pPr>
              <w:widowControl/>
              <w:spacing w:line="240" w:lineRule="auto"/>
              <w:jc w:val="center"/>
              <w:textAlignment w:val="top"/>
              <w:rPr>
                <w:color w:val="000000"/>
                <w:sz w:val="21"/>
                <w:szCs w:val="21"/>
                <w:highlight w:val="none"/>
              </w:rPr>
            </w:pPr>
            <w:r>
              <w:rPr>
                <w:color w:val="000000"/>
                <w:kern w:val="0"/>
                <w:sz w:val="21"/>
                <w:szCs w:val="21"/>
                <w:highlight w:val="none"/>
                <w:lang w:bidi="ar"/>
              </w:rPr>
              <w:t>硫化物</w:t>
            </w:r>
          </w:p>
        </w:tc>
        <w:tc>
          <w:tcPr>
            <w:tcW w:w="488" w:type="pct"/>
            <w:tcBorders>
              <w:tl2br w:val="nil"/>
              <w:tr2bl w:val="nil"/>
            </w:tcBorders>
            <w:shd w:val="clear" w:color="auto" w:fill="auto"/>
            <w:tcMar>
              <w:top w:w="15" w:type="dxa"/>
              <w:left w:w="15" w:type="dxa"/>
              <w:right w:w="15" w:type="dxa"/>
            </w:tcMar>
            <w:vAlign w:val="center"/>
          </w:tcPr>
          <w:p w14:paraId="29BA3802">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69DEE559">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≤0.1</w:t>
            </w:r>
            <w:r>
              <w:rPr>
                <w:rFonts w:hint="eastAsia"/>
                <w:color w:val="000000"/>
                <w:kern w:val="0"/>
                <w:sz w:val="21"/>
                <w:szCs w:val="21"/>
                <w:highlight w:val="none"/>
                <w:lang w:bidi="ar"/>
              </w:rPr>
              <w:t>0</w:t>
            </w:r>
          </w:p>
        </w:tc>
        <w:tc>
          <w:tcPr>
            <w:tcW w:w="1217" w:type="pct"/>
            <w:vMerge w:val="continue"/>
            <w:tcBorders>
              <w:tl2br w:val="nil"/>
              <w:tr2bl w:val="nil"/>
            </w:tcBorders>
            <w:shd w:val="clear" w:color="auto" w:fill="auto"/>
            <w:noWrap/>
            <w:tcMar>
              <w:top w:w="15" w:type="dxa"/>
              <w:left w:w="15" w:type="dxa"/>
              <w:right w:w="15" w:type="dxa"/>
            </w:tcMar>
            <w:vAlign w:val="center"/>
          </w:tcPr>
          <w:p w14:paraId="27B9F6D9">
            <w:pPr>
              <w:spacing w:line="240" w:lineRule="auto"/>
              <w:jc w:val="center"/>
              <w:rPr>
                <w:color w:val="000000"/>
                <w:sz w:val="21"/>
                <w:szCs w:val="21"/>
                <w:highlight w:val="none"/>
              </w:rPr>
            </w:pPr>
          </w:p>
        </w:tc>
      </w:tr>
      <w:tr w14:paraId="1E7D00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5D7D861C">
            <w:pPr>
              <w:widowControl/>
              <w:spacing w:line="240" w:lineRule="auto"/>
              <w:jc w:val="center"/>
              <w:textAlignment w:val="center"/>
              <w:rPr>
                <w:color w:val="000000"/>
                <w:sz w:val="21"/>
                <w:szCs w:val="21"/>
                <w:highlight w:val="none"/>
              </w:rPr>
            </w:pPr>
            <w:r>
              <w:rPr>
                <w:color w:val="000000"/>
                <w:kern w:val="0"/>
                <w:sz w:val="21"/>
                <w:szCs w:val="21"/>
                <w:highlight w:val="none"/>
                <w:lang w:bidi="ar"/>
              </w:rPr>
              <w:t>13</w:t>
            </w:r>
          </w:p>
        </w:tc>
        <w:tc>
          <w:tcPr>
            <w:tcW w:w="2142" w:type="pct"/>
            <w:tcBorders>
              <w:tl2br w:val="nil"/>
              <w:tr2bl w:val="nil"/>
            </w:tcBorders>
            <w:shd w:val="clear" w:color="auto" w:fill="auto"/>
            <w:tcMar>
              <w:top w:w="15" w:type="dxa"/>
              <w:left w:w="15" w:type="dxa"/>
              <w:right w:w="15" w:type="dxa"/>
            </w:tcMar>
            <w:vAlign w:val="center"/>
          </w:tcPr>
          <w:p w14:paraId="41A0831A">
            <w:pPr>
              <w:widowControl/>
              <w:spacing w:line="240" w:lineRule="auto"/>
              <w:jc w:val="center"/>
              <w:textAlignment w:val="top"/>
              <w:rPr>
                <w:color w:val="000000"/>
                <w:sz w:val="21"/>
                <w:szCs w:val="21"/>
                <w:highlight w:val="none"/>
              </w:rPr>
            </w:pPr>
            <w:r>
              <w:rPr>
                <w:color w:val="000000"/>
                <w:kern w:val="0"/>
                <w:sz w:val="21"/>
                <w:szCs w:val="21"/>
                <w:highlight w:val="none"/>
                <w:lang w:bidi="ar"/>
              </w:rPr>
              <w:t>亚硝酸盐（以N计）</w:t>
            </w:r>
          </w:p>
        </w:tc>
        <w:tc>
          <w:tcPr>
            <w:tcW w:w="488" w:type="pct"/>
            <w:tcBorders>
              <w:tl2br w:val="nil"/>
              <w:tr2bl w:val="nil"/>
            </w:tcBorders>
            <w:shd w:val="clear" w:color="auto" w:fill="auto"/>
            <w:tcMar>
              <w:top w:w="15" w:type="dxa"/>
              <w:left w:w="15" w:type="dxa"/>
              <w:right w:w="15" w:type="dxa"/>
            </w:tcMar>
            <w:vAlign w:val="center"/>
          </w:tcPr>
          <w:p w14:paraId="410BBDA3">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050AE417">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≤4.8</w:t>
            </w:r>
            <w:r>
              <w:rPr>
                <w:rFonts w:hint="eastAsia"/>
                <w:color w:val="000000"/>
                <w:kern w:val="0"/>
                <w:sz w:val="21"/>
                <w:szCs w:val="21"/>
                <w:highlight w:val="none"/>
                <w:lang w:bidi="ar"/>
              </w:rPr>
              <w:t>0</w:t>
            </w:r>
          </w:p>
        </w:tc>
        <w:tc>
          <w:tcPr>
            <w:tcW w:w="1217" w:type="pct"/>
            <w:vMerge w:val="continue"/>
            <w:tcBorders>
              <w:tl2br w:val="nil"/>
              <w:tr2bl w:val="nil"/>
            </w:tcBorders>
            <w:shd w:val="clear" w:color="auto" w:fill="auto"/>
            <w:noWrap/>
            <w:tcMar>
              <w:top w:w="15" w:type="dxa"/>
              <w:left w:w="15" w:type="dxa"/>
              <w:right w:w="15" w:type="dxa"/>
            </w:tcMar>
            <w:vAlign w:val="center"/>
          </w:tcPr>
          <w:p w14:paraId="56DEEE0A">
            <w:pPr>
              <w:spacing w:line="240" w:lineRule="auto"/>
              <w:jc w:val="center"/>
              <w:rPr>
                <w:color w:val="000000"/>
                <w:sz w:val="21"/>
                <w:szCs w:val="21"/>
                <w:highlight w:val="none"/>
              </w:rPr>
            </w:pPr>
          </w:p>
        </w:tc>
      </w:tr>
      <w:tr w14:paraId="714512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2DE70236">
            <w:pPr>
              <w:widowControl/>
              <w:spacing w:line="240" w:lineRule="auto"/>
              <w:jc w:val="center"/>
              <w:textAlignment w:val="center"/>
              <w:rPr>
                <w:color w:val="000000"/>
                <w:sz w:val="21"/>
                <w:szCs w:val="21"/>
                <w:highlight w:val="none"/>
              </w:rPr>
            </w:pPr>
            <w:r>
              <w:rPr>
                <w:color w:val="000000"/>
                <w:kern w:val="0"/>
                <w:sz w:val="21"/>
                <w:szCs w:val="21"/>
                <w:highlight w:val="none"/>
                <w:lang w:bidi="ar"/>
              </w:rPr>
              <w:t>14</w:t>
            </w:r>
          </w:p>
        </w:tc>
        <w:tc>
          <w:tcPr>
            <w:tcW w:w="2142" w:type="pct"/>
            <w:tcBorders>
              <w:tl2br w:val="nil"/>
              <w:tr2bl w:val="nil"/>
            </w:tcBorders>
            <w:shd w:val="clear" w:color="auto" w:fill="auto"/>
            <w:tcMar>
              <w:top w:w="15" w:type="dxa"/>
              <w:left w:w="15" w:type="dxa"/>
              <w:right w:w="15" w:type="dxa"/>
            </w:tcMar>
            <w:vAlign w:val="center"/>
          </w:tcPr>
          <w:p w14:paraId="5D73E094">
            <w:pPr>
              <w:widowControl/>
              <w:spacing w:line="240" w:lineRule="auto"/>
              <w:jc w:val="center"/>
              <w:textAlignment w:val="top"/>
              <w:rPr>
                <w:color w:val="000000"/>
                <w:sz w:val="21"/>
                <w:szCs w:val="21"/>
                <w:highlight w:val="none"/>
              </w:rPr>
            </w:pPr>
            <w:r>
              <w:rPr>
                <w:color w:val="000000"/>
                <w:kern w:val="0"/>
                <w:sz w:val="21"/>
                <w:szCs w:val="21"/>
                <w:highlight w:val="none"/>
                <w:lang w:bidi="ar"/>
              </w:rPr>
              <w:t>氰化物</w:t>
            </w:r>
          </w:p>
        </w:tc>
        <w:tc>
          <w:tcPr>
            <w:tcW w:w="488" w:type="pct"/>
            <w:tcBorders>
              <w:tl2br w:val="nil"/>
              <w:tr2bl w:val="nil"/>
            </w:tcBorders>
            <w:shd w:val="clear" w:color="auto" w:fill="auto"/>
            <w:tcMar>
              <w:top w:w="15" w:type="dxa"/>
              <w:left w:w="15" w:type="dxa"/>
              <w:right w:w="15" w:type="dxa"/>
            </w:tcMar>
            <w:vAlign w:val="center"/>
          </w:tcPr>
          <w:p w14:paraId="588C0FBB">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6E66419F">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≤0.1</w:t>
            </w:r>
          </w:p>
        </w:tc>
        <w:tc>
          <w:tcPr>
            <w:tcW w:w="1217" w:type="pct"/>
            <w:vMerge w:val="continue"/>
            <w:tcBorders>
              <w:tl2br w:val="nil"/>
              <w:tr2bl w:val="nil"/>
            </w:tcBorders>
            <w:shd w:val="clear" w:color="auto" w:fill="auto"/>
            <w:noWrap/>
            <w:tcMar>
              <w:top w:w="15" w:type="dxa"/>
              <w:left w:w="15" w:type="dxa"/>
              <w:right w:w="15" w:type="dxa"/>
            </w:tcMar>
            <w:vAlign w:val="center"/>
          </w:tcPr>
          <w:p w14:paraId="2A5892CB">
            <w:pPr>
              <w:spacing w:line="240" w:lineRule="auto"/>
              <w:jc w:val="center"/>
              <w:rPr>
                <w:color w:val="000000"/>
                <w:sz w:val="21"/>
                <w:szCs w:val="21"/>
                <w:highlight w:val="none"/>
              </w:rPr>
            </w:pPr>
          </w:p>
        </w:tc>
      </w:tr>
      <w:tr w14:paraId="6A92E7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5CF5E443">
            <w:pPr>
              <w:widowControl/>
              <w:spacing w:line="240" w:lineRule="auto"/>
              <w:jc w:val="center"/>
              <w:textAlignment w:val="center"/>
              <w:rPr>
                <w:color w:val="000000"/>
                <w:sz w:val="21"/>
                <w:szCs w:val="21"/>
                <w:highlight w:val="none"/>
              </w:rPr>
            </w:pPr>
            <w:r>
              <w:rPr>
                <w:color w:val="000000"/>
                <w:kern w:val="0"/>
                <w:sz w:val="21"/>
                <w:szCs w:val="21"/>
                <w:highlight w:val="none"/>
                <w:lang w:bidi="ar"/>
              </w:rPr>
              <w:t>15</w:t>
            </w:r>
          </w:p>
        </w:tc>
        <w:tc>
          <w:tcPr>
            <w:tcW w:w="2142" w:type="pct"/>
            <w:tcBorders>
              <w:tl2br w:val="nil"/>
              <w:tr2bl w:val="nil"/>
            </w:tcBorders>
            <w:shd w:val="clear" w:color="auto" w:fill="auto"/>
            <w:tcMar>
              <w:top w:w="15" w:type="dxa"/>
              <w:left w:w="15" w:type="dxa"/>
              <w:right w:w="15" w:type="dxa"/>
            </w:tcMar>
            <w:vAlign w:val="center"/>
          </w:tcPr>
          <w:p w14:paraId="5438BF70">
            <w:pPr>
              <w:widowControl/>
              <w:spacing w:line="240" w:lineRule="auto"/>
              <w:jc w:val="center"/>
              <w:textAlignment w:val="top"/>
              <w:rPr>
                <w:color w:val="000000"/>
                <w:sz w:val="21"/>
                <w:szCs w:val="21"/>
                <w:highlight w:val="none"/>
              </w:rPr>
            </w:pPr>
            <w:r>
              <w:rPr>
                <w:color w:val="000000"/>
                <w:kern w:val="0"/>
                <w:sz w:val="21"/>
                <w:szCs w:val="21"/>
                <w:highlight w:val="none"/>
                <w:lang w:bidi="ar"/>
              </w:rPr>
              <w:t>铁</w:t>
            </w:r>
          </w:p>
        </w:tc>
        <w:tc>
          <w:tcPr>
            <w:tcW w:w="488" w:type="pct"/>
            <w:tcBorders>
              <w:tl2br w:val="nil"/>
              <w:tr2bl w:val="nil"/>
            </w:tcBorders>
            <w:shd w:val="clear" w:color="auto" w:fill="auto"/>
            <w:tcMar>
              <w:top w:w="15" w:type="dxa"/>
              <w:left w:w="15" w:type="dxa"/>
              <w:right w:w="15" w:type="dxa"/>
            </w:tcMar>
            <w:vAlign w:val="center"/>
          </w:tcPr>
          <w:p w14:paraId="67FB9633">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083325C5">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rFonts w:hint="eastAsia"/>
                <w:color w:val="000000"/>
                <w:kern w:val="0"/>
                <w:sz w:val="21"/>
                <w:szCs w:val="21"/>
                <w:highlight w:val="none"/>
                <w:lang w:bidi="ar"/>
              </w:rPr>
              <w:t>2.0</w:t>
            </w:r>
          </w:p>
        </w:tc>
        <w:tc>
          <w:tcPr>
            <w:tcW w:w="1217" w:type="pct"/>
            <w:vMerge w:val="continue"/>
            <w:tcBorders>
              <w:tl2br w:val="nil"/>
              <w:tr2bl w:val="nil"/>
            </w:tcBorders>
            <w:shd w:val="clear" w:color="auto" w:fill="auto"/>
            <w:noWrap/>
            <w:tcMar>
              <w:top w:w="15" w:type="dxa"/>
              <w:left w:w="15" w:type="dxa"/>
              <w:right w:w="15" w:type="dxa"/>
            </w:tcMar>
            <w:vAlign w:val="center"/>
          </w:tcPr>
          <w:p w14:paraId="29DC65D7">
            <w:pPr>
              <w:spacing w:line="240" w:lineRule="auto"/>
              <w:jc w:val="center"/>
              <w:rPr>
                <w:color w:val="000000"/>
                <w:sz w:val="21"/>
                <w:szCs w:val="21"/>
                <w:highlight w:val="none"/>
              </w:rPr>
            </w:pPr>
          </w:p>
        </w:tc>
      </w:tr>
      <w:tr w14:paraId="3665F0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0F51709E">
            <w:pPr>
              <w:widowControl/>
              <w:spacing w:line="240" w:lineRule="auto"/>
              <w:jc w:val="center"/>
              <w:textAlignment w:val="center"/>
              <w:rPr>
                <w:color w:val="000000"/>
                <w:sz w:val="21"/>
                <w:szCs w:val="21"/>
                <w:highlight w:val="none"/>
              </w:rPr>
            </w:pPr>
            <w:r>
              <w:rPr>
                <w:color w:val="000000"/>
                <w:kern w:val="0"/>
                <w:sz w:val="21"/>
                <w:szCs w:val="21"/>
                <w:highlight w:val="none"/>
                <w:lang w:bidi="ar"/>
              </w:rPr>
              <w:t>16</w:t>
            </w:r>
          </w:p>
        </w:tc>
        <w:tc>
          <w:tcPr>
            <w:tcW w:w="2142" w:type="pct"/>
            <w:tcBorders>
              <w:tl2br w:val="nil"/>
              <w:tr2bl w:val="nil"/>
            </w:tcBorders>
            <w:shd w:val="clear" w:color="auto" w:fill="auto"/>
            <w:tcMar>
              <w:top w:w="15" w:type="dxa"/>
              <w:left w:w="15" w:type="dxa"/>
              <w:right w:w="15" w:type="dxa"/>
            </w:tcMar>
            <w:vAlign w:val="center"/>
          </w:tcPr>
          <w:p w14:paraId="4CC35F02">
            <w:pPr>
              <w:widowControl/>
              <w:spacing w:line="240" w:lineRule="auto"/>
              <w:jc w:val="center"/>
              <w:textAlignment w:val="top"/>
              <w:rPr>
                <w:color w:val="000000"/>
                <w:sz w:val="21"/>
                <w:szCs w:val="21"/>
                <w:highlight w:val="none"/>
              </w:rPr>
            </w:pPr>
            <w:r>
              <w:rPr>
                <w:color w:val="000000"/>
                <w:kern w:val="0"/>
                <w:sz w:val="21"/>
                <w:szCs w:val="21"/>
                <w:highlight w:val="none"/>
                <w:lang w:bidi="ar"/>
              </w:rPr>
              <w:t>锰</w:t>
            </w:r>
          </w:p>
        </w:tc>
        <w:tc>
          <w:tcPr>
            <w:tcW w:w="488" w:type="pct"/>
            <w:tcBorders>
              <w:tl2br w:val="nil"/>
              <w:tr2bl w:val="nil"/>
            </w:tcBorders>
            <w:shd w:val="clear" w:color="auto" w:fill="auto"/>
            <w:tcMar>
              <w:top w:w="15" w:type="dxa"/>
              <w:left w:w="15" w:type="dxa"/>
              <w:right w:w="15" w:type="dxa"/>
            </w:tcMar>
            <w:vAlign w:val="center"/>
          </w:tcPr>
          <w:p w14:paraId="05EB48D6">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tcPr>
          <w:p w14:paraId="02E60AF6">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rFonts w:hint="eastAsia"/>
                <w:color w:val="000000"/>
                <w:kern w:val="0"/>
                <w:sz w:val="21"/>
                <w:szCs w:val="21"/>
                <w:highlight w:val="none"/>
                <w:lang w:bidi="ar"/>
              </w:rPr>
              <w:t>1.50</w:t>
            </w:r>
          </w:p>
        </w:tc>
        <w:tc>
          <w:tcPr>
            <w:tcW w:w="1217" w:type="pct"/>
            <w:vMerge w:val="continue"/>
            <w:tcBorders>
              <w:tl2br w:val="nil"/>
              <w:tr2bl w:val="nil"/>
            </w:tcBorders>
            <w:shd w:val="clear" w:color="auto" w:fill="auto"/>
            <w:noWrap/>
            <w:tcMar>
              <w:top w:w="15" w:type="dxa"/>
              <w:left w:w="15" w:type="dxa"/>
              <w:right w:w="15" w:type="dxa"/>
            </w:tcMar>
            <w:vAlign w:val="center"/>
          </w:tcPr>
          <w:p w14:paraId="580AE552">
            <w:pPr>
              <w:spacing w:line="240" w:lineRule="auto"/>
              <w:jc w:val="center"/>
              <w:rPr>
                <w:color w:val="000000"/>
                <w:sz w:val="21"/>
                <w:szCs w:val="21"/>
                <w:highlight w:val="none"/>
              </w:rPr>
            </w:pPr>
          </w:p>
        </w:tc>
      </w:tr>
      <w:tr w14:paraId="200F42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24A5F345">
            <w:pPr>
              <w:widowControl/>
              <w:spacing w:line="240" w:lineRule="auto"/>
              <w:jc w:val="center"/>
              <w:textAlignment w:val="center"/>
              <w:rPr>
                <w:color w:val="000000"/>
                <w:sz w:val="21"/>
                <w:szCs w:val="21"/>
                <w:highlight w:val="none"/>
              </w:rPr>
            </w:pPr>
            <w:r>
              <w:rPr>
                <w:color w:val="000000"/>
                <w:kern w:val="0"/>
                <w:sz w:val="21"/>
                <w:szCs w:val="21"/>
                <w:highlight w:val="none"/>
                <w:lang w:bidi="ar"/>
              </w:rPr>
              <w:t>17</w:t>
            </w:r>
          </w:p>
        </w:tc>
        <w:tc>
          <w:tcPr>
            <w:tcW w:w="2142" w:type="pct"/>
            <w:tcBorders>
              <w:tl2br w:val="nil"/>
              <w:tr2bl w:val="nil"/>
            </w:tcBorders>
            <w:shd w:val="clear" w:color="auto" w:fill="auto"/>
            <w:tcMar>
              <w:top w:w="15" w:type="dxa"/>
              <w:left w:w="15" w:type="dxa"/>
              <w:right w:w="15" w:type="dxa"/>
            </w:tcMar>
            <w:vAlign w:val="center"/>
          </w:tcPr>
          <w:p w14:paraId="162DF065">
            <w:pPr>
              <w:widowControl/>
              <w:spacing w:line="240" w:lineRule="auto"/>
              <w:jc w:val="center"/>
              <w:textAlignment w:val="top"/>
              <w:rPr>
                <w:color w:val="000000"/>
                <w:sz w:val="21"/>
                <w:szCs w:val="21"/>
                <w:highlight w:val="none"/>
              </w:rPr>
            </w:pPr>
            <w:r>
              <w:rPr>
                <w:color w:val="000000"/>
                <w:kern w:val="0"/>
                <w:sz w:val="21"/>
                <w:szCs w:val="21"/>
                <w:highlight w:val="none"/>
                <w:lang w:bidi="ar"/>
              </w:rPr>
              <w:t>铜</w:t>
            </w:r>
          </w:p>
        </w:tc>
        <w:tc>
          <w:tcPr>
            <w:tcW w:w="488" w:type="pct"/>
            <w:tcBorders>
              <w:tl2br w:val="nil"/>
              <w:tr2bl w:val="nil"/>
            </w:tcBorders>
            <w:shd w:val="clear" w:color="auto" w:fill="auto"/>
            <w:tcMar>
              <w:top w:w="15" w:type="dxa"/>
              <w:left w:w="15" w:type="dxa"/>
              <w:right w:w="15" w:type="dxa"/>
            </w:tcMar>
            <w:vAlign w:val="center"/>
          </w:tcPr>
          <w:p w14:paraId="23617EEB">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tcPr>
          <w:p w14:paraId="2D873678">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rFonts w:hint="eastAsia"/>
                <w:color w:val="000000"/>
                <w:kern w:val="0"/>
                <w:sz w:val="21"/>
                <w:szCs w:val="21"/>
                <w:highlight w:val="none"/>
                <w:lang w:bidi="ar"/>
              </w:rPr>
              <w:t>1.</w:t>
            </w:r>
            <w:r>
              <w:rPr>
                <w:color w:val="000000"/>
                <w:kern w:val="0"/>
                <w:sz w:val="22"/>
                <w:szCs w:val="22"/>
                <w:highlight w:val="none"/>
                <w:lang w:bidi="ar"/>
              </w:rPr>
              <w:t>5</w:t>
            </w:r>
            <w:r>
              <w:rPr>
                <w:rFonts w:hint="eastAsia"/>
                <w:color w:val="000000"/>
                <w:kern w:val="0"/>
                <w:sz w:val="22"/>
                <w:szCs w:val="22"/>
                <w:highlight w:val="none"/>
                <w:lang w:bidi="ar"/>
              </w:rPr>
              <w:t>0</w:t>
            </w:r>
          </w:p>
        </w:tc>
        <w:tc>
          <w:tcPr>
            <w:tcW w:w="1217" w:type="pct"/>
            <w:vMerge w:val="continue"/>
            <w:tcBorders>
              <w:tl2br w:val="nil"/>
              <w:tr2bl w:val="nil"/>
            </w:tcBorders>
            <w:shd w:val="clear" w:color="auto" w:fill="auto"/>
            <w:noWrap/>
            <w:tcMar>
              <w:top w:w="15" w:type="dxa"/>
              <w:left w:w="15" w:type="dxa"/>
              <w:right w:w="15" w:type="dxa"/>
            </w:tcMar>
            <w:vAlign w:val="center"/>
          </w:tcPr>
          <w:p w14:paraId="0D237798">
            <w:pPr>
              <w:spacing w:line="240" w:lineRule="auto"/>
              <w:jc w:val="center"/>
              <w:rPr>
                <w:color w:val="000000"/>
                <w:sz w:val="21"/>
                <w:szCs w:val="21"/>
                <w:highlight w:val="none"/>
              </w:rPr>
            </w:pPr>
          </w:p>
        </w:tc>
      </w:tr>
      <w:tr w14:paraId="523AAF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05A1A998">
            <w:pPr>
              <w:widowControl/>
              <w:spacing w:line="240" w:lineRule="auto"/>
              <w:jc w:val="center"/>
              <w:textAlignment w:val="center"/>
              <w:rPr>
                <w:color w:val="000000"/>
                <w:sz w:val="21"/>
                <w:szCs w:val="21"/>
                <w:highlight w:val="none"/>
              </w:rPr>
            </w:pPr>
            <w:r>
              <w:rPr>
                <w:color w:val="000000"/>
                <w:kern w:val="0"/>
                <w:sz w:val="21"/>
                <w:szCs w:val="21"/>
                <w:highlight w:val="none"/>
                <w:lang w:bidi="ar"/>
              </w:rPr>
              <w:t>18</w:t>
            </w:r>
          </w:p>
        </w:tc>
        <w:tc>
          <w:tcPr>
            <w:tcW w:w="2142" w:type="pct"/>
            <w:tcBorders>
              <w:tl2br w:val="nil"/>
              <w:tr2bl w:val="nil"/>
            </w:tcBorders>
            <w:shd w:val="clear" w:color="auto" w:fill="auto"/>
            <w:tcMar>
              <w:top w:w="15" w:type="dxa"/>
              <w:left w:w="15" w:type="dxa"/>
              <w:right w:w="15" w:type="dxa"/>
            </w:tcMar>
            <w:vAlign w:val="center"/>
          </w:tcPr>
          <w:p w14:paraId="6B9650B2">
            <w:pPr>
              <w:widowControl/>
              <w:spacing w:line="240" w:lineRule="auto"/>
              <w:jc w:val="center"/>
              <w:textAlignment w:val="top"/>
              <w:rPr>
                <w:color w:val="000000"/>
                <w:sz w:val="21"/>
                <w:szCs w:val="21"/>
                <w:highlight w:val="none"/>
              </w:rPr>
            </w:pPr>
            <w:r>
              <w:rPr>
                <w:color w:val="000000"/>
                <w:kern w:val="0"/>
                <w:sz w:val="21"/>
                <w:szCs w:val="21"/>
                <w:highlight w:val="none"/>
                <w:lang w:bidi="ar"/>
              </w:rPr>
              <w:t>铝</w:t>
            </w:r>
          </w:p>
        </w:tc>
        <w:tc>
          <w:tcPr>
            <w:tcW w:w="488" w:type="pct"/>
            <w:tcBorders>
              <w:tl2br w:val="nil"/>
              <w:tr2bl w:val="nil"/>
            </w:tcBorders>
            <w:shd w:val="clear" w:color="auto" w:fill="auto"/>
            <w:tcMar>
              <w:top w:w="15" w:type="dxa"/>
              <w:left w:w="15" w:type="dxa"/>
              <w:right w:w="15" w:type="dxa"/>
            </w:tcMar>
            <w:vAlign w:val="center"/>
          </w:tcPr>
          <w:p w14:paraId="0C571F8B">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tcPr>
          <w:p w14:paraId="54F64518">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rFonts w:hint="eastAsia"/>
                <w:color w:val="000000"/>
                <w:kern w:val="0"/>
                <w:sz w:val="21"/>
                <w:szCs w:val="21"/>
                <w:highlight w:val="none"/>
                <w:lang w:bidi="ar"/>
              </w:rPr>
              <w:t>0.50</w:t>
            </w:r>
          </w:p>
        </w:tc>
        <w:tc>
          <w:tcPr>
            <w:tcW w:w="1217" w:type="pct"/>
            <w:vMerge w:val="continue"/>
            <w:tcBorders>
              <w:tl2br w:val="nil"/>
              <w:tr2bl w:val="nil"/>
            </w:tcBorders>
            <w:shd w:val="clear" w:color="auto" w:fill="auto"/>
            <w:noWrap/>
            <w:tcMar>
              <w:top w:w="15" w:type="dxa"/>
              <w:left w:w="15" w:type="dxa"/>
              <w:right w:w="15" w:type="dxa"/>
            </w:tcMar>
            <w:vAlign w:val="center"/>
          </w:tcPr>
          <w:p w14:paraId="1BACA3AD">
            <w:pPr>
              <w:spacing w:line="240" w:lineRule="auto"/>
              <w:jc w:val="center"/>
              <w:rPr>
                <w:color w:val="000000"/>
                <w:sz w:val="21"/>
                <w:szCs w:val="21"/>
                <w:highlight w:val="none"/>
              </w:rPr>
            </w:pPr>
          </w:p>
        </w:tc>
      </w:tr>
      <w:tr w14:paraId="60DF9F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5370138C">
            <w:pPr>
              <w:widowControl/>
              <w:spacing w:line="240" w:lineRule="auto"/>
              <w:jc w:val="center"/>
              <w:textAlignment w:val="center"/>
              <w:rPr>
                <w:color w:val="000000"/>
                <w:sz w:val="21"/>
                <w:szCs w:val="21"/>
                <w:highlight w:val="none"/>
              </w:rPr>
            </w:pPr>
            <w:r>
              <w:rPr>
                <w:color w:val="000000"/>
                <w:kern w:val="0"/>
                <w:sz w:val="21"/>
                <w:szCs w:val="21"/>
                <w:highlight w:val="none"/>
                <w:lang w:bidi="ar"/>
              </w:rPr>
              <w:t>19</w:t>
            </w:r>
          </w:p>
        </w:tc>
        <w:tc>
          <w:tcPr>
            <w:tcW w:w="2142" w:type="pct"/>
            <w:tcBorders>
              <w:tl2br w:val="nil"/>
              <w:tr2bl w:val="nil"/>
            </w:tcBorders>
            <w:shd w:val="clear" w:color="auto" w:fill="auto"/>
            <w:tcMar>
              <w:top w:w="15" w:type="dxa"/>
              <w:left w:w="15" w:type="dxa"/>
              <w:right w:w="15" w:type="dxa"/>
            </w:tcMar>
            <w:vAlign w:val="center"/>
          </w:tcPr>
          <w:p w14:paraId="1E4B602B">
            <w:pPr>
              <w:widowControl/>
              <w:spacing w:line="240" w:lineRule="auto"/>
              <w:jc w:val="center"/>
              <w:textAlignment w:val="top"/>
              <w:rPr>
                <w:color w:val="000000"/>
                <w:sz w:val="21"/>
                <w:szCs w:val="21"/>
                <w:highlight w:val="none"/>
              </w:rPr>
            </w:pPr>
            <w:r>
              <w:rPr>
                <w:color w:val="000000"/>
                <w:kern w:val="0"/>
                <w:sz w:val="21"/>
                <w:szCs w:val="21"/>
                <w:highlight w:val="none"/>
                <w:lang w:bidi="ar"/>
              </w:rPr>
              <w:t>钠</w:t>
            </w:r>
          </w:p>
        </w:tc>
        <w:tc>
          <w:tcPr>
            <w:tcW w:w="488" w:type="pct"/>
            <w:tcBorders>
              <w:tl2br w:val="nil"/>
              <w:tr2bl w:val="nil"/>
            </w:tcBorders>
            <w:shd w:val="clear" w:color="auto" w:fill="auto"/>
            <w:tcMar>
              <w:top w:w="15" w:type="dxa"/>
              <w:left w:w="15" w:type="dxa"/>
              <w:right w:w="15" w:type="dxa"/>
            </w:tcMar>
            <w:vAlign w:val="center"/>
          </w:tcPr>
          <w:p w14:paraId="7370A905">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tcPr>
          <w:p w14:paraId="43B088EE">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rFonts w:hint="eastAsia"/>
                <w:color w:val="000000"/>
                <w:kern w:val="0"/>
                <w:sz w:val="21"/>
                <w:szCs w:val="21"/>
                <w:highlight w:val="none"/>
                <w:lang w:bidi="ar"/>
              </w:rPr>
              <w:t>400</w:t>
            </w:r>
          </w:p>
        </w:tc>
        <w:tc>
          <w:tcPr>
            <w:tcW w:w="1217" w:type="pct"/>
            <w:vMerge w:val="continue"/>
            <w:tcBorders>
              <w:tl2br w:val="nil"/>
              <w:tr2bl w:val="nil"/>
            </w:tcBorders>
            <w:shd w:val="clear" w:color="auto" w:fill="auto"/>
            <w:noWrap/>
            <w:tcMar>
              <w:top w:w="15" w:type="dxa"/>
              <w:left w:w="15" w:type="dxa"/>
              <w:right w:w="15" w:type="dxa"/>
            </w:tcMar>
            <w:vAlign w:val="center"/>
          </w:tcPr>
          <w:p w14:paraId="6E44A98B">
            <w:pPr>
              <w:spacing w:line="240" w:lineRule="auto"/>
              <w:jc w:val="center"/>
              <w:rPr>
                <w:color w:val="000000"/>
                <w:sz w:val="21"/>
                <w:szCs w:val="21"/>
                <w:highlight w:val="none"/>
              </w:rPr>
            </w:pPr>
          </w:p>
        </w:tc>
      </w:tr>
      <w:tr w14:paraId="37375C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5222599E">
            <w:pPr>
              <w:widowControl/>
              <w:spacing w:line="240" w:lineRule="auto"/>
              <w:jc w:val="center"/>
              <w:textAlignment w:val="center"/>
              <w:rPr>
                <w:color w:val="000000"/>
                <w:sz w:val="21"/>
                <w:szCs w:val="21"/>
                <w:highlight w:val="none"/>
              </w:rPr>
            </w:pPr>
            <w:r>
              <w:rPr>
                <w:color w:val="000000"/>
                <w:kern w:val="0"/>
                <w:sz w:val="21"/>
                <w:szCs w:val="21"/>
                <w:highlight w:val="none"/>
                <w:lang w:bidi="ar"/>
              </w:rPr>
              <w:t>20</w:t>
            </w:r>
          </w:p>
        </w:tc>
        <w:tc>
          <w:tcPr>
            <w:tcW w:w="2142" w:type="pct"/>
            <w:tcBorders>
              <w:tl2br w:val="nil"/>
              <w:tr2bl w:val="nil"/>
            </w:tcBorders>
            <w:shd w:val="clear" w:color="auto" w:fill="auto"/>
            <w:tcMar>
              <w:top w:w="15" w:type="dxa"/>
              <w:left w:w="15" w:type="dxa"/>
              <w:right w:w="15" w:type="dxa"/>
            </w:tcMar>
            <w:vAlign w:val="center"/>
          </w:tcPr>
          <w:p w14:paraId="65ADD23A">
            <w:pPr>
              <w:widowControl/>
              <w:spacing w:line="240" w:lineRule="auto"/>
              <w:jc w:val="center"/>
              <w:textAlignment w:val="top"/>
              <w:rPr>
                <w:color w:val="000000"/>
                <w:sz w:val="21"/>
                <w:szCs w:val="21"/>
                <w:highlight w:val="none"/>
              </w:rPr>
            </w:pPr>
            <w:r>
              <w:rPr>
                <w:color w:val="000000"/>
                <w:kern w:val="0"/>
                <w:sz w:val="21"/>
                <w:szCs w:val="21"/>
                <w:highlight w:val="none"/>
                <w:lang w:bidi="ar"/>
              </w:rPr>
              <w:t>锌</w:t>
            </w:r>
          </w:p>
        </w:tc>
        <w:tc>
          <w:tcPr>
            <w:tcW w:w="488" w:type="pct"/>
            <w:tcBorders>
              <w:tl2br w:val="nil"/>
              <w:tr2bl w:val="nil"/>
            </w:tcBorders>
            <w:shd w:val="clear" w:color="auto" w:fill="auto"/>
            <w:tcMar>
              <w:top w:w="15" w:type="dxa"/>
              <w:left w:w="15" w:type="dxa"/>
              <w:right w:w="15" w:type="dxa"/>
            </w:tcMar>
            <w:vAlign w:val="center"/>
          </w:tcPr>
          <w:p w14:paraId="272BA3F5">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tcPr>
          <w:p w14:paraId="79F4438D">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rFonts w:hint="eastAsia"/>
                <w:color w:val="000000"/>
                <w:kern w:val="0"/>
                <w:sz w:val="21"/>
                <w:szCs w:val="21"/>
                <w:highlight w:val="none"/>
                <w:lang w:bidi="ar"/>
              </w:rPr>
              <w:t>5.00</w:t>
            </w:r>
          </w:p>
        </w:tc>
        <w:tc>
          <w:tcPr>
            <w:tcW w:w="1217" w:type="pct"/>
            <w:vMerge w:val="continue"/>
            <w:tcBorders>
              <w:tl2br w:val="nil"/>
              <w:tr2bl w:val="nil"/>
            </w:tcBorders>
            <w:shd w:val="clear" w:color="auto" w:fill="auto"/>
            <w:noWrap/>
            <w:tcMar>
              <w:top w:w="15" w:type="dxa"/>
              <w:left w:w="15" w:type="dxa"/>
              <w:right w:w="15" w:type="dxa"/>
            </w:tcMar>
            <w:vAlign w:val="center"/>
          </w:tcPr>
          <w:p w14:paraId="6B1BB0C9">
            <w:pPr>
              <w:spacing w:line="240" w:lineRule="auto"/>
              <w:jc w:val="center"/>
              <w:rPr>
                <w:color w:val="000000"/>
                <w:sz w:val="21"/>
                <w:szCs w:val="21"/>
                <w:highlight w:val="none"/>
              </w:rPr>
            </w:pPr>
          </w:p>
        </w:tc>
      </w:tr>
      <w:tr w14:paraId="0933A9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53ED62B7">
            <w:pPr>
              <w:widowControl/>
              <w:spacing w:line="240" w:lineRule="auto"/>
              <w:jc w:val="center"/>
              <w:textAlignment w:val="center"/>
              <w:rPr>
                <w:color w:val="000000"/>
                <w:sz w:val="21"/>
                <w:szCs w:val="21"/>
                <w:highlight w:val="none"/>
              </w:rPr>
            </w:pPr>
            <w:r>
              <w:rPr>
                <w:color w:val="000000"/>
                <w:kern w:val="0"/>
                <w:sz w:val="21"/>
                <w:szCs w:val="21"/>
                <w:highlight w:val="none"/>
                <w:lang w:bidi="ar"/>
              </w:rPr>
              <w:t>21</w:t>
            </w:r>
          </w:p>
        </w:tc>
        <w:tc>
          <w:tcPr>
            <w:tcW w:w="2142" w:type="pct"/>
            <w:tcBorders>
              <w:tl2br w:val="nil"/>
              <w:tr2bl w:val="nil"/>
            </w:tcBorders>
            <w:shd w:val="clear" w:color="auto" w:fill="auto"/>
            <w:tcMar>
              <w:top w:w="15" w:type="dxa"/>
              <w:left w:w="15" w:type="dxa"/>
              <w:right w:w="15" w:type="dxa"/>
            </w:tcMar>
            <w:vAlign w:val="center"/>
          </w:tcPr>
          <w:p w14:paraId="7B549020">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铬</w:t>
            </w:r>
          </w:p>
        </w:tc>
        <w:tc>
          <w:tcPr>
            <w:tcW w:w="488" w:type="pct"/>
            <w:tcBorders>
              <w:tl2br w:val="nil"/>
              <w:tr2bl w:val="nil"/>
            </w:tcBorders>
            <w:shd w:val="clear" w:color="auto" w:fill="auto"/>
            <w:tcMar>
              <w:top w:w="15" w:type="dxa"/>
              <w:left w:w="15" w:type="dxa"/>
              <w:right w:w="15" w:type="dxa"/>
            </w:tcMar>
            <w:vAlign w:val="center"/>
          </w:tcPr>
          <w:p w14:paraId="72469844">
            <w:pPr>
              <w:widowControl/>
              <w:spacing w:line="240" w:lineRule="auto"/>
              <w:jc w:val="center"/>
              <w:textAlignment w:val="top"/>
              <w:rPr>
                <w:rFonts w:eastAsia="黑体"/>
                <w:sz w:val="21"/>
                <w:szCs w:val="21"/>
                <w:highlight w:val="none"/>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20DF244B">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p>
        </w:tc>
        <w:tc>
          <w:tcPr>
            <w:tcW w:w="1217" w:type="pct"/>
            <w:tcBorders>
              <w:tl2br w:val="nil"/>
              <w:tr2bl w:val="nil"/>
            </w:tcBorders>
            <w:shd w:val="clear" w:color="auto" w:fill="auto"/>
            <w:noWrap/>
            <w:tcMar>
              <w:top w:w="15" w:type="dxa"/>
              <w:left w:w="15" w:type="dxa"/>
              <w:right w:w="15" w:type="dxa"/>
            </w:tcMar>
            <w:vAlign w:val="center"/>
          </w:tcPr>
          <w:p w14:paraId="0779C6C2">
            <w:pPr>
              <w:spacing w:line="240" w:lineRule="auto"/>
              <w:jc w:val="center"/>
              <w:rPr>
                <w:color w:val="000000"/>
                <w:sz w:val="21"/>
                <w:szCs w:val="21"/>
                <w:highlight w:val="none"/>
              </w:rPr>
            </w:pPr>
            <w:r>
              <w:rPr>
                <w:color w:val="000000"/>
                <w:sz w:val="21"/>
                <w:szCs w:val="21"/>
                <w:highlight w:val="none"/>
              </w:rPr>
              <w:t>/</w:t>
            </w:r>
          </w:p>
        </w:tc>
      </w:tr>
      <w:tr w14:paraId="12487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791884D3">
            <w:pPr>
              <w:widowControl/>
              <w:spacing w:line="240" w:lineRule="auto"/>
              <w:jc w:val="center"/>
              <w:textAlignment w:val="center"/>
              <w:rPr>
                <w:color w:val="000000"/>
                <w:sz w:val="21"/>
                <w:szCs w:val="21"/>
                <w:highlight w:val="none"/>
              </w:rPr>
            </w:pPr>
            <w:r>
              <w:rPr>
                <w:color w:val="000000"/>
                <w:kern w:val="0"/>
                <w:sz w:val="21"/>
                <w:szCs w:val="21"/>
                <w:highlight w:val="none"/>
                <w:lang w:bidi="ar"/>
              </w:rPr>
              <w:t>22</w:t>
            </w:r>
          </w:p>
        </w:tc>
        <w:tc>
          <w:tcPr>
            <w:tcW w:w="2142" w:type="pct"/>
            <w:tcBorders>
              <w:tl2br w:val="nil"/>
              <w:tr2bl w:val="nil"/>
            </w:tcBorders>
            <w:shd w:val="clear" w:color="auto" w:fill="auto"/>
            <w:tcMar>
              <w:top w:w="15" w:type="dxa"/>
              <w:left w:w="15" w:type="dxa"/>
              <w:right w:w="15" w:type="dxa"/>
            </w:tcMar>
            <w:vAlign w:val="center"/>
          </w:tcPr>
          <w:p w14:paraId="19D4303E">
            <w:pPr>
              <w:widowControl/>
              <w:spacing w:line="240" w:lineRule="auto"/>
              <w:jc w:val="center"/>
              <w:textAlignment w:val="top"/>
              <w:rPr>
                <w:color w:val="000000"/>
                <w:sz w:val="21"/>
                <w:szCs w:val="21"/>
                <w:highlight w:val="none"/>
              </w:rPr>
            </w:pPr>
            <w:r>
              <w:rPr>
                <w:color w:val="000000"/>
                <w:kern w:val="0"/>
                <w:sz w:val="21"/>
                <w:szCs w:val="21"/>
                <w:highlight w:val="none"/>
                <w:lang w:bidi="ar"/>
              </w:rPr>
              <w:t>汞</w:t>
            </w:r>
          </w:p>
        </w:tc>
        <w:tc>
          <w:tcPr>
            <w:tcW w:w="488" w:type="pct"/>
            <w:tcBorders>
              <w:tl2br w:val="nil"/>
              <w:tr2bl w:val="nil"/>
            </w:tcBorders>
            <w:shd w:val="clear" w:color="auto" w:fill="auto"/>
            <w:tcMar>
              <w:top w:w="15" w:type="dxa"/>
              <w:left w:w="15" w:type="dxa"/>
              <w:right w:w="15" w:type="dxa"/>
            </w:tcMar>
            <w:vAlign w:val="center"/>
          </w:tcPr>
          <w:p w14:paraId="37F30CA9">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tcPr>
          <w:p w14:paraId="7AC9332D">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color w:val="000000"/>
                <w:kern w:val="0"/>
                <w:sz w:val="22"/>
                <w:szCs w:val="22"/>
                <w:highlight w:val="none"/>
                <w:lang w:bidi="ar"/>
              </w:rPr>
              <w:t>0.002</w:t>
            </w:r>
          </w:p>
        </w:tc>
        <w:tc>
          <w:tcPr>
            <w:tcW w:w="1217" w:type="pct"/>
            <w:vMerge w:val="restart"/>
            <w:tcBorders>
              <w:tl2br w:val="nil"/>
              <w:tr2bl w:val="nil"/>
            </w:tcBorders>
            <w:shd w:val="clear" w:color="auto" w:fill="auto"/>
            <w:noWrap/>
            <w:tcMar>
              <w:top w:w="15" w:type="dxa"/>
              <w:left w:w="15" w:type="dxa"/>
              <w:right w:w="15" w:type="dxa"/>
            </w:tcMar>
            <w:vAlign w:val="center"/>
          </w:tcPr>
          <w:p w14:paraId="1570D8EA">
            <w:pPr>
              <w:spacing w:line="240" w:lineRule="auto"/>
              <w:jc w:val="center"/>
              <w:rPr>
                <w:color w:val="000000"/>
                <w:sz w:val="21"/>
                <w:szCs w:val="21"/>
                <w:highlight w:val="none"/>
              </w:rPr>
            </w:pPr>
            <w:r>
              <w:rPr>
                <w:color w:val="000000"/>
                <w:sz w:val="21"/>
                <w:szCs w:val="21"/>
                <w:highlight w:val="none"/>
              </w:rPr>
              <w:t>GB/T 14848</w:t>
            </w:r>
            <w:r>
              <w:rPr>
                <w:rFonts w:hint="eastAsia"/>
                <w:color w:val="000000"/>
                <w:sz w:val="21"/>
                <w:szCs w:val="21"/>
                <w:highlight w:val="none"/>
              </w:rPr>
              <w:t>-2017</w:t>
            </w:r>
          </w:p>
          <w:p w14:paraId="5EED3F9C">
            <w:pPr>
              <w:spacing w:line="240" w:lineRule="auto"/>
              <w:jc w:val="center"/>
              <w:rPr>
                <w:color w:val="000000"/>
                <w:sz w:val="21"/>
                <w:szCs w:val="21"/>
                <w:highlight w:val="none"/>
              </w:rPr>
            </w:pPr>
            <w:r>
              <w:rPr>
                <w:rFonts w:hint="eastAsia"/>
                <w:color w:val="000000"/>
                <w:sz w:val="21"/>
                <w:szCs w:val="21"/>
                <w:highlight w:val="none"/>
              </w:rPr>
              <w:t>IV类标准</w:t>
            </w:r>
          </w:p>
        </w:tc>
      </w:tr>
      <w:tr w14:paraId="79D792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3131C841">
            <w:pPr>
              <w:widowControl/>
              <w:spacing w:line="240" w:lineRule="auto"/>
              <w:jc w:val="center"/>
              <w:textAlignment w:val="center"/>
              <w:rPr>
                <w:color w:val="000000"/>
                <w:sz w:val="21"/>
                <w:szCs w:val="21"/>
                <w:highlight w:val="none"/>
              </w:rPr>
            </w:pPr>
            <w:r>
              <w:rPr>
                <w:color w:val="000000"/>
                <w:kern w:val="0"/>
                <w:sz w:val="21"/>
                <w:szCs w:val="21"/>
                <w:highlight w:val="none"/>
                <w:lang w:bidi="ar"/>
              </w:rPr>
              <w:t>23</w:t>
            </w:r>
          </w:p>
        </w:tc>
        <w:tc>
          <w:tcPr>
            <w:tcW w:w="2142" w:type="pct"/>
            <w:tcBorders>
              <w:tl2br w:val="nil"/>
              <w:tr2bl w:val="nil"/>
            </w:tcBorders>
            <w:shd w:val="clear" w:color="auto" w:fill="auto"/>
            <w:tcMar>
              <w:top w:w="15" w:type="dxa"/>
              <w:left w:w="15" w:type="dxa"/>
              <w:right w:w="15" w:type="dxa"/>
            </w:tcMar>
            <w:vAlign w:val="center"/>
          </w:tcPr>
          <w:p w14:paraId="20145A8F">
            <w:pPr>
              <w:widowControl/>
              <w:spacing w:line="240" w:lineRule="auto"/>
              <w:jc w:val="center"/>
              <w:textAlignment w:val="top"/>
              <w:rPr>
                <w:color w:val="000000"/>
                <w:sz w:val="21"/>
                <w:szCs w:val="21"/>
                <w:highlight w:val="none"/>
              </w:rPr>
            </w:pPr>
            <w:r>
              <w:rPr>
                <w:color w:val="000000"/>
                <w:kern w:val="0"/>
                <w:sz w:val="21"/>
                <w:szCs w:val="21"/>
                <w:highlight w:val="none"/>
                <w:lang w:bidi="ar"/>
              </w:rPr>
              <w:t>砷</w:t>
            </w:r>
          </w:p>
        </w:tc>
        <w:tc>
          <w:tcPr>
            <w:tcW w:w="488" w:type="pct"/>
            <w:tcBorders>
              <w:tl2br w:val="nil"/>
              <w:tr2bl w:val="nil"/>
            </w:tcBorders>
            <w:shd w:val="clear" w:color="auto" w:fill="auto"/>
            <w:tcMar>
              <w:top w:w="15" w:type="dxa"/>
              <w:left w:w="15" w:type="dxa"/>
              <w:right w:w="15" w:type="dxa"/>
            </w:tcMar>
            <w:vAlign w:val="center"/>
          </w:tcPr>
          <w:p w14:paraId="5170DC5F">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tcPr>
          <w:p w14:paraId="634294F9">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color w:val="000000"/>
                <w:kern w:val="0"/>
                <w:sz w:val="22"/>
                <w:szCs w:val="22"/>
                <w:highlight w:val="none"/>
                <w:lang w:bidi="ar"/>
              </w:rPr>
              <w:t>0.05</w:t>
            </w:r>
          </w:p>
        </w:tc>
        <w:tc>
          <w:tcPr>
            <w:tcW w:w="1217" w:type="pct"/>
            <w:vMerge w:val="continue"/>
            <w:tcBorders>
              <w:tl2br w:val="nil"/>
              <w:tr2bl w:val="nil"/>
            </w:tcBorders>
            <w:shd w:val="clear" w:color="auto" w:fill="auto"/>
            <w:noWrap/>
            <w:tcMar>
              <w:top w:w="15" w:type="dxa"/>
              <w:left w:w="15" w:type="dxa"/>
              <w:right w:w="15" w:type="dxa"/>
            </w:tcMar>
            <w:vAlign w:val="center"/>
          </w:tcPr>
          <w:p w14:paraId="39DDCB42">
            <w:pPr>
              <w:spacing w:line="240" w:lineRule="auto"/>
              <w:jc w:val="center"/>
              <w:rPr>
                <w:color w:val="000000"/>
                <w:sz w:val="21"/>
                <w:szCs w:val="21"/>
                <w:highlight w:val="none"/>
              </w:rPr>
            </w:pPr>
          </w:p>
        </w:tc>
      </w:tr>
      <w:tr w14:paraId="784540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4E9D3AB0">
            <w:pPr>
              <w:widowControl/>
              <w:spacing w:line="240" w:lineRule="auto"/>
              <w:jc w:val="center"/>
              <w:textAlignment w:val="center"/>
              <w:rPr>
                <w:color w:val="000000"/>
                <w:sz w:val="21"/>
                <w:szCs w:val="21"/>
                <w:highlight w:val="none"/>
              </w:rPr>
            </w:pPr>
            <w:r>
              <w:rPr>
                <w:color w:val="000000"/>
                <w:kern w:val="0"/>
                <w:sz w:val="21"/>
                <w:szCs w:val="21"/>
                <w:highlight w:val="none"/>
                <w:lang w:bidi="ar"/>
              </w:rPr>
              <w:t>24</w:t>
            </w:r>
          </w:p>
        </w:tc>
        <w:tc>
          <w:tcPr>
            <w:tcW w:w="2142" w:type="pct"/>
            <w:tcBorders>
              <w:tl2br w:val="nil"/>
              <w:tr2bl w:val="nil"/>
            </w:tcBorders>
            <w:shd w:val="clear" w:color="auto" w:fill="auto"/>
            <w:tcMar>
              <w:top w:w="15" w:type="dxa"/>
              <w:left w:w="15" w:type="dxa"/>
              <w:right w:w="15" w:type="dxa"/>
            </w:tcMar>
            <w:vAlign w:val="center"/>
          </w:tcPr>
          <w:p w14:paraId="348E1EDB">
            <w:pPr>
              <w:widowControl/>
              <w:spacing w:line="240" w:lineRule="auto"/>
              <w:jc w:val="center"/>
              <w:textAlignment w:val="top"/>
              <w:rPr>
                <w:color w:val="000000"/>
                <w:sz w:val="21"/>
                <w:szCs w:val="21"/>
                <w:highlight w:val="none"/>
              </w:rPr>
            </w:pPr>
            <w:r>
              <w:rPr>
                <w:color w:val="000000"/>
                <w:kern w:val="0"/>
                <w:sz w:val="21"/>
                <w:szCs w:val="21"/>
                <w:highlight w:val="none"/>
                <w:lang w:bidi="ar"/>
              </w:rPr>
              <w:t>硒</w:t>
            </w:r>
          </w:p>
        </w:tc>
        <w:tc>
          <w:tcPr>
            <w:tcW w:w="488" w:type="pct"/>
            <w:tcBorders>
              <w:tl2br w:val="nil"/>
              <w:tr2bl w:val="nil"/>
            </w:tcBorders>
            <w:shd w:val="clear" w:color="auto" w:fill="auto"/>
            <w:tcMar>
              <w:top w:w="15" w:type="dxa"/>
              <w:left w:w="15" w:type="dxa"/>
              <w:right w:w="15" w:type="dxa"/>
            </w:tcMar>
            <w:vAlign w:val="center"/>
          </w:tcPr>
          <w:p w14:paraId="0BB6B2F5">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tcPr>
          <w:p w14:paraId="31986910">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color w:val="000000"/>
                <w:kern w:val="0"/>
                <w:sz w:val="22"/>
                <w:szCs w:val="22"/>
                <w:highlight w:val="none"/>
                <w:lang w:bidi="ar"/>
              </w:rPr>
              <w:t>0.1</w:t>
            </w:r>
          </w:p>
        </w:tc>
        <w:tc>
          <w:tcPr>
            <w:tcW w:w="1217" w:type="pct"/>
            <w:vMerge w:val="continue"/>
            <w:tcBorders>
              <w:tl2br w:val="nil"/>
              <w:tr2bl w:val="nil"/>
            </w:tcBorders>
            <w:shd w:val="clear" w:color="auto" w:fill="auto"/>
            <w:noWrap/>
            <w:tcMar>
              <w:top w:w="15" w:type="dxa"/>
              <w:left w:w="15" w:type="dxa"/>
              <w:right w:w="15" w:type="dxa"/>
            </w:tcMar>
            <w:vAlign w:val="center"/>
          </w:tcPr>
          <w:p w14:paraId="5FB9363B">
            <w:pPr>
              <w:spacing w:line="240" w:lineRule="auto"/>
              <w:jc w:val="center"/>
              <w:rPr>
                <w:color w:val="000000"/>
                <w:sz w:val="21"/>
                <w:szCs w:val="21"/>
                <w:highlight w:val="none"/>
              </w:rPr>
            </w:pPr>
          </w:p>
        </w:tc>
      </w:tr>
      <w:tr w14:paraId="2E83CA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11EBD1D6">
            <w:pPr>
              <w:widowControl/>
              <w:spacing w:line="240" w:lineRule="auto"/>
              <w:jc w:val="center"/>
              <w:textAlignment w:val="center"/>
              <w:rPr>
                <w:color w:val="000000"/>
                <w:sz w:val="21"/>
                <w:szCs w:val="21"/>
                <w:highlight w:val="none"/>
              </w:rPr>
            </w:pPr>
            <w:r>
              <w:rPr>
                <w:color w:val="000000"/>
                <w:kern w:val="0"/>
                <w:sz w:val="21"/>
                <w:szCs w:val="21"/>
                <w:highlight w:val="none"/>
                <w:lang w:bidi="ar"/>
              </w:rPr>
              <w:t>25</w:t>
            </w:r>
          </w:p>
        </w:tc>
        <w:tc>
          <w:tcPr>
            <w:tcW w:w="2142" w:type="pct"/>
            <w:tcBorders>
              <w:tl2br w:val="nil"/>
              <w:tr2bl w:val="nil"/>
            </w:tcBorders>
            <w:shd w:val="clear" w:color="auto" w:fill="auto"/>
            <w:tcMar>
              <w:top w:w="15" w:type="dxa"/>
              <w:left w:w="15" w:type="dxa"/>
              <w:right w:w="15" w:type="dxa"/>
            </w:tcMar>
            <w:vAlign w:val="center"/>
          </w:tcPr>
          <w:p w14:paraId="538E2A26">
            <w:pPr>
              <w:widowControl/>
              <w:spacing w:line="240" w:lineRule="auto"/>
              <w:jc w:val="center"/>
              <w:textAlignment w:val="top"/>
              <w:rPr>
                <w:color w:val="000000"/>
                <w:sz w:val="21"/>
                <w:szCs w:val="21"/>
                <w:highlight w:val="none"/>
              </w:rPr>
            </w:pPr>
            <w:r>
              <w:rPr>
                <w:color w:val="000000"/>
                <w:kern w:val="0"/>
                <w:sz w:val="21"/>
                <w:szCs w:val="21"/>
                <w:highlight w:val="none"/>
                <w:lang w:bidi="ar"/>
              </w:rPr>
              <w:t>铅</w:t>
            </w:r>
          </w:p>
        </w:tc>
        <w:tc>
          <w:tcPr>
            <w:tcW w:w="488" w:type="pct"/>
            <w:tcBorders>
              <w:tl2br w:val="nil"/>
              <w:tr2bl w:val="nil"/>
            </w:tcBorders>
            <w:shd w:val="clear" w:color="auto" w:fill="auto"/>
            <w:tcMar>
              <w:top w:w="15" w:type="dxa"/>
              <w:left w:w="15" w:type="dxa"/>
              <w:right w:w="15" w:type="dxa"/>
            </w:tcMar>
            <w:vAlign w:val="center"/>
          </w:tcPr>
          <w:p w14:paraId="462E4654">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tcPr>
          <w:p w14:paraId="551DB8C1">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color w:val="000000"/>
                <w:kern w:val="0"/>
                <w:sz w:val="22"/>
                <w:szCs w:val="22"/>
                <w:highlight w:val="none"/>
                <w:lang w:bidi="ar"/>
              </w:rPr>
              <w:t>0.1</w:t>
            </w:r>
            <w:r>
              <w:rPr>
                <w:rFonts w:hint="eastAsia"/>
                <w:color w:val="000000"/>
                <w:kern w:val="0"/>
                <w:sz w:val="22"/>
                <w:szCs w:val="22"/>
                <w:highlight w:val="none"/>
                <w:lang w:bidi="ar"/>
              </w:rPr>
              <w:t>0</w:t>
            </w:r>
          </w:p>
        </w:tc>
        <w:tc>
          <w:tcPr>
            <w:tcW w:w="1217" w:type="pct"/>
            <w:vMerge w:val="continue"/>
            <w:tcBorders>
              <w:tl2br w:val="nil"/>
              <w:tr2bl w:val="nil"/>
            </w:tcBorders>
            <w:shd w:val="clear" w:color="auto" w:fill="auto"/>
            <w:noWrap/>
            <w:tcMar>
              <w:top w:w="15" w:type="dxa"/>
              <w:left w:w="15" w:type="dxa"/>
              <w:right w:w="15" w:type="dxa"/>
            </w:tcMar>
            <w:vAlign w:val="center"/>
          </w:tcPr>
          <w:p w14:paraId="38C5D596">
            <w:pPr>
              <w:spacing w:line="240" w:lineRule="auto"/>
              <w:jc w:val="center"/>
              <w:rPr>
                <w:color w:val="000000"/>
                <w:sz w:val="21"/>
                <w:szCs w:val="21"/>
                <w:highlight w:val="none"/>
              </w:rPr>
            </w:pPr>
          </w:p>
        </w:tc>
      </w:tr>
      <w:tr w14:paraId="14D4B8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12C79027">
            <w:pPr>
              <w:widowControl/>
              <w:spacing w:line="240" w:lineRule="auto"/>
              <w:jc w:val="center"/>
              <w:textAlignment w:val="center"/>
              <w:rPr>
                <w:color w:val="000000"/>
                <w:sz w:val="21"/>
                <w:szCs w:val="21"/>
                <w:highlight w:val="none"/>
              </w:rPr>
            </w:pPr>
            <w:r>
              <w:rPr>
                <w:color w:val="000000"/>
                <w:kern w:val="0"/>
                <w:sz w:val="21"/>
                <w:szCs w:val="21"/>
                <w:highlight w:val="none"/>
                <w:lang w:bidi="ar"/>
              </w:rPr>
              <w:t>26</w:t>
            </w:r>
          </w:p>
        </w:tc>
        <w:tc>
          <w:tcPr>
            <w:tcW w:w="2142" w:type="pct"/>
            <w:tcBorders>
              <w:tl2br w:val="nil"/>
              <w:tr2bl w:val="nil"/>
            </w:tcBorders>
            <w:shd w:val="clear" w:color="auto" w:fill="auto"/>
            <w:tcMar>
              <w:top w:w="15" w:type="dxa"/>
              <w:left w:w="15" w:type="dxa"/>
              <w:right w:w="15" w:type="dxa"/>
            </w:tcMar>
            <w:vAlign w:val="center"/>
          </w:tcPr>
          <w:p w14:paraId="0C392D11">
            <w:pPr>
              <w:widowControl/>
              <w:spacing w:line="240" w:lineRule="auto"/>
              <w:jc w:val="center"/>
              <w:textAlignment w:val="top"/>
              <w:rPr>
                <w:color w:val="000000"/>
                <w:sz w:val="21"/>
                <w:szCs w:val="21"/>
                <w:highlight w:val="none"/>
              </w:rPr>
            </w:pPr>
            <w:r>
              <w:rPr>
                <w:color w:val="000000"/>
                <w:kern w:val="0"/>
                <w:sz w:val="21"/>
                <w:szCs w:val="21"/>
                <w:highlight w:val="none"/>
                <w:lang w:bidi="ar"/>
              </w:rPr>
              <w:t>镉</w:t>
            </w:r>
          </w:p>
        </w:tc>
        <w:tc>
          <w:tcPr>
            <w:tcW w:w="488" w:type="pct"/>
            <w:tcBorders>
              <w:tl2br w:val="nil"/>
              <w:tr2bl w:val="nil"/>
            </w:tcBorders>
            <w:shd w:val="clear" w:color="auto" w:fill="auto"/>
            <w:tcMar>
              <w:top w:w="15" w:type="dxa"/>
              <w:left w:w="15" w:type="dxa"/>
              <w:right w:w="15" w:type="dxa"/>
            </w:tcMar>
            <w:vAlign w:val="center"/>
          </w:tcPr>
          <w:p w14:paraId="4DA169F2">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tcPr>
          <w:p w14:paraId="16AF8606">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color w:val="000000"/>
                <w:kern w:val="0"/>
                <w:sz w:val="22"/>
                <w:szCs w:val="22"/>
                <w:highlight w:val="none"/>
                <w:lang w:bidi="ar"/>
              </w:rPr>
              <w:t>0.01</w:t>
            </w:r>
          </w:p>
        </w:tc>
        <w:tc>
          <w:tcPr>
            <w:tcW w:w="1217" w:type="pct"/>
            <w:vMerge w:val="continue"/>
            <w:tcBorders>
              <w:tl2br w:val="nil"/>
              <w:tr2bl w:val="nil"/>
            </w:tcBorders>
            <w:shd w:val="clear" w:color="auto" w:fill="auto"/>
            <w:noWrap/>
            <w:tcMar>
              <w:top w:w="15" w:type="dxa"/>
              <w:left w:w="15" w:type="dxa"/>
              <w:right w:w="15" w:type="dxa"/>
            </w:tcMar>
            <w:vAlign w:val="center"/>
          </w:tcPr>
          <w:p w14:paraId="1E16649E">
            <w:pPr>
              <w:spacing w:line="240" w:lineRule="auto"/>
              <w:jc w:val="center"/>
              <w:rPr>
                <w:color w:val="000000"/>
                <w:sz w:val="21"/>
                <w:szCs w:val="21"/>
                <w:highlight w:val="none"/>
              </w:rPr>
            </w:pPr>
          </w:p>
        </w:tc>
      </w:tr>
      <w:tr w14:paraId="67F4D5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14C6613C">
            <w:pPr>
              <w:widowControl/>
              <w:spacing w:line="240" w:lineRule="auto"/>
              <w:jc w:val="center"/>
              <w:textAlignment w:val="center"/>
              <w:rPr>
                <w:color w:val="000000"/>
                <w:sz w:val="21"/>
                <w:szCs w:val="21"/>
                <w:highlight w:val="none"/>
              </w:rPr>
            </w:pPr>
            <w:r>
              <w:rPr>
                <w:color w:val="000000"/>
                <w:kern w:val="0"/>
                <w:sz w:val="21"/>
                <w:szCs w:val="21"/>
                <w:highlight w:val="none"/>
                <w:lang w:bidi="ar"/>
              </w:rPr>
              <w:t>27</w:t>
            </w:r>
          </w:p>
        </w:tc>
        <w:tc>
          <w:tcPr>
            <w:tcW w:w="2142" w:type="pct"/>
            <w:tcBorders>
              <w:tl2br w:val="nil"/>
              <w:tr2bl w:val="nil"/>
            </w:tcBorders>
            <w:shd w:val="clear" w:color="auto" w:fill="auto"/>
            <w:tcMar>
              <w:top w:w="15" w:type="dxa"/>
              <w:left w:w="15" w:type="dxa"/>
              <w:right w:w="15" w:type="dxa"/>
            </w:tcMar>
            <w:vAlign w:val="center"/>
          </w:tcPr>
          <w:p w14:paraId="5B335CDC">
            <w:pPr>
              <w:widowControl/>
              <w:spacing w:line="240" w:lineRule="auto"/>
              <w:jc w:val="center"/>
              <w:textAlignment w:val="top"/>
              <w:rPr>
                <w:color w:val="000000"/>
                <w:sz w:val="21"/>
                <w:szCs w:val="21"/>
                <w:highlight w:val="none"/>
              </w:rPr>
            </w:pPr>
            <w:r>
              <w:rPr>
                <w:color w:val="000000"/>
                <w:kern w:val="0"/>
                <w:sz w:val="21"/>
                <w:szCs w:val="21"/>
                <w:highlight w:val="none"/>
                <w:lang w:bidi="ar"/>
              </w:rPr>
              <w:t>铬(六价)</w:t>
            </w:r>
          </w:p>
        </w:tc>
        <w:tc>
          <w:tcPr>
            <w:tcW w:w="488" w:type="pct"/>
            <w:tcBorders>
              <w:tl2br w:val="nil"/>
              <w:tr2bl w:val="nil"/>
            </w:tcBorders>
            <w:shd w:val="clear" w:color="auto" w:fill="auto"/>
            <w:tcMar>
              <w:top w:w="15" w:type="dxa"/>
              <w:left w:w="15" w:type="dxa"/>
              <w:right w:w="15" w:type="dxa"/>
            </w:tcMar>
            <w:vAlign w:val="center"/>
          </w:tcPr>
          <w:p w14:paraId="77D23041">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tcPr>
          <w:p w14:paraId="59B99894">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color w:val="000000"/>
                <w:kern w:val="0"/>
                <w:sz w:val="22"/>
                <w:szCs w:val="22"/>
                <w:highlight w:val="none"/>
                <w:lang w:bidi="ar"/>
              </w:rPr>
              <w:t>0.1</w:t>
            </w:r>
            <w:r>
              <w:rPr>
                <w:rFonts w:hint="eastAsia"/>
                <w:color w:val="000000"/>
                <w:kern w:val="0"/>
                <w:sz w:val="22"/>
                <w:szCs w:val="22"/>
                <w:highlight w:val="none"/>
                <w:lang w:bidi="ar"/>
              </w:rPr>
              <w:t>0</w:t>
            </w:r>
          </w:p>
        </w:tc>
        <w:tc>
          <w:tcPr>
            <w:tcW w:w="1217" w:type="pct"/>
            <w:vMerge w:val="continue"/>
            <w:tcBorders>
              <w:tl2br w:val="nil"/>
              <w:tr2bl w:val="nil"/>
            </w:tcBorders>
            <w:shd w:val="clear" w:color="auto" w:fill="auto"/>
            <w:noWrap/>
            <w:tcMar>
              <w:top w:w="15" w:type="dxa"/>
              <w:left w:w="15" w:type="dxa"/>
              <w:right w:w="15" w:type="dxa"/>
            </w:tcMar>
            <w:vAlign w:val="center"/>
          </w:tcPr>
          <w:p w14:paraId="38EC9B13">
            <w:pPr>
              <w:spacing w:line="240" w:lineRule="auto"/>
              <w:jc w:val="center"/>
              <w:rPr>
                <w:color w:val="000000"/>
                <w:sz w:val="21"/>
                <w:szCs w:val="21"/>
                <w:highlight w:val="none"/>
              </w:rPr>
            </w:pPr>
          </w:p>
        </w:tc>
      </w:tr>
      <w:tr w14:paraId="342FD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14E6F175">
            <w:pPr>
              <w:widowControl/>
              <w:spacing w:line="240" w:lineRule="auto"/>
              <w:jc w:val="center"/>
              <w:textAlignment w:val="center"/>
              <w:rPr>
                <w:color w:val="000000"/>
                <w:sz w:val="21"/>
                <w:szCs w:val="21"/>
                <w:highlight w:val="none"/>
              </w:rPr>
            </w:pPr>
            <w:r>
              <w:rPr>
                <w:color w:val="000000"/>
                <w:kern w:val="0"/>
                <w:sz w:val="21"/>
                <w:szCs w:val="21"/>
                <w:highlight w:val="none"/>
                <w:lang w:bidi="ar"/>
              </w:rPr>
              <w:t>28</w:t>
            </w:r>
          </w:p>
        </w:tc>
        <w:tc>
          <w:tcPr>
            <w:tcW w:w="2142" w:type="pct"/>
            <w:tcBorders>
              <w:tl2br w:val="nil"/>
              <w:tr2bl w:val="nil"/>
            </w:tcBorders>
            <w:shd w:val="clear" w:color="auto" w:fill="auto"/>
            <w:tcMar>
              <w:top w:w="15" w:type="dxa"/>
              <w:left w:w="15" w:type="dxa"/>
              <w:right w:w="15" w:type="dxa"/>
            </w:tcMar>
            <w:vAlign w:val="center"/>
          </w:tcPr>
          <w:p w14:paraId="47BDB939">
            <w:pPr>
              <w:widowControl/>
              <w:spacing w:line="240" w:lineRule="auto"/>
              <w:jc w:val="center"/>
              <w:textAlignment w:val="top"/>
              <w:rPr>
                <w:color w:val="000000"/>
                <w:sz w:val="21"/>
                <w:szCs w:val="21"/>
                <w:highlight w:val="none"/>
              </w:rPr>
            </w:pPr>
            <w:r>
              <w:rPr>
                <w:color w:val="000000"/>
                <w:kern w:val="0"/>
                <w:sz w:val="21"/>
                <w:szCs w:val="21"/>
                <w:highlight w:val="none"/>
                <w:lang w:bidi="ar"/>
              </w:rPr>
              <w:t>石油类</w:t>
            </w:r>
          </w:p>
        </w:tc>
        <w:tc>
          <w:tcPr>
            <w:tcW w:w="488" w:type="pct"/>
            <w:tcBorders>
              <w:tl2br w:val="nil"/>
              <w:tr2bl w:val="nil"/>
            </w:tcBorders>
            <w:shd w:val="clear" w:color="auto" w:fill="auto"/>
            <w:tcMar>
              <w:top w:w="15" w:type="dxa"/>
              <w:left w:w="15" w:type="dxa"/>
              <w:right w:w="15" w:type="dxa"/>
            </w:tcMar>
            <w:vAlign w:val="center"/>
          </w:tcPr>
          <w:p w14:paraId="6F85CF21">
            <w:pPr>
              <w:widowControl/>
              <w:spacing w:line="240" w:lineRule="auto"/>
              <w:jc w:val="center"/>
              <w:textAlignment w:val="top"/>
              <w:rPr>
                <w:color w:val="000000"/>
                <w:kern w:val="0"/>
                <w:sz w:val="21"/>
                <w:szCs w:val="21"/>
                <w:highlight w:val="none"/>
                <w:lang w:bidi="ar"/>
              </w:rPr>
            </w:pPr>
            <w:r>
              <w:rPr>
                <w:rFonts w:eastAsia="黑体"/>
                <w:sz w:val="21"/>
                <w:szCs w:val="21"/>
                <w:highlight w:val="none"/>
              </w:rPr>
              <w:t>mg/L</w:t>
            </w:r>
          </w:p>
        </w:tc>
        <w:tc>
          <w:tcPr>
            <w:tcW w:w="819" w:type="pct"/>
            <w:tcBorders>
              <w:tl2br w:val="nil"/>
              <w:tr2bl w:val="nil"/>
            </w:tcBorders>
            <w:shd w:val="clear" w:color="auto" w:fill="auto"/>
            <w:noWrap/>
            <w:tcMar>
              <w:top w:w="15" w:type="dxa"/>
              <w:left w:w="15" w:type="dxa"/>
              <w:right w:w="15" w:type="dxa"/>
            </w:tcMar>
            <w:vAlign w:val="center"/>
          </w:tcPr>
          <w:p w14:paraId="4F779C6C">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≤0.5</w:t>
            </w:r>
          </w:p>
        </w:tc>
        <w:tc>
          <w:tcPr>
            <w:tcW w:w="1217" w:type="pct"/>
            <w:tcBorders>
              <w:tl2br w:val="nil"/>
              <w:tr2bl w:val="nil"/>
            </w:tcBorders>
            <w:shd w:val="clear" w:color="auto" w:fill="auto"/>
            <w:noWrap/>
            <w:tcMar>
              <w:top w:w="15" w:type="dxa"/>
              <w:left w:w="15" w:type="dxa"/>
              <w:right w:w="15" w:type="dxa"/>
            </w:tcMar>
            <w:vAlign w:val="center"/>
          </w:tcPr>
          <w:p w14:paraId="76E326A4">
            <w:pPr>
              <w:spacing w:line="240" w:lineRule="auto"/>
              <w:jc w:val="center"/>
              <w:rPr>
                <w:color w:val="000000"/>
                <w:sz w:val="21"/>
                <w:szCs w:val="21"/>
                <w:highlight w:val="none"/>
              </w:rPr>
            </w:pPr>
            <w:r>
              <w:rPr>
                <w:color w:val="000000" w:themeColor="text1"/>
                <w:sz w:val="21"/>
                <w:szCs w:val="21"/>
                <w:highlight w:val="none"/>
                <w14:textFill>
                  <w14:solidFill>
                    <w14:schemeClr w14:val="tx1"/>
                  </w14:solidFill>
                </w14:textFill>
              </w:rPr>
              <w:t>GB</w:t>
            </w:r>
            <w:r>
              <w:rPr>
                <w:rFonts w:hint="eastAsia"/>
                <w:color w:val="000000" w:themeColor="text1"/>
                <w:sz w:val="21"/>
                <w:szCs w:val="21"/>
                <w:highlight w:val="none"/>
                <w14:textFill>
                  <w14:solidFill>
                    <w14:schemeClr w14:val="tx1"/>
                  </w14:solidFill>
                </w14:textFill>
              </w:rPr>
              <w:t xml:space="preserve"> </w:t>
            </w:r>
            <w:r>
              <w:rPr>
                <w:color w:val="000000" w:themeColor="text1"/>
                <w:sz w:val="21"/>
                <w:szCs w:val="21"/>
                <w:highlight w:val="none"/>
                <w14:textFill>
                  <w14:solidFill>
                    <w14:schemeClr w14:val="tx1"/>
                  </w14:solidFill>
                </w14:textFill>
              </w:rPr>
              <w:t>3838</w:t>
            </w:r>
            <w:r>
              <w:rPr>
                <w:rFonts w:hint="eastAsia"/>
                <w:color w:val="000000" w:themeColor="text1"/>
                <w:sz w:val="21"/>
                <w:szCs w:val="21"/>
                <w:highlight w:val="none"/>
                <w14:textFill>
                  <w14:solidFill>
                    <w14:schemeClr w14:val="tx1"/>
                  </w14:solidFill>
                </w14:textFill>
              </w:rPr>
              <w:t xml:space="preserve">-2002  </w:t>
            </w:r>
            <w:r>
              <w:rPr>
                <w:rFonts w:hint="eastAsia"/>
                <w:color w:val="000000"/>
                <w:sz w:val="21"/>
                <w:szCs w:val="21"/>
                <w:highlight w:val="none"/>
              </w:rPr>
              <w:t>IV类标准</w:t>
            </w:r>
          </w:p>
        </w:tc>
      </w:tr>
      <w:tr w14:paraId="239637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69201954">
            <w:pPr>
              <w:widowControl/>
              <w:spacing w:line="240" w:lineRule="auto"/>
              <w:jc w:val="center"/>
              <w:textAlignment w:val="center"/>
              <w:rPr>
                <w:color w:val="000000"/>
                <w:sz w:val="21"/>
                <w:szCs w:val="21"/>
                <w:highlight w:val="none"/>
              </w:rPr>
            </w:pPr>
            <w:r>
              <w:rPr>
                <w:color w:val="000000"/>
                <w:kern w:val="0"/>
                <w:sz w:val="21"/>
                <w:szCs w:val="21"/>
                <w:highlight w:val="none"/>
                <w:lang w:bidi="ar"/>
              </w:rPr>
              <w:t>29</w:t>
            </w:r>
          </w:p>
        </w:tc>
        <w:tc>
          <w:tcPr>
            <w:tcW w:w="2142" w:type="pct"/>
            <w:tcBorders>
              <w:tl2br w:val="nil"/>
              <w:tr2bl w:val="nil"/>
            </w:tcBorders>
            <w:shd w:val="clear" w:color="auto" w:fill="auto"/>
            <w:tcMar>
              <w:top w:w="15" w:type="dxa"/>
              <w:left w:w="15" w:type="dxa"/>
              <w:right w:w="15" w:type="dxa"/>
            </w:tcMar>
            <w:vAlign w:val="center"/>
          </w:tcPr>
          <w:p w14:paraId="684D1BF4">
            <w:pPr>
              <w:widowControl/>
              <w:spacing w:line="240" w:lineRule="auto"/>
              <w:jc w:val="center"/>
              <w:textAlignment w:val="top"/>
              <w:rPr>
                <w:color w:val="000000"/>
                <w:sz w:val="21"/>
                <w:szCs w:val="21"/>
                <w:highlight w:val="none"/>
              </w:rPr>
            </w:pPr>
            <w:r>
              <w:rPr>
                <w:rFonts w:hint="eastAsia"/>
                <w:color w:val="000000"/>
                <w:kern w:val="0"/>
                <w:sz w:val="21"/>
                <w:szCs w:val="21"/>
                <w:highlight w:val="none"/>
                <w:lang w:bidi="ar"/>
              </w:rPr>
              <w:t>氯仿</w:t>
            </w:r>
          </w:p>
        </w:tc>
        <w:tc>
          <w:tcPr>
            <w:tcW w:w="488" w:type="pct"/>
            <w:tcBorders>
              <w:tl2br w:val="nil"/>
              <w:tr2bl w:val="nil"/>
            </w:tcBorders>
            <w:shd w:val="clear" w:color="auto" w:fill="auto"/>
            <w:tcMar>
              <w:top w:w="15" w:type="dxa"/>
              <w:left w:w="15" w:type="dxa"/>
              <w:right w:w="15" w:type="dxa"/>
            </w:tcMar>
            <w:vAlign w:val="center"/>
          </w:tcPr>
          <w:p w14:paraId="47F231E6">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μg/L</w:t>
            </w:r>
          </w:p>
        </w:tc>
        <w:tc>
          <w:tcPr>
            <w:tcW w:w="819" w:type="pct"/>
            <w:tcBorders>
              <w:tl2br w:val="nil"/>
              <w:tr2bl w:val="nil"/>
            </w:tcBorders>
            <w:shd w:val="clear" w:color="auto" w:fill="auto"/>
            <w:noWrap/>
            <w:tcMar>
              <w:top w:w="15" w:type="dxa"/>
              <w:left w:w="15" w:type="dxa"/>
              <w:right w:w="15" w:type="dxa"/>
            </w:tcMar>
            <w:vAlign w:val="center"/>
          </w:tcPr>
          <w:p w14:paraId="3AAA9961">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≤300</w:t>
            </w:r>
          </w:p>
        </w:tc>
        <w:tc>
          <w:tcPr>
            <w:tcW w:w="1217" w:type="pct"/>
            <w:vMerge w:val="restart"/>
            <w:tcBorders>
              <w:tl2br w:val="nil"/>
              <w:tr2bl w:val="nil"/>
            </w:tcBorders>
            <w:shd w:val="clear" w:color="auto" w:fill="auto"/>
            <w:noWrap/>
            <w:tcMar>
              <w:top w:w="15" w:type="dxa"/>
              <w:left w:w="15" w:type="dxa"/>
              <w:right w:w="15" w:type="dxa"/>
            </w:tcMar>
            <w:vAlign w:val="center"/>
          </w:tcPr>
          <w:p w14:paraId="6C0DC515">
            <w:pPr>
              <w:spacing w:line="240" w:lineRule="auto"/>
              <w:jc w:val="center"/>
              <w:rPr>
                <w:color w:val="000000"/>
                <w:sz w:val="21"/>
                <w:szCs w:val="21"/>
                <w:highlight w:val="none"/>
              </w:rPr>
            </w:pPr>
            <w:r>
              <w:rPr>
                <w:color w:val="000000"/>
                <w:sz w:val="21"/>
                <w:szCs w:val="21"/>
                <w:highlight w:val="none"/>
              </w:rPr>
              <w:t>GB/T 14848</w:t>
            </w:r>
            <w:r>
              <w:rPr>
                <w:rFonts w:hint="eastAsia"/>
                <w:color w:val="000000"/>
                <w:sz w:val="21"/>
                <w:szCs w:val="21"/>
                <w:highlight w:val="none"/>
              </w:rPr>
              <w:t>-2017</w:t>
            </w:r>
          </w:p>
          <w:p w14:paraId="358C3678">
            <w:pPr>
              <w:spacing w:line="240" w:lineRule="auto"/>
              <w:jc w:val="center"/>
              <w:rPr>
                <w:color w:val="000000"/>
                <w:sz w:val="21"/>
                <w:szCs w:val="21"/>
                <w:highlight w:val="none"/>
              </w:rPr>
            </w:pPr>
            <w:r>
              <w:rPr>
                <w:rFonts w:hint="eastAsia"/>
                <w:color w:val="000000"/>
                <w:sz w:val="21"/>
                <w:szCs w:val="21"/>
                <w:highlight w:val="none"/>
              </w:rPr>
              <w:t>IV类标准</w:t>
            </w:r>
          </w:p>
        </w:tc>
      </w:tr>
      <w:tr w14:paraId="3DFB60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5E9A7EBC">
            <w:pPr>
              <w:widowControl/>
              <w:spacing w:line="240" w:lineRule="auto"/>
              <w:jc w:val="center"/>
              <w:textAlignment w:val="center"/>
              <w:rPr>
                <w:color w:val="000000"/>
                <w:sz w:val="21"/>
                <w:szCs w:val="21"/>
                <w:highlight w:val="none"/>
              </w:rPr>
            </w:pPr>
            <w:r>
              <w:rPr>
                <w:color w:val="000000"/>
                <w:kern w:val="0"/>
                <w:sz w:val="21"/>
                <w:szCs w:val="21"/>
                <w:highlight w:val="none"/>
                <w:lang w:bidi="ar"/>
              </w:rPr>
              <w:t>30</w:t>
            </w:r>
          </w:p>
        </w:tc>
        <w:tc>
          <w:tcPr>
            <w:tcW w:w="2142" w:type="pct"/>
            <w:tcBorders>
              <w:tl2br w:val="nil"/>
              <w:tr2bl w:val="nil"/>
            </w:tcBorders>
            <w:shd w:val="clear" w:color="auto" w:fill="auto"/>
            <w:tcMar>
              <w:top w:w="15" w:type="dxa"/>
              <w:left w:w="15" w:type="dxa"/>
              <w:right w:w="15" w:type="dxa"/>
            </w:tcMar>
            <w:vAlign w:val="center"/>
          </w:tcPr>
          <w:p w14:paraId="0DB08138">
            <w:pPr>
              <w:widowControl/>
              <w:spacing w:line="240" w:lineRule="auto"/>
              <w:jc w:val="center"/>
              <w:textAlignment w:val="top"/>
              <w:rPr>
                <w:color w:val="000000"/>
                <w:sz w:val="21"/>
                <w:szCs w:val="21"/>
                <w:highlight w:val="none"/>
              </w:rPr>
            </w:pPr>
            <w:r>
              <w:rPr>
                <w:color w:val="000000"/>
                <w:kern w:val="0"/>
                <w:sz w:val="21"/>
                <w:szCs w:val="21"/>
                <w:highlight w:val="none"/>
                <w:lang w:bidi="ar"/>
              </w:rPr>
              <w:t>四氯化碳</w:t>
            </w:r>
          </w:p>
        </w:tc>
        <w:tc>
          <w:tcPr>
            <w:tcW w:w="488" w:type="pct"/>
            <w:tcBorders>
              <w:tl2br w:val="nil"/>
              <w:tr2bl w:val="nil"/>
            </w:tcBorders>
            <w:shd w:val="clear" w:color="auto" w:fill="auto"/>
            <w:tcMar>
              <w:top w:w="15" w:type="dxa"/>
              <w:left w:w="15" w:type="dxa"/>
              <w:right w:w="15" w:type="dxa"/>
            </w:tcMar>
            <w:vAlign w:val="center"/>
          </w:tcPr>
          <w:p w14:paraId="63BA4EA0">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μg/L</w:t>
            </w:r>
          </w:p>
        </w:tc>
        <w:tc>
          <w:tcPr>
            <w:tcW w:w="819" w:type="pct"/>
            <w:tcBorders>
              <w:tl2br w:val="nil"/>
              <w:tr2bl w:val="nil"/>
            </w:tcBorders>
            <w:shd w:val="clear" w:color="auto" w:fill="auto"/>
            <w:noWrap/>
            <w:tcMar>
              <w:top w:w="15" w:type="dxa"/>
              <w:left w:w="15" w:type="dxa"/>
              <w:right w:w="15" w:type="dxa"/>
            </w:tcMar>
            <w:vAlign w:val="center"/>
          </w:tcPr>
          <w:p w14:paraId="7BB94126">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≤50</w:t>
            </w:r>
          </w:p>
        </w:tc>
        <w:tc>
          <w:tcPr>
            <w:tcW w:w="1217" w:type="pct"/>
            <w:vMerge w:val="continue"/>
            <w:tcBorders>
              <w:tl2br w:val="nil"/>
              <w:tr2bl w:val="nil"/>
            </w:tcBorders>
            <w:shd w:val="clear" w:color="auto" w:fill="auto"/>
            <w:noWrap/>
            <w:tcMar>
              <w:top w:w="15" w:type="dxa"/>
              <w:left w:w="15" w:type="dxa"/>
              <w:right w:w="15" w:type="dxa"/>
            </w:tcMar>
            <w:vAlign w:val="center"/>
          </w:tcPr>
          <w:p w14:paraId="414FC549">
            <w:pPr>
              <w:spacing w:line="240" w:lineRule="auto"/>
              <w:jc w:val="center"/>
              <w:rPr>
                <w:color w:val="000000"/>
                <w:sz w:val="21"/>
                <w:szCs w:val="21"/>
                <w:highlight w:val="none"/>
              </w:rPr>
            </w:pPr>
          </w:p>
        </w:tc>
      </w:tr>
      <w:tr w14:paraId="1D0FC2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21E6C6A6">
            <w:pPr>
              <w:widowControl/>
              <w:spacing w:line="240" w:lineRule="auto"/>
              <w:jc w:val="center"/>
              <w:textAlignment w:val="center"/>
              <w:rPr>
                <w:color w:val="000000"/>
                <w:sz w:val="21"/>
                <w:szCs w:val="21"/>
                <w:highlight w:val="none"/>
              </w:rPr>
            </w:pPr>
            <w:r>
              <w:rPr>
                <w:color w:val="000000"/>
                <w:kern w:val="0"/>
                <w:sz w:val="21"/>
                <w:szCs w:val="21"/>
                <w:highlight w:val="none"/>
                <w:lang w:bidi="ar"/>
              </w:rPr>
              <w:t>31</w:t>
            </w:r>
          </w:p>
        </w:tc>
        <w:tc>
          <w:tcPr>
            <w:tcW w:w="2142" w:type="pct"/>
            <w:tcBorders>
              <w:tl2br w:val="nil"/>
              <w:tr2bl w:val="nil"/>
            </w:tcBorders>
            <w:shd w:val="clear" w:color="auto" w:fill="auto"/>
            <w:tcMar>
              <w:top w:w="15" w:type="dxa"/>
              <w:left w:w="15" w:type="dxa"/>
              <w:right w:w="15" w:type="dxa"/>
            </w:tcMar>
            <w:vAlign w:val="center"/>
          </w:tcPr>
          <w:p w14:paraId="13B68BD6">
            <w:pPr>
              <w:widowControl/>
              <w:spacing w:line="240" w:lineRule="auto"/>
              <w:jc w:val="center"/>
              <w:textAlignment w:val="top"/>
              <w:rPr>
                <w:color w:val="000000"/>
                <w:sz w:val="21"/>
                <w:szCs w:val="21"/>
                <w:highlight w:val="none"/>
              </w:rPr>
            </w:pPr>
            <w:r>
              <w:rPr>
                <w:color w:val="000000"/>
                <w:kern w:val="0"/>
                <w:sz w:val="21"/>
                <w:szCs w:val="21"/>
                <w:highlight w:val="none"/>
                <w:lang w:bidi="ar"/>
              </w:rPr>
              <w:t>苯</w:t>
            </w:r>
          </w:p>
        </w:tc>
        <w:tc>
          <w:tcPr>
            <w:tcW w:w="488" w:type="pct"/>
            <w:tcBorders>
              <w:tl2br w:val="nil"/>
              <w:tr2bl w:val="nil"/>
            </w:tcBorders>
            <w:shd w:val="clear" w:color="auto" w:fill="auto"/>
            <w:tcMar>
              <w:top w:w="15" w:type="dxa"/>
              <w:left w:w="15" w:type="dxa"/>
              <w:right w:w="15" w:type="dxa"/>
            </w:tcMar>
            <w:vAlign w:val="center"/>
          </w:tcPr>
          <w:p w14:paraId="19124FE3">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μg/L</w:t>
            </w:r>
          </w:p>
        </w:tc>
        <w:tc>
          <w:tcPr>
            <w:tcW w:w="819" w:type="pct"/>
            <w:tcBorders>
              <w:tl2br w:val="nil"/>
              <w:tr2bl w:val="nil"/>
            </w:tcBorders>
            <w:shd w:val="clear" w:color="auto" w:fill="auto"/>
            <w:noWrap/>
            <w:tcMar>
              <w:top w:w="15" w:type="dxa"/>
              <w:left w:w="15" w:type="dxa"/>
              <w:right w:w="15" w:type="dxa"/>
            </w:tcMar>
            <w:vAlign w:val="center"/>
          </w:tcPr>
          <w:p w14:paraId="3052C10B">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≤120</w:t>
            </w:r>
          </w:p>
        </w:tc>
        <w:tc>
          <w:tcPr>
            <w:tcW w:w="1217" w:type="pct"/>
            <w:vMerge w:val="continue"/>
            <w:tcBorders>
              <w:tl2br w:val="nil"/>
              <w:tr2bl w:val="nil"/>
            </w:tcBorders>
            <w:shd w:val="clear" w:color="auto" w:fill="auto"/>
            <w:noWrap/>
            <w:tcMar>
              <w:top w:w="15" w:type="dxa"/>
              <w:left w:w="15" w:type="dxa"/>
              <w:right w:w="15" w:type="dxa"/>
            </w:tcMar>
            <w:vAlign w:val="center"/>
          </w:tcPr>
          <w:p w14:paraId="3E82AE80">
            <w:pPr>
              <w:spacing w:line="240" w:lineRule="auto"/>
              <w:jc w:val="center"/>
              <w:rPr>
                <w:color w:val="000000"/>
                <w:sz w:val="21"/>
                <w:szCs w:val="21"/>
                <w:highlight w:val="none"/>
              </w:rPr>
            </w:pPr>
          </w:p>
        </w:tc>
      </w:tr>
      <w:tr w14:paraId="728EF6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332" w:type="pct"/>
            <w:tcBorders>
              <w:tl2br w:val="nil"/>
              <w:tr2bl w:val="nil"/>
            </w:tcBorders>
            <w:shd w:val="clear" w:color="auto" w:fill="auto"/>
            <w:noWrap/>
            <w:tcMar>
              <w:top w:w="15" w:type="dxa"/>
              <w:left w:w="15" w:type="dxa"/>
              <w:right w:w="15" w:type="dxa"/>
            </w:tcMar>
            <w:vAlign w:val="center"/>
          </w:tcPr>
          <w:p w14:paraId="44F51A70">
            <w:pPr>
              <w:widowControl/>
              <w:spacing w:line="240" w:lineRule="auto"/>
              <w:jc w:val="center"/>
              <w:textAlignment w:val="center"/>
              <w:rPr>
                <w:color w:val="000000"/>
                <w:sz w:val="21"/>
                <w:szCs w:val="21"/>
                <w:highlight w:val="none"/>
              </w:rPr>
            </w:pPr>
            <w:r>
              <w:rPr>
                <w:color w:val="000000"/>
                <w:sz w:val="21"/>
                <w:szCs w:val="21"/>
                <w:highlight w:val="none"/>
              </w:rPr>
              <w:t>32</w:t>
            </w:r>
          </w:p>
        </w:tc>
        <w:tc>
          <w:tcPr>
            <w:tcW w:w="2142" w:type="pct"/>
            <w:tcBorders>
              <w:tl2br w:val="nil"/>
              <w:tr2bl w:val="nil"/>
            </w:tcBorders>
            <w:shd w:val="clear" w:color="auto" w:fill="auto"/>
            <w:tcMar>
              <w:top w:w="15" w:type="dxa"/>
              <w:left w:w="15" w:type="dxa"/>
              <w:right w:w="15" w:type="dxa"/>
            </w:tcMar>
            <w:vAlign w:val="center"/>
          </w:tcPr>
          <w:p w14:paraId="342A0892">
            <w:pPr>
              <w:widowControl/>
              <w:spacing w:line="240" w:lineRule="auto"/>
              <w:jc w:val="center"/>
              <w:textAlignment w:val="top"/>
              <w:rPr>
                <w:color w:val="000000"/>
                <w:sz w:val="21"/>
                <w:szCs w:val="21"/>
                <w:highlight w:val="none"/>
              </w:rPr>
            </w:pPr>
            <w:r>
              <w:rPr>
                <w:color w:val="000000"/>
                <w:kern w:val="0"/>
                <w:sz w:val="21"/>
                <w:szCs w:val="21"/>
                <w:highlight w:val="none"/>
                <w:lang w:bidi="ar"/>
              </w:rPr>
              <w:t>甲苯</w:t>
            </w:r>
          </w:p>
        </w:tc>
        <w:tc>
          <w:tcPr>
            <w:tcW w:w="488" w:type="pct"/>
            <w:tcBorders>
              <w:tl2br w:val="nil"/>
              <w:tr2bl w:val="nil"/>
            </w:tcBorders>
            <w:shd w:val="clear" w:color="auto" w:fill="auto"/>
            <w:noWrap/>
            <w:tcMar>
              <w:top w:w="15" w:type="dxa"/>
              <w:left w:w="15" w:type="dxa"/>
              <w:right w:w="15" w:type="dxa"/>
            </w:tcMar>
            <w:vAlign w:val="center"/>
          </w:tcPr>
          <w:p w14:paraId="41E8EED9">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μg/L</w:t>
            </w:r>
          </w:p>
        </w:tc>
        <w:tc>
          <w:tcPr>
            <w:tcW w:w="819" w:type="pct"/>
            <w:tcBorders>
              <w:tl2br w:val="nil"/>
              <w:tr2bl w:val="nil"/>
            </w:tcBorders>
            <w:shd w:val="clear" w:color="auto" w:fill="auto"/>
            <w:noWrap/>
            <w:tcMar>
              <w:top w:w="15" w:type="dxa"/>
              <w:left w:w="15" w:type="dxa"/>
              <w:right w:w="15" w:type="dxa"/>
            </w:tcMar>
            <w:vAlign w:val="center"/>
          </w:tcPr>
          <w:p w14:paraId="0C52DEC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≤1400</w:t>
            </w:r>
          </w:p>
        </w:tc>
        <w:tc>
          <w:tcPr>
            <w:tcW w:w="1217" w:type="pct"/>
            <w:vMerge w:val="continue"/>
            <w:tcBorders>
              <w:tl2br w:val="nil"/>
              <w:tr2bl w:val="nil"/>
            </w:tcBorders>
            <w:shd w:val="clear" w:color="auto" w:fill="auto"/>
            <w:noWrap/>
            <w:tcMar>
              <w:top w:w="15" w:type="dxa"/>
              <w:left w:w="15" w:type="dxa"/>
              <w:right w:w="15" w:type="dxa"/>
            </w:tcMar>
            <w:vAlign w:val="center"/>
          </w:tcPr>
          <w:p w14:paraId="3E43F029">
            <w:pPr>
              <w:spacing w:line="240" w:lineRule="auto"/>
              <w:jc w:val="center"/>
              <w:rPr>
                <w:color w:val="000000"/>
                <w:sz w:val="21"/>
                <w:szCs w:val="21"/>
                <w:highlight w:val="none"/>
              </w:rPr>
            </w:pPr>
          </w:p>
        </w:tc>
      </w:tr>
    </w:tbl>
    <w:p w14:paraId="5359CC7B">
      <w:pPr>
        <w:pStyle w:val="4"/>
        <w:tabs>
          <w:tab w:val="clear" w:pos="425"/>
        </w:tabs>
        <w:rPr>
          <w:highlight w:val="none"/>
        </w:rPr>
      </w:pPr>
      <w:bookmarkStart w:id="39" w:name="_Toc1791"/>
      <w:bookmarkStart w:id="40" w:name="_Toc55399882"/>
      <w:r>
        <w:rPr>
          <w:highlight w:val="none"/>
        </w:rPr>
        <w:t>结果分析方法</w:t>
      </w:r>
      <w:bookmarkEnd w:id="39"/>
    </w:p>
    <w:p w14:paraId="568E9C0E">
      <w:pPr>
        <w:pStyle w:val="5"/>
        <w:tabs>
          <w:tab w:val="left" w:pos="425"/>
        </w:tabs>
        <w:rPr>
          <w:szCs w:val="24"/>
          <w:highlight w:val="none"/>
        </w:rPr>
      </w:pPr>
      <w:r>
        <w:rPr>
          <w:szCs w:val="24"/>
          <w:highlight w:val="none"/>
        </w:rPr>
        <w:t>监测结果对标分析</w:t>
      </w:r>
    </w:p>
    <w:p w14:paraId="767CB572">
      <w:pPr>
        <w:ind w:firstLine="420"/>
        <w:rPr>
          <w:highlight w:val="none"/>
        </w:rPr>
      </w:pPr>
      <w:r>
        <w:rPr>
          <w:highlight w:val="none"/>
        </w:rPr>
        <w:t>土壤检测结果根据表5-1-1中各点位对应的用地类型及参考标准进行评估，采用逐个比对法进行分析：</w:t>
      </w:r>
    </w:p>
    <w:p w14:paraId="7C7CD6F3">
      <w:pPr>
        <w:pStyle w:val="30"/>
        <w:numPr>
          <w:ilvl w:val="0"/>
          <w:numId w:val="9"/>
        </w:numPr>
        <w:spacing w:after="0"/>
        <w:ind w:firstLine="480"/>
        <w:rPr>
          <w:rFonts w:eastAsiaTheme="minorEastAsia"/>
          <w:highlight w:val="none"/>
        </w:rPr>
      </w:pPr>
      <w:r>
        <w:rPr>
          <w:rFonts w:eastAsiaTheme="minorEastAsia"/>
          <w:highlight w:val="none"/>
        </w:rPr>
        <w:t>当样品监测值低于或等于参考标准值时，则认为达标；</w:t>
      </w:r>
    </w:p>
    <w:p w14:paraId="23F0E24F">
      <w:pPr>
        <w:pStyle w:val="30"/>
        <w:numPr>
          <w:ilvl w:val="0"/>
          <w:numId w:val="9"/>
        </w:numPr>
        <w:spacing w:after="0"/>
        <w:ind w:firstLine="480"/>
        <w:rPr>
          <w:rFonts w:eastAsiaTheme="minorEastAsia"/>
          <w:highlight w:val="none"/>
        </w:rPr>
      </w:pPr>
      <w:r>
        <w:rPr>
          <w:rFonts w:eastAsiaTheme="minorEastAsia"/>
          <w:highlight w:val="none"/>
        </w:rPr>
        <w:t>当样品监测值高于参考标准值时，则认为不达标。对于</w:t>
      </w:r>
      <w:r>
        <w:rPr>
          <w:szCs w:val="24"/>
          <w:highlight w:val="none"/>
        </w:rPr>
        <w:t>超标的污染物统计其超标倍数及超标率。超标倍数及超标率公式如下：</w:t>
      </w:r>
    </w:p>
    <w:p w14:paraId="6540F247">
      <w:pPr>
        <w:ind w:firstLine="420"/>
        <w:rPr>
          <w:highlight w:val="none"/>
        </w:rPr>
      </w:pPr>
      <w:r>
        <w:rPr>
          <w:highlight w:val="none"/>
        </w:rPr>
        <w:t>①土壤污染超标倍数=（土壤某项污染检测值-土壤环境质量标准）/土壤环境质量标准；</w:t>
      </w:r>
    </w:p>
    <w:p w14:paraId="256FA336">
      <w:pPr>
        <w:ind w:firstLine="420"/>
        <w:rPr>
          <w:highlight w:val="none"/>
        </w:rPr>
      </w:pPr>
      <w:r>
        <w:rPr>
          <w:highlight w:val="none"/>
        </w:rPr>
        <w:t>②超标率=（土壤样品超标总数/土壤调查检测样品总数）</w:t>
      </w:r>
      <w:r>
        <w:rPr>
          <w:rFonts w:hint="default" w:ascii="Times New Roman" w:hAnsi="Times New Roman" w:cs="Times New Roman"/>
          <w:color w:val="auto"/>
          <w:highlight w:val="none"/>
        </w:rPr>
        <w:t>×</w:t>
      </w:r>
      <w:r>
        <w:rPr>
          <w:highlight w:val="none"/>
        </w:rPr>
        <w:t>100%。</w:t>
      </w:r>
    </w:p>
    <w:p w14:paraId="6BA07D3A">
      <w:pPr>
        <w:pStyle w:val="5"/>
        <w:tabs>
          <w:tab w:val="left" w:pos="425"/>
        </w:tabs>
        <w:rPr>
          <w:szCs w:val="24"/>
          <w:highlight w:val="none"/>
        </w:rPr>
      </w:pPr>
      <w:r>
        <w:rPr>
          <w:szCs w:val="24"/>
          <w:highlight w:val="none"/>
        </w:rPr>
        <w:t>土壤环境质量分析</w:t>
      </w:r>
    </w:p>
    <w:p w14:paraId="28B66542">
      <w:pPr>
        <w:pStyle w:val="6"/>
        <w:numPr>
          <w:ilvl w:val="0"/>
          <w:numId w:val="0"/>
        </w:numPr>
        <w:spacing w:after="0"/>
        <w:jc w:val="left"/>
        <w:rPr>
          <w:color w:val="000000"/>
          <w:kern w:val="0"/>
          <w:highlight w:val="none"/>
        </w:rPr>
      </w:pPr>
      <w:r>
        <w:rPr>
          <w:color w:val="000000"/>
          <w:kern w:val="0"/>
          <w:highlight w:val="none"/>
        </w:rPr>
        <w:t>5.2.2.1 污染指数评价</w:t>
      </w:r>
    </w:p>
    <w:p w14:paraId="10B6DD80">
      <w:pPr>
        <w:pStyle w:val="2"/>
        <w:spacing w:after="0"/>
        <w:ind w:firstLine="420"/>
        <w:jc w:val="center"/>
        <w:rPr>
          <w:highlight w:val="none"/>
        </w:rPr>
      </w:pPr>
      <w:r>
        <w:rPr>
          <w:highlight w:val="none"/>
        </w:rPr>
        <w:t>土壤环境质量评价一般以单项污染指数为主，指数小污染轻，指数大污染则重。根据</w:t>
      </w:r>
      <w:r>
        <w:rPr>
          <w:color w:val="000000" w:themeColor="text1"/>
          <w:kern w:val="0"/>
          <w:highlight w:val="none"/>
          <w14:textFill>
            <w14:solidFill>
              <w14:schemeClr w14:val="tx1"/>
            </w14:solidFill>
          </w14:textFill>
        </w:rPr>
        <w:t>《全国土壤污染状况评价技术规定》</w:t>
      </w:r>
      <w:r>
        <w:rPr>
          <w:color w:val="333333"/>
          <w:highlight w:val="none"/>
          <w:shd w:val="clear" w:color="auto" w:fill="FFFFFF"/>
        </w:rPr>
        <w:t>（环发[2008]39号），</w:t>
      </w:r>
      <w:r>
        <w:rPr>
          <w:highlight w:val="none"/>
        </w:rPr>
        <w:t>单因子污染指数的计算公式可表示为：</w:t>
      </w:r>
      <w:r>
        <w:rPr>
          <w:highlight w:val="none"/>
        </w:rPr>
        <w:drawing>
          <wp:inline distT="0" distB="0" distL="114300" distR="114300">
            <wp:extent cx="552450" cy="390525"/>
            <wp:effectExtent l="0" t="0" r="0" b="889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37"/>
                    <a:stretch>
                      <a:fillRect/>
                    </a:stretch>
                  </pic:blipFill>
                  <pic:spPr>
                    <a:xfrm>
                      <a:off x="0" y="0"/>
                      <a:ext cx="552450" cy="390525"/>
                    </a:xfrm>
                    <a:prstGeom prst="rect">
                      <a:avLst/>
                    </a:prstGeom>
                    <a:noFill/>
                    <a:ln>
                      <a:noFill/>
                    </a:ln>
                  </pic:spPr>
                </pic:pic>
              </a:graphicData>
            </a:graphic>
          </wp:inline>
        </w:drawing>
      </w:r>
    </w:p>
    <w:p w14:paraId="5434590C">
      <w:pPr>
        <w:pStyle w:val="2"/>
        <w:numPr>
          <w:ilvl w:val="255"/>
          <w:numId w:val="0"/>
        </w:numPr>
        <w:spacing w:after="0"/>
        <w:ind w:firstLine="420"/>
        <w:rPr>
          <w:highlight w:val="none"/>
        </w:rPr>
      </w:pPr>
      <w:r>
        <w:rPr>
          <w:highlight w:val="none"/>
        </w:rPr>
        <w:t>式中：</w:t>
      </w:r>
    </w:p>
    <w:p w14:paraId="7EF015DF">
      <w:pPr>
        <w:pStyle w:val="2"/>
        <w:numPr>
          <w:ilvl w:val="255"/>
          <w:numId w:val="0"/>
        </w:numPr>
        <w:spacing w:after="0"/>
        <w:ind w:firstLine="420"/>
        <w:rPr>
          <w:highlight w:val="none"/>
        </w:rPr>
      </w:pPr>
      <w:r>
        <w:rPr>
          <w:highlight w:val="none"/>
        </w:rPr>
        <w:t>P</w:t>
      </w:r>
      <w:r>
        <w:rPr>
          <w:highlight w:val="none"/>
          <w:vertAlign w:val="subscript"/>
        </w:rPr>
        <w:t>i</w:t>
      </w:r>
      <w:r>
        <w:rPr>
          <w:rFonts w:hint="eastAsia"/>
          <w:highlight w:val="none"/>
        </w:rPr>
        <w:t>：</w:t>
      </w:r>
      <w:r>
        <w:rPr>
          <w:highlight w:val="none"/>
        </w:rPr>
        <w:t>某评价因子的单因子污染指数，无量纲；</w:t>
      </w:r>
    </w:p>
    <w:p w14:paraId="07D1A798">
      <w:pPr>
        <w:pStyle w:val="2"/>
        <w:numPr>
          <w:ilvl w:val="255"/>
          <w:numId w:val="0"/>
        </w:numPr>
        <w:spacing w:after="0"/>
        <w:ind w:firstLine="420"/>
        <w:rPr>
          <w:highlight w:val="none"/>
        </w:rPr>
      </w:pPr>
      <w:r>
        <w:rPr>
          <w:highlight w:val="none"/>
        </w:rPr>
        <w:t>C</w:t>
      </w:r>
      <w:r>
        <w:rPr>
          <w:highlight w:val="none"/>
          <w:vertAlign w:val="subscript"/>
        </w:rPr>
        <w:t>i</w:t>
      </w:r>
      <w:r>
        <w:rPr>
          <w:rFonts w:hint="eastAsia"/>
          <w:highlight w:val="none"/>
        </w:rPr>
        <w:t>：</w:t>
      </w:r>
      <w:r>
        <w:rPr>
          <w:highlight w:val="none"/>
        </w:rPr>
        <w:t>某评价因子的实测值，单位由实测值给出；</w:t>
      </w:r>
    </w:p>
    <w:p w14:paraId="175545D6">
      <w:pPr>
        <w:pStyle w:val="2"/>
        <w:numPr>
          <w:ilvl w:val="255"/>
          <w:numId w:val="0"/>
        </w:numPr>
        <w:spacing w:after="0"/>
        <w:ind w:firstLine="420"/>
        <w:rPr>
          <w:highlight w:val="none"/>
        </w:rPr>
      </w:pPr>
      <w:r>
        <w:rPr>
          <w:highlight w:val="none"/>
        </w:rPr>
        <w:t>C</w:t>
      </w:r>
      <w:r>
        <w:rPr>
          <w:highlight w:val="none"/>
          <w:vertAlign w:val="subscript"/>
        </w:rPr>
        <w:t>0</w:t>
      </w:r>
      <w:r>
        <w:rPr>
          <w:rFonts w:hint="eastAsia"/>
          <w:highlight w:val="none"/>
        </w:rPr>
        <w:t>：</w:t>
      </w:r>
      <w:r>
        <w:rPr>
          <w:highlight w:val="none"/>
        </w:rPr>
        <w:t>某评价因子的筛选值，单位同实测值</w:t>
      </w:r>
      <w:r>
        <w:rPr>
          <w:rFonts w:hint="eastAsia"/>
          <w:highlight w:val="none"/>
        </w:rPr>
        <w:t>。</w:t>
      </w:r>
    </w:p>
    <w:p w14:paraId="39580A8F">
      <w:pPr>
        <w:pStyle w:val="2"/>
        <w:numPr>
          <w:ilvl w:val="255"/>
          <w:numId w:val="0"/>
        </w:numPr>
        <w:spacing w:after="0"/>
        <w:ind w:firstLine="420"/>
        <w:rPr>
          <w:highlight w:val="none"/>
        </w:rPr>
      </w:pPr>
      <w:r>
        <w:rPr>
          <w:highlight w:val="none"/>
        </w:rPr>
        <w:t>单因子污染指数的评价标准见表5-2-1。</w:t>
      </w:r>
    </w:p>
    <w:p w14:paraId="7C0192EF">
      <w:pPr>
        <w:pStyle w:val="2"/>
        <w:spacing w:before="165" w:beforeLines="50" w:after="0" w:line="240" w:lineRule="auto"/>
        <w:jc w:val="center"/>
        <w:rPr>
          <w:b/>
          <w:bCs/>
          <w:highlight w:val="none"/>
        </w:rPr>
      </w:pPr>
      <w:r>
        <w:rPr>
          <w:b/>
          <w:bCs/>
          <w:highlight w:val="none"/>
        </w:rPr>
        <w:t>表5-2-1 土壤</w:t>
      </w:r>
      <w:r>
        <w:rPr>
          <w:rFonts w:hint="eastAsia"/>
          <w:b/>
          <w:bCs/>
          <w:highlight w:val="none"/>
        </w:rPr>
        <w:t>单因子</w:t>
      </w:r>
      <w:r>
        <w:rPr>
          <w:b/>
          <w:bCs/>
          <w:highlight w:val="none"/>
        </w:rPr>
        <w:t>污染指数评价标准</w:t>
      </w:r>
    </w:p>
    <w:tbl>
      <w:tblPr>
        <w:tblStyle w:val="21"/>
        <w:tblW w:w="961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203"/>
        <w:gridCol w:w="3204"/>
        <w:gridCol w:w="3204"/>
      </w:tblGrid>
      <w:tr w14:paraId="73ADE9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bottom w:val="single" w:color="000000" w:sz="12" w:space="0"/>
            </w:tcBorders>
            <w:shd w:val="clear" w:color="auto" w:fill="auto"/>
            <w:tcMar>
              <w:top w:w="15" w:type="dxa"/>
              <w:left w:w="15" w:type="dxa"/>
              <w:right w:w="15" w:type="dxa"/>
            </w:tcMar>
            <w:vAlign w:val="center"/>
          </w:tcPr>
          <w:p w14:paraId="7C3B3DC7">
            <w:pPr>
              <w:widowControl/>
              <w:spacing w:line="240" w:lineRule="auto"/>
              <w:jc w:val="center"/>
              <w:textAlignment w:val="center"/>
              <w:rPr>
                <w:b/>
                <w:color w:val="000000"/>
                <w:sz w:val="21"/>
                <w:szCs w:val="21"/>
                <w:highlight w:val="none"/>
              </w:rPr>
            </w:pPr>
            <w:r>
              <w:rPr>
                <w:b/>
                <w:color w:val="000000"/>
                <w:kern w:val="0"/>
                <w:sz w:val="21"/>
                <w:szCs w:val="21"/>
                <w:highlight w:val="none"/>
                <w:lang w:bidi="ar"/>
              </w:rPr>
              <w:t>等级</w:t>
            </w:r>
          </w:p>
        </w:tc>
        <w:tc>
          <w:tcPr>
            <w:tcW w:w="3204" w:type="dxa"/>
            <w:tcBorders>
              <w:bottom w:val="single" w:color="000000" w:sz="12" w:space="0"/>
            </w:tcBorders>
            <w:shd w:val="clear" w:color="auto" w:fill="auto"/>
            <w:tcMar>
              <w:top w:w="15" w:type="dxa"/>
              <w:left w:w="15" w:type="dxa"/>
              <w:right w:w="15" w:type="dxa"/>
            </w:tcMar>
            <w:vAlign w:val="center"/>
          </w:tcPr>
          <w:p w14:paraId="36081BE4">
            <w:pPr>
              <w:widowControl/>
              <w:spacing w:line="240" w:lineRule="auto"/>
              <w:jc w:val="center"/>
              <w:textAlignment w:val="center"/>
              <w:rPr>
                <w:b/>
                <w:color w:val="000000"/>
                <w:sz w:val="21"/>
                <w:szCs w:val="21"/>
                <w:highlight w:val="none"/>
              </w:rPr>
            </w:pPr>
            <w:r>
              <w:rPr>
                <w:b/>
                <w:color w:val="000000"/>
                <w:kern w:val="0"/>
                <w:sz w:val="21"/>
                <w:szCs w:val="21"/>
                <w:highlight w:val="none"/>
                <w:lang w:bidi="ar"/>
              </w:rPr>
              <w:t>单因子污染指数</w:t>
            </w:r>
          </w:p>
        </w:tc>
        <w:tc>
          <w:tcPr>
            <w:tcW w:w="3204" w:type="dxa"/>
            <w:tcBorders>
              <w:bottom w:val="single" w:color="000000" w:sz="12" w:space="0"/>
            </w:tcBorders>
            <w:shd w:val="clear" w:color="auto" w:fill="auto"/>
            <w:tcMar>
              <w:top w:w="15" w:type="dxa"/>
              <w:left w:w="15" w:type="dxa"/>
              <w:right w:w="15" w:type="dxa"/>
            </w:tcMar>
            <w:vAlign w:val="center"/>
          </w:tcPr>
          <w:p w14:paraId="7924F475">
            <w:pPr>
              <w:widowControl/>
              <w:spacing w:line="240" w:lineRule="auto"/>
              <w:jc w:val="center"/>
              <w:textAlignment w:val="center"/>
              <w:rPr>
                <w:b/>
                <w:color w:val="000000"/>
                <w:sz w:val="21"/>
                <w:szCs w:val="21"/>
                <w:highlight w:val="none"/>
              </w:rPr>
            </w:pPr>
            <w:r>
              <w:rPr>
                <w:b/>
                <w:color w:val="000000"/>
                <w:kern w:val="0"/>
                <w:sz w:val="21"/>
                <w:szCs w:val="21"/>
                <w:highlight w:val="none"/>
                <w:lang w:bidi="ar"/>
              </w:rPr>
              <w:t>污染程度</w:t>
            </w:r>
          </w:p>
        </w:tc>
      </w:tr>
      <w:tr w14:paraId="365AD3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op w:val="single" w:color="000000" w:sz="12" w:space="0"/>
              <w:tl2br w:val="nil"/>
              <w:tr2bl w:val="nil"/>
            </w:tcBorders>
            <w:shd w:val="clear" w:color="auto" w:fill="auto"/>
            <w:tcMar>
              <w:top w:w="15" w:type="dxa"/>
              <w:left w:w="15" w:type="dxa"/>
              <w:right w:w="15" w:type="dxa"/>
            </w:tcMar>
            <w:vAlign w:val="center"/>
          </w:tcPr>
          <w:p w14:paraId="542E00FE">
            <w:pPr>
              <w:widowControl/>
              <w:spacing w:line="240" w:lineRule="auto"/>
              <w:jc w:val="center"/>
              <w:textAlignment w:val="center"/>
              <w:rPr>
                <w:color w:val="000000"/>
                <w:sz w:val="21"/>
                <w:szCs w:val="21"/>
                <w:highlight w:val="none"/>
              </w:rPr>
            </w:pPr>
            <w:r>
              <w:rPr>
                <w:color w:val="000000"/>
                <w:kern w:val="0"/>
                <w:sz w:val="21"/>
                <w:szCs w:val="21"/>
                <w:highlight w:val="none"/>
                <w:lang w:bidi="ar"/>
              </w:rPr>
              <w:t>Ⅰ</w:t>
            </w:r>
          </w:p>
        </w:tc>
        <w:tc>
          <w:tcPr>
            <w:tcW w:w="3204" w:type="dxa"/>
            <w:tcBorders>
              <w:top w:val="single" w:color="000000" w:sz="12" w:space="0"/>
              <w:tl2br w:val="nil"/>
              <w:tr2bl w:val="nil"/>
            </w:tcBorders>
            <w:shd w:val="clear" w:color="auto" w:fill="auto"/>
            <w:tcMar>
              <w:top w:w="15" w:type="dxa"/>
              <w:left w:w="15" w:type="dxa"/>
              <w:right w:w="15" w:type="dxa"/>
            </w:tcMar>
            <w:vAlign w:val="center"/>
          </w:tcPr>
          <w:p w14:paraId="1103759F">
            <w:pPr>
              <w:widowControl/>
              <w:spacing w:line="240" w:lineRule="auto"/>
              <w:jc w:val="center"/>
              <w:textAlignment w:val="center"/>
              <w:rPr>
                <w:color w:val="000000"/>
                <w:sz w:val="21"/>
                <w:szCs w:val="21"/>
                <w:highlight w:val="none"/>
              </w:rPr>
            </w:pPr>
            <w:r>
              <w:rPr>
                <w:color w:val="000000"/>
                <w:kern w:val="0"/>
                <w:sz w:val="21"/>
                <w:szCs w:val="21"/>
                <w:highlight w:val="none"/>
                <w:lang w:bidi="ar"/>
              </w:rPr>
              <w:t>P</w:t>
            </w:r>
            <w:r>
              <w:rPr>
                <w:color w:val="000000"/>
                <w:kern w:val="0"/>
                <w:sz w:val="21"/>
                <w:szCs w:val="21"/>
                <w:highlight w:val="none"/>
                <w:vertAlign w:val="subscript"/>
                <w:lang w:bidi="ar"/>
              </w:rPr>
              <w:t>i</w:t>
            </w:r>
            <w:r>
              <w:rPr>
                <w:color w:val="000000"/>
                <w:kern w:val="0"/>
                <w:sz w:val="21"/>
                <w:szCs w:val="21"/>
                <w:highlight w:val="none"/>
                <w:lang w:bidi="ar"/>
              </w:rPr>
              <w:t>＜1</w:t>
            </w:r>
          </w:p>
        </w:tc>
        <w:tc>
          <w:tcPr>
            <w:tcW w:w="3204" w:type="dxa"/>
            <w:tcBorders>
              <w:top w:val="single" w:color="000000" w:sz="12" w:space="0"/>
              <w:tl2br w:val="nil"/>
              <w:tr2bl w:val="nil"/>
            </w:tcBorders>
            <w:shd w:val="clear" w:color="auto" w:fill="auto"/>
            <w:tcMar>
              <w:top w:w="15" w:type="dxa"/>
              <w:left w:w="15" w:type="dxa"/>
              <w:right w:w="15" w:type="dxa"/>
            </w:tcMar>
            <w:vAlign w:val="center"/>
          </w:tcPr>
          <w:p w14:paraId="0AE6A6FE">
            <w:pPr>
              <w:widowControl/>
              <w:spacing w:line="240" w:lineRule="auto"/>
              <w:jc w:val="center"/>
              <w:textAlignment w:val="center"/>
              <w:rPr>
                <w:color w:val="000000"/>
                <w:sz w:val="21"/>
                <w:szCs w:val="21"/>
                <w:highlight w:val="none"/>
              </w:rPr>
            </w:pPr>
            <w:r>
              <w:rPr>
                <w:color w:val="000000"/>
                <w:kern w:val="0"/>
                <w:sz w:val="21"/>
                <w:szCs w:val="21"/>
                <w:highlight w:val="none"/>
                <w:lang w:bidi="ar"/>
              </w:rPr>
              <w:t>无污染</w:t>
            </w:r>
          </w:p>
        </w:tc>
      </w:tr>
      <w:tr w14:paraId="4140EF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47DC93FE">
            <w:pPr>
              <w:widowControl/>
              <w:spacing w:line="240" w:lineRule="auto"/>
              <w:jc w:val="center"/>
              <w:textAlignment w:val="center"/>
              <w:rPr>
                <w:color w:val="000000"/>
                <w:sz w:val="21"/>
                <w:szCs w:val="21"/>
                <w:highlight w:val="none"/>
              </w:rPr>
            </w:pPr>
            <w:r>
              <w:rPr>
                <w:color w:val="000000"/>
                <w:kern w:val="0"/>
                <w:sz w:val="21"/>
                <w:szCs w:val="21"/>
                <w:highlight w:val="none"/>
                <w:lang w:bidi="ar"/>
              </w:rPr>
              <w:t>Ⅱ</w:t>
            </w:r>
          </w:p>
        </w:tc>
        <w:tc>
          <w:tcPr>
            <w:tcW w:w="3204" w:type="dxa"/>
            <w:tcBorders>
              <w:tl2br w:val="nil"/>
              <w:tr2bl w:val="nil"/>
            </w:tcBorders>
            <w:shd w:val="clear" w:color="auto" w:fill="auto"/>
            <w:tcMar>
              <w:top w:w="15" w:type="dxa"/>
              <w:left w:w="15" w:type="dxa"/>
              <w:right w:w="15" w:type="dxa"/>
            </w:tcMar>
            <w:vAlign w:val="center"/>
          </w:tcPr>
          <w:p w14:paraId="01FD8D64">
            <w:pPr>
              <w:widowControl/>
              <w:spacing w:line="240" w:lineRule="auto"/>
              <w:jc w:val="center"/>
              <w:textAlignment w:val="center"/>
              <w:rPr>
                <w:color w:val="000000"/>
                <w:sz w:val="21"/>
                <w:szCs w:val="21"/>
                <w:highlight w:val="none"/>
              </w:rPr>
            </w:pPr>
            <w:r>
              <w:rPr>
                <w:color w:val="000000"/>
                <w:kern w:val="0"/>
                <w:sz w:val="21"/>
                <w:szCs w:val="21"/>
                <w:highlight w:val="none"/>
                <w:lang w:bidi="ar"/>
              </w:rPr>
              <w:t>1＜P</w:t>
            </w:r>
            <w:r>
              <w:rPr>
                <w:color w:val="000000"/>
                <w:kern w:val="0"/>
                <w:sz w:val="21"/>
                <w:szCs w:val="21"/>
                <w:highlight w:val="none"/>
                <w:vertAlign w:val="subscript"/>
                <w:lang w:bidi="ar"/>
              </w:rPr>
              <w:t>i</w:t>
            </w:r>
            <w:r>
              <w:rPr>
                <w:color w:val="000000"/>
                <w:kern w:val="0"/>
                <w:sz w:val="21"/>
                <w:szCs w:val="21"/>
                <w:highlight w:val="none"/>
                <w:lang w:bidi="ar"/>
              </w:rPr>
              <w:t>≤2</w:t>
            </w:r>
          </w:p>
        </w:tc>
        <w:tc>
          <w:tcPr>
            <w:tcW w:w="3204" w:type="dxa"/>
            <w:tcBorders>
              <w:tl2br w:val="nil"/>
              <w:tr2bl w:val="nil"/>
            </w:tcBorders>
            <w:shd w:val="clear" w:color="auto" w:fill="auto"/>
            <w:tcMar>
              <w:top w:w="15" w:type="dxa"/>
              <w:left w:w="15" w:type="dxa"/>
              <w:right w:w="15" w:type="dxa"/>
            </w:tcMar>
            <w:vAlign w:val="center"/>
          </w:tcPr>
          <w:p w14:paraId="49A2B621">
            <w:pPr>
              <w:widowControl/>
              <w:spacing w:line="240" w:lineRule="auto"/>
              <w:jc w:val="center"/>
              <w:textAlignment w:val="center"/>
              <w:rPr>
                <w:color w:val="000000"/>
                <w:sz w:val="21"/>
                <w:szCs w:val="21"/>
                <w:highlight w:val="none"/>
              </w:rPr>
            </w:pPr>
            <w:r>
              <w:rPr>
                <w:color w:val="000000"/>
                <w:kern w:val="0"/>
                <w:sz w:val="21"/>
                <w:szCs w:val="21"/>
                <w:highlight w:val="none"/>
                <w:lang w:bidi="ar"/>
              </w:rPr>
              <w:t>轻微污染</w:t>
            </w:r>
          </w:p>
        </w:tc>
      </w:tr>
      <w:tr w14:paraId="2321F3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15A369D5">
            <w:pPr>
              <w:widowControl/>
              <w:spacing w:line="240" w:lineRule="auto"/>
              <w:jc w:val="center"/>
              <w:textAlignment w:val="center"/>
              <w:rPr>
                <w:color w:val="000000"/>
                <w:sz w:val="21"/>
                <w:szCs w:val="21"/>
                <w:highlight w:val="none"/>
              </w:rPr>
            </w:pPr>
            <w:r>
              <w:rPr>
                <w:color w:val="000000"/>
                <w:kern w:val="0"/>
                <w:sz w:val="21"/>
                <w:szCs w:val="21"/>
                <w:highlight w:val="none"/>
                <w:lang w:bidi="ar"/>
              </w:rPr>
              <w:t>Ⅲ</w:t>
            </w:r>
          </w:p>
        </w:tc>
        <w:tc>
          <w:tcPr>
            <w:tcW w:w="3204" w:type="dxa"/>
            <w:tcBorders>
              <w:tl2br w:val="nil"/>
              <w:tr2bl w:val="nil"/>
            </w:tcBorders>
            <w:shd w:val="clear" w:color="auto" w:fill="auto"/>
            <w:tcMar>
              <w:top w:w="15" w:type="dxa"/>
              <w:left w:w="15" w:type="dxa"/>
              <w:right w:w="15" w:type="dxa"/>
            </w:tcMar>
            <w:vAlign w:val="center"/>
          </w:tcPr>
          <w:p w14:paraId="3146559E">
            <w:pPr>
              <w:widowControl/>
              <w:spacing w:line="240" w:lineRule="auto"/>
              <w:jc w:val="center"/>
              <w:textAlignment w:val="center"/>
              <w:rPr>
                <w:color w:val="000000"/>
                <w:sz w:val="21"/>
                <w:szCs w:val="21"/>
                <w:highlight w:val="none"/>
              </w:rPr>
            </w:pPr>
            <w:r>
              <w:rPr>
                <w:color w:val="000000"/>
                <w:kern w:val="0"/>
                <w:sz w:val="21"/>
                <w:szCs w:val="21"/>
                <w:highlight w:val="none"/>
                <w:lang w:bidi="ar"/>
              </w:rPr>
              <w:t>2＜P</w:t>
            </w:r>
            <w:r>
              <w:rPr>
                <w:color w:val="000000"/>
                <w:kern w:val="0"/>
                <w:sz w:val="21"/>
                <w:szCs w:val="21"/>
                <w:highlight w:val="none"/>
                <w:vertAlign w:val="subscript"/>
                <w:lang w:bidi="ar"/>
              </w:rPr>
              <w:t>i</w:t>
            </w:r>
            <w:r>
              <w:rPr>
                <w:color w:val="000000"/>
                <w:kern w:val="0"/>
                <w:sz w:val="21"/>
                <w:szCs w:val="21"/>
                <w:highlight w:val="none"/>
                <w:lang w:bidi="ar"/>
              </w:rPr>
              <w:t>≤3</w:t>
            </w:r>
          </w:p>
        </w:tc>
        <w:tc>
          <w:tcPr>
            <w:tcW w:w="3204" w:type="dxa"/>
            <w:tcBorders>
              <w:tl2br w:val="nil"/>
              <w:tr2bl w:val="nil"/>
            </w:tcBorders>
            <w:shd w:val="clear" w:color="auto" w:fill="auto"/>
            <w:tcMar>
              <w:top w:w="15" w:type="dxa"/>
              <w:left w:w="15" w:type="dxa"/>
              <w:right w:w="15" w:type="dxa"/>
            </w:tcMar>
            <w:vAlign w:val="center"/>
          </w:tcPr>
          <w:p w14:paraId="3A49CEBC">
            <w:pPr>
              <w:widowControl/>
              <w:spacing w:line="240" w:lineRule="auto"/>
              <w:jc w:val="center"/>
              <w:textAlignment w:val="center"/>
              <w:rPr>
                <w:color w:val="000000"/>
                <w:sz w:val="21"/>
                <w:szCs w:val="21"/>
                <w:highlight w:val="none"/>
              </w:rPr>
            </w:pPr>
            <w:r>
              <w:rPr>
                <w:color w:val="000000"/>
                <w:sz w:val="21"/>
                <w:szCs w:val="21"/>
                <w:highlight w:val="none"/>
              </w:rPr>
              <w:t>轻度污染</w:t>
            </w:r>
          </w:p>
        </w:tc>
      </w:tr>
      <w:tr w14:paraId="3BB135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203" w:type="dxa"/>
            <w:tcBorders>
              <w:tl2br w:val="nil"/>
              <w:tr2bl w:val="nil"/>
            </w:tcBorders>
            <w:shd w:val="clear" w:color="auto" w:fill="auto"/>
            <w:tcMar>
              <w:top w:w="15" w:type="dxa"/>
              <w:left w:w="15" w:type="dxa"/>
              <w:right w:w="15" w:type="dxa"/>
            </w:tcMar>
            <w:vAlign w:val="center"/>
          </w:tcPr>
          <w:p w14:paraId="05EB9B4E">
            <w:pPr>
              <w:widowControl/>
              <w:spacing w:line="240" w:lineRule="auto"/>
              <w:jc w:val="center"/>
              <w:textAlignment w:val="center"/>
              <w:rPr>
                <w:color w:val="000000"/>
                <w:sz w:val="21"/>
                <w:szCs w:val="21"/>
                <w:highlight w:val="none"/>
              </w:rPr>
            </w:pPr>
            <w:r>
              <w:rPr>
                <w:color w:val="000000"/>
                <w:kern w:val="0"/>
                <w:sz w:val="21"/>
                <w:szCs w:val="21"/>
                <w:highlight w:val="none"/>
                <w:lang w:bidi="ar"/>
              </w:rPr>
              <w:t>Ⅳ</w:t>
            </w:r>
          </w:p>
        </w:tc>
        <w:tc>
          <w:tcPr>
            <w:tcW w:w="3204" w:type="dxa"/>
            <w:tcBorders>
              <w:tl2br w:val="nil"/>
              <w:tr2bl w:val="nil"/>
            </w:tcBorders>
            <w:shd w:val="clear" w:color="auto" w:fill="auto"/>
            <w:tcMar>
              <w:top w:w="15" w:type="dxa"/>
              <w:left w:w="15" w:type="dxa"/>
              <w:right w:w="15" w:type="dxa"/>
            </w:tcMar>
            <w:vAlign w:val="center"/>
          </w:tcPr>
          <w:p w14:paraId="52D09591">
            <w:pPr>
              <w:widowControl/>
              <w:spacing w:line="240" w:lineRule="auto"/>
              <w:jc w:val="center"/>
              <w:textAlignment w:val="center"/>
              <w:rPr>
                <w:color w:val="000000"/>
                <w:sz w:val="21"/>
                <w:szCs w:val="21"/>
                <w:highlight w:val="none"/>
              </w:rPr>
            </w:pPr>
            <w:r>
              <w:rPr>
                <w:color w:val="000000"/>
                <w:kern w:val="0"/>
                <w:sz w:val="21"/>
                <w:szCs w:val="21"/>
                <w:highlight w:val="none"/>
                <w:lang w:bidi="ar"/>
              </w:rPr>
              <w:t>3＜P</w:t>
            </w:r>
            <w:r>
              <w:rPr>
                <w:color w:val="000000"/>
                <w:kern w:val="0"/>
                <w:sz w:val="21"/>
                <w:szCs w:val="21"/>
                <w:highlight w:val="none"/>
                <w:vertAlign w:val="subscript"/>
                <w:lang w:bidi="ar"/>
              </w:rPr>
              <w:t>i</w:t>
            </w:r>
            <w:r>
              <w:rPr>
                <w:color w:val="000000"/>
                <w:kern w:val="0"/>
                <w:sz w:val="21"/>
                <w:szCs w:val="21"/>
                <w:highlight w:val="none"/>
                <w:lang w:bidi="ar"/>
              </w:rPr>
              <w:t>≤5</w:t>
            </w:r>
          </w:p>
        </w:tc>
        <w:tc>
          <w:tcPr>
            <w:tcW w:w="3204" w:type="dxa"/>
            <w:tcBorders>
              <w:tl2br w:val="nil"/>
              <w:tr2bl w:val="nil"/>
            </w:tcBorders>
            <w:shd w:val="clear" w:color="auto" w:fill="auto"/>
            <w:tcMar>
              <w:top w:w="15" w:type="dxa"/>
              <w:left w:w="15" w:type="dxa"/>
              <w:right w:w="15" w:type="dxa"/>
            </w:tcMar>
            <w:vAlign w:val="center"/>
          </w:tcPr>
          <w:p w14:paraId="11F21CA4">
            <w:pPr>
              <w:widowControl/>
              <w:spacing w:line="240" w:lineRule="auto"/>
              <w:jc w:val="center"/>
              <w:textAlignment w:val="center"/>
              <w:rPr>
                <w:color w:val="000000"/>
                <w:sz w:val="21"/>
                <w:szCs w:val="21"/>
                <w:highlight w:val="none"/>
              </w:rPr>
            </w:pPr>
            <w:r>
              <w:rPr>
                <w:color w:val="000000"/>
                <w:sz w:val="21"/>
                <w:szCs w:val="21"/>
                <w:highlight w:val="none"/>
              </w:rPr>
              <w:t>中度污染</w:t>
            </w:r>
          </w:p>
        </w:tc>
      </w:tr>
      <w:tr w14:paraId="2A2C68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49FD97A5">
            <w:pPr>
              <w:widowControl/>
              <w:spacing w:line="240" w:lineRule="auto"/>
              <w:jc w:val="center"/>
              <w:textAlignment w:val="center"/>
              <w:rPr>
                <w:color w:val="000000"/>
                <w:sz w:val="21"/>
                <w:szCs w:val="21"/>
                <w:highlight w:val="none"/>
              </w:rPr>
            </w:pP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5 \* ROMAN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V</w:t>
            </w:r>
            <w:r>
              <w:rPr>
                <w:rFonts w:hint="default" w:ascii="Times New Roman" w:hAnsi="Times New Roman" w:cs="Times New Roman"/>
                <w:color w:val="auto"/>
                <w:sz w:val="21"/>
                <w:szCs w:val="21"/>
                <w:highlight w:val="none"/>
              </w:rPr>
              <w:fldChar w:fldCharType="end"/>
            </w:r>
          </w:p>
        </w:tc>
        <w:tc>
          <w:tcPr>
            <w:tcW w:w="3204" w:type="dxa"/>
            <w:tcBorders>
              <w:tl2br w:val="nil"/>
              <w:tr2bl w:val="nil"/>
            </w:tcBorders>
            <w:shd w:val="clear" w:color="auto" w:fill="auto"/>
            <w:tcMar>
              <w:top w:w="15" w:type="dxa"/>
              <w:left w:w="15" w:type="dxa"/>
              <w:right w:w="15" w:type="dxa"/>
            </w:tcMar>
            <w:vAlign w:val="center"/>
          </w:tcPr>
          <w:p w14:paraId="37A359D4">
            <w:pPr>
              <w:widowControl/>
              <w:spacing w:line="240" w:lineRule="auto"/>
              <w:jc w:val="center"/>
              <w:textAlignment w:val="center"/>
              <w:rPr>
                <w:color w:val="000000"/>
                <w:sz w:val="21"/>
                <w:szCs w:val="21"/>
                <w:highlight w:val="none"/>
              </w:rPr>
            </w:pPr>
            <w:r>
              <w:rPr>
                <w:color w:val="000000"/>
                <w:kern w:val="0"/>
                <w:sz w:val="21"/>
                <w:szCs w:val="21"/>
                <w:highlight w:val="none"/>
                <w:lang w:bidi="ar"/>
              </w:rPr>
              <w:t>P</w:t>
            </w:r>
            <w:r>
              <w:rPr>
                <w:color w:val="000000"/>
                <w:kern w:val="0"/>
                <w:sz w:val="21"/>
                <w:szCs w:val="21"/>
                <w:highlight w:val="none"/>
                <w:vertAlign w:val="subscript"/>
                <w:lang w:bidi="ar"/>
              </w:rPr>
              <w:t>i</w:t>
            </w:r>
            <w:r>
              <w:rPr>
                <w:color w:val="000000"/>
                <w:kern w:val="0"/>
                <w:sz w:val="21"/>
                <w:szCs w:val="21"/>
                <w:highlight w:val="none"/>
                <w:lang w:bidi="ar"/>
              </w:rPr>
              <w:t>＞5</w:t>
            </w:r>
          </w:p>
        </w:tc>
        <w:tc>
          <w:tcPr>
            <w:tcW w:w="3204" w:type="dxa"/>
            <w:tcBorders>
              <w:tl2br w:val="nil"/>
              <w:tr2bl w:val="nil"/>
            </w:tcBorders>
            <w:shd w:val="clear" w:color="auto" w:fill="auto"/>
            <w:tcMar>
              <w:top w:w="15" w:type="dxa"/>
              <w:left w:w="15" w:type="dxa"/>
              <w:right w:w="15" w:type="dxa"/>
            </w:tcMar>
            <w:vAlign w:val="center"/>
          </w:tcPr>
          <w:p w14:paraId="7C2A274A">
            <w:pPr>
              <w:widowControl/>
              <w:spacing w:line="240" w:lineRule="auto"/>
              <w:jc w:val="center"/>
              <w:textAlignment w:val="center"/>
              <w:rPr>
                <w:color w:val="000000"/>
                <w:sz w:val="21"/>
                <w:szCs w:val="21"/>
                <w:highlight w:val="none"/>
              </w:rPr>
            </w:pPr>
            <w:r>
              <w:rPr>
                <w:color w:val="000000"/>
                <w:kern w:val="0"/>
                <w:sz w:val="21"/>
                <w:szCs w:val="21"/>
                <w:highlight w:val="none"/>
                <w:lang w:bidi="ar"/>
              </w:rPr>
              <w:t>重度污染</w:t>
            </w:r>
          </w:p>
        </w:tc>
      </w:tr>
    </w:tbl>
    <w:p w14:paraId="1B410BD5">
      <w:pPr>
        <w:pStyle w:val="6"/>
        <w:numPr>
          <w:ilvl w:val="0"/>
          <w:numId w:val="0"/>
        </w:numPr>
        <w:spacing w:after="0"/>
        <w:jc w:val="left"/>
        <w:rPr>
          <w:color w:val="000000"/>
          <w:kern w:val="0"/>
          <w:highlight w:val="none"/>
        </w:rPr>
      </w:pPr>
      <w:r>
        <w:rPr>
          <w:color w:val="000000"/>
          <w:kern w:val="0"/>
          <w:highlight w:val="none"/>
        </w:rPr>
        <w:t>5.2.2.2内梅罗污染指数评价</w:t>
      </w:r>
    </w:p>
    <w:p w14:paraId="3D12B952">
      <w:pPr>
        <w:ind w:firstLine="480" w:firstLineChars="200"/>
        <w:rPr>
          <w:highlight w:val="none"/>
        </w:rPr>
      </w:pPr>
      <w:r>
        <w:rPr>
          <w:highlight w:val="none"/>
        </w:rPr>
        <w:t>内梅罗指数反映了各污染物对土壤的作用，</w:t>
      </w:r>
      <w:r>
        <w:rPr>
          <w:rFonts w:hint="eastAsia"/>
          <w:highlight w:val="none"/>
        </w:rPr>
        <w:t>同时</w:t>
      </w:r>
      <w:r>
        <w:rPr>
          <w:highlight w:val="none"/>
        </w:rPr>
        <w:t>突出了高浓度污染物对土壤环境质量的影响，可按内梅罗污染指数，划定污染等级。内梅罗指数计算公式如下：</w:t>
      </w:r>
    </w:p>
    <w:p w14:paraId="4052265D">
      <w:pPr>
        <w:ind w:firstLine="420"/>
        <w:rPr>
          <w:highlight w:val="none"/>
          <w:vertAlign w:val="superscript"/>
        </w:rPr>
      </w:pPr>
      <w:r>
        <w:rPr>
          <w:highlight w:val="none"/>
        </w:rPr>
        <w:t>内梅罗污染指数（P</w:t>
      </w:r>
      <w:r>
        <w:rPr>
          <w:highlight w:val="none"/>
          <w:vertAlign w:val="subscript"/>
        </w:rPr>
        <w:t>N</w:t>
      </w:r>
      <w:r>
        <w:rPr>
          <w:highlight w:val="none"/>
        </w:rPr>
        <w:t xml:space="preserve">）= ｛［（Pi </w:t>
      </w:r>
      <w:r>
        <w:rPr>
          <w:highlight w:val="none"/>
          <w:vertAlign w:val="subscript"/>
        </w:rPr>
        <w:t>均</w:t>
      </w:r>
      <w:r>
        <w:rPr>
          <w:highlight w:val="none"/>
          <w:vertAlign w:val="superscript"/>
        </w:rPr>
        <w:t>2</w:t>
      </w:r>
      <w:r>
        <w:rPr>
          <w:highlight w:val="none"/>
        </w:rPr>
        <w:t xml:space="preserve">）+ （Pi </w:t>
      </w:r>
      <w:r>
        <w:rPr>
          <w:highlight w:val="none"/>
          <w:vertAlign w:val="subscript"/>
        </w:rPr>
        <w:t>最大</w:t>
      </w:r>
      <w:r>
        <w:rPr>
          <w:highlight w:val="none"/>
          <w:vertAlign w:val="superscript"/>
        </w:rPr>
        <w:t>2</w:t>
      </w:r>
      <w:r>
        <w:rPr>
          <w:highlight w:val="none"/>
        </w:rPr>
        <w:t>］/2｝</w:t>
      </w:r>
      <w:r>
        <w:rPr>
          <w:highlight w:val="none"/>
          <w:vertAlign w:val="superscript"/>
        </w:rPr>
        <w:t>1/2</w:t>
      </w:r>
    </w:p>
    <w:p w14:paraId="3DBA2FD2">
      <w:pPr>
        <w:pStyle w:val="2"/>
        <w:spacing w:after="0"/>
        <w:ind w:firstLine="420"/>
        <w:rPr>
          <w:highlight w:val="none"/>
        </w:rPr>
      </w:pPr>
      <w:r>
        <w:rPr>
          <w:highlight w:val="none"/>
        </w:rPr>
        <w:t xml:space="preserve">式中 Pi </w:t>
      </w:r>
      <w:r>
        <w:rPr>
          <w:highlight w:val="none"/>
          <w:vertAlign w:val="subscript"/>
        </w:rPr>
        <w:t>均</w:t>
      </w:r>
      <w:r>
        <w:rPr>
          <w:highlight w:val="none"/>
        </w:rPr>
        <w:t xml:space="preserve">和 Pi </w:t>
      </w:r>
      <w:r>
        <w:rPr>
          <w:highlight w:val="none"/>
          <w:vertAlign w:val="subscript"/>
        </w:rPr>
        <w:t>最大</w:t>
      </w:r>
      <w:r>
        <w:rPr>
          <w:highlight w:val="none"/>
        </w:rPr>
        <w:t>分别是平均单项污染指数和最大单项污染指数。</w:t>
      </w:r>
    </w:p>
    <w:p w14:paraId="4729C0A9">
      <w:pPr>
        <w:pStyle w:val="2"/>
        <w:spacing w:after="0"/>
        <w:ind w:firstLine="420"/>
        <w:rPr>
          <w:highlight w:val="none"/>
        </w:rPr>
      </w:pPr>
      <w:r>
        <w:rPr>
          <w:highlight w:val="none"/>
        </w:rPr>
        <w:t xml:space="preserve">内梅罗指数土壤污染评价标准见表5-2-2。 </w:t>
      </w:r>
    </w:p>
    <w:p w14:paraId="12DB8A1C">
      <w:pPr>
        <w:pStyle w:val="2"/>
        <w:spacing w:before="165" w:beforeLines="50" w:after="0" w:line="240" w:lineRule="auto"/>
        <w:jc w:val="center"/>
        <w:rPr>
          <w:b/>
          <w:bCs/>
          <w:highlight w:val="none"/>
        </w:rPr>
      </w:pPr>
    </w:p>
    <w:p w14:paraId="03DF0394">
      <w:pPr>
        <w:pStyle w:val="2"/>
        <w:spacing w:before="165" w:beforeLines="50" w:after="0" w:line="240" w:lineRule="auto"/>
        <w:jc w:val="center"/>
        <w:rPr>
          <w:b/>
          <w:bCs/>
          <w:highlight w:val="none"/>
        </w:rPr>
      </w:pPr>
      <w:r>
        <w:rPr>
          <w:b/>
          <w:bCs/>
          <w:highlight w:val="none"/>
        </w:rPr>
        <w:t>表5-2-2 土壤内梅罗污染指数评价标准</w:t>
      </w:r>
    </w:p>
    <w:tbl>
      <w:tblPr>
        <w:tblStyle w:val="21"/>
        <w:tblW w:w="961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203"/>
        <w:gridCol w:w="3204"/>
        <w:gridCol w:w="3204"/>
      </w:tblGrid>
      <w:tr w14:paraId="35AA7F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bottom w:val="single" w:color="000000" w:sz="12" w:space="0"/>
            </w:tcBorders>
            <w:shd w:val="clear" w:color="auto" w:fill="auto"/>
            <w:tcMar>
              <w:top w:w="15" w:type="dxa"/>
              <w:left w:w="15" w:type="dxa"/>
              <w:right w:w="15" w:type="dxa"/>
            </w:tcMar>
            <w:vAlign w:val="center"/>
          </w:tcPr>
          <w:p w14:paraId="40CF7CAA">
            <w:pPr>
              <w:widowControl/>
              <w:spacing w:line="240" w:lineRule="auto"/>
              <w:jc w:val="center"/>
              <w:textAlignment w:val="center"/>
              <w:rPr>
                <w:b/>
                <w:color w:val="000000"/>
                <w:sz w:val="21"/>
                <w:szCs w:val="21"/>
                <w:highlight w:val="none"/>
              </w:rPr>
            </w:pPr>
            <w:r>
              <w:rPr>
                <w:b/>
                <w:color w:val="000000"/>
                <w:kern w:val="0"/>
                <w:sz w:val="21"/>
                <w:szCs w:val="21"/>
                <w:highlight w:val="none"/>
                <w:lang w:bidi="ar"/>
              </w:rPr>
              <w:t>等级</w:t>
            </w:r>
          </w:p>
        </w:tc>
        <w:tc>
          <w:tcPr>
            <w:tcW w:w="3204" w:type="dxa"/>
            <w:tcBorders>
              <w:bottom w:val="single" w:color="000000" w:sz="12" w:space="0"/>
            </w:tcBorders>
            <w:shd w:val="clear" w:color="auto" w:fill="auto"/>
            <w:tcMar>
              <w:top w:w="15" w:type="dxa"/>
              <w:left w:w="15" w:type="dxa"/>
              <w:right w:w="15" w:type="dxa"/>
            </w:tcMar>
            <w:vAlign w:val="center"/>
          </w:tcPr>
          <w:p w14:paraId="5394C1C1">
            <w:pPr>
              <w:widowControl/>
              <w:spacing w:line="240" w:lineRule="auto"/>
              <w:jc w:val="center"/>
              <w:textAlignment w:val="center"/>
              <w:rPr>
                <w:b/>
                <w:color w:val="000000"/>
                <w:sz w:val="21"/>
                <w:szCs w:val="21"/>
                <w:highlight w:val="none"/>
              </w:rPr>
            </w:pPr>
            <w:r>
              <w:rPr>
                <w:b/>
                <w:color w:val="000000"/>
                <w:kern w:val="0"/>
                <w:sz w:val="21"/>
                <w:szCs w:val="21"/>
                <w:highlight w:val="none"/>
                <w:lang w:bidi="ar"/>
              </w:rPr>
              <w:t>内梅罗污染指数</w:t>
            </w:r>
          </w:p>
        </w:tc>
        <w:tc>
          <w:tcPr>
            <w:tcW w:w="3204" w:type="dxa"/>
            <w:tcBorders>
              <w:bottom w:val="single" w:color="000000" w:sz="12" w:space="0"/>
            </w:tcBorders>
            <w:shd w:val="clear" w:color="auto" w:fill="auto"/>
            <w:tcMar>
              <w:top w:w="15" w:type="dxa"/>
              <w:left w:w="15" w:type="dxa"/>
              <w:right w:w="15" w:type="dxa"/>
            </w:tcMar>
            <w:vAlign w:val="center"/>
          </w:tcPr>
          <w:p w14:paraId="6BA6DCC7">
            <w:pPr>
              <w:widowControl/>
              <w:spacing w:line="240" w:lineRule="auto"/>
              <w:jc w:val="center"/>
              <w:textAlignment w:val="center"/>
              <w:rPr>
                <w:b/>
                <w:color w:val="000000"/>
                <w:sz w:val="21"/>
                <w:szCs w:val="21"/>
                <w:highlight w:val="none"/>
              </w:rPr>
            </w:pPr>
            <w:r>
              <w:rPr>
                <w:b/>
                <w:color w:val="000000"/>
                <w:kern w:val="0"/>
                <w:sz w:val="21"/>
                <w:szCs w:val="21"/>
                <w:highlight w:val="none"/>
                <w:lang w:bidi="ar"/>
              </w:rPr>
              <w:t>污染等级</w:t>
            </w:r>
          </w:p>
        </w:tc>
      </w:tr>
      <w:tr w14:paraId="5505F8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op w:val="single" w:color="000000" w:sz="12" w:space="0"/>
              <w:tl2br w:val="nil"/>
              <w:tr2bl w:val="nil"/>
            </w:tcBorders>
            <w:shd w:val="clear" w:color="auto" w:fill="auto"/>
            <w:tcMar>
              <w:top w:w="15" w:type="dxa"/>
              <w:left w:w="15" w:type="dxa"/>
              <w:right w:w="15" w:type="dxa"/>
            </w:tcMar>
            <w:vAlign w:val="center"/>
          </w:tcPr>
          <w:p w14:paraId="758B3951">
            <w:pPr>
              <w:widowControl/>
              <w:spacing w:line="240" w:lineRule="auto"/>
              <w:jc w:val="center"/>
              <w:textAlignment w:val="center"/>
              <w:rPr>
                <w:color w:val="000000"/>
                <w:sz w:val="21"/>
                <w:szCs w:val="21"/>
                <w:highlight w:val="none"/>
              </w:rPr>
            </w:pPr>
            <w:r>
              <w:rPr>
                <w:color w:val="000000"/>
                <w:kern w:val="0"/>
                <w:sz w:val="21"/>
                <w:szCs w:val="21"/>
                <w:highlight w:val="none"/>
                <w:lang w:bidi="ar"/>
              </w:rPr>
              <w:t>Ⅰ</w:t>
            </w:r>
          </w:p>
        </w:tc>
        <w:tc>
          <w:tcPr>
            <w:tcW w:w="3204" w:type="dxa"/>
            <w:tcBorders>
              <w:top w:val="single" w:color="000000" w:sz="12" w:space="0"/>
              <w:tl2br w:val="nil"/>
              <w:tr2bl w:val="nil"/>
            </w:tcBorders>
            <w:shd w:val="clear" w:color="auto" w:fill="auto"/>
            <w:tcMar>
              <w:top w:w="15" w:type="dxa"/>
              <w:left w:w="15" w:type="dxa"/>
              <w:right w:w="15" w:type="dxa"/>
            </w:tcMar>
            <w:vAlign w:val="center"/>
          </w:tcPr>
          <w:p w14:paraId="694EE032">
            <w:pPr>
              <w:widowControl/>
              <w:spacing w:line="240" w:lineRule="auto"/>
              <w:jc w:val="center"/>
              <w:textAlignment w:val="center"/>
              <w:rPr>
                <w:color w:val="000000"/>
                <w:sz w:val="21"/>
                <w:szCs w:val="21"/>
                <w:highlight w:val="none"/>
              </w:rPr>
            </w:pPr>
            <w:r>
              <w:rPr>
                <w:color w:val="000000"/>
                <w:kern w:val="0"/>
                <w:sz w:val="21"/>
                <w:szCs w:val="21"/>
                <w:highlight w:val="none"/>
                <w:lang w:bidi="ar"/>
              </w:rPr>
              <w:t>P</w:t>
            </w:r>
            <w:r>
              <w:rPr>
                <w:color w:val="000000"/>
                <w:kern w:val="0"/>
                <w:sz w:val="21"/>
                <w:szCs w:val="21"/>
                <w:highlight w:val="none"/>
                <w:vertAlign w:val="subscript"/>
                <w:lang w:bidi="ar"/>
              </w:rPr>
              <w:t>N</w:t>
            </w:r>
            <w:r>
              <w:rPr>
                <w:color w:val="000000"/>
                <w:kern w:val="0"/>
                <w:sz w:val="21"/>
                <w:szCs w:val="21"/>
                <w:highlight w:val="none"/>
                <w:lang w:bidi="ar"/>
              </w:rPr>
              <w:t>≤0.7</w:t>
            </w:r>
          </w:p>
        </w:tc>
        <w:tc>
          <w:tcPr>
            <w:tcW w:w="3204" w:type="dxa"/>
            <w:tcBorders>
              <w:top w:val="single" w:color="000000" w:sz="12" w:space="0"/>
              <w:tl2br w:val="nil"/>
              <w:tr2bl w:val="nil"/>
            </w:tcBorders>
            <w:shd w:val="clear" w:color="auto" w:fill="auto"/>
            <w:tcMar>
              <w:top w:w="15" w:type="dxa"/>
              <w:left w:w="15" w:type="dxa"/>
              <w:right w:w="15" w:type="dxa"/>
            </w:tcMar>
            <w:vAlign w:val="center"/>
          </w:tcPr>
          <w:p w14:paraId="0B418904">
            <w:pPr>
              <w:widowControl/>
              <w:spacing w:line="240" w:lineRule="auto"/>
              <w:jc w:val="center"/>
              <w:textAlignment w:val="center"/>
              <w:rPr>
                <w:color w:val="000000"/>
                <w:sz w:val="21"/>
                <w:szCs w:val="21"/>
                <w:highlight w:val="none"/>
              </w:rPr>
            </w:pPr>
            <w:r>
              <w:rPr>
                <w:color w:val="000000"/>
                <w:kern w:val="0"/>
                <w:sz w:val="21"/>
                <w:szCs w:val="21"/>
                <w:highlight w:val="none"/>
                <w:lang w:bidi="ar"/>
              </w:rPr>
              <w:t>清洁（安全）</w:t>
            </w:r>
          </w:p>
        </w:tc>
      </w:tr>
      <w:tr w14:paraId="7CE668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04EB0E28">
            <w:pPr>
              <w:widowControl/>
              <w:spacing w:line="240" w:lineRule="auto"/>
              <w:jc w:val="center"/>
              <w:textAlignment w:val="center"/>
              <w:rPr>
                <w:color w:val="000000"/>
                <w:sz w:val="21"/>
                <w:szCs w:val="21"/>
                <w:highlight w:val="none"/>
              </w:rPr>
            </w:pPr>
            <w:r>
              <w:rPr>
                <w:color w:val="000000"/>
                <w:kern w:val="0"/>
                <w:sz w:val="21"/>
                <w:szCs w:val="21"/>
                <w:highlight w:val="none"/>
                <w:lang w:bidi="ar"/>
              </w:rPr>
              <w:t>Ⅱ</w:t>
            </w:r>
          </w:p>
        </w:tc>
        <w:tc>
          <w:tcPr>
            <w:tcW w:w="3204" w:type="dxa"/>
            <w:tcBorders>
              <w:tl2br w:val="nil"/>
              <w:tr2bl w:val="nil"/>
            </w:tcBorders>
            <w:shd w:val="clear" w:color="auto" w:fill="auto"/>
            <w:tcMar>
              <w:top w:w="15" w:type="dxa"/>
              <w:left w:w="15" w:type="dxa"/>
              <w:right w:w="15" w:type="dxa"/>
            </w:tcMar>
            <w:vAlign w:val="center"/>
          </w:tcPr>
          <w:p w14:paraId="5B1B0BE7">
            <w:pPr>
              <w:widowControl/>
              <w:spacing w:line="240" w:lineRule="auto"/>
              <w:jc w:val="center"/>
              <w:textAlignment w:val="center"/>
              <w:rPr>
                <w:color w:val="000000"/>
                <w:sz w:val="21"/>
                <w:szCs w:val="21"/>
                <w:highlight w:val="none"/>
              </w:rPr>
            </w:pPr>
            <w:r>
              <w:rPr>
                <w:color w:val="000000"/>
                <w:kern w:val="0"/>
                <w:sz w:val="21"/>
                <w:szCs w:val="21"/>
                <w:highlight w:val="none"/>
                <w:lang w:bidi="ar"/>
              </w:rPr>
              <w:t>0.7＜P</w:t>
            </w:r>
            <w:r>
              <w:rPr>
                <w:color w:val="000000"/>
                <w:kern w:val="0"/>
                <w:sz w:val="21"/>
                <w:szCs w:val="21"/>
                <w:highlight w:val="none"/>
                <w:vertAlign w:val="subscript"/>
                <w:lang w:bidi="ar"/>
              </w:rPr>
              <w:t>N</w:t>
            </w:r>
            <w:r>
              <w:rPr>
                <w:color w:val="000000"/>
                <w:kern w:val="0"/>
                <w:sz w:val="21"/>
                <w:szCs w:val="21"/>
                <w:highlight w:val="none"/>
                <w:lang w:bidi="ar"/>
              </w:rPr>
              <w:t>≤1.0</w:t>
            </w:r>
          </w:p>
        </w:tc>
        <w:tc>
          <w:tcPr>
            <w:tcW w:w="3204" w:type="dxa"/>
            <w:tcBorders>
              <w:tl2br w:val="nil"/>
              <w:tr2bl w:val="nil"/>
            </w:tcBorders>
            <w:shd w:val="clear" w:color="auto" w:fill="auto"/>
            <w:tcMar>
              <w:top w:w="15" w:type="dxa"/>
              <w:left w:w="15" w:type="dxa"/>
              <w:right w:w="15" w:type="dxa"/>
            </w:tcMar>
            <w:vAlign w:val="center"/>
          </w:tcPr>
          <w:p w14:paraId="0E6550B7">
            <w:pPr>
              <w:widowControl/>
              <w:spacing w:line="240" w:lineRule="auto"/>
              <w:jc w:val="center"/>
              <w:textAlignment w:val="center"/>
              <w:rPr>
                <w:color w:val="000000"/>
                <w:sz w:val="21"/>
                <w:szCs w:val="21"/>
                <w:highlight w:val="none"/>
              </w:rPr>
            </w:pPr>
            <w:r>
              <w:rPr>
                <w:color w:val="000000"/>
                <w:kern w:val="0"/>
                <w:sz w:val="21"/>
                <w:szCs w:val="21"/>
                <w:highlight w:val="none"/>
                <w:lang w:bidi="ar"/>
              </w:rPr>
              <w:t>尚清洁（警戒线）</w:t>
            </w:r>
          </w:p>
        </w:tc>
      </w:tr>
      <w:tr w14:paraId="3FA612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6EBAA030">
            <w:pPr>
              <w:widowControl/>
              <w:spacing w:line="240" w:lineRule="auto"/>
              <w:jc w:val="center"/>
              <w:textAlignment w:val="center"/>
              <w:rPr>
                <w:color w:val="000000"/>
                <w:sz w:val="21"/>
                <w:szCs w:val="21"/>
                <w:highlight w:val="none"/>
              </w:rPr>
            </w:pPr>
            <w:r>
              <w:rPr>
                <w:color w:val="000000"/>
                <w:kern w:val="0"/>
                <w:sz w:val="21"/>
                <w:szCs w:val="21"/>
                <w:highlight w:val="none"/>
                <w:lang w:bidi="ar"/>
              </w:rPr>
              <w:t>Ⅲ</w:t>
            </w:r>
          </w:p>
        </w:tc>
        <w:tc>
          <w:tcPr>
            <w:tcW w:w="3204" w:type="dxa"/>
            <w:tcBorders>
              <w:tl2br w:val="nil"/>
              <w:tr2bl w:val="nil"/>
            </w:tcBorders>
            <w:shd w:val="clear" w:color="auto" w:fill="auto"/>
            <w:tcMar>
              <w:top w:w="15" w:type="dxa"/>
              <w:left w:w="15" w:type="dxa"/>
              <w:right w:w="15" w:type="dxa"/>
            </w:tcMar>
            <w:vAlign w:val="center"/>
          </w:tcPr>
          <w:p w14:paraId="508F7E59">
            <w:pPr>
              <w:widowControl/>
              <w:spacing w:line="240" w:lineRule="auto"/>
              <w:jc w:val="center"/>
              <w:textAlignment w:val="center"/>
              <w:rPr>
                <w:color w:val="000000"/>
                <w:sz w:val="21"/>
                <w:szCs w:val="21"/>
                <w:highlight w:val="none"/>
              </w:rPr>
            </w:pPr>
            <w:r>
              <w:rPr>
                <w:color w:val="000000"/>
                <w:kern w:val="0"/>
                <w:sz w:val="21"/>
                <w:szCs w:val="21"/>
                <w:highlight w:val="none"/>
                <w:lang w:bidi="ar"/>
              </w:rPr>
              <w:t>1.0＜P</w:t>
            </w:r>
            <w:r>
              <w:rPr>
                <w:color w:val="000000"/>
                <w:kern w:val="0"/>
                <w:sz w:val="21"/>
                <w:szCs w:val="21"/>
                <w:highlight w:val="none"/>
                <w:vertAlign w:val="subscript"/>
                <w:lang w:bidi="ar"/>
              </w:rPr>
              <w:t>N</w:t>
            </w:r>
            <w:r>
              <w:rPr>
                <w:color w:val="000000"/>
                <w:kern w:val="0"/>
                <w:sz w:val="21"/>
                <w:szCs w:val="21"/>
                <w:highlight w:val="none"/>
                <w:lang w:bidi="ar"/>
              </w:rPr>
              <w:t>≤2.0</w:t>
            </w:r>
          </w:p>
        </w:tc>
        <w:tc>
          <w:tcPr>
            <w:tcW w:w="3204" w:type="dxa"/>
            <w:tcBorders>
              <w:tl2br w:val="nil"/>
              <w:tr2bl w:val="nil"/>
            </w:tcBorders>
            <w:shd w:val="clear" w:color="auto" w:fill="auto"/>
            <w:tcMar>
              <w:top w:w="15" w:type="dxa"/>
              <w:left w:w="15" w:type="dxa"/>
              <w:right w:w="15" w:type="dxa"/>
            </w:tcMar>
            <w:vAlign w:val="center"/>
          </w:tcPr>
          <w:p w14:paraId="52DE7C94">
            <w:pPr>
              <w:widowControl/>
              <w:spacing w:line="240" w:lineRule="auto"/>
              <w:jc w:val="center"/>
              <w:textAlignment w:val="center"/>
              <w:rPr>
                <w:color w:val="000000"/>
                <w:sz w:val="21"/>
                <w:szCs w:val="21"/>
                <w:highlight w:val="none"/>
              </w:rPr>
            </w:pPr>
            <w:r>
              <w:rPr>
                <w:color w:val="000000"/>
                <w:kern w:val="0"/>
                <w:sz w:val="21"/>
                <w:szCs w:val="21"/>
                <w:highlight w:val="none"/>
                <w:lang w:bidi="ar"/>
              </w:rPr>
              <w:t>轻度污染</w:t>
            </w:r>
          </w:p>
        </w:tc>
      </w:tr>
      <w:tr w14:paraId="6D6B12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203" w:type="dxa"/>
            <w:tcBorders>
              <w:tl2br w:val="nil"/>
              <w:tr2bl w:val="nil"/>
            </w:tcBorders>
            <w:shd w:val="clear" w:color="auto" w:fill="auto"/>
            <w:tcMar>
              <w:top w:w="15" w:type="dxa"/>
              <w:left w:w="15" w:type="dxa"/>
              <w:right w:w="15" w:type="dxa"/>
            </w:tcMar>
            <w:vAlign w:val="center"/>
          </w:tcPr>
          <w:p w14:paraId="749E5886">
            <w:pPr>
              <w:widowControl/>
              <w:spacing w:line="240" w:lineRule="auto"/>
              <w:jc w:val="center"/>
              <w:textAlignment w:val="center"/>
              <w:rPr>
                <w:color w:val="000000"/>
                <w:sz w:val="21"/>
                <w:szCs w:val="21"/>
                <w:highlight w:val="none"/>
              </w:rPr>
            </w:pPr>
            <w:r>
              <w:rPr>
                <w:color w:val="000000"/>
                <w:kern w:val="0"/>
                <w:sz w:val="21"/>
                <w:szCs w:val="21"/>
                <w:highlight w:val="none"/>
                <w:lang w:bidi="ar"/>
              </w:rPr>
              <w:t>Ⅳ</w:t>
            </w:r>
          </w:p>
        </w:tc>
        <w:tc>
          <w:tcPr>
            <w:tcW w:w="3204" w:type="dxa"/>
            <w:tcBorders>
              <w:tl2br w:val="nil"/>
              <w:tr2bl w:val="nil"/>
            </w:tcBorders>
            <w:shd w:val="clear" w:color="auto" w:fill="auto"/>
            <w:tcMar>
              <w:top w:w="15" w:type="dxa"/>
              <w:left w:w="15" w:type="dxa"/>
              <w:right w:w="15" w:type="dxa"/>
            </w:tcMar>
            <w:vAlign w:val="center"/>
          </w:tcPr>
          <w:p w14:paraId="21408F02">
            <w:pPr>
              <w:widowControl/>
              <w:spacing w:line="240" w:lineRule="auto"/>
              <w:jc w:val="center"/>
              <w:textAlignment w:val="center"/>
              <w:rPr>
                <w:color w:val="000000"/>
                <w:sz w:val="21"/>
                <w:szCs w:val="21"/>
                <w:highlight w:val="none"/>
              </w:rPr>
            </w:pPr>
            <w:r>
              <w:rPr>
                <w:color w:val="000000"/>
                <w:kern w:val="0"/>
                <w:sz w:val="21"/>
                <w:szCs w:val="21"/>
                <w:highlight w:val="none"/>
                <w:lang w:bidi="ar"/>
              </w:rPr>
              <w:t>2.0＜P</w:t>
            </w:r>
            <w:r>
              <w:rPr>
                <w:color w:val="000000"/>
                <w:kern w:val="0"/>
                <w:sz w:val="21"/>
                <w:szCs w:val="21"/>
                <w:highlight w:val="none"/>
                <w:vertAlign w:val="subscript"/>
                <w:lang w:bidi="ar"/>
              </w:rPr>
              <w:t>N</w:t>
            </w:r>
            <w:r>
              <w:rPr>
                <w:color w:val="000000"/>
                <w:kern w:val="0"/>
                <w:sz w:val="21"/>
                <w:szCs w:val="21"/>
                <w:highlight w:val="none"/>
                <w:lang w:bidi="ar"/>
              </w:rPr>
              <w:t>≤3.0</w:t>
            </w:r>
          </w:p>
        </w:tc>
        <w:tc>
          <w:tcPr>
            <w:tcW w:w="3204" w:type="dxa"/>
            <w:tcBorders>
              <w:tl2br w:val="nil"/>
              <w:tr2bl w:val="nil"/>
            </w:tcBorders>
            <w:shd w:val="clear" w:color="auto" w:fill="auto"/>
            <w:tcMar>
              <w:top w:w="15" w:type="dxa"/>
              <w:left w:w="15" w:type="dxa"/>
              <w:right w:w="15" w:type="dxa"/>
            </w:tcMar>
            <w:vAlign w:val="center"/>
          </w:tcPr>
          <w:p w14:paraId="1780CE13">
            <w:pPr>
              <w:widowControl/>
              <w:spacing w:line="240" w:lineRule="auto"/>
              <w:jc w:val="center"/>
              <w:textAlignment w:val="center"/>
              <w:rPr>
                <w:color w:val="000000"/>
                <w:sz w:val="21"/>
                <w:szCs w:val="21"/>
                <w:highlight w:val="none"/>
              </w:rPr>
            </w:pPr>
            <w:r>
              <w:rPr>
                <w:color w:val="000000"/>
                <w:kern w:val="0"/>
                <w:sz w:val="21"/>
                <w:szCs w:val="21"/>
                <w:highlight w:val="none"/>
                <w:lang w:bidi="ar"/>
              </w:rPr>
              <w:t>中度污染</w:t>
            </w:r>
          </w:p>
        </w:tc>
      </w:tr>
      <w:tr w14:paraId="331EAD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25628193">
            <w:pPr>
              <w:widowControl/>
              <w:spacing w:line="240" w:lineRule="auto"/>
              <w:jc w:val="center"/>
              <w:textAlignment w:val="center"/>
              <w:rPr>
                <w:color w:val="000000"/>
                <w:sz w:val="21"/>
                <w:szCs w:val="21"/>
                <w:highlight w:val="none"/>
              </w:rPr>
            </w:pP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5 \* ROMAN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V</w:t>
            </w:r>
            <w:r>
              <w:rPr>
                <w:rFonts w:hint="default" w:ascii="Times New Roman" w:hAnsi="Times New Roman" w:cs="Times New Roman"/>
                <w:color w:val="auto"/>
                <w:sz w:val="21"/>
                <w:szCs w:val="21"/>
                <w:highlight w:val="none"/>
              </w:rPr>
              <w:fldChar w:fldCharType="end"/>
            </w:r>
          </w:p>
        </w:tc>
        <w:tc>
          <w:tcPr>
            <w:tcW w:w="3204" w:type="dxa"/>
            <w:tcBorders>
              <w:tl2br w:val="nil"/>
              <w:tr2bl w:val="nil"/>
            </w:tcBorders>
            <w:shd w:val="clear" w:color="auto" w:fill="auto"/>
            <w:tcMar>
              <w:top w:w="15" w:type="dxa"/>
              <w:left w:w="15" w:type="dxa"/>
              <w:right w:w="15" w:type="dxa"/>
            </w:tcMar>
            <w:vAlign w:val="center"/>
          </w:tcPr>
          <w:p w14:paraId="06BC364E">
            <w:pPr>
              <w:widowControl/>
              <w:spacing w:line="240" w:lineRule="auto"/>
              <w:jc w:val="center"/>
              <w:textAlignment w:val="center"/>
              <w:rPr>
                <w:color w:val="000000"/>
                <w:sz w:val="21"/>
                <w:szCs w:val="21"/>
                <w:highlight w:val="none"/>
              </w:rPr>
            </w:pPr>
            <w:r>
              <w:rPr>
                <w:color w:val="000000"/>
                <w:kern w:val="0"/>
                <w:sz w:val="21"/>
                <w:szCs w:val="21"/>
                <w:highlight w:val="none"/>
                <w:lang w:bidi="ar"/>
              </w:rPr>
              <w:t>P</w:t>
            </w:r>
            <w:r>
              <w:rPr>
                <w:color w:val="000000"/>
                <w:kern w:val="0"/>
                <w:sz w:val="21"/>
                <w:szCs w:val="21"/>
                <w:highlight w:val="none"/>
                <w:vertAlign w:val="subscript"/>
                <w:lang w:bidi="ar"/>
              </w:rPr>
              <w:t>N</w:t>
            </w:r>
            <w:r>
              <w:rPr>
                <w:color w:val="000000"/>
                <w:kern w:val="0"/>
                <w:sz w:val="21"/>
                <w:szCs w:val="21"/>
                <w:highlight w:val="none"/>
                <w:lang w:bidi="ar"/>
              </w:rPr>
              <w:t>＞0.7</w:t>
            </w:r>
          </w:p>
        </w:tc>
        <w:tc>
          <w:tcPr>
            <w:tcW w:w="3204" w:type="dxa"/>
            <w:tcBorders>
              <w:tl2br w:val="nil"/>
              <w:tr2bl w:val="nil"/>
            </w:tcBorders>
            <w:shd w:val="clear" w:color="auto" w:fill="auto"/>
            <w:tcMar>
              <w:top w:w="15" w:type="dxa"/>
              <w:left w:w="15" w:type="dxa"/>
              <w:right w:w="15" w:type="dxa"/>
            </w:tcMar>
            <w:vAlign w:val="center"/>
          </w:tcPr>
          <w:p w14:paraId="488280FD">
            <w:pPr>
              <w:widowControl/>
              <w:spacing w:line="240" w:lineRule="auto"/>
              <w:jc w:val="center"/>
              <w:textAlignment w:val="center"/>
              <w:rPr>
                <w:color w:val="000000"/>
                <w:sz w:val="21"/>
                <w:szCs w:val="21"/>
                <w:highlight w:val="none"/>
              </w:rPr>
            </w:pPr>
            <w:r>
              <w:rPr>
                <w:color w:val="000000"/>
                <w:kern w:val="0"/>
                <w:sz w:val="21"/>
                <w:szCs w:val="21"/>
                <w:highlight w:val="none"/>
                <w:lang w:bidi="ar"/>
              </w:rPr>
              <w:t>重污染</w:t>
            </w:r>
          </w:p>
        </w:tc>
      </w:tr>
    </w:tbl>
    <w:p w14:paraId="40436403">
      <w:pPr>
        <w:pStyle w:val="4"/>
        <w:tabs>
          <w:tab w:val="left" w:leader="dot" w:pos="0"/>
          <w:tab w:val="clear" w:pos="425"/>
        </w:tabs>
        <w:rPr>
          <w:highlight w:val="none"/>
        </w:rPr>
      </w:pPr>
      <w:bookmarkStart w:id="41" w:name="_Toc5099"/>
      <w:r>
        <w:rPr>
          <w:highlight w:val="none"/>
        </w:rPr>
        <w:t>监测结果对标分析</w:t>
      </w:r>
      <w:bookmarkEnd w:id="40"/>
      <w:bookmarkEnd w:id="41"/>
    </w:p>
    <w:p w14:paraId="535F8C13">
      <w:pPr>
        <w:pStyle w:val="5"/>
        <w:tabs>
          <w:tab w:val="left" w:pos="425"/>
        </w:tabs>
        <w:rPr>
          <w:highlight w:val="none"/>
        </w:rPr>
      </w:pPr>
      <w:r>
        <w:rPr>
          <w:highlight w:val="none"/>
        </w:rPr>
        <w:t>土壤</w:t>
      </w:r>
      <w:r>
        <w:rPr>
          <w:rStyle w:val="65"/>
          <w:b/>
          <w:bCs/>
          <w:highlight w:val="none"/>
        </w:rPr>
        <w:t>样品检测结</w:t>
      </w:r>
      <w:r>
        <w:rPr>
          <w:highlight w:val="none"/>
        </w:rPr>
        <w:t>果分析</w:t>
      </w:r>
    </w:p>
    <w:p w14:paraId="1215A92C">
      <w:pPr>
        <w:ind w:firstLine="480" w:firstLineChars="200"/>
        <w:rPr>
          <w:highlight w:val="none"/>
        </w:rPr>
      </w:pPr>
      <w:bookmarkStart w:id="42" w:name="_Toc481482864"/>
      <w:bookmarkEnd w:id="42"/>
      <w:r>
        <w:rPr>
          <w:highlight w:val="none"/>
        </w:rPr>
        <w:t>本次调查园区内共采集</w:t>
      </w:r>
      <w:r>
        <w:rPr>
          <w:rFonts w:hint="eastAsia"/>
          <w:highlight w:val="none"/>
        </w:rPr>
        <w:t>11个土壤</w:t>
      </w:r>
      <w:r>
        <w:rPr>
          <w:highlight w:val="none"/>
        </w:rPr>
        <w:t>样品</w:t>
      </w:r>
      <w:r>
        <w:rPr>
          <w:rFonts w:hint="eastAsia"/>
          <w:highlight w:val="none"/>
        </w:rPr>
        <w:t>（</w:t>
      </w:r>
      <w:r>
        <w:rPr>
          <w:rFonts w:hint="eastAsia"/>
          <w:highlight w:val="none"/>
          <w:lang w:eastAsia="zh-CN"/>
        </w:rPr>
        <w:t>不含质控样品</w:t>
      </w:r>
      <w:r>
        <w:rPr>
          <w:rFonts w:hint="eastAsia"/>
          <w:highlight w:val="none"/>
        </w:rPr>
        <w:t>）</w:t>
      </w:r>
      <w:r>
        <w:rPr>
          <w:highlight w:val="none"/>
        </w:rPr>
        <w:t>，所有样品全部送检，测试项目包括基本项目：pH值、重金属（9项）、挥发性有机物（27项）、半挥发性有机物（11项），园区增测项目（</w:t>
      </w:r>
      <w:r>
        <w:rPr>
          <w:rFonts w:hint="eastAsia"/>
          <w:color w:val="000000" w:themeColor="text1"/>
          <w:kern w:val="0"/>
          <w:highlight w:val="none"/>
          <w14:textFill>
            <w14:solidFill>
              <w14:schemeClr w14:val="tx1"/>
            </w14:solidFill>
          </w14:textFill>
        </w:rPr>
        <w:t>石油烃（C</w:t>
      </w:r>
      <w:r>
        <w:rPr>
          <w:rFonts w:hint="eastAsia"/>
          <w:color w:val="000000" w:themeColor="text1"/>
          <w:kern w:val="0"/>
          <w:highlight w:val="none"/>
          <w:vertAlign w:val="subscript"/>
          <w14:textFill>
            <w14:solidFill>
              <w14:schemeClr w14:val="tx1"/>
            </w14:solidFill>
          </w14:textFill>
        </w:rPr>
        <w:t>10</w:t>
      </w:r>
      <w:r>
        <w:rPr>
          <w:rFonts w:hint="eastAsia"/>
          <w:color w:val="000000" w:themeColor="text1"/>
          <w:kern w:val="0"/>
          <w:highlight w:val="none"/>
          <w14:textFill>
            <w14:solidFill>
              <w14:schemeClr w14:val="tx1"/>
            </w14:solidFill>
          </w14:textFill>
        </w:rPr>
        <w:t>-C</w:t>
      </w:r>
      <w:r>
        <w:rPr>
          <w:rFonts w:hint="eastAsia"/>
          <w:color w:val="000000" w:themeColor="text1"/>
          <w:kern w:val="0"/>
          <w:highlight w:val="none"/>
          <w:vertAlign w:val="subscript"/>
          <w14:textFill>
            <w14:solidFill>
              <w14:schemeClr w14:val="tx1"/>
            </w14:solidFill>
          </w14:textFill>
        </w:rPr>
        <w:t>40</w:t>
      </w:r>
      <w:r>
        <w:rPr>
          <w:rFonts w:hint="eastAsia"/>
          <w:color w:val="000000" w:themeColor="text1"/>
          <w:kern w:val="0"/>
          <w:highlight w:val="none"/>
          <w14:textFill>
            <w14:solidFill>
              <w14:schemeClr w14:val="tx1"/>
            </w14:solidFill>
          </w14:textFill>
        </w:rPr>
        <w:t>）、锑</w:t>
      </w:r>
      <w:r>
        <w:rPr>
          <w:color w:val="000000" w:themeColor="text1"/>
          <w:kern w:val="0"/>
          <w:highlight w:val="none"/>
          <w14:textFill>
            <w14:solidFill>
              <w14:schemeClr w14:val="tx1"/>
            </w14:solidFill>
          </w14:textFill>
        </w:rPr>
        <w:t>共</w:t>
      </w:r>
      <w:r>
        <w:rPr>
          <w:rFonts w:hint="eastAsia"/>
          <w:highlight w:val="none"/>
        </w:rPr>
        <w:t>2</w:t>
      </w:r>
      <w:r>
        <w:rPr>
          <w:highlight w:val="none"/>
        </w:rPr>
        <w:t>项），</w:t>
      </w:r>
      <w:r>
        <w:rPr>
          <w:rFonts w:hint="eastAsia"/>
          <w:highlight w:val="none"/>
          <w:lang w:val="en-US" w:eastAsia="zh-CN"/>
        </w:rPr>
        <w:t>其它</w:t>
      </w:r>
      <w:r>
        <w:rPr>
          <w:rFonts w:hint="eastAsia"/>
          <w:highlight w:val="none"/>
          <w:lang w:eastAsia="zh-CN"/>
        </w:rPr>
        <w:t>增测项目</w:t>
      </w:r>
      <w:r>
        <w:rPr>
          <w:highlight w:val="none"/>
        </w:rPr>
        <w:t>（</w:t>
      </w:r>
      <w:r>
        <w:rPr>
          <w:rFonts w:hint="eastAsia"/>
          <w:color w:val="000000" w:themeColor="text1"/>
          <w:kern w:val="0"/>
          <w:highlight w:val="none"/>
          <w14:textFill>
            <w14:solidFill>
              <w14:schemeClr w14:val="tx1"/>
            </w14:solidFill>
          </w14:textFill>
        </w:rPr>
        <w:t>总氟化物1项）</w:t>
      </w:r>
      <w:r>
        <w:rPr>
          <w:highlight w:val="none"/>
        </w:rPr>
        <w:t>，共计</w:t>
      </w:r>
      <w:r>
        <w:rPr>
          <w:rFonts w:hint="eastAsia"/>
          <w:highlight w:val="none"/>
        </w:rPr>
        <w:t>51项</w:t>
      </w:r>
      <w:r>
        <w:rPr>
          <w:highlight w:val="none"/>
        </w:rPr>
        <w:t>。重金属检测指标除铬（六价）外均有检出，</w:t>
      </w:r>
      <w:r>
        <w:rPr>
          <w:rFonts w:hint="eastAsia"/>
          <w:highlight w:val="none"/>
        </w:rPr>
        <w:t>所有土壤样品的挥发性有机物和</w:t>
      </w:r>
      <w:r>
        <w:rPr>
          <w:highlight w:val="none"/>
        </w:rPr>
        <w:t>半挥发性有机物均未检出。本节在检测结果统计分析时仅对</w:t>
      </w:r>
      <w:r>
        <w:rPr>
          <w:rFonts w:hint="eastAsia"/>
          <w:highlight w:val="none"/>
        </w:rPr>
        <w:t>11个土壤</w:t>
      </w:r>
      <w:r>
        <w:rPr>
          <w:highlight w:val="none"/>
        </w:rPr>
        <w:t>样品</w:t>
      </w:r>
      <w:r>
        <w:rPr>
          <w:rFonts w:hint="eastAsia"/>
          <w:highlight w:val="none"/>
        </w:rPr>
        <w:t>（</w:t>
      </w:r>
      <w:r>
        <w:rPr>
          <w:rFonts w:hint="eastAsia"/>
          <w:highlight w:val="none"/>
          <w:lang w:eastAsia="zh-CN"/>
        </w:rPr>
        <w:t>不含质控样品</w:t>
      </w:r>
      <w:r>
        <w:rPr>
          <w:rFonts w:hint="eastAsia"/>
          <w:highlight w:val="none"/>
        </w:rPr>
        <w:t>）</w:t>
      </w:r>
      <w:r>
        <w:rPr>
          <w:highlight w:val="none"/>
        </w:rPr>
        <w:t>进行分析。</w:t>
      </w:r>
    </w:p>
    <w:p w14:paraId="3CA15AB5">
      <w:pPr>
        <w:numPr>
          <w:ilvl w:val="0"/>
          <w:numId w:val="10"/>
        </w:numPr>
        <w:ind w:firstLine="420"/>
        <w:rPr>
          <w:b/>
          <w:bCs/>
          <w:highlight w:val="none"/>
        </w:rPr>
      </w:pPr>
      <w:r>
        <w:rPr>
          <w:b/>
          <w:bCs/>
          <w:highlight w:val="none"/>
        </w:rPr>
        <w:t>pH值</w:t>
      </w:r>
    </w:p>
    <w:p w14:paraId="5B2519BD">
      <w:pPr>
        <w:ind w:firstLine="480" w:firstLineChars="200"/>
        <w:jc w:val="left"/>
        <w:rPr>
          <w:rFonts w:eastAsia="黑体"/>
          <w:b/>
          <w:bCs/>
          <w:color w:val="000000"/>
          <w:highlight w:val="none"/>
        </w:rPr>
      </w:pPr>
      <w:r>
        <w:rPr>
          <w:highlight w:val="none"/>
        </w:rPr>
        <w:t>检测结果显示，园区内</w:t>
      </w:r>
      <w:r>
        <w:rPr>
          <w:rFonts w:hint="eastAsia"/>
          <w:highlight w:val="none"/>
          <w:lang w:val="en-US" w:eastAsia="zh-CN"/>
        </w:rPr>
        <w:t>11个土壤样品（不含质控样）</w:t>
      </w:r>
      <w:r>
        <w:rPr>
          <w:highlight w:val="none"/>
        </w:rPr>
        <w:t>，pH值区间为</w:t>
      </w:r>
      <w:r>
        <w:rPr>
          <w:rFonts w:hint="eastAsia"/>
          <w:highlight w:val="none"/>
        </w:rPr>
        <w:t>6.02</w:t>
      </w:r>
      <w:r>
        <w:rPr>
          <w:highlight w:val="none"/>
        </w:rPr>
        <w:t>~</w:t>
      </w:r>
      <w:r>
        <w:rPr>
          <w:rFonts w:hint="eastAsia"/>
          <w:highlight w:val="none"/>
        </w:rPr>
        <w:t>8.70</w:t>
      </w:r>
      <w:r>
        <w:rPr>
          <w:highlight w:val="none"/>
        </w:rPr>
        <w:t>，平均值为7.</w:t>
      </w:r>
      <w:r>
        <w:rPr>
          <w:rFonts w:hint="eastAsia"/>
          <w:highlight w:val="none"/>
        </w:rPr>
        <w:t>99</w:t>
      </w:r>
      <w:r>
        <w:rPr>
          <w:highlight w:val="none"/>
        </w:rPr>
        <w:t>。具体监测值见表5-3-1。</w:t>
      </w:r>
    </w:p>
    <w:p w14:paraId="5D2D1536">
      <w:pPr>
        <w:spacing w:line="240" w:lineRule="auto"/>
        <w:jc w:val="center"/>
        <w:rPr>
          <w:rFonts w:eastAsia="黑体"/>
          <w:b/>
          <w:bCs/>
          <w:color w:val="000000"/>
          <w:highlight w:val="none"/>
        </w:rPr>
      </w:pPr>
      <w:r>
        <w:rPr>
          <w:rFonts w:eastAsia="黑体"/>
          <w:b/>
          <w:bCs/>
          <w:color w:val="000000"/>
          <w:highlight w:val="none"/>
        </w:rPr>
        <w:t>表5-3-1 土壤样品pH值监测值</w:t>
      </w:r>
    </w:p>
    <w:tbl>
      <w:tblPr>
        <w:tblStyle w:val="21"/>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867"/>
        <w:gridCol w:w="1716"/>
        <w:gridCol w:w="4353"/>
        <w:gridCol w:w="2671"/>
      </w:tblGrid>
      <w:tr w14:paraId="29FBE2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tblHeader/>
          <w:jc w:val="center"/>
        </w:trPr>
        <w:tc>
          <w:tcPr>
            <w:tcW w:w="451" w:type="pct"/>
            <w:tcBorders>
              <w:bottom w:val="single" w:color="000000" w:sz="12" w:space="0"/>
            </w:tcBorders>
            <w:shd w:val="clear" w:color="auto" w:fill="auto"/>
            <w:noWrap/>
            <w:tcMar>
              <w:top w:w="15" w:type="dxa"/>
              <w:left w:w="15" w:type="dxa"/>
              <w:right w:w="15" w:type="dxa"/>
            </w:tcMar>
            <w:vAlign w:val="center"/>
          </w:tcPr>
          <w:p w14:paraId="44726330">
            <w:pPr>
              <w:widowControl/>
              <w:spacing w:line="240" w:lineRule="auto"/>
              <w:jc w:val="center"/>
              <w:textAlignment w:val="center"/>
              <w:rPr>
                <w:b/>
                <w:color w:val="000000"/>
                <w:sz w:val="21"/>
                <w:szCs w:val="21"/>
                <w:highlight w:val="none"/>
              </w:rPr>
            </w:pPr>
            <w:r>
              <w:rPr>
                <w:b/>
                <w:color w:val="000000"/>
                <w:kern w:val="0"/>
                <w:sz w:val="21"/>
                <w:szCs w:val="21"/>
                <w:highlight w:val="none"/>
                <w:lang w:bidi="ar"/>
              </w:rPr>
              <w:t>序号</w:t>
            </w:r>
          </w:p>
        </w:tc>
        <w:tc>
          <w:tcPr>
            <w:tcW w:w="893" w:type="pct"/>
            <w:tcBorders>
              <w:bottom w:val="single" w:color="000000" w:sz="12" w:space="0"/>
            </w:tcBorders>
            <w:shd w:val="clear" w:color="auto" w:fill="auto"/>
            <w:noWrap/>
            <w:tcMar>
              <w:top w:w="15" w:type="dxa"/>
              <w:left w:w="15" w:type="dxa"/>
              <w:right w:w="15" w:type="dxa"/>
            </w:tcMar>
            <w:vAlign w:val="center"/>
          </w:tcPr>
          <w:p w14:paraId="0F505792">
            <w:pPr>
              <w:widowControl/>
              <w:spacing w:line="240" w:lineRule="auto"/>
              <w:jc w:val="center"/>
              <w:textAlignment w:val="center"/>
              <w:rPr>
                <w:b/>
                <w:color w:val="000000"/>
                <w:sz w:val="21"/>
                <w:szCs w:val="21"/>
                <w:highlight w:val="none"/>
              </w:rPr>
            </w:pPr>
            <w:r>
              <w:rPr>
                <w:b/>
                <w:color w:val="000000"/>
                <w:kern w:val="0"/>
                <w:sz w:val="21"/>
                <w:szCs w:val="21"/>
                <w:highlight w:val="none"/>
                <w:lang w:bidi="ar"/>
              </w:rPr>
              <w:t>样品编号</w:t>
            </w:r>
          </w:p>
        </w:tc>
        <w:tc>
          <w:tcPr>
            <w:tcW w:w="2264" w:type="pct"/>
            <w:tcBorders>
              <w:bottom w:val="single" w:color="000000" w:sz="12" w:space="0"/>
            </w:tcBorders>
            <w:shd w:val="clear" w:color="auto" w:fill="auto"/>
            <w:noWrap/>
            <w:tcMar>
              <w:top w:w="15" w:type="dxa"/>
              <w:left w:w="15" w:type="dxa"/>
              <w:right w:w="15" w:type="dxa"/>
            </w:tcMar>
            <w:vAlign w:val="center"/>
          </w:tcPr>
          <w:p w14:paraId="5B77F083">
            <w:pPr>
              <w:widowControl/>
              <w:spacing w:line="240" w:lineRule="auto"/>
              <w:jc w:val="center"/>
              <w:textAlignment w:val="center"/>
              <w:rPr>
                <w:rFonts w:hint="default" w:eastAsia="宋体"/>
                <w:b/>
                <w:color w:val="000000"/>
                <w:kern w:val="0"/>
                <w:sz w:val="21"/>
                <w:szCs w:val="21"/>
                <w:highlight w:val="none"/>
                <w:lang w:val="en-US" w:eastAsia="zh-CN" w:bidi="ar"/>
              </w:rPr>
            </w:pPr>
            <w:r>
              <w:rPr>
                <w:rFonts w:hint="eastAsia"/>
                <w:b/>
                <w:color w:val="000000"/>
                <w:kern w:val="0"/>
                <w:sz w:val="21"/>
                <w:szCs w:val="21"/>
                <w:highlight w:val="none"/>
                <w:lang w:val="en-US" w:eastAsia="zh-CN" w:bidi="ar"/>
              </w:rPr>
              <w:t>点位位置</w:t>
            </w:r>
          </w:p>
        </w:tc>
        <w:tc>
          <w:tcPr>
            <w:tcW w:w="1390" w:type="pct"/>
            <w:tcBorders>
              <w:bottom w:val="single" w:color="000000" w:sz="12" w:space="0"/>
            </w:tcBorders>
            <w:shd w:val="clear" w:color="auto" w:fill="auto"/>
            <w:noWrap/>
            <w:tcMar>
              <w:top w:w="15" w:type="dxa"/>
              <w:left w:w="15" w:type="dxa"/>
              <w:right w:w="15" w:type="dxa"/>
            </w:tcMar>
            <w:vAlign w:val="center"/>
          </w:tcPr>
          <w:p w14:paraId="2753FA96">
            <w:pPr>
              <w:widowControl/>
              <w:spacing w:line="240" w:lineRule="auto"/>
              <w:jc w:val="center"/>
              <w:textAlignment w:val="center"/>
              <w:rPr>
                <w:b/>
                <w:color w:val="000000"/>
                <w:sz w:val="21"/>
                <w:szCs w:val="21"/>
                <w:highlight w:val="none"/>
              </w:rPr>
            </w:pPr>
            <w:r>
              <w:rPr>
                <w:b/>
                <w:color w:val="000000"/>
                <w:kern w:val="0"/>
                <w:sz w:val="21"/>
                <w:szCs w:val="21"/>
                <w:highlight w:val="none"/>
                <w:lang w:bidi="ar"/>
              </w:rPr>
              <w:t>pH值</w:t>
            </w:r>
          </w:p>
        </w:tc>
      </w:tr>
      <w:tr w14:paraId="6CD258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451" w:type="pct"/>
            <w:tcBorders>
              <w:top w:val="single" w:color="000000" w:sz="12" w:space="0"/>
              <w:tl2br w:val="nil"/>
              <w:tr2bl w:val="nil"/>
            </w:tcBorders>
            <w:shd w:val="clear" w:color="auto" w:fill="auto"/>
            <w:noWrap/>
            <w:tcMar>
              <w:top w:w="15" w:type="dxa"/>
              <w:left w:w="15" w:type="dxa"/>
              <w:right w:w="15" w:type="dxa"/>
            </w:tcMar>
            <w:vAlign w:val="center"/>
          </w:tcPr>
          <w:p w14:paraId="329AAE08">
            <w:pPr>
              <w:widowControl/>
              <w:spacing w:line="240" w:lineRule="auto"/>
              <w:jc w:val="center"/>
              <w:textAlignment w:val="center"/>
              <w:rPr>
                <w:color w:val="000000"/>
                <w:sz w:val="21"/>
                <w:szCs w:val="21"/>
                <w:highlight w:val="none"/>
              </w:rPr>
            </w:pPr>
            <w:r>
              <w:rPr>
                <w:color w:val="000000"/>
                <w:kern w:val="0"/>
                <w:sz w:val="21"/>
                <w:szCs w:val="21"/>
                <w:highlight w:val="none"/>
                <w:lang w:bidi="ar"/>
              </w:rPr>
              <w:t>1</w:t>
            </w:r>
          </w:p>
        </w:tc>
        <w:tc>
          <w:tcPr>
            <w:tcW w:w="893" w:type="pct"/>
            <w:tcBorders>
              <w:top w:val="single" w:color="000000" w:sz="12" w:space="0"/>
              <w:tl2br w:val="nil"/>
              <w:tr2bl w:val="nil"/>
            </w:tcBorders>
            <w:shd w:val="clear" w:color="auto" w:fill="auto"/>
            <w:noWrap/>
            <w:tcMar>
              <w:top w:w="15" w:type="dxa"/>
              <w:left w:w="15" w:type="dxa"/>
              <w:right w:w="15" w:type="dxa"/>
            </w:tcMar>
            <w:vAlign w:val="center"/>
          </w:tcPr>
          <w:p w14:paraId="562B31E1">
            <w:pPr>
              <w:widowControl/>
              <w:spacing w:line="240" w:lineRule="auto"/>
              <w:jc w:val="center"/>
              <w:textAlignment w:val="center"/>
              <w:rPr>
                <w:color w:val="000000"/>
                <w:sz w:val="21"/>
                <w:szCs w:val="21"/>
                <w:highlight w:val="none"/>
              </w:rPr>
            </w:pPr>
            <w:r>
              <w:rPr>
                <w:color w:val="000000"/>
                <w:sz w:val="21"/>
                <w:szCs w:val="21"/>
                <w:highlight w:val="none"/>
              </w:rPr>
              <w:t>HH-1-75</w:t>
            </w:r>
          </w:p>
        </w:tc>
        <w:tc>
          <w:tcPr>
            <w:tcW w:w="2264" w:type="pct"/>
            <w:tcBorders>
              <w:top w:val="single" w:color="000000" w:sz="12" w:space="0"/>
              <w:tl2br w:val="nil"/>
              <w:tr2bl w:val="nil"/>
            </w:tcBorders>
            <w:shd w:val="clear" w:color="auto" w:fill="auto"/>
            <w:noWrap/>
            <w:tcMar>
              <w:top w:w="15" w:type="dxa"/>
              <w:left w:w="15" w:type="dxa"/>
              <w:right w:w="15" w:type="dxa"/>
            </w:tcMar>
            <w:vAlign w:val="center"/>
          </w:tcPr>
          <w:p w14:paraId="05B64324">
            <w:pPr>
              <w:spacing w:line="240" w:lineRule="auto"/>
              <w:jc w:val="center"/>
              <w:rPr>
                <w:color w:val="000000"/>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边界西侧下风向75m</w:t>
            </w:r>
          </w:p>
        </w:tc>
        <w:tc>
          <w:tcPr>
            <w:tcW w:w="1390" w:type="pct"/>
            <w:tcBorders>
              <w:top w:val="single" w:color="000000" w:sz="12" w:space="0"/>
              <w:tl2br w:val="nil"/>
              <w:tr2bl w:val="nil"/>
            </w:tcBorders>
            <w:shd w:val="clear" w:color="auto" w:fill="auto"/>
            <w:noWrap/>
            <w:tcMar>
              <w:top w:w="15" w:type="dxa"/>
              <w:left w:w="15" w:type="dxa"/>
              <w:right w:w="15" w:type="dxa"/>
            </w:tcMar>
            <w:vAlign w:val="center"/>
          </w:tcPr>
          <w:p w14:paraId="309AB23A">
            <w:pPr>
              <w:widowControl/>
              <w:spacing w:line="240" w:lineRule="auto"/>
              <w:jc w:val="center"/>
              <w:textAlignment w:val="center"/>
              <w:rPr>
                <w:color w:val="000000"/>
                <w:sz w:val="21"/>
                <w:szCs w:val="21"/>
                <w:highlight w:val="none"/>
              </w:rPr>
            </w:pPr>
            <w:r>
              <w:rPr>
                <w:color w:val="000000"/>
                <w:sz w:val="21"/>
                <w:szCs w:val="21"/>
                <w:highlight w:val="none"/>
              </w:rPr>
              <w:t>8.27</w:t>
            </w:r>
          </w:p>
        </w:tc>
      </w:tr>
      <w:tr w14:paraId="5A1245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451" w:type="pct"/>
            <w:tcBorders>
              <w:tl2br w:val="nil"/>
              <w:tr2bl w:val="nil"/>
            </w:tcBorders>
            <w:shd w:val="clear" w:color="auto" w:fill="auto"/>
            <w:noWrap/>
            <w:tcMar>
              <w:top w:w="15" w:type="dxa"/>
              <w:left w:w="15" w:type="dxa"/>
              <w:right w:w="15" w:type="dxa"/>
            </w:tcMar>
            <w:vAlign w:val="center"/>
          </w:tcPr>
          <w:p w14:paraId="557B6425">
            <w:pPr>
              <w:widowControl/>
              <w:spacing w:line="240" w:lineRule="auto"/>
              <w:jc w:val="center"/>
              <w:textAlignment w:val="center"/>
              <w:rPr>
                <w:color w:val="000000"/>
                <w:sz w:val="21"/>
                <w:szCs w:val="21"/>
                <w:highlight w:val="none"/>
              </w:rPr>
            </w:pPr>
            <w:r>
              <w:rPr>
                <w:color w:val="000000"/>
                <w:kern w:val="0"/>
                <w:sz w:val="21"/>
                <w:szCs w:val="21"/>
                <w:highlight w:val="none"/>
                <w:lang w:bidi="ar"/>
              </w:rPr>
              <w:t>2</w:t>
            </w:r>
          </w:p>
        </w:tc>
        <w:tc>
          <w:tcPr>
            <w:tcW w:w="893" w:type="pct"/>
            <w:tcBorders>
              <w:tl2br w:val="nil"/>
              <w:tr2bl w:val="nil"/>
            </w:tcBorders>
            <w:shd w:val="clear" w:color="auto" w:fill="auto"/>
            <w:noWrap/>
            <w:tcMar>
              <w:top w:w="15" w:type="dxa"/>
              <w:left w:w="15" w:type="dxa"/>
              <w:right w:w="15" w:type="dxa"/>
            </w:tcMar>
            <w:vAlign w:val="center"/>
          </w:tcPr>
          <w:p w14:paraId="772B50A7">
            <w:pPr>
              <w:widowControl/>
              <w:spacing w:line="240" w:lineRule="auto"/>
              <w:jc w:val="center"/>
              <w:textAlignment w:val="center"/>
              <w:rPr>
                <w:color w:val="000000"/>
                <w:sz w:val="21"/>
                <w:szCs w:val="21"/>
                <w:highlight w:val="none"/>
              </w:rPr>
            </w:pPr>
            <w:r>
              <w:rPr>
                <w:color w:val="000000"/>
                <w:sz w:val="21"/>
                <w:szCs w:val="21"/>
                <w:highlight w:val="none"/>
              </w:rPr>
              <w:t>HH-1-200</w:t>
            </w:r>
          </w:p>
        </w:tc>
        <w:tc>
          <w:tcPr>
            <w:tcW w:w="2264" w:type="pct"/>
            <w:tcBorders>
              <w:tl2br w:val="nil"/>
              <w:tr2bl w:val="nil"/>
            </w:tcBorders>
            <w:shd w:val="clear" w:color="auto" w:fill="auto"/>
            <w:noWrap/>
            <w:tcMar>
              <w:top w:w="15" w:type="dxa"/>
              <w:left w:w="15" w:type="dxa"/>
              <w:right w:w="15" w:type="dxa"/>
            </w:tcMar>
            <w:vAlign w:val="center"/>
          </w:tcPr>
          <w:p w14:paraId="28E0E27F">
            <w:pPr>
              <w:spacing w:line="240" w:lineRule="auto"/>
              <w:jc w:val="center"/>
              <w:rPr>
                <w:color w:val="000000"/>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边界西侧下风向200m</w:t>
            </w:r>
          </w:p>
        </w:tc>
        <w:tc>
          <w:tcPr>
            <w:tcW w:w="1390" w:type="pct"/>
            <w:tcBorders>
              <w:tl2br w:val="nil"/>
              <w:tr2bl w:val="nil"/>
            </w:tcBorders>
            <w:shd w:val="clear" w:color="auto" w:fill="auto"/>
            <w:noWrap/>
            <w:tcMar>
              <w:top w:w="15" w:type="dxa"/>
              <w:left w:w="15" w:type="dxa"/>
              <w:right w:w="15" w:type="dxa"/>
            </w:tcMar>
            <w:vAlign w:val="center"/>
          </w:tcPr>
          <w:p w14:paraId="2FDB19D3">
            <w:pPr>
              <w:widowControl/>
              <w:spacing w:line="240" w:lineRule="auto"/>
              <w:jc w:val="center"/>
              <w:textAlignment w:val="center"/>
              <w:rPr>
                <w:color w:val="000000"/>
                <w:sz w:val="21"/>
                <w:szCs w:val="21"/>
                <w:highlight w:val="none"/>
              </w:rPr>
            </w:pPr>
            <w:r>
              <w:rPr>
                <w:color w:val="000000"/>
                <w:sz w:val="21"/>
                <w:szCs w:val="21"/>
                <w:highlight w:val="none"/>
              </w:rPr>
              <w:t>8.33</w:t>
            </w:r>
          </w:p>
        </w:tc>
      </w:tr>
      <w:tr w14:paraId="7FB857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451" w:type="pct"/>
            <w:tcBorders>
              <w:tl2br w:val="nil"/>
              <w:tr2bl w:val="nil"/>
            </w:tcBorders>
            <w:shd w:val="clear" w:color="auto" w:fill="auto"/>
            <w:noWrap/>
            <w:tcMar>
              <w:top w:w="15" w:type="dxa"/>
              <w:left w:w="15" w:type="dxa"/>
              <w:right w:w="15" w:type="dxa"/>
            </w:tcMar>
            <w:vAlign w:val="center"/>
          </w:tcPr>
          <w:p w14:paraId="4FE1B473">
            <w:pPr>
              <w:widowControl/>
              <w:spacing w:line="240" w:lineRule="auto"/>
              <w:jc w:val="center"/>
              <w:textAlignment w:val="center"/>
              <w:rPr>
                <w:color w:val="000000"/>
                <w:sz w:val="21"/>
                <w:szCs w:val="21"/>
                <w:highlight w:val="none"/>
              </w:rPr>
            </w:pPr>
            <w:r>
              <w:rPr>
                <w:color w:val="000000"/>
                <w:kern w:val="0"/>
                <w:sz w:val="21"/>
                <w:szCs w:val="21"/>
                <w:highlight w:val="none"/>
                <w:lang w:bidi="ar"/>
              </w:rPr>
              <w:t>3</w:t>
            </w:r>
          </w:p>
        </w:tc>
        <w:tc>
          <w:tcPr>
            <w:tcW w:w="893" w:type="pct"/>
            <w:tcBorders>
              <w:tl2br w:val="nil"/>
              <w:tr2bl w:val="nil"/>
            </w:tcBorders>
            <w:shd w:val="clear" w:color="auto" w:fill="auto"/>
            <w:noWrap/>
            <w:tcMar>
              <w:top w:w="15" w:type="dxa"/>
              <w:left w:w="15" w:type="dxa"/>
              <w:right w:w="15" w:type="dxa"/>
            </w:tcMar>
            <w:vAlign w:val="center"/>
          </w:tcPr>
          <w:p w14:paraId="2FD163C2">
            <w:pPr>
              <w:widowControl/>
              <w:spacing w:line="240" w:lineRule="auto"/>
              <w:jc w:val="center"/>
              <w:textAlignment w:val="center"/>
              <w:rPr>
                <w:color w:val="000000"/>
                <w:sz w:val="21"/>
                <w:szCs w:val="21"/>
                <w:highlight w:val="none"/>
              </w:rPr>
            </w:pPr>
            <w:r>
              <w:rPr>
                <w:color w:val="000000"/>
                <w:sz w:val="21"/>
                <w:szCs w:val="21"/>
                <w:highlight w:val="none"/>
              </w:rPr>
              <w:t>HH-1-400</w:t>
            </w:r>
          </w:p>
        </w:tc>
        <w:tc>
          <w:tcPr>
            <w:tcW w:w="2264" w:type="pct"/>
            <w:tcBorders>
              <w:tl2br w:val="nil"/>
              <w:tr2bl w:val="nil"/>
            </w:tcBorders>
            <w:shd w:val="clear" w:color="auto" w:fill="auto"/>
            <w:noWrap/>
            <w:tcMar>
              <w:top w:w="15" w:type="dxa"/>
              <w:left w:w="15" w:type="dxa"/>
              <w:right w:w="15" w:type="dxa"/>
            </w:tcMar>
            <w:vAlign w:val="center"/>
          </w:tcPr>
          <w:p w14:paraId="0BC4CF1F">
            <w:pPr>
              <w:spacing w:line="240" w:lineRule="auto"/>
              <w:jc w:val="center"/>
              <w:rPr>
                <w:color w:val="000000"/>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边界西侧下风向400m</w:t>
            </w:r>
          </w:p>
        </w:tc>
        <w:tc>
          <w:tcPr>
            <w:tcW w:w="1390" w:type="pct"/>
            <w:tcBorders>
              <w:tl2br w:val="nil"/>
              <w:tr2bl w:val="nil"/>
            </w:tcBorders>
            <w:shd w:val="clear" w:color="auto" w:fill="auto"/>
            <w:noWrap/>
            <w:tcMar>
              <w:top w:w="15" w:type="dxa"/>
              <w:left w:w="15" w:type="dxa"/>
              <w:right w:w="15" w:type="dxa"/>
            </w:tcMar>
            <w:vAlign w:val="center"/>
          </w:tcPr>
          <w:p w14:paraId="012909E4">
            <w:pPr>
              <w:widowControl/>
              <w:spacing w:line="240" w:lineRule="auto"/>
              <w:jc w:val="center"/>
              <w:textAlignment w:val="center"/>
              <w:rPr>
                <w:color w:val="000000"/>
                <w:sz w:val="21"/>
                <w:szCs w:val="21"/>
                <w:highlight w:val="none"/>
              </w:rPr>
            </w:pPr>
            <w:r>
              <w:rPr>
                <w:color w:val="000000"/>
                <w:sz w:val="21"/>
                <w:szCs w:val="21"/>
                <w:highlight w:val="none"/>
              </w:rPr>
              <w:t>8.23</w:t>
            </w:r>
          </w:p>
        </w:tc>
      </w:tr>
      <w:tr w14:paraId="3D3A9A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451" w:type="pct"/>
            <w:tcBorders>
              <w:tl2br w:val="nil"/>
              <w:tr2bl w:val="nil"/>
            </w:tcBorders>
            <w:shd w:val="clear" w:color="auto" w:fill="auto"/>
            <w:noWrap/>
            <w:tcMar>
              <w:top w:w="15" w:type="dxa"/>
              <w:left w:w="15" w:type="dxa"/>
              <w:right w:w="15" w:type="dxa"/>
            </w:tcMar>
            <w:vAlign w:val="center"/>
          </w:tcPr>
          <w:p w14:paraId="60B68C72">
            <w:pPr>
              <w:widowControl/>
              <w:spacing w:line="240" w:lineRule="auto"/>
              <w:jc w:val="center"/>
              <w:textAlignment w:val="center"/>
              <w:rPr>
                <w:color w:val="000000"/>
                <w:sz w:val="21"/>
                <w:szCs w:val="21"/>
                <w:highlight w:val="none"/>
              </w:rPr>
            </w:pPr>
            <w:r>
              <w:rPr>
                <w:color w:val="000000"/>
                <w:kern w:val="0"/>
                <w:sz w:val="21"/>
                <w:szCs w:val="21"/>
                <w:highlight w:val="none"/>
                <w:lang w:bidi="ar"/>
              </w:rPr>
              <w:t>4</w:t>
            </w:r>
          </w:p>
        </w:tc>
        <w:tc>
          <w:tcPr>
            <w:tcW w:w="893" w:type="pct"/>
            <w:tcBorders>
              <w:tl2br w:val="nil"/>
              <w:tr2bl w:val="nil"/>
            </w:tcBorders>
            <w:shd w:val="clear" w:color="auto" w:fill="auto"/>
            <w:noWrap/>
            <w:tcMar>
              <w:top w:w="15" w:type="dxa"/>
              <w:left w:w="15" w:type="dxa"/>
              <w:right w:w="15" w:type="dxa"/>
            </w:tcMar>
            <w:vAlign w:val="center"/>
          </w:tcPr>
          <w:p w14:paraId="5CEF3A69">
            <w:pPr>
              <w:widowControl/>
              <w:spacing w:line="240" w:lineRule="auto"/>
              <w:jc w:val="center"/>
              <w:textAlignment w:val="center"/>
              <w:rPr>
                <w:color w:val="000000"/>
                <w:sz w:val="21"/>
                <w:szCs w:val="21"/>
                <w:highlight w:val="none"/>
              </w:rPr>
            </w:pPr>
            <w:r>
              <w:rPr>
                <w:color w:val="000000"/>
                <w:sz w:val="21"/>
                <w:szCs w:val="21"/>
                <w:highlight w:val="none"/>
              </w:rPr>
              <w:t>HH-2</w:t>
            </w:r>
          </w:p>
        </w:tc>
        <w:tc>
          <w:tcPr>
            <w:tcW w:w="2264" w:type="pct"/>
            <w:tcBorders>
              <w:tl2br w:val="nil"/>
              <w:tr2bl w:val="nil"/>
            </w:tcBorders>
            <w:shd w:val="clear" w:color="auto" w:fill="auto"/>
            <w:noWrap/>
            <w:tcMar>
              <w:top w:w="15" w:type="dxa"/>
              <w:left w:w="15" w:type="dxa"/>
              <w:right w:w="15" w:type="dxa"/>
            </w:tcMar>
            <w:vAlign w:val="center"/>
          </w:tcPr>
          <w:p w14:paraId="6B3EBA5E">
            <w:pPr>
              <w:spacing w:line="240" w:lineRule="auto"/>
              <w:jc w:val="center"/>
              <w:rPr>
                <w:color w:val="000000"/>
                <w:sz w:val="21"/>
                <w:szCs w:val="21"/>
                <w:highlight w:val="none"/>
              </w:rPr>
            </w:pPr>
            <w:r>
              <w:rPr>
                <w:sz w:val="21"/>
                <w:szCs w:val="21"/>
                <w:highlight w:val="none"/>
              </w:rPr>
              <w:t>园区边界</w:t>
            </w:r>
            <w:r>
              <w:rPr>
                <w:rFonts w:hint="eastAsia"/>
                <w:sz w:val="21"/>
                <w:szCs w:val="21"/>
                <w:highlight w:val="none"/>
              </w:rPr>
              <w:t>东侧上</w:t>
            </w:r>
            <w:r>
              <w:rPr>
                <w:sz w:val="21"/>
                <w:szCs w:val="21"/>
                <w:highlight w:val="none"/>
              </w:rPr>
              <w:t>风向</w:t>
            </w:r>
            <w:r>
              <w:rPr>
                <w:rFonts w:hint="eastAsia"/>
                <w:sz w:val="21"/>
                <w:szCs w:val="21"/>
                <w:highlight w:val="none"/>
              </w:rPr>
              <w:t>20</w:t>
            </w:r>
            <w:r>
              <w:rPr>
                <w:sz w:val="21"/>
                <w:szCs w:val="21"/>
                <w:highlight w:val="none"/>
              </w:rPr>
              <w:t>m</w:t>
            </w:r>
            <w:r>
              <w:rPr>
                <w:rFonts w:hint="eastAsia"/>
                <w:sz w:val="21"/>
                <w:szCs w:val="21"/>
                <w:highlight w:val="none"/>
              </w:rPr>
              <w:t>以外</w:t>
            </w:r>
          </w:p>
        </w:tc>
        <w:tc>
          <w:tcPr>
            <w:tcW w:w="1390" w:type="pct"/>
            <w:tcBorders>
              <w:tl2br w:val="nil"/>
              <w:tr2bl w:val="nil"/>
            </w:tcBorders>
            <w:shd w:val="clear" w:color="auto" w:fill="auto"/>
            <w:noWrap/>
            <w:tcMar>
              <w:top w:w="15" w:type="dxa"/>
              <w:left w:w="15" w:type="dxa"/>
              <w:right w:w="15" w:type="dxa"/>
            </w:tcMar>
            <w:vAlign w:val="center"/>
          </w:tcPr>
          <w:p w14:paraId="048A7BEA">
            <w:pPr>
              <w:widowControl/>
              <w:spacing w:line="240" w:lineRule="auto"/>
              <w:jc w:val="center"/>
              <w:textAlignment w:val="center"/>
              <w:rPr>
                <w:color w:val="000000"/>
                <w:sz w:val="21"/>
                <w:szCs w:val="21"/>
                <w:highlight w:val="none"/>
              </w:rPr>
            </w:pPr>
            <w:r>
              <w:rPr>
                <w:color w:val="000000"/>
                <w:sz w:val="21"/>
                <w:szCs w:val="21"/>
                <w:highlight w:val="none"/>
              </w:rPr>
              <w:t>8.14</w:t>
            </w:r>
          </w:p>
        </w:tc>
      </w:tr>
      <w:tr w14:paraId="222B42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451" w:type="pct"/>
            <w:tcBorders>
              <w:tl2br w:val="nil"/>
              <w:tr2bl w:val="nil"/>
            </w:tcBorders>
            <w:shd w:val="clear" w:color="auto" w:fill="auto"/>
            <w:noWrap/>
            <w:tcMar>
              <w:top w:w="15" w:type="dxa"/>
              <w:left w:w="15" w:type="dxa"/>
              <w:right w:w="15" w:type="dxa"/>
            </w:tcMar>
            <w:vAlign w:val="center"/>
          </w:tcPr>
          <w:p w14:paraId="0E88136E">
            <w:pPr>
              <w:widowControl/>
              <w:spacing w:line="240" w:lineRule="auto"/>
              <w:jc w:val="center"/>
              <w:textAlignment w:val="center"/>
              <w:rPr>
                <w:color w:val="000000"/>
                <w:sz w:val="21"/>
                <w:szCs w:val="21"/>
                <w:highlight w:val="none"/>
              </w:rPr>
            </w:pPr>
            <w:r>
              <w:rPr>
                <w:color w:val="000000"/>
                <w:kern w:val="0"/>
                <w:sz w:val="21"/>
                <w:szCs w:val="21"/>
                <w:highlight w:val="none"/>
                <w:lang w:bidi="ar"/>
              </w:rPr>
              <w:t>5</w:t>
            </w:r>
          </w:p>
        </w:tc>
        <w:tc>
          <w:tcPr>
            <w:tcW w:w="893" w:type="pct"/>
            <w:tcBorders>
              <w:tl2br w:val="nil"/>
              <w:tr2bl w:val="nil"/>
            </w:tcBorders>
            <w:shd w:val="clear" w:color="auto" w:fill="auto"/>
            <w:noWrap/>
            <w:tcMar>
              <w:top w:w="15" w:type="dxa"/>
              <w:left w:w="15" w:type="dxa"/>
              <w:right w:w="15" w:type="dxa"/>
            </w:tcMar>
            <w:vAlign w:val="center"/>
          </w:tcPr>
          <w:p w14:paraId="313C7DF4">
            <w:pPr>
              <w:widowControl/>
              <w:spacing w:line="240" w:lineRule="auto"/>
              <w:jc w:val="center"/>
              <w:textAlignment w:val="center"/>
              <w:rPr>
                <w:color w:val="000000"/>
                <w:sz w:val="21"/>
                <w:szCs w:val="21"/>
                <w:highlight w:val="none"/>
              </w:rPr>
            </w:pPr>
            <w:r>
              <w:rPr>
                <w:color w:val="000000"/>
                <w:sz w:val="21"/>
                <w:szCs w:val="21"/>
                <w:highlight w:val="none"/>
              </w:rPr>
              <w:t>HH-3-75</w:t>
            </w:r>
          </w:p>
        </w:tc>
        <w:tc>
          <w:tcPr>
            <w:tcW w:w="2264" w:type="pct"/>
            <w:tcBorders>
              <w:tl2br w:val="nil"/>
              <w:tr2bl w:val="nil"/>
            </w:tcBorders>
            <w:shd w:val="clear" w:color="auto" w:fill="auto"/>
            <w:noWrap/>
            <w:tcMar>
              <w:top w:w="15" w:type="dxa"/>
              <w:left w:w="15" w:type="dxa"/>
              <w:right w:w="15" w:type="dxa"/>
            </w:tcMar>
            <w:vAlign w:val="center"/>
          </w:tcPr>
          <w:p w14:paraId="55F55CAF">
            <w:pPr>
              <w:spacing w:line="240" w:lineRule="auto"/>
              <w:jc w:val="center"/>
              <w:rPr>
                <w:color w:val="000000"/>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w:t>
            </w:r>
            <w:r>
              <w:rPr>
                <w:rFonts w:hint="eastAsia"/>
                <w:sz w:val="21"/>
                <w:szCs w:val="21"/>
                <w:highlight w:val="none"/>
              </w:rPr>
              <w:t>南侧</w:t>
            </w:r>
            <w:r>
              <w:rPr>
                <w:sz w:val="21"/>
                <w:szCs w:val="21"/>
                <w:highlight w:val="none"/>
              </w:rPr>
              <w:t>下风向</w:t>
            </w:r>
            <w:r>
              <w:rPr>
                <w:rFonts w:hint="eastAsia"/>
                <w:sz w:val="21"/>
                <w:szCs w:val="21"/>
                <w:highlight w:val="none"/>
              </w:rPr>
              <w:t>75</w:t>
            </w:r>
            <w:r>
              <w:rPr>
                <w:sz w:val="21"/>
                <w:szCs w:val="21"/>
                <w:highlight w:val="none"/>
              </w:rPr>
              <w:t>m</w:t>
            </w:r>
          </w:p>
        </w:tc>
        <w:tc>
          <w:tcPr>
            <w:tcW w:w="1390" w:type="pct"/>
            <w:tcBorders>
              <w:tl2br w:val="nil"/>
              <w:tr2bl w:val="nil"/>
            </w:tcBorders>
            <w:shd w:val="clear" w:color="auto" w:fill="auto"/>
            <w:noWrap/>
            <w:tcMar>
              <w:top w:w="15" w:type="dxa"/>
              <w:left w:w="15" w:type="dxa"/>
              <w:right w:w="15" w:type="dxa"/>
            </w:tcMar>
            <w:vAlign w:val="center"/>
          </w:tcPr>
          <w:p w14:paraId="0D0DB051">
            <w:pPr>
              <w:widowControl/>
              <w:spacing w:line="240" w:lineRule="auto"/>
              <w:jc w:val="center"/>
              <w:textAlignment w:val="center"/>
              <w:rPr>
                <w:color w:val="000000"/>
                <w:sz w:val="21"/>
                <w:szCs w:val="21"/>
                <w:highlight w:val="none"/>
              </w:rPr>
            </w:pPr>
            <w:r>
              <w:rPr>
                <w:color w:val="000000"/>
                <w:sz w:val="21"/>
                <w:szCs w:val="21"/>
                <w:highlight w:val="none"/>
              </w:rPr>
              <w:t>8.15</w:t>
            </w:r>
          </w:p>
        </w:tc>
      </w:tr>
      <w:tr w14:paraId="6C6AB1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tblHeader/>
          <w:jc w:val="center"/>
        </w:trPr>
        <w:tc>
          <w:tcPr>
            <w:tcW w:w="451" w:type="pct"/>
            <w:tcBorders>
              <w:tl2br w:val="nil"/>
              <w:tr2bl w:val="nil"/>
            </w:tcBorders>
            <w:shd w:val="clear" w:color="auto" w:fill="auto"/>
            <w:noWrap/>
            <w:tcMar>
              <w:top w:w="15" w:type="dxa"/>
              <w:left w:w="15" w:type="dxa"/>
              <w:right w:w="15" w:type="dxa"/>
            </w:tcMar>
            <w:vAlign w:val="center"/>
          </w:tcPr>
          <w:p w14:paraId="011309C3">
            <w:pPr>
              <w:widowControl/>
              <w:spacing w:line="240" w:lineRule="auto"/>
              <w:jc w:val="center"/>
              <w:textAlignment w:val="center"/>
              <w:rPr>
                <w:color w:val="000000"/>
                <w:sz w:val="21"/>
                <w:szCs w:val="21"/>
                <w:highlight w:val="none"/>
              </w:rPr>
            </w:pPr>
            <w:r>
              <w:rPr>
                <w:color w:val="000000"/>
                <w:kern w:val="0"/>
                <w:sz w:val="21"/>
                <w:szCs w:val="21"/>
                <w:highlight w:val="none"/>
                <w:lang w:bidi="ar"/>
              </w:rPr>
              <w:t>6</w:t>
            </w:r>
          </w:p>
        </w:tc>
        <w:tc>
          <w:tcPr>
            <w:tcW w:w="893" w:type="pct"/>
            <w:tcBorders>
              <w:tl2br w:val="nil"/>
              <w:tr2bl w:val="nil"/>
            </w:tcBorders>
            <w:shd w:val="clear" w:color="auto" w:fill="auto"/>
            <w:noWrap/>
            <w:tcMar>
              <w:top w:w="15" w:type="dxa"/>
              <w:left w:w="15" w:type="dxa"/>
              <w:right w:w="15" w:type="dxa"/>
            </w:tcMar>
            <w:vAlign w:val="center"/>
          </w:tcPr>
          <w:p w14:paraId="29975FDD">
            <w:pPr>
              <w:widowControl/>
              <w:spacing w:line="240" w:lineRule="auto"/>
              <w:jc w:val="center"/>
              <w:textAlignment w:val="center"/>
              <w:rPr>
                <w:color w:val="000000"/>
                <w:sz w:val="21"/>
                <w:szCs w:val="21"/>
                <w:highlight w:val="none"/>
              </w:rPr>
            </w:pPr>
            <w:r>
              <w:rPr>
                <w:color w:val="000000"/>
                <w:sz w:val="21"/>
                <w:szCs w:val="21"/>
                <w:highlight w:val="none"/>
              </w:rPr>
              <w:t>HH-4</w:t>
            </w:r>
          </w:p>
        </w:tc>
        <w:tc>
          <w:tcPr>
            <w:tcW w:w="2264" w:type="pct"/>
            <w:tcBorders>
              <w:tl2br w:val="nil"/>
              <w:tr2bl w:val="nil"/>
            </w:tcBorders>
            <w:shd w:val="clear" w:color="auto" w:fill="auto"/>
            <w:noWrap/>
            <w:tcMar>
              <w:top w:w="15" w:type="dxa"/>
              <w:left w:w="15" w:type="dxa"/>
              <w:right w:w="15" w:type="dxa"/>
            </w:tcMar>
            <w:vAlign w:val="center"/>
          </w:tcPr>
          <w:p w14:paraId="2CAA1ABE">
            <w:pPr>
              <w:spacing w:line="240" w:lineRule="auto"/>
              <w:jc w:val="center"/>
              <w:rPr>
                <w:color w:val="000000"/>
                <w:sz w:val="21"/>
                <w:szCs w:val="21"/>
                <w:highlight w:val="none"/>
              </w:rPr>
            </w:pPr>
            <w:r>
              <w:rPr>
                <w:sz w:val="21"/>
                <w:szCs w:val="21"/>
                <w:highlight w:val="none"/>
              </w:rPr>
              <w:t>园区边界</w:t>
            </w:r>
            <w:r>
              <w:rPr>
                <w:rFonts w:hint="eastAsia"/>
                <w:sz w:val="21"/>
                <w:szCs w:val="21"/>
                <w:highlight w:val="none"/>
              </w:rPr>
              <w:t>北侧上</w:t>
            </w:r>
            <w:r>
              <w:rPr>
                <w:sz w:val="21"/>
                <w:szCs w:val="21"/>
                <w:highlight w:val="none"/>
              </w:rPr>
              <w:t>风向</w:t>
            </w:r>
            <w:r>
              <w:rPr>
                <w:rFonts w:hint="eastAsia"/>
                <w:sz w:val="21"/>
                <w:szCs w:val="21"/>
                <w:highlight w:val="none"/>
              </w:rPr>
              <w:t>2</w:t>
            </w:r>
            <w:r>
              <w:rPr>
                <w:sz w:val="21"/>
                <w:szCs w:val="21"/>
                <w:highlight w:val="none"/>
              </w:rPr>
              <w:t>0m</w:t>
            </w:r>
            <w:r>
              <w:rPr>
                <w:rFonts w:hint="eastAsia"/>
                <w:sz w:val="21"/>
                <w:szCs w:val="21"/>
                <w:highlight w:val="none"/>
              </w:rPr>
              <w:t>以外</w:t>
            </w:r>
          </w:p>
        </w:tc>
        <w:tc>
          <w:tcPr>
            <w:tcW w:w="1390" w:type="pct"/>
            <w:tcBorders>
              <w:tl2br w:val="nil"/>
              <w:tr2bl w:val="nil"/>
            </w:tcBorders>
            <w:shd w:val="clear" w:color="auto" w:fill="auto"/>
            <w:noWrap/>
            <w:tcMar>
              <w:top w:w="15" w:type="dxa"/>
              <w:left w:w="15" w:type="dxa"/>
              <w:right w:w="15" w:type="dxa"/>
            </w:tcMar>
            <w:vAlign w:val="center"/>
          </w:tcPr>
          <w:p w14:paraId="0EC0A772">
            <w:pPr>
              <w:widowControl/>
              <w:spacing w:line="240" w:lineRule="auto"/>
              <w:jc w:val="center"/>
              <w:textAlignment w:val="center"/>
              <w:rPr>
                <w:color w:val="000000"/>
                <w:sz w:val="21"/>
                <w:szCs w:val="21"/>
                <w:highlight w:val="none"/>
              </w:rPr>
            </w:pPr>
            <w:r>
              <w:rPr>
                <w:color w:val="000000"/>
                <w:sz w:val="21"/>
                <w:szCs w:val="21"/>
                <w:highlight w:val="none"/>
              </w:rPr>
              <w:t>6.02</w:t>
            </w:r>
          </w:p>
        </w:tc>
      </w:tr>
      <w:tr w14:paraId="670BFA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451" w:type="pct"/>
            <w:tcBorders>
              <w:tl2br w:val="nil"/>
              <w:tr2bl w:val="nil"/>
            </w:tcBorders>
            <w:shd w:val="clear" w:color="auto" w:fill="auto"/>
            <w:noWrap/>
            <w:tcMar>
              <w:top w:w="15" w:type="dxa"/>
              <w:left w:w="15" w:type="dxa"/>
              <w:right w:w="15" w:type="dxa"/>
            </w:tcMar>
            <w:vAlign w:val="center"/>
          </w:tcPr>
          <w:p w14:paraId="0C925F79">
            <w:pPr>
              <w:widowControl/>
              <w:spacing w:line="240" w:lineRule="auto"/>
              <w:jc w:val="center"/>
              <w:textAlignment w:val="center"/>
              <w:rPr>
                <w:color w:val="000000"/>
                <w:sz w:val="21"/>
                <w:szCs w:val="21"/>
                <w:highlight w:val="none"/>
              </w:rPr>
            </w:pPr>
            <w:r>
              <w:rPr>
                <w:color w:val="000000"/>
                <w:kern w:val="0"/>
                <w:sz w:val="21"/>
                <w:szCs w:val="21"/>
                <w:highlight w:val="none"/>
                <w:lang w:bidi="ar"/>
              </w:rPr>
              <w:t>7</w:t>
            </w:r>
          </w:p>
        </w:tc>
        <w:tc>
          <w:tcPr>
            <w:tcW w:w="893" w:type="pct"/>
            <w:tcBorders>
              <w:tl2br w:val="nil"/>
              <w:tr2bl w:val="nil"/>
            </w:tcBorders>
            <w:shd w:val="clear" w:color="auto" w:fill="auto"/>
            <w:noWrap/>
            <w:tcMar>
              <w:top w:w="15" w:type="dxa"/>
              <w:left w:w="15" w:type="dxa"/>
              <w:right w:w="15" w:type="dxa"/>
            </w:tcMar>
            <w:vAlign w:val="center"/>
          </w:tcPr>
          <w:p w14:paraId="15D6C757">
            <w:pPr>
              <w:widowControl/>
              <w:spacing w:line="240" w:lineRule="auto"/>
              <w:jc w:val="center"/>
              <w:textAlignment w:val="center"/>
              <w:rPr>
                <w:color w:val="000000"/>
                <w:sz w:val="21"/>
                <w:szCs w:val="21"/>
                <w:highlight w:val="none"/>
              </w:rPr>
            </w:pPr>
            <w:r>
              <w:rPr>
                <w:color w:val="000000"/>
                <w:sz w:val="21"/>
                <w:szCs w:val="21"/>
                <w:highlight w:val="none"/>
              </w:rPr>
              <w:t>HH-JJ-1</w:t>
            </w:r>
          </w:p>
        </w:tc>
        <w:tc>
          <w:tcPr>
            <w:tcW w:w="4353" w:type="dxa"/>
            <w:tcBorders>
              <w:tl2br w:val="nil"/>
              <w:tr2bl w:val="nil"/>
            </w:tcBorders>
            <w:shd w:val="clear" w:color="auto" w:fill="auto"/>
            <w:noWrap/>
            <w:tcMar>
              <w:top w:w="15" w:type="dxa"/>
              <w:left w:w="15" w:type="dxa"/>
              <w:right w:w="15" w:type="dxa"/>
            </w:tcMar>
            <w:vAlign w:val="center"/>
          </w:tcPr>
          <w:p w14:paraId="39C54FEF">
            <w:pPr>
              <w:spacing w:line="240" w:lineRule="auto"/>
              <w:jc w:val="center"/>
              <w:rPr>
                <w:color w:val="000000"/>
                <w:sz w:val="21"/>
                <w:szCs w:val="21"/>
                <w:highlight w:val="none"/>
              </w:rPr>
            </w:pPr>
            <w:r>
              <w:rPr>
                <w:sz w:val="21"/>
                <w:szCs w:val="21"/>
                <w:highlight w:val="none"/>
              </w:rPr>
              <w:t>企业聚集区</w:t>
            </w:r>
            <w:r>
              <w:rPr>
                <w:rFonts w:hint="eastAsia"/>
                <w:sz w:val="21"/>
                <w:szCs w:val="21"/>
                <w:highlight w:val="none"/>
                <w:lang w:val="en-US" w:eastAsia="zh-CN"/>
              </w:rPr>
              <w:t>南侧</w:t>
            </w:r>
          </w:p>
        </w:tc>
        <w:tc>
          <w:tcPr>
            <w:tcW w:w="1390" w:type="pct"/>
            <w:tcBorders>
              <w:tl2br w:val="nil"/>
              <w:tr2bl w:val="nil"/>
            </w:tcBorders>
            <w:shd w:val="clear" w:color="auto" w:fill="auto"/>
            <w:noWrap/>
            <w:tcMar>
              <w:top w:w="15" w:type="dxa"/>
              <w:left w:w="15" w:type="dxa"/>
              <w:right w:w="15" w:type="dxa"/>
            </w:tcMar>
            <w:vAlign w:val="center"/>
          </w:tcPr>
          <w:p w14:paraId="2D33BD24">
            <w:pPr>
              <w:widowControl/>
              <w:spacing w:line="240" w:lineRule="auto"/>
              <w:jc w:val="center"/>
              <w:textAlignment w:val="center"/>
              <w:rPr>
                <w:color w:val="000000"/>
                <w:sz w:val="21"/>
                <w:szCs w:val="21"/>
                <w:highlight w:val="none"/>
              </w:rPr>
            </w:pPr>
            <w:r>
              <w:rPr>
                <w:color w:val="000000"/>
                <w:sz w:val="21"/>
                <w:szCs w:val="21"/>
                <w:highlight w:val="none"/>
              </w:rPr>
              <w:t>8.70</w:t>
            </w:r>
          </w:p>
        </w:tc>
      </w:tr>
      <w:tr w14:paraId="75C8E8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451" w:type="pct"/>
            <w:tcBorders>
              <w:tl2br w:val="nil"/>
              <w:tr2bl w:val="nil"/>
            </w:tcBorders>
            <w:shd w:val="clear" w:color="auto" w:fill="auto"/>
            <w:noWrap/>
            <w:tcMar>
              <w:top w:w="15" w:type="dxa"/>
              <w:left w:w="15" w:type="dxa"/>
              <w:right w:w="15" w:type="dxa"/>
            </w:tcMar>
            <w:vAlign w:val="center"/>
          </w:tcPr>
          <w:p w14:paraId="7152E07B">
            <w:pPr>
              <w:widowControl/>
              <w:spacing w:line="240" w:lineRule="auto"/>
              <w:jc w:val="center"/>
              <w:textAlignment w:val="center"/>
              <w:rPr>
                <w:color w:val="000000"/>
                <w:sz w:val="21"/>
                <w:szCs w:val="21"/>
                <w:highlight w:val="none"/>
              </w:rPr>
            </w:pPr>
            <w:r>
              <w:rPr>
                <w:color w:val="000000"/>
                <w:kern w:val="0"/>
                <w:sz w:val="21"/>
                <w:szCs w:val="21"/>
                <w:highlight w:val="none"/>
                <w:lang w:bidi="ar"/>
              </w:rPr>
              <w:t>8</w:t>
            </w:r>
          </w:p>
        </w:tc>
        <w:tc>
          <w:tcPr>
            <w:tcW w:w="893" w:type="pct"/>
            <w:tcBorders>
              <w:tl2br w:val="nil"/>
              <w:tr2bl w:val="nil"/>
            </w:tcBorders>
            <w:shd w:val="clear" w:color="auto" w:fill="auto"/>
            <w:noWrap/>
            <w:tcMar>
              <w:top w:w="15" w:type="dxa"/>
              <w:left w:w="15" w:type="dxa"/>
              <w:right w:w="15" w:type="dxa"/>
            </w:tcMar>
            <w:vAlign w:val="center"/>
          </w:tcPr>
          <w:p w14:paraId="52BE04C2">
            <w:pPr>
              <w:widowControl/>
              <w:spacing w:line="240" w:lineRule="auto"/>
              <w:jc w:val="center"/>
              <w:textAlignment w:val="center"/>
              <w:rPr>
                <w:color w:val="000000"/>
                <w:sz w:val="21"/>
                <w:szCs w:val="21"/>
                <w:highlight w:val="none"/>
              </w:rPr>
            </w:pPr>
            <w:r>
              <w:rPr>
                <w:color w:val="000000"/>
                <w:sz w:val="21"/>
                <w:szCs w:val="21"/>
                <w:highlight w:val="none"/>
              </w:rPr>
              <w:t>HH-JJ-2</w:t>
            </w:r>
          </w:p>
        </w:tc>
        <w:tc>
          <w:tcPr>
            <w:tcW w:w="4353" w:type="dxa"/>
            <w:tcBorders>
              <w:tl2br w:val="nil"/>
              <w:tr2bl w:val="nil"/>
            </w:tcBorders>
            <w:shd w:val="clear" w:color="auto" w:fill="auto"/>
            <w:noWrap/>
            <w:tcMar>
              <w:top w:w="15" w:type="dxa"/>
              <w:left w:w="15" w:type="dxa"/>
              <w:right w:w="15" w:type="dxa"/>
            </w:tcMar>
            <w:vAlign w:val="center"/>
          </w:tcPr>
          <w:p w14:paraId="57C6DD84">
            <w:pPr>
              <w:spacing w:line="240" w:lineRule="auto"/>
              <w:jc w:val="center"/>
              <w:rPr>
                <w:color w:val="000000"/>
                <w:sz w:val="21"/>
                <w:szCs w:val="21"/>
                <w:highlight w:val="none"/>
              </w:rPr>
            </w:pPr>
            <w:r>
              <w:rPr>
                <w:sz w:val="21"/>
                <w:szCs w:val="21"/>
                <w:highlight w:val="none"/>
              </w:rPr>
              <w:t>企业聚集区</w:t>
            </w:r>
            <w:r>
              <w:rPr>
                <w:rFonts w:hint="eastAsia"/>
                <w:sz w:val="21"/>
                <w:szCs w:val="21"/>
                <w:highlight w:val="none"/>
              </w:rPr>
              <w:t>北</w:t>
            </w:r>
            <w:r>
              <w:rPr>
                <w:sz w:val="21"/>
                <w:szCs w:val="21"/>
                <w:highlight w:val="none"/>
              </w:rPr>
              <w:t>侧</w:t>
            </w:r>
          </w:p>
        </w:tc>
        <w:tc>
          <w:tcPr>
            <w:tcW w:w="1390" w:type="pct"/>
            <w:tcBorders>
              <w:tl2br w:val="nil"/>
              <w:tr2bl w:val="nil"/>
            </w:tcBorders>
            <w:shd w:val="clear" w:color="auto" w:fill="auto"/>
            <w:noWrap/>
            <w:tcMar>
              <w:top w:w="15" w:type="dxa"/>
              <w:left w:w="15" w:type="dxa"/>
              <w:right w:w="15" w:type="dxa"/>
            </w:tcMar>
            <w:vAlign w:val="center"/>
          </w:tcPr>
          <w:p w14:paraId="2F016AA8">
            <w:pPr>
              <w:widowControl/>
              <w:spacing w:line="240" w:lineRule="auto"/>
              <w:jc w:val="center"/>
              <w:textAlignment w:val="center"/>
              <w:rPr>
                <w:color w:val="000000"/>
                <w:sz w:val="21"/>
                <w:szCs w:val="21"/>
                <w:highlight w:val="none"/>
              </w:rPr>
            </w:pPr>
            <w:r>
              <w:rPr>
                <w:color w:val="000000"/>
                <w:sz w:val="21"/>
                <w:szCs w:val="21"/>
                <w:highlight w:val="none"/>
              </w:rPr>
              <w:t>8.32</w:t>
            </w:r>
          </w:p>
        </w:tc>
      </w:tr>
      <w:tr w14:paraId="2AD4A4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451" w:type="pct"/>
            <w:tcBorders>
              <w:tl2br w:val="nil"/>
              <w:tr2bl w:val="nil"/>
            </w:tcBorders>
            <w:shd w:val="clear" w:color="auto" w:fill="auto"/>
            <w:noWrap/>
            <w:tcMar>
              <w:top w:w="15" w:type="dxa"/>
              <w:left w:w="15" w:type="dxa"/>
              <w:right w:w="15" w:type="dxa"/>
            </w:tcMar>
            <w:vAlign w:val="center"/>
          </w:tcPr>
          <w:p w14:paraId="21EE50E8">
            <w:pPr>
              <w:widowControl/>
              <w:spacing w:line="240" w:lineRule="auto"/>
              <w:jc w:val="center"/>
              <w:textAlignment w:val="center"/>
              <w:rPr>
                <w:color w:val="000000"/>
                <w:sz w:val="21"/>
                <w:szCs w:val="21"/>
                <w:highlight w:val="none"/>
              </w:rPr>
            </w:pPr>
            <w:r>
              <w:rPr>
                <w:color w:val="000000"/>
                <w:kern w:val="0"/>
                <w:sz w:val="21"/>
                <w:szCs w:val="21"/>
                <w:highlight w:val="none"/>
                <w:lang w:bidi="ar"/>
              </w:rPr>
              <w:t>9</w:t>
            </w:r>
          </w:p>
        </w:tc>
        <w:tc>
          <w:tcPr>
            <w:tcW w:w="893" w:type="pct"/>
            <w:tcBorders>
              <w:tl2br w:val="nil"/>
              <w:tr2bl w:val="nil"/>
            </w:tcBorders>
            <w:shd w:val="clear" w:color="auto" w:fill="auto"/>
            <w:noWrap/>
            <w:tcMar>
              <w:top w:w="15" w:type="dxa"/>
              <w:left w:w="15" w:type="dxa"/>
              <w:right w:w="15" w:type="dxa"/>
            </w:tcMar>
            <w:vAlign w:val="center"/>
          </w:tcPr>
          <w:p w14:paraId="578EA796">
            <w:pPr>
              <w:widowControl/>
              <w:spacing w:line="240" w:lineRule="auto"/>
              <w:jc w:val="center"/>
              <w:textAlignment w:val="center"/>
              <w:rPr>
                <w:color w:val="000000"/>
                <w:sz w:val="21"/>
                <w:szCs w:val="21"/>
                <w:highlight w:val="none"/>
              </w:rPr>
            </w:pPr>
            <w:r>
              <w:rPr>
                <w:color w:val="000000"/>
                <w:sz w:val="21"/>
                <w:szCs w:val="21"/>
                <w:highlight w:val="none"/>
              </w:rPr>
              <w:t>HH-JJ-3</w:t>
            </w:r>
          </w:p>
        </w:tc>
        <w:tc>
          <w:tcPr>
            <w:tcW w:w="4353" w:type="dxa"/>
            <w:tcBorders>
              <w:tl2br w:val="nil"/>
              <w:tr2bl w:val="nil"/>
            </w:tcBorders>
            <w:shd w:val="clear" w:color="auto" w:fill="auto"/>
            <w:noWrap/>
            <w:tcMar>
              <w:top w:w="15" w:type="dxa"/>
              <w:left w:w="15" w:type="dxa"/>
              <w:right w:w="15" w:type="dxa"/>
            </w:tcMar>
            <w:vAlign w:val="center"/>
          </w:tcPr>
          <w:p w14:paraId="3BA33278">
            <w:pPr>
              <w:spacing w:line="240" w:lineRule="auto"/>
              <w:jc w:val="center"/>
              <w:rPr>
                <w:color w:val="000000"/>
                <w:sz w:val="21"/>
                <w:szCs w:val="21"/>
                <w:highlight w:val="none"/>
              </w:rPr>
            </w:pPr>
            <w:r>
              <w:rPr>
                <w:sz w:val="21"/>
                <w:szCs w:val="21"/>
                <w:highlight w:val="none"/>
              </w:rPr>
              <w:t>企业聚集区</w:t>
            </w:r>
            <w:r>
              <w:rPr>
                <w:rFonts w:hint="eastAsia"/>
                <w:sz w:val="21"/>
                <w:szCs w:val="21"/>
                <w:highlight w:val="none"/>
              </w:rPr>
              <w:t>西侧</w:t>
            </w:r>
          </w:p>
        </w:tc>
        <w:tc>
          <w:tcPr>
            <w:tcW w:w="1390" w:type="pct"/>
            <w:tcBorders>
              <w:tl2br w:val="nil"/>
              <w:tr2bl w:val="nil"/>
            </w:tcBorders>
            <w:shd w:val="clear" w:color="auto" w:fill="auto"/>
            <w:noWrap/>
            <w:tcMar>
              <w:top w:w="15" w:type="dxa"/>
              <w:left w:w="15" w:type="dxa"/>
              <w:right w:w="15" w:type="dxa"/>
            </w:tcMar>
            <w:vAlign w:val="center"/>
          </w:tcPr>
          <w:p w14:paraId="62AED5FE">
            <w:pPr>
              <w:widowControl/>
              <w:spacing w:line="240" w:lineRule="auto"/>
              <w:jc w:val="center"/>
              <w:textAlignment w:val="center"/>
              <w:rPr>
                <w:color w:val="000000"/>
                <w:sz w:val="21"/>
                <w:szCs w:val="21"/>
                <w:highlight w:val="none"/>
              </w:rPr>
            </w:pPr>
            <w:r>
              <w:rPr>
                <w:color w:val="000000"/>
                <w:sz w:val="21"/>
                <w:szCs w:val="21"/>
                <w:highlight w:val="none"/>
              </w:rPr>
              <w:t>7.90</w:t>
            </w:r>
          </w:p>
        </w:tc>
      </w:tr>
      <w:tr w14:paraId="17063F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451" w:type="pct"/>
            <w:tcBorders>
              <w:tl2br w:val="nil"/>
              <w:tr2bl w:val="nil"/>
            </w:tcBorders>
            <w:shd w:val="clear" w:color="auto" w:fill="auto"/>
            <w:noWrap/>
            <w:tcMar>
              <w:top w:w="15" w:type="dxa"/>
              <w:left w:w="15" w:type="dxa"/>
              <w:right w:w="15" w:type="dxa"/>
            </w:tcMar>
            <w:vAlign w:val="center"/>
          </w:tcPr>
          <w:p w14:paraId="48DF20DE">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893" w:type="pct"/>
            <w:tcBorders>
              <w:tl2br w:val="nil"/>
              <w:tr2bl w:val="nil"/>
            </w:tcBorders>
            <w:shd w:val="clear" w:color="auto" w:fill="auto"/>
            <w:noWrap/>
            <w:tcMar>
              <w:top w:w="15" w:type="dxa"/>
              <w:left w:w="15" w:type="dxa"/>
              <w:right w:w="15" w:type="dxa"/>
            </w:tcMar>
            <w:vAlign w:val="center"/>
          </w:tcPr>
          <w:p w14:paraId="0483A438">
            <w:pPr>
              <w:widowControl/>
              <w:spacing w:line="240" w:lineRule="auto"/>
              <w:jc w:val="center"/>
              <w:textAlignment w:val="center"/>
              <w:rPr>
                <w:color w:val="000000"/>
                <w:sz w:val="21"/>
                <w:szCs w:val="21"/>
                <w:highlight w:val="none"/>
              </w:rPr>
            </w:pPr>
            <w:r>
              <w:rPr>
                <w:color w:val="000000"/>
                <w:sz w:val="21"/>
                <w:szCs w:val="21"/>
                <w:highlight w:val="none"/>
              </w:rPr>
              <w:t>HH-JJ-4</w:t>
            </w:r>
          </w:p>
        </w:tc>
        <w:tc>
          <w:tcPr>
            <w:tcW w:w="4353" w:type="dxa"/>
            <w:tcBorders>
              <w:tl2br w:val="nil"/>
              <w:tr2bl w:val="nil"/>
            </w:tcBorders>
            <w:shd w:val="clear" w:color="auto" w:fill="auto"/>
            <w:noWrap/>
            <w:tcMar>
              <w:top w:w="15" w:type="dxa"/>
              <w:left w:w="15" w:type="dxa"/>
              <w:right w:w="15" w:type="dxa"/>
            </w:tcMar>
            <w:vAlign w:val="center"/>
          </w:tcPr>
          <w:p w14:paraId="2930E247">
            <w:pPr>
              <w:spacing w:line="240" w:lineRule="auto"/>
              <w:jc w:val="center"/>
              <w:rPr>
                <w:color w:val="000000"/>
                <w:sz w:val="21"/>
                <w:szCs w:val="21"/>
                <w:highlight w:val="none"/>
              </w:rPr>
            </w:pPr>
            <w:r>
              <w:rPr>
                <w:sz w:val="21"/>
                <w:szCs w:val="21"/>
                <w:highlight w:val="none"/>
              </w:rPr>
              <w:t>企业聚集区</w:t>
            </w:r>
            <w:r>
              <w:rPr>
                <w:rFonts w:hint="eastAsia"/>
                <w:sz w:val="21"/>
                <w:szCs w:val="21"/>
                <w:highlight w:val="none"/>
              </w:rPr>
              <w:t>西</w:t>
            </w:r>
            <w:r>
              <w:rPr>
                <w:sz w:val="21"/>
                <w:szCs w:val="21"/>
                <w:highlight w:val="none"/>
              </w:rPr>
              <w:t>侧</w:t>
            </w:r>
          </w:p>
        </w:tc>
        <w:tc>
          <w:tcPr>
            <w:tcW w:w="1390" w:type="pct"/>
            <w:tcBorders>
              <w:tl2br w:val="nil"/>
              <w:tr2bl w:val="nil"/>
            </w:tcBorders>
            <w:shd w:val="clear" w:color="auto" w:fill="auto"/>
            <w:noWrap/>
            <w:tcMar>
              <w:top w:w="15" w:type="dxa"/>
              <w:left w:w="15" w:type="dxa"/>
              <w:right w:w="15" w:type="dxa"/>
            </w:tcMar>
            <w:vAlign w:val="center"/>
          </w:tcPr>
          <w:p w14:paraId="192B04B8">
            <w:pPr>
              <w:widowControl/>
              <w:spacing w:line="240" w:lineRule="auto"/>
              <w:jc w:val="center"/>
              <w:textAlignment w:val="center"/>
              <w:rPr>
                <w:color w:val="000000"/>
                <w:sz w:val="21"/>
                <w:szCs w:val="21"/>
                <w:highlight w:val="none"/>
              </w:rPr>
            </w:pPr>
            <w:r>
              <w:rPr>
                <w:color w:val="000000"/>
                <w:sz w:val="21"/>
                <w:szCs w:val="21"/>
                <w:highlight w:val="none"/>
              </w:rPr>
              <w:t>7.33</w:t>
            </w:r>
          </w:p>
        </w:tc>
      </w:tr>
      <w:tr w14:paraId="0A91C1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451" w:type="pct"/>
            <w:tcBorders>
              <w:tl2br w:val="nil"/>
              <w:tr2bl w:val="nil"/>
            </w:tcBorders>
            <w:shd w:val="clear" w:color="auto" w:fill="auto"/>
            <w:noWrap/>
            <w:tcMar>
              <w:top w:w="15" w:type="dxa"/>
              <w:left w:w="15" w:type="dxa"/>
              <w:right w:w="15" w:type="dxa"/>
            </w:tcMar>
            <w:vAlign w:val="center"/>
          </w:tcPr>
          <w:p w14:paraId="0565550C">
            <w:pPr>
              <w:widowControl/>
              <w:spacing w:line="240" w:lineRule="auto"/>
              <w:jc w:val="center"/>
              <w:textAlignment w:val="center"/>
              <w:rPr>
                <w:color w:val="000000"/>
                <w:sz w:val="21"/>
                <w:szCs w:val="21"/>
                <w:highlight w:val="none"/>
              </w:rPr>
            </w:pPr>
            <w:r>
              <w:rPr>
                <w:color w:val="000000"/>
                <w:kern w:val="0"/>
                <w:sz w:val="21"/>
                <w:szCs w:val="21"/>
                <w:highlight w:val="none"/>
                <w:lang w:bidi="ar"/>
              </w:rPr>
              <w:t>11</w:t>
            </w:r>
          </w:p>
        </w:tc>
        <w:tc>
          <w:tcPr>
            <w:tcW w:w="893" w:type="pct"/>
            <w:tcBorders>
              <w:tl2br w:val="nil"/>
              <w:tr2bl w:val="nil"/>
            </w:tcBorders>
            <w:shd w:val="clear" w:color="auto" w:fill="auto"/>
            <w:noWrap/>
            <w:tcMar>
              <w:top w:w="15" w:type="dxa"/>
              <w:left w:w="15" w:type="dxa"/>
              <w:right w:w="15" w:type="dxa"/>
            </w:tcMar>
            <w:vAlign w:val="center"/>
          </w:tcPr>
          <w:p w14:paraId="6099FB16">
            <w:pPr>
              <w:widowControl/>
              <w:spacing w:line="240" w:lineRule="auto"/>
              <w:jc w:val="center"/>
              <w:textAlignment w:val="center"/>
              <w:rPr>
                <w:color w:val="000000"/>
                <w:sz w:val="21"/>
                <w:szCs w:val="21"/>
                <w:highlight w:val="none"/>
              </w:rPr>
            </w:pPr>
            <w:r>
              <w:rPr>
                <w:color w:val="000000"/>
                <w:sz w:val="21"/>
                <w:szCs w:val="21"/>
                <w:highlight w:val="none"/>
              </w:rPr>
              <w:t>HH-JJ-5</w:t>
            </w:r>
          </w:p>
        </w:tc>
        <w:tc>
          <w:tcPr>
            <w:tcW w:w="4353" w:type="dxa"/>
            <w:tcBorders>
              <w:tl2br w:val="nil"/>
              <w:tr2bl w:val="nil"/>
            </w:tcBorders>
            <w:shd w:val="clear" w:color="auto" w:fill="auto"/>
            <w:noWrap/>
            <w:tcMar>
              <w:top w:w="15" w:type="dxa"/>
              <w:left w:w="15" w:type="dxa"/>
              <w:right w:w="15" w:type="dxa"/>
            </w:tcMar>
            <w:vAlign w:val="center"/>
          </w:tcPr>
          <w:p w14:paraId="60E4FED4">
            <w:pPr>
              <w:spacing w:line="240" w:lineRule="auto"/>
              <w:jc w:val="center"/>
              <w:rPr>
                <w:color w:val="000000"/>
                <w:sz w:val="21"/>
                <w:szCs w:val="21"/>
                <w:highlight w:val="none"/>
              </w:rPr>
            </w:pPr>
            <w:r>
              <w:rPr>
                <w:sz w:val="21"/>
                <w:szCs w:val="21"/>
                <w:highlight w:val="none"/>
              </w:rPr>
              <w:t>企业聚集区</w:t>
            </w:r>
            <w:r>
              <w:rPr>
                <w:rFonts w:hint="eastAsia"/>
                <w:sz w:val="21"/>
                <w:szCs w:val="21"/>
                <w:highlight w:val="none"/>
              </w:rPr>
              <w:t>东</w:t>
            </w:r>
            <w:r>
              <w:rPr>
                <w:sz w:val="21"/>
                <w:szCs w:val="21"/>
                <w:highlight w:val="none"/>
              </w:rPr>
              <w:t>侧</w:t>
            </w:r>
          </w:p>
        </w:tc>
        <w:tc>
          <w:tcPr>
            <w:tcW w:w="1390" w:type="pct"/>
            <w:tcBorders>
              <w:tl2br w:val="nil"/>
              <w:tr2bl w:val="nil"/>
            </w:tcBorders>
            <w:shd w:val="clear" w:color="auto" w:fill="auto"/>
            <w:noWrap/>
            <w:tcMar>
              <w:top w:w="15" w:type="dxa"/>
              <w:left w:w="15" w:type="dxa"/>
              <w:right w:w="15" w:type="dxa"/>
            </w:tcMar>
            <w:vAlign w:val="center"/>
          </w:tcPr>
          <w:p w14:paraId="4DD54138">
            <w:pPr>
              <w:widowControl/>
              <w:spacing w:line="240" w:lineRule="auto"/>
              <w:jc w:val="center"/>
              <w:textAlignment w:val="center"/>
              <w:rPr>
                <w:color w:val="000000"/>
                <w:sz w:val="21"/>
                <w:szCs w:val="21"/>
                <w:highlight w:val="none"/>
              </w:rPr>
            </w:pPr>
            <w:r>
              <w:rPr>
                <w:color w:val="000000"/>
                <w:sz w:val="21"/>
                <w:szCs w:val="21"/>
                <w:highlight w:val="none"/>
              </w:rPr>
              <w:t>8.47</w:t>
            </w:r>
          </w:p>
        </w:tc>
      </w:tr>
      <w:tr w14:paraId="702E8A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3609" w:type="pct"/>
            <w:gridSpan w:val="3"/>
            <w:tcBorders>
              <w:tl2br w:val="nil"/>
              <w:tr2bl w:val="nil"/>
            </w:tcBorders>
            <w:shd w:val="clear" w:color="auto" w:fill="auto"/>
            <w:noWrap/>
            <w:tcMar>
              <w:top w:w="15" w:type="dxa"/>
              <w:left w:w="15" w:type="dxa"/>
              <w:right w:w="15" w:type="dxa"/>
            </w:tcMar>
            <w:vAlign w:val="center"/>
          </w:tcPr>
          <w:p w14:paraId="7F95B06D">
            <w:pPr>
              <w:widowControl/>
              <w:spacing w:line="240" w:lineRule="auto"/>
              <w:jc w:val="center"/>
              <w:textAlignment w:val="center"/>
              <w:rPr>
                <w:color w:val="000000"/>
                <w:sz w:val="21"/>
                <w:szCs w:val="21"/>
                <w:highlight w:val="none"/>
              </w:rPr>
            </w:pPr>
            <w:r>
              <w:rPr>
                <w:color w:val="000000"/>
                <w:kern w:val="0"/>
                <w:sz w:val="21"/>
                <w:szCs w:val="21"/>
                <w:highlight w:val="none"/>
                <w:lang w:bidi="ar"/>
              </w:rPr>
              <w:t>最大值</w:t>
            </w:r>
          </w:p>
        </w:tc>
        <w:tc>
          <w:tcPr>
            <w:tcW w:w="1390" w:type="pct"/>
            <w:tcBorders>
              <w:tl2br w:val="nil"/>
              <w:tr2bl w:val="nil"/>
            </w:tcBorders>
            <w:shd w:val="clear" w:color="auto" w:fill="auto"/>
            <w:noWrap/>
            <w:tcMar>
              <w:top w:w="15" w:type="dxa"/>
              <w:left w:w="15" w:type="dxa"/>
              <w:right w:w="15" w:type="dxa"/>
            </w:tcMar>
            <w:vAlign w:val="center"/>
          </w:tcPr>
          <w:p w14:paraId="33013C3D">
            <w:pPr>
              <w:widowControl/>
              <w:spacing w:line="240" w:lineRule="auto"/>
              <w:jc w:val="center"/>
              <w:textAlignment w:val="center"/>
              <w:rPr>
                <w:color w:val="000000"/>
                <w:sz w:val="21"/>
                <w:szCs w:val="21"/>
                <w:highlight w:val="none"/>
              </w:rPr>
            </w:pPr>
            <w:r>
              <w:rPr>
                <w:color w:val="000000"/>
                <w:sz w:val="21"/>
                <w:szCs w:val="21"/>
                <w:highlight w:val="none"/>
              </w:rPr>
              <w:t>8.70</w:t>
            </w:r>
          </w:p>
        </w:tc>
      </w:tr>
      <w:tr w14:paraId="01EF49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blHeader/>
          <w:jc w:val="center"/>
        </w:trPr>
        <w:tc>
          <w:tcPr>
            <w:tcW w:w="3609" w:type="pct"/>
            <w:gridSpan w:val="3"/>
            <w:tcBorders>
              <w:tl2br w:val="nil"/>
              <w:tr2bl w:val="nil"/>
            </w:tcBorders>
            <w:shd w:val="clear" w:color="auto" w:fill="auto"/>
            <w:noWrap/>
            <w:tcMar>
              <w:top w:w="15" w:type="dxa"/>
              <w:left w:w="15" w:type="dxa"/>
              <w:right w:w="15" w:type="dxa"/>
            </w:tcMar>
            <w:vAlign w:val="center"/>
          </w:tcPr>
          <w:p w14:paraId="4B7E6F23">
            <w:pPr>
              <w:widowControl/>
              <w:spacing w:line="240" w:lineRule="auto"/>
              <w:jc w:val="center"/>
              <w:textAlignment w:val="center"/>
              <w:rPr>
                <w:color w:val="000000"/>
                <w:sz w:val="21"/>
                <w:szCs w:val="21"/>
                <w:highlight w:val="none"/>
              </w:rPr>
            </w:pPr>
            <w:r>
              <w:rPr>
                <w:color w:val="000000"/>
                <w:kern w:val="0"/>
                <w:sz w:val="21"/>
                <w:szCs w:val="21"/>
                <w:highlight w:val="none"/>
                <w:lang w:bidi="ar"/>
              </w:rPr>
              <w:t>最小值</w:t>
            </w:r>
          </w:p>
        </w:tc>
        <w:tc>
          <w:tcPr>
            <w:tcW w:w="1390" w:type="pct"/>
            <w:tcBorders>
              <w:tl2br w:val="nil"/>
              <w:tr2bl w:val="nil"/>
            </w:tcBorders>
            <w:shd w:val="clear" w:color="auto" w:fill="auto"/>
            <w:noWrap/>
            <w:tcMar>
              <w:top w:w="15" w:type="dxa"/>
              <w:left w:w="15" w:type="dxa"/>
              <w:right w:w="15" w:type="dxa"/>
            </w:tcMar>
            <w:vAlign w:val="center"/>
          </w:tcPr>
          <w:p w14:paraId="1839B45A">
            <w:pPr>
              <w:widowControl/>
              <w:spacing w:line="240" w:lineRule="auto"/>
              <w:jc w:val="center"/>
              <w:textAlignment w:val="center"/>
              <w:rPr>
                <w:color w:val="000000"/>
                <w:sz w:val="21"/>
                <w:szCs w:val="21"/>
                <w:highlight w:val="none"/>
              </w:rPr>
            </w:pPr>
            <w:r>
              <w:rPr>
                <w:color w:val="000000"/>
                <w:sz w:val="21"/>
                <w:szCs w:val="21"/>
                <w:highlight w:val="none"/>
              </w:rPr>
              <w:t>6.02</w:t>
            </w:r>
          </w:p>
        </w:tc>
      </w:tr>
      <w:tr w14:paraId="40098A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tblHeader/>
          <w:jc w:val="center"/>
        </w:trPr>
        <w:tc>
          <w:tcPr>
            <w:tcW w:w="3609" w:type="pct"/>
            <w:gridSpan w:val="3"/>
            <w:tcBorders>
              <w:tl2br w:val="nil"/>
              <w:tr2bl w:val="nil"/>
            </w:tcBorders>
            <w:shd w:val="clear" w:color="auto" w:fill="auto"/>
            <w:noWrap/>
            <w:tcMar>
              <w:top w:w="15" w:type="dxa"/>
              <w:left w:w="15" w:type="dxa"/>
              <w:right w:w="15" w:type="dxa"/>
            </w:tcMar>
            <w:vAlign w:val="center"/>
          </w:tcPr>
          <w:p w14:paraId="575D3E9A">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平均值</w:t>
            </w:r>
          </w:p>
        </w:tc>
        <w:tc>
          <w:tcPr>
            <w:tcW w:w="1390" w:type="pct"/>
            <w:tcBorders>
              <w:tl2br w:val="nil"/>
              <w:tr2bl w:val="nil"/>
            </w:tcBorders>
            <w:shd w:val="clear" w:color="auto" w:fill="auto"/>
            <w:noWrap/>
            <w:tcMar>
              <w:top w:w="15" w:type="dxa"/>
              <w:left w:w="15" w:type="dxa"/>
              <w:right w:w="15" w:type="dxa"/>
            </w:tcMar>
            <w:vAlign w:val="center"/>
          </w:tcPr>
          <w:p w14:paraId="76CE7CA1">
            <w:pPr>
              <w:widowControl/>
              <w:spacing w:line="240" w:lineRule="auto"/>
              <w:jc w:val="center"/>
              <w:textAlignment w:val="center"/>
              <w:rPr>
                <w:color w:val="000000"/>
                <w:sz w:val="21"/>
                <w:szCs w:val="21"/>
                <w:highlight w:val="none"/>
              </w:rPr>
            </w:pPr>
            <w:r>
              <w:rPr>
                <w:color w:val="000000"/>
                <w:kern w:val="0"/>
                <w:sz w:val="21"/>
                <w:szCs w:val="21"/>
                <w:highlight w:val="none"/>
                <w:lang w:bidi="ar"/>
              </w:rPr>
              <w:t>7.99</w:t>
            </w:r>
          </w:p>
        </w:tc>
      </w:tr>
    </w:tbl>
    <w:p w14:paraId="03A1597F">
      <w:pPr>
        <w:ind w:firstLine="420"/>
        <w:rPr>
          <w:highlight w:val="none"/>
        </w:rPr>
      </w:pPr>
      <w:bookmarkStart w:id="43" w:name="_Toc28171_WPSOffice_Level2"/>
      <w:bookmarkEnd w:id="43"/>
      <w:r>
        <w:rPr>
          <w:highlight w:val="none"/>
        </w:rPr>
        <w:t>各点位pH值散点分布图如下：</w:t>
      </w:r>
    </w:p>
    <w:tbl>
      <w:tblPr>
        <w:tblStyle w:val="22"/>
        <w:tblW w:w="88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26"/>
      </w:tblGrid>
      <w:tr w14:paraId="4DCA5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71615ADA">
            <w:pPr>
              <w:pStyle w:val="2"/>
              <w:spacing w:after="0" w:line="240" w:lineRule="auto"/>
              <w:jc w:val="center"/>
              <w:rPr>
                <w:highlight w:val="none"/>
              </w:rPr>
            </w:pPr>
            <w:r>
              <w:rPr>
                <w:highlight w:val="none"/>
              </w:rPr>
              <w:drawing>
                <wp:inline distT="0" distB="0" distL="114300" distR="114300">
                  <wp:extent cx="4890135" cy="3877945"/>
                  <wp:effectExtent l="9525" t="0" r="22860" b="59690"/>
                  <wp:docPr id="2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39203CC">
            <w:pPr>
              <w:pStyle w:val="2"/>
              <w:spacing w:after="0" w:line="240" w:lineRule="auto"/>
              <w:jc w:val="center"/>
              <w:rPr>
                <w:highlight w:val="none"/>
              </w:rPr>
            </w:pPr>
            <w:r>
              <w:rPr>
                <w:b/>
                <w:bCs/>
                <w:highlight w:val="none"/>
              </w:rPr>
              <w:t>图5-3-1 pH指标分布情况图</w:t>
            </w:r>
          </w:p>
        </w:tc>
      </w:tr>
    </w:tbl>
    <w:p w14:paraId="4381AFA4">
      <w:pPr>
        <w:numPr>
          <w:ilvl w:val="0"/>
          <w:numId w:val="10"/>
        </w:numPr>
        <w:ind w:firstLine="420"/>
        <w:rPr>
          <w:b/>
          <w:bCs/>
          <w:highlight w:val="none"/>
        </w:rPr>
      </w:pPr>
      <w:r>
        <w:rPr>
          <w:rFonts w:hint="eastAsia"/>
          <w:b/>
          <w:bCs/>
          <w:highlight w:val="none"/>
        </w:rPr>
        <w:t>总氟化物</w:t>
      </w:r>
    </w:p>
    <w:p w14:paraId="1A928301">
      <w:pPr>
        <w:pStyle w:val="2"/>
        <w:spacing w:after="0"/>
        <w:ind w:firstLine="420"/>
        <w:rPr>
          <w:highlight w:val="none"/>
        </w:rPr>
      </w:pPr>
      <w:r>
        <w:rPr>
          <w:rFonts w:hint="eastAsia"/>
          <w:highlight w:val="none"/>
          <w:lang w:val="en-US" w:eastAsia="zh-CN"/>
        </w:rPr>
        <w:t>园区</w:t>
      </w:r>
      <w:r>
        <w:rPr>
          <w:rFonts w:hint="eastAsia"/>
          <w:highlight w:val="none"/>
          <w:lang w:eastAsia="zh-CN"/>
        </w:rPr>
        <w:t>共送检</w:t>
      </w:r>
      <w:r>
        <w:rPr>
          <w:rFonts w:hint="eastAsia"/>
          <w:highlight w:val="none"/>
          <w:lang w:val="en-US" w:eastAsia="zh-CN"/>
        </w:rPr>
        <w:t>4个总</w:t>
      </w:r>
      <w:r>
        <w:rPr>
          <w:rFonts w:hint="eastAsia"/>
          <w:highlight w:val="none"/>
        </w:rPr>
        <w:t>氟化物</w:t>
      </w:r>
      <w:r>
        <w:rPr>
          <w:rFonts w:hint="eastAsia"/>
          <w:highlight w:val="none"/>
          <w:lang w:eastAsia="zh-CN"/>
        </w:rPr>
        <w:t>样品，结果</w:t>
      </w:r>
      <w:r>
        <w:rPr>
          <w:highlight w:val="none"/>
        </w:rPr>
        <w:t>均有检出，检出率100%。检测结果显示，最小值为</w:t>
      </w:r>
      <w:r>
        <w:rPr>
          <w:rFonts w:hint="eastAsia"/>
          <w:highlight w:val="none"/>
        </w:rPr>
        <w:t>648</w:t>
      </w:r>
      <w:r>
        <w:rPr>
          <w:highlight w:val="none"/>
        </w:rPr>
        <w:t>mg/kg，最大值为</w:t>
      </w:r>
      <w:r>
        <w:rPr>
          <w:rFonts w:hint="eastAsia"/>
          <w:highlight w:val="none"/>
        </w:rPr>
        <w:t>934</w:t>
      </w:r>
      <w:r>
        <w:rPr>
          <w:highlight w:val="none"/>
        </w:rPr>
        <w:t>mg/kg，见表5-3-2。</w:t>
      </w:r>
    </w:p>
    <w:p w14:paraId="6844F046">
      <w:pPr>
        <w:pStyle w:val="2"/>
        <w:spacing w:after="0"/>
        <w:ind w:firstLine="420"/>
        <w:rPr>
          <w:highlight w:val="none"/>
        </w:rPr>
      </w:pPr>
      <w:r>
        <w:rPr>
          <w:highlight w:val="none"/>
        </w:rPr>
        <w:t>本次调查所有送检</w:t>
      </w:r>
      <w:r>
        <w:rPr>
          <w:rFonts w:hint="eastAsia"/>
          <w:highlight w:val="none"/>
        </w:rPr>
        <w:t>总氟化物的</w:t>
      </w:r>
      <w:r>
        <w:rPr>
          <w:highlight w:val="none"/>
        </w:rPr>
        <w:t>土壤样品检测值均低于对应的参考标准值，各点位</w:t>
      </w:r>
      <w:r>
        <w:rPr>
          <w:rFonts w:hint="eastAsia"/>
          <w:highlight w:val="none"/>
        </w:rPr>
        <w:t>总氟化物</w:t>
      </w:r>
      <w:r>
        <w:rPr>
          <w:highlight w:val="none"/>
        </w:rPr>
        <w:t>监测结果达标。</w:t>
      </w:r>
    </w:p>
    <w:p w14:paraId="4D31027E">
      <w:pPr>
        <w:spacing w:line="240" w:lineRule="auto"/>
        <w:jc w:val="center"/>
        <w:rPr>
          <w:rFonts w:eastAsia="黑体"/>
          <w:b/>
          <w:bCs/>
          <w:color w:val="000000"/>
          <w:highlight w:val="none"/>
        </w:rPr>
      </w:pPr>
      <w:r>
        <w:rPr>
          <w:rFonts w:eastAsia="黑体"/>
          <w:b/>
          <w:bCs/>
          <w:color w:val="000000"/>
          <w:highlight w:val="none"/>
        </w:rPr>
        <w:t>表5-3-2 土壤样品</w:t>
      </w:r>
      <w:r>
        <w:rPr>
          <w:rFonts w:hint="eastAsia" w:eastAsia="黑体"/>
          <w:b/>
          <w:bCs/>
          <w:color w:val="000000"/>
          <w:highlight w:val="none"/>
        </w:rPr>
        <w:t>总氟化物</w:t>
      </w:r>
      <w:r>
        <w:rPr>
          <w:rFonts w:eastAsia="黑体"/>
          <w:b/>
          <w:bCs/>
          <w:color w:val="000000"/>
          <w:highlight w:val="none"/>
        </w:rPr>
        <w:t>监测值（单位：mg/kg）</w:t>
      </w:r>
    </w:p>
    <w:tbl>
      <w:tblPr>
        <w:tblStyle w:val="21"/>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549"/>
        <w:gridCol w:w="1090"/>
        <w:gridCol w:w="3755"/>
        <w:gridCol w:w="3148"/>
        <w:gridCol w:w="1065"/>
      </w:tblGrid>
      <w:tr w14:paraId="5A6347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286" w:type="pct"/>
            <w:tcBorders>
              <w:bottom w:val="single" w:color="000000" w:sz="12" w:space="0"/>
            </w:tcBorders>
            <w:shd w:val="clear" w:color="auto" w:fill="auto"/>
            <w:noWrap/>
            <w:tcMar>
              <w:top w:w="15" w:type="dxa"/>
              <w:left w:w="15" w:type="dxa"/>
              <w:right w:w="15" w:type="dxa"/>
            </w:tcMar>
            <w:vAlign w:val="center"/>
          </w:tcPr>
          <w:p w14:paraId="341C0367">
            <w:pPr>
              <w:widowControl/>
              <w:spacing w:line="240" w:lineRule="auto"/>
              <w:jc w:val="center"/>
              <w:textAlignment w:val="center"/>
              <w:rPr>
                <w:b/>
                <w:color w:val="000000"/>
                <w:sz w:val="21"/>
                <w:szCs w:val="21"/>
                <w:highlight w:val="none"/>
              </w:rPr>
            </w:pPr>
            <w:r>
              <w:rPr>
                <w:b/>
                <w:color w:val="000000"/>
                <w:kern w:val="0"/>
                <w:sz w:val="21"/>
                <w:szCs w:val="21"/>
                <w:highlight w:val="none"/>
                <w:lang w:bidi="ar"/>
              </w:rPr>
              <w:t>序号</w:t>
            </w:r>
          </w:p>
        </w:tc>
        <w:tc>
          <w:tcPr>
            <w:tcW w:w="567" w:type="pct"/>
            <w:tcBorders>
              <w:bottom w:val="single" w:color="000000" w:sz="12" w:space="0"/>
            </w:tcBorders>
            <w:shd w:val="clear" w:color="auto" w:fill="auto"/>
            <w:noWrap/>
            <w:tcMar>
              <w:top w:w="15" w:type="dxa"/>
              <w:left w:w="15" w:type="dxa"/>
              <w:right w:w="15" w:type="dxa"/>
            </w:tcMar>
            <w:vAlign w:val="center"/>
          </w:tcPr>
          <w:p w14:paraId="3551B261">
            <w:pPr>
              <w:widowControl/>
              <w:spacing w:line="240" w:lineRule="auto"/>
              <w:jc w:val="center"/>
              <w:textAlignment w:val="center"/>
              <w:rPr>
                <w:b/>
                <w:color w:val="000000"/>
                <w:sz w:val="21"/>
                <w:szCs w:val="21"/>
                <w:highlight w:val="none"/>
              </w:rPr>
            </w:pPr>
            <w:r>
              <w:rPr>
                <w:b/>
                <w:color w:val="000000"/>
                <w:kern w:val="0"/>
                <w:sz w:val="21"/>
                <w:szCs w:val="21"/>
                <w:highlight w:val="none"/>
                <w:lang w:bidi="ar"/>
              </w:rPr>
              <w:t>样品编号</w:t>
            </w:r>
          </w:p>
        </w:tc>
        <w:tc>
          <w:tcPr>
            <w:tcW w:w="1954" w:type="pct"/>
            <w:tcBorders>
              <w:bottom w:val="single" w:color="000000" w:sz="12" w:space="0"/>
            </w:tcBorders>
            <w:shd w:val="clear" w:color="auto" w:fill="auto"/>
            <w:noWrap/>
            <w:tcMar>
              <w:top w:w="15" w:type="dxa"/>
              <w:left w:w="15" w:type="dxa"/>
              <w:right w:w="15" w:type="dxa"/>
            </w:tcMar>
            <w:vAlign w:val="center"/>
          </w:tcPr>
          <w:p w14:paraId="43932E3D">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eastAsia="zh-CN" w:bidi="ar"/>
              </w:rPr>
              <w:t>点位位置</w:t>
            </w:r>
            <w:r>
              <w:rPr>
                <w:rFonts w:hint="eastAsia"/>
                <w:b/>
                <w:color w:val="000000"/>
                <w:kern w:val="0"/>
                <w:sz w:val="21"/>
                <w:szCs w:val="21"/>
                <w:highlight w:val="none"/>
                <w:vertAlign w:val="superscript"/>
                <w:lang w:bidi="ar"/>
              </w:rPr>
              <w:t>①</w:t>
            </w:r>
          </w:p>
        </w:tc>
        <w:tc>
          <w:tcPr>
            <w:tcW w:w="1637" w:type="pct"/>
            <w:tcBorders>
              <w:bottom w:val="single" w:color="000000" w:sz="12" w:space="0"/>
            </w:tcBorders>
            <w:shd w:val="clear" w:color="auto" w:fill="auto"/>
            <w:noWrap/>
            <w:tcMar>
              <w:top w:w="15" w:type="dxa"/>
              <w:left w:w="15" w:type="dxa"/>
              <w:right w:w="15" w:type="dxa"/>
            </w:tcMar>
            <w:vAlign w:val="center"/>
          </w:tcPr>
          <w:p w14:paraId="6110A500">
            <w:pPr>
              <w:widowControl/>
              <w:spacing w:line="240" w:lineRule="auto"/>
              <w:jc w:val="center"/>
              <w:textAlignment w:val="center"/>
              <w:rPr>
                <w:rFonts w:hint="default" w:eastAsia="宋体"/>
                <w:b/>
                <w:color w:val="000000"/>
                <w:kern w:val="0"/>
                <w:sz w:val="21"/>
                <w:szCs w:val="21"/>
                <w:highlight w:val="none"/>
                <w:lang w:val="en-US" w:eastAsia="zh-CN" w:bidi="ar"/>
              </w:rPr>
            </w:pPr>
            <w:r>
              <w:rPr>
                <w:rFonts w:hint="eastAsia"/>
                <w:b/>
                <w:color w:val="000000"/>
                <w:kern w:val="0"/>
                <w:sz w:val="21"/>
                <w:szCs w:val="21"/>
                <w:highlight w:val="none"/>
                <w:lang w:val="en-US" w:eastAsia="zh-CN" w:bidi="ar"/>
              </w:rPr>
              <w:t>参考标准</w:t>
            </w:r>
            <w:r>
              <w:rPr>
                <w:rFonts w:hint="eastAsia"/>
                <w:b/>
                <w:color w:val="000000"/>
                <w:kern w:val="0"/>
                <w:sz w:val="21"/>
                <w:szCs w:val="21"/>
                <w:highlight w:val="none"/>
                <w:vertAlign w:val="superscript"/>
                <w:lang w:val="en-US" w:eastAsia="zh-CN" w:bidi="ar"/>
              </w:rPr>
              <w:t>①</w:t>
            </w:r>
          </w:p>
        </w:tc>
        <w:tc>
          <w:tcPr>
            <w:tcW w:w="554" w:type="pct"/>
            <w:tcBorders>
              <w:bottom w:val="single" w:color="000000" w:sz="12" w:space="0"/>
            </w:tcBorders>
            <w:shd w:val="clear" w:color="auto" w:fill="auto"/>
            <w:noWrap/>
            <w:tcMar>
              <w:top w:w="15" w:type="dxa"/>
              <w:left w:w="15" w:type="dxa"/>
              <w:right w:w="15" w:type="dxa"/>
            </w:tcMar>
            <w:vAlign w:val="center"/>
          </w:tcPr>
          <w:p w14:paraId="2A402E7E">
            <w:pPr>
              <w:widowControl/>
              <w:spacing w:line="240" w:lineRule="auto"/>
              <w:jc w:val="center"/>
              <w:textAlignment w:val="center"/>
              <w:rPr>
                <w:b/>
                <w:color w:val="000000"/>
                <w:sz w:val="21"/>
                <w:szCs w:val="21"/>
                <w:highlight w:val="none"/>
              </w:rPr>
            </w:pPr>
            <w:r>
              <w:rPr>
                <w:rFonts w:hint="eastAsia"/>
                <w:b/>
                <w:color w:val="000000"/>
                <w:kern w:val="0"/>
                <w:sz w:val="21"/>
                <w:szCs w:val="21"/>
                <w:highlight w:val="none"/>
                <w:lang w:bidi="ar"/>
              </w:rPr>
              <w:t>总氟化物</w:t>
            </w:r>
          </w:p>
        </w:tc>
      </w:tr>
      <w:tr w14:paraId="256786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86" w:type="pct"/>
            <w:tcBorders>
              <w:top w:val="single" w:color="000000" w:sz="12" w:space="0"/>
              <w:tl2br w:val="nil"/>
              <w:tr2bl w:val="nil"/>
            </w:tcBorders>
            <w:shd w:val="clear" w:color="auto" w:fill="auto"/>
            <w:noWrap/>
            <w:tcMar>
              <w:top w:w="15" w:type="dxa"/>
              <w:left w:w="15" w:type="dxa"/>
              <w:right w:w="15" w:type="dxa"/>
            </w:tcMar>
            <w:vAlign w:val="center"/>
          </w:tcPr>
          <w:p w14:paraId="6AB24E4D">
            <w:pPr>
              <w:widowControl/>
              <w:spacing w:line="240" w:lineRule="auto"/>
              <w:jc w:val="center"/>
              <w:textAlignment w:val="center"/>
              <w:rPr>
                <w:color w:val="000000"/>
                <w:sz w:val="21"/>
                <w:szCs w:val="21"/>
                <w:highlight w:val="none"/>
              </w:rPr>
            </w:pPr>
            <w:r>
              <w:rPr>
                <w:color w:val="000000"/>
                <w:kern w:val="0"/>
                <w:sz w:val="21"/>
                <w:szCs w:val="21"/>
                <w:highlight w:val="none"/>
                <w:lang w:bidi="ar"/>
              </w:rPr>
              <w:t>1</w:t>
            </w:r>
          </w:p>
        </w:tc>
        <w:tc>
          <w:tcPr>
            <w:tcW w:w="567" w:type="pct"/>
            <w:tcBorders>
              <w:top w:val="single" w:color="000000" w:sz="12" w:space="0"/>
              <w:tl2br w:val="nil"/>
              <w:tr2bl w:val="nil"/>
            </w:tcBorders>
            <w:shd w:val="clear" w:color="auto" w:fill="auto"/>
            <w:noWrap/>
            <w:tcMar>
              <w:top w:w="15" w:type="dxa"/>
              <w:left w:w="15" w:type="dxa"/>
              <w:right w:w="15" w:type="dxa"/>
            </w:tcMar>
            <w:vAlign w:val="bottom"/>
          </w:tcPr>
          <w:p w14:paraId="22955E67">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HH-1-75</w:t>
            </w:r>
          </w:p>
        </w:tc>
        <w:tc>
          <w:tcPr>
            <w:tcW w:w="1954" w:type="pct"/>
            <w:tcBorders>
              <w:top w:val="single" w:color="000000" w:sz="12" w:space="0"/>
              <w:tl2br w:val="nil"/>
              <w:tr2bl w:val="nil"/>
            </w:tcBorders>
            <w:shd w:val="clear" w:color="auto" w:fill="auto"/>
            <w:noWrap/>
            <w:tcMar>
              <w:top w:w="15" w:type="dxa"/>
              <w:left w:w="15" w:type="dxa"/>
              <w:right w:w="15" w:type="dxa"/>
            </w:tcMar>
            <w:vAlign w:val="center"/>
          </w:tcPr>
          <w:p w14:paraId="1B7032AE">
            <w:pPr>
              <w:spacing w:line="240" w:lineRule="auto"/>
              <w:jc w:val="center"/>
              <w:rPr>
                <w:color w:val="000000"/>
                <w:kern w:val="0"/>
                <w:sz w:val="21"/>
                <w:szCs w:val="21"/>
                <w:highlight w:val="none"/>
                <w:lang w:bidi="ar"/>
              </w:rPr>
            </w:pPr>
            <w:r>
              <w:rPr>
                <w:sz w:val="21"/>
                <w:szCs w:val="21"/>
                <w:highlight w:val="none"/>
              </w:rPr>
              <w:t>企业</w:t>
            </w:r>
            <w:r>
              <w:rPr>
                <w:rFonts w:hint="eastAsia"/>
                <w:sz w:val="21"/>
                <w:szCs w:val="21"/>
                <w:highlight w:val="none"/>
              </w:rPr>
              <w:t>聚集区</w:t>
            </w:r>
            <w:r>
              <w:rPr>
                <w:sz w:val="21"/>
                <w:szCs w:val="21"/>
                <w:highlight w:val="none"/>
              </w:rPr>
              <w:t>边界西侧下风向75m</w:t>
            </w:r>
          </w:p>
        </w:tc>
        <w:tc>
          <w:tcPr>
            <w:tcW w:w="1637" w:type="pct"/>
            <w:tcBorders>
              <w:top w:val="single" w:color="000000" w:sz="12" w:space="0"/>
              <w:tl2br w:val="nil"/>
              <w:tr2bl w:val="nil"/>
            </w:tcBorders>
            <w:shd w:val="clear" w:color="auto" w:fill="auto"/>
            <w:noWrap/>
            <w:tcMar>
              <w:top w:w="15" w:type="dxa"/>
              <w:left w:w="15" w:type="dxa"/>
              <w:right w:w="15" w:type="dxa"/>
            </w:tcMar>
            <w:vAlign w:val="center"/>
          </w:tcPr>
          <w:p w14:paraId="3A0286ED">
            <w:pPr>
              <w:widowControl/>
              <w:spacing w:line="240" w:lineRule="auto"/>
              <w:jc w:val="center"/>
              <w:textAlignment w:val="center"/>
              <w:rPr>
                <w:color w:val="000000"/>
                <w:kern w:val="0"/>
                <w:sz w:val="21"/>
                <w:szCs w:val="21"/>
                <w:highlight w:val="none"/>
                <w:lang w:bidi="ar"/>
              </w:rPr>
            </w:pPr>
            <w:r>
              <w:rPr>
                <w:kern w:val="0"/>
                <w:sz w:val="21"/>
                <w:szCs w:val="21"/>
                <w:highlight w:val="none"/>
                <w:lang w:bidi="ar"/>
              </w:rPr>
              <w:t>第一类用地筛选值</w:t>
            </w:r>
          </w:p>
        </w:tc>
        <w:tc>
          <w:tcPr>
            <w:tcW w:w="554" w:type="pct"/>
            <w:tcBorders>
              <w:top w:val="single" w:color="000000" w:sz="12" w:space="0"/>
              <w:tl2br w:val="nil"/>
              <w:tr2bl w:val="nil"/>
            </w:tcBorders>
            <w:shd w:val="clear" w:color="auto" w:fill="auto"/>
            <w:noWrap/>
            <w:tcMar>
              <w:top w:w="15" w:type="dxa"/>
              <w:left w:w="15" w:type="dxa"/>
              <w:right w:w="15" w:type="dxa"/>
            </w:tcMar>
            <w:vAlign w:val="center"/>
          </w:tcPr>
          <w:p w14:paraId="5B0F9ED5">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648</w:t>
            </w:r>
          </w:p>
        </w:tc>
      </w:tr>
      <w:tr w14:paraId="3CD0F3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86" w:type="pct"/>
            <w:tcBorders>
              <w:right w:val="single" w:color="auto" w:sz="4" w:space="0"/>
              <w:tl2br w:val="nil"/>
              <w:tr2bl w:val="nil"/>
            </w:tcBorders>
            <w:shd w:val="clear" w:color="auto" w:fill="auto"/>
            <w:noWrap/>
            <w:tcMar>
              <w:top w:w="15" w:type="dxa"/>
              <w:left w:w="15" w:type="dxa"/>
              <w:right w:w="15" w:type="dxa"/>
            </w:tcMar>
            <w:vAlign w:val="center"/>
          </w:tcPr>
          <w:p w14:paraId="0466C8A8">
            <w:pPr>
              <w:widowControl/>
              <w:spacing w:line="240" w:lineRule="auto"/>
              <w:jc w:val="center"/>
              <w:textAlignment w:val="center"/>
              <w:rPr>
                <w:color w:val="000000"/>
                <w:sz w:val="21"/>
                <w:szCs w:val="21"/>
                <w:highlight w:val="none"/>
              </w:rPr>
            </w:pPr>
            <w:r>
              <w:rPr>
                <w:color w:val="000000"/>
                <w:kern w:val="0"/>
                <w:sz w:val="21"/>
                <w:szCs w:val="21"/>
                <w:highlight w:val="none"/>
                <w:lang w:bidi="ar"/>
              </w:rPr>
              <w:t>2</w:t>
            </w:r>
          </w:p>
        </w:tc>
        <w:tc>
          <w:tcPr>
            <w:tcW w:w="567" w:type="pct"/>
            <w:tcBorders>
              <w:left w:val="single" w:color="auto" w:sz="4" w:space="0"/>
              <w:right w:val="single" w:color="auto" w:sz="4" w:space="0"/>
              <w:tl2br w:val="nil"/>
              <w:tr2bl w:val="nil"/>
            </w:tcBorders>
            <w:shd w:val="clear" w:color="auto" w:fill="auto"/>
            <w:noWrap/>
            <w:tcMar>
              <w:top w:w="15" w:type="dxa"/>
              <w:left w:w="15" w:type="dxa"/>
              <w:right w:w="15" w:type="dxa"/>
            </w:tcMar>
            <w:vAlign w:val="bottom"/>
          </w:tcPr>
          <w:p w14:paraId="24F59395">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HH-1-200</w:t>
            </w:r>
          </w:p>
        </w:tc>
        <w:tc>
          <w:tcPr>
            <w:tcW w:w="1954" w:type="pct"/>
            <w:tcBorders>
              <w:left w:val="single" w:color="auto" w:sz="4" w:space="0"/>
              <w:tl2br w:val="nil"/>
              <w:tr2bl w:val="nil"/>
            </w:tcBorders>
            <w:shd w:val="clear" w:color="auto" w:fill="auto"/>
            <w:noWrap/>
            <w:tcMar>
              <w:top w:w="15" w:type="dxa"/>
              <w:left w:w="15" w:type="dxa"/>
              <w:right w:w="15" w:type="dxa"/>
            </w:tcMar>
            <w:vAlign w:val="center"/>
          </w:tcPr>
          <w:p w14:paraId="6B3DB584">
            <w:pPr>
              <w:spacing w:line="240" w:lineRule="auto"/>
              <w:jc w:val="center"/>
              <w:rPr>
                <w:color w:val="000000"/>
                <w:kern w:val="0"/>
                <w:sz w:val="21"/>
                <w:szCs w:val="21"/>
                <w:highlight w:val="none"/>
                <w:lang w:bidi="ar"/>
              </w:rPr>
            </w:pPr>
            <w:r>
              <w:rPr>
                <w:sz w:val="21"/>
                <w:szCs w:val="21"/>
                <w:highlight w:val="none"/>
              </w:rPr>
              <w:t>企业</w:t>
            </w:r>
            <w:r>
              <w:rPr>
                <w:rFonts w:hint="eastAsia"/>
                <w:sz w:val="21"/>
                <w:szCs w:val="21"/>
                <w:highlight w:val="none"/>
              </w:rPr>
              <w:t>聚集区</w:t>
            </w:r>
            <w:r>
              <w:rPr>
                <w:sz w:val="21"/>
                <w:szCs w:val="21"/>
                <w:highlight w:val="none"/>
              </w:rPr>
              <w:t>边界西侧下风向200m</w:t>
            </w:r>
          </w:p>
        </w:tc>
        <w:tc>
          <w:tcPr>
            <w:tcW w:w="1637" w:type="pct"/>
            <w:tcBorders>
              <w:tl2br w:val="nil"/>
              <w:tr2bl w:val="nil"/>
            </w:tcBorders>
            <w:shd w:val="clear" w:color="auto" w:fill="auto"/>
            <w:noWrap/>
            <w:tcMar>
              <w:top w:w="15" w:type="dxa"/>
              <w:left w:w="15" w:type="dxa"/>
              <w:right w:w="15" w:type="dxa"/>
            </w:tcMar>
            <w:vAlign w:val="center"/>
          </w:tcPr>
          <w:p w14:paraId="36B8DB82">
            <w:pPr>
              <w:widowControl/>
              <w:spacing w:line="240" w:lineRule="auto"/>
              <w:jc w:val="center"/>
              <w:textAlignment w:val="center"/>
              <w:rPr>
                <w:color w:val="000000"/>
                <w:kern w:val="0"/>
                <w:sz w:val="21"/>
                <w:szCs w:val="21"/>
                <w:highlight w:val="none"/>
                <w:lang w:bidi="ar"/>
              </w:rPr>
            </w:pPr>
            <w:r>
              <w:rPr>
                <w:kern w:val="0"/>
                <w:sz w:val="21"/>
                <w:szCs w:val="21"/>
                <w:highlight w:val="none"/>
                <w:lang w:bidi="ar"/>
              </w:rPr>
              <w:t>第一类用地筛选值</w:t>
            </w:r>
          </w:p>
        </w:tc>
        <w:tc>
          <w:tcPr>
            <w:tcW w:w="554" w:type="pct"/>
            <w:tcBorders>
              <w:tl2br w:val="nil"/>
              <w:tr2bl w:val="nil"/>
            </w:tcBorders>
            <w:shd w:val="clear" w:color="auto" w:fill="auto"/>
            <w:noWrap/>
            <w:tcMar>
              <w:top w:w="15" w:type="dxa"/>
              <w:left w:w="15" w:type="dxa"/>
              <w:right w:w="15" w:type="dxa"/>
            </w:tcMar>
            <w:vAlign w:val="center"/>
          </w:tcPr>
          <w:p w14:paraId="1EEE897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703</w:t>
            </w:r>
          </w:p>
        </w:tc>
      </w:tr>
      <w:tr w14:paraId="6F8662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86" w:type="pct"/>
            <w:tcBorders>
              <w:right w:val="single" w:color="auto" w:sz="4" w:space="0"/>
              <w:tl2br w:val="nil"/>
              <w:tr2bl w:val="nil"/>
            </w:tcBorders>
            <w:shd w:val="clear" w:color="auto" w:fill="auto"/>
            <w:noWrap/>
            <w:tcMar>
              <w:top w:w="15" w:type="dxa"/>
              <w:left w:w="15" w:type="dxa"/>
              <w:right w:w="15" w:type="dxa"/>
            </w:tcMar>
            <w:vAlign w:val="center"/>
          </w:tcPr>
          <w:p w14:paraId="61E35CD9">
            <w:pPr>
              <w:widowControl/>
              <w:spacing w:line="240" w:lineRule="auto"/>
              <w:jc w:val="center"/>
              <w:textAlignment w:val="center"/>
              <w:rPr>
                <w:color w:val="000000"/>
                <w:sz w:val="21"/>
                <w:szCs w:val="21"/>
                <w:highlight w:val="none"/>
              </w:rPr>
            </w:pPr>
            <w:r>
              <w:rPr>
                <w:color w:val="000000"/>
                <w:kern w:val="0"/>
                <w:sz w:val="21"/>
                <w:szCs w:val="21"/>
                <w:highlight w:val="none"/>
                <w:lang w:bidi="ar"/>
              </w:rPr>
              <w:t>3</w:t>
            </w:r>
          </w:p>
        </w:tc>
        <w:tc>
          <w:tcPr>
            <w:tcW w:w="567" w:type="pct"/>
            <w:tcBorders>
              <w:left w:val="single" w:color="auto" w:sz="4" w:space="0"/>
              <w:right w:val="single" w:color="auto" w:sz="4" w:space="0"/>
              <w:tl2br w:val="nil"/>
              <w:tr2bl w:val="nil"/>
            </w:tcBorders>
            <w:shd w:val="clear" w:color="auto" w:fill="auto"/>
            <w:noWrap/>
            <w:tcMar>
              <w:top w:w="15" w:type="dxa"/>
              <w:left w:w="15" w:type="dxa"/>
              <w:right w:w="15" w:type="dxa"/>
            </w:tcMar>
            <w:vAlign w:val="bottom"/>
          </w:tcPr>
          <w:p w14:paraId="69B1EB5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HH-1-400</w:t>
            </w:r>
          </w:p>
        </w:tc>
        <w:tc>
          <w:tcPr>
            <w:tcW w:w="1954" w:type="pct"/>
            <w:tcBorders>
              <w:left w:val="single" w:color="auto" w:sz="4" w:space="0"/>
              <w:tl2br w:val="nil"/>
              <w:tr2bl w:val="nil"/>
            </w:tcBorders>
            <w:shd w:val="clear" w:color="auto" w:fill="auto"/>
            <w:noWrap/>
            <w:tcMar>
              <w:top w:w="15" w:type="dxa"/>
              <w:left w:w="15" w:type="dxa"/>
              <w:right w:w="15" w:type="dxa"/>
            </w:tcMar>
            <w:vAlign w:val="center"/>
          </w:tcPr>
          <w:p w14:paraId="389C92B7">
            <w:pPr>
              <w:spacing w:line="240" w:lineRule="auto"/>
              <w:jc w:val="center"/>
              <w:rPr>
                <w:color w:val="000000"/>
                <w:kern w:val="0"/>
                <w:sz w:val="21"/>
                <w:szCs w:val="21"/>
                <w:highlight w:val="none"/>
                <w:lang w:bidi="ar"/>
              </w:rPr>
            </w:pPr>
            <w:r>
              <w:rPr>
                <w:sz w:val="21"/>
                <w:szCs w:val="21"/>
                <w:highlight w:val="none"/>
              </w:rPr>
              <w:t>企业</w:t>
            </w:r>
            <w:r>
              <w:rPr>
                <w:rFonts w:hint="eastAsia"/>
                <w:sz w:val="21"/>
                <w:szCs w:val="21"/>
                <w:highlight w:val="none"/>
              </w:rPr>
              <w:t>聚集区</w:t>
            </w:r>
            <w:r>
              <w:rPr>
                <w:sz w:val="21"/>
                <w:szCs w:val="21"/>
                <w:highlight w:val="none"/>
              </w:rPr>
              <w:t>边界西侧下风向400m</w:t>
            </w:r>
          </w:p>
        </w:tc>
        <w:tc>
          <w:tcPr>
            <w:tcW w:w="1637" w:type="pct"/>
            <w:tcBorders>
              <w:tl2br w:val="nil"/>
              <w:tr2bl w:val="nil"/>
            </w:tcBorders>
            <w:shd w:val="clear" w:color="auto" w:fill="auto"/>
            <w:noWrap/>
            <w:tcMar>
              <w:top w:w="15" w:type="dxa"/>
              <w:left w:w="15" w:type="dxa"/>
              <w:right w:w="15" w:type="dxa"/>
            </w:tcMar>
            <w:vAlign w:val="center"/>
          </w:tcPr>
          <w:p w14:paraId="77D7CBAE">
            <w:pPr>
              <w:widowControl/>
              <w:spacing w:line="240" w:lineRule="auto"/>
              <w:jc w:val="center"/>
              <w:textAlignment w:val="center"/>
              <w:rPr>
                <w:color w:val="000000"/>
                <w:kern w:val="0"/>
                <w:sz w:val="21"/>
                <w:szCs w:val="21"/>
                <w:highlight w:val="none"/>
                <w:lang w:bidi="ar"/>
              </w:rPr>
            </w:pPr>
            <w:r>
              <w:rPr>
                <w:kern w:val="0"/>
                <w:sz w:val="21"/>
                <w:szCs w:val="21"/>
                <w:highlight w:val="none"/>
                <w:lang w:bidi="ar"/>
              </w:rPr>
              <w:t>第一类用地筛选值</w:t>
            </w:r>
          </w:p>
        </w:tc>
        <w:tc>
          <w:tcPr>
            <w:tcW w:w="554" w:type="pct"/>
            <w:tcBorders>
              <w:tl2br w:val="nil"/>
              <w:tr2bl w:val="nil"/>
            </w:tcBorders>
            <w:shd w:val="clear" w:color="auto" w:fill="auto"/>
            <w:noWrap/>
            <w:tcMar>
              <w:top w:w="15" w:type="dxa"/>
              <w:left w:w="15" w:type="dxa"/>
              <w:right w:w="15" w:type="dxa"/>
            </w:tcMar>
            <w:vAlign w:val="center"/>
          </w:tcPr>
          <w:p w14:paraId="2AE8CAF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934</w:t>
            </w:r>
          </w:p>
        </w:tc>
      </w:tr>
      <w:tr w14:paraId="2A25F7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86" w:type="pct"/>
            <w:tcBorders>
              <w:right w:val="single" w:color="auto" w:sz="4" w:space="0"/>
              <w:tl2br w:val="nil"/>
              <w:tr2bl w:val="nil"/>
            </w:tcBorders>
            <w:shd w:val="clear" w:color="auto" w:fill="auto"/>
            <w:noWrap/>
            <w:tcMar>
              <w:top w:w="15" w:type="dxa"/>
              <w:left w:w="15" w:type="dxa"/>
              <w:right w:w="15" w:type="dxa"/>
            </w:tcMar>
            <w:vAlign w:val="center"/>
          </w:tcPr>
          <w:p w14:paraId="7576AF3C">
            <w:pPr>
              <w:widowControl/>
              <w:spacing w:line="240" w:lineRule="auto"/>
              <w:jc w:val="center"/>
              <w:textAlignment w:val="center"/>
              <w:rPr>
                <w:rFonts w:hint="eastAsia" w:eastAsia="宋体"/>
                <w:color w:val="000000"/>
                <w:kern w:val="0"/>
                <w:sz w:val="21"/>
                <w:szCs w:val="21"/>
                <w:highlight w:val="none"/>
                <w:lang w:val="en-US" w:eastAsia="zh-CN" w:bidi="ar"/>
              </w:rPr>
            </w:pPr>
            <w:r>
              <w:rPr>
                <w:rFonts w:hint="eastAsia"/>
                <w:color w:val="000000"/>
                <w:kern w:val="0"/>
                <w:sz w:val="21"/>
                <w:szCs w:val="21"/>
                <w:highlight w:val="none"/>
                <w:lang w:val="en-US" w:eastAsia="zh-CN" w:bidi="ar"/>
              </w:rPr>
              <w:t>4</w:t>
            </w:r>
          </w:p>
        </w:tc>
        <w:tc>
          <w:tcPr>
            <w:tcW w:w="567" w:type="pct"/>
            <w:tcBorders>
              <w:left w:val="single" w:color="auto" w:sz="4" w:space="0"/>
              <w:right w:val="single" w:color="auto" w:sz="4" w:space="0"/>
              <w:tl2br w:val="nil"/>
              <w:tr2bl w:val="nil"/>
            </w:tcBorders>
            <w:shd w:val="clear" w:color="auto" w:fill="auto"/>
            <w:noWrap/>
            <w:tcMar>
              <w:top w:w="15" w:type="dxa"/>
              <w:left w:w="15" w:type="dxa"/>
              <w:right w:w="15" w:type="dxa"/>
            </w:tcMar>
            <w:vAlign w:val="bottom"/>
          </w:tcPr>
          <w:p w14:paraId="45706E95">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HH-JJ-3</w:t>
            </w:r>
          </w:p>
        </w:tc>
        <w:tc>
          <w:tcPr>
            <w:tcW w:w="1954" w:type="pct"/>
            <w:tcBorders>
              <w:left w:val="single" w:color="auto" w:sz="4" w:space="0"/>
              <w:tl2br w:val="nil"/>
              <w:tr2bl w:val="nil"/>
            </w:tcBorders>
            <w:shd w:val="clear" w:color="auto" w:fill="auto"/>
            <w:noWrap/>
            <w:tcMar>
              <w:top w:w="15" w:type="dxa"/>
              <w:left w:w="15" w:type="dxa"/>
              <w:right w:w="15" w:type="dxa"/>
            </w:tcMar>
            <w:vAlign w:val="center"/>
          </w:tcPr>
          <w:p w14:paraId="023154E6">
            <w:pPr>
              <w:widowControl/>
              <w:spacing w:line="240" w:lineRule="auto"/>
              <w:jc w:val="center"/>
              <w:textAlignment w:val="center"/>
              <w:rPr>
                <w:rFonts w:hint="eastAsia"/>
                <w:kern w:val="0"/>
                <w:sz w:val="21"/>
                <w:szCs w:val="21"/>
                <w:highlight w:val="none"/>
                <w:lang w:bidi="ar"/>
              </w:rPr>
            </w:pPr>
            <w:r>
              <w:rPr>
                <w:sz w:val="21"/>
                <w:szCs w:val="21"/>
                <w:highlight w:val="none"/>
              </w:rPr>
              <w:t>企业聚集区</w:t>
            </w:r>
            <w:r>
              <w:rPr>
                <w:rFonts w:hint="eastAsia"/>
                <w:sz w:val="21"/>
                <w:szCs w:val="21"/>
                <w:highlight w:val="none"/>
              </w:rPr>
              <w:t>西侧</w:t>
            </w:r>
          </w:p>
        </w:tc>
        <w:tc>
          <w:tcPr>
            <w:tcW w:w="1637" w:type="pct"/>
            <w:tcBorders>
              <w:tl2br w:val="nil"/>
              <w:tr2bl w:val="nil"/>
            </w:tcBorders>
            <w:shd w:val="clear" w:color="auto" w:fill="auto"/>
            <w:noWrap/>
            <w:tcMar>
              <w:top w:w="15" w:type="dxa"/>
              <w:left w:w="15" w:type="dxa"/>
              <w:right w:w="15" w:type="dxa"/>
            </w:tcMar>
            <w:vAlign w:val="center"/>
          </w:tcPr>
          <w:p w14:paraId="0AA80B43">
            <w:pPr>
              <w:widowControl/>
              <w:spacing w:line="240" w:lineRule="auto"/>
              <w:jc w:val="center"/>
              <w:textAlignment w:val="center"/>
              <w:rPr>
                <w:color w:val="000000"/>
                <w:kern w:val="0"/>
                <w:sz w:val="21"/>
                <w:szCs w:val="21"/>
                <w:highlight w:val="none"/>
                <w:lang w:bidi="ar"/>
              </w:rPr>
            </w:pPr>
            <w:r>
              <w:rPr>
                <w:kern w:val="0"/>
                <w:sz w:val="21"/>
                <w:szCs w:val="21"/>
                <w:highlight w:val="none"/>
                <w:lang w:bidi="ar"/>
              </w:rPr>
              <w:t>第一类用地筛选值</w:t>
            </w:r>
          </w:p>
        </w:tc>
        <w:tc>
          <w:tcPr>
            <w:tcW w:w="554" w:type="pct"/>
            <w:tcBorders>
              <w:tl2br w:val="nil"/>
              <w:tr2bl w:val="nil"/>
            </w:tcBorders>
            <w:shd w:val="clear" w:color="auto" w:fill="auto"/>
            <w:noWrap/>
            <w:tcMar>
              <w:top w:w="15" w:type="dxa"/>
              <w:left w:w="15" w:type="dxa"/>
              <w:right w:w="15" w:type="dxa"/>
            </w:tcMar>
            <w:vAlign w:val="center"/>
          </w:tcPr>
          <w:p w14:paraId="615B2243">
            <w:pPr>
              <w:widowControl/>
              <w:spacing w:line="240" w:lineRule="auto"/>
              <w:jc w:val="center"/>
              <w:textAlignment w:val="center"/>
              <w:rPr>
                <w:rFonts w:hint="default" w:eastAsia="宋体"/>
                <w:color w:val="000000"/>
                <w:kern w:val="0"/>
                <w:sz w:val="21"/>
                <w:szCs w:val="21"/>
                <w:highlight w:val="none"/>
                <w:lang w:val="en-US" w:eastAsia="zh-CN" w:bidi="ar"/>
              </w:rPr>
            </w:pPr>
            <w:r>
              <w:rPr>
                <w:rFonts w:hint="eastAsia"/>
                <w:color w:val="000000"/>
                <w:kern w:val="0"/>
                <w:sz w:val="21"/>
                <w:szCs w:val="21"/>
                <w:highlight w:val="none"/>
                <w:lang w:val="en-US" w:eastAsia="zh-CN" w:bidi="ar"/>
              </w:rPr>
              <w:t>712</w:t>
            </w:r>
          </w:p>
        </w:tc>
      </w:tr>
      <w:tr w14:paraId="6F0EB8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45" w:type="pct"/>
            <w:gridSpan w:val="4"/>
            <w:tcBorders>
              <w:tl2br w:val="nil"/>
              <w:tr2bl w:val="nil"/>
            </w:tcBorders>
            <w:shd w:val="clear" w:color="auto" w:fill="auto"/>
            <w:noWrap/>
            <w:tcMar>
              <w:top w:w="15" w:type="dxa"/>
              <w:left w:w="15" w:type="dxa"/>
              <w:right w:w="15" w:type="dxa"/>
            </w:tcMar>
            <w:vAlign w:val="center"/>
          </w:tcPr>
          <w:p w14:paraId="16AD5FC5">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最大值</w:t>
            </w:r>
          </w:p>
        </w:tc>
        <w:tc>
          <w:tcPr>
            <w:tcW w:w="554" w:type="pct"/>
            <w:tcBorders>
              <w:tl2br w:val="nil"/>
              <w:tr2bl w:val="nil"/>
            </w:tcBorders>
            <w:shd w:val="clear" w:color="auto" w:fill="auto"/>
            <w:noWrap/>
            <w:tcMar>
              <w:top w:w="15" w:type="dxa"/>
              <w:left w:w="15" w:type="dxa"/>
              <w:right w:w="15" w:type="dxa"/>
            </w:tcMar>
            <w:vAlign w:val="center"/>
          </w:tcPr>
          <w:p w14:paraId="7F300FE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934 </w:t>
            </w:r>
          </w:p>
        </w:tc>
      </w:tr>
      <w:tr w14:paraId="1A7AF2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45" w:type="pct"/>
            <w:gridSpan w:val="4"/>
            <w:tcBorders>
              <w:tl2br w:val="nil"/>
              <w:tr2bl w:val="nil"/>
            </w:tcBorders>
            <w:shd w:val="clear" w:color="auto" w:fill="auto"/>
            <w:noWrap/>
            <w:tcMar>
              <w:top w:w="15" w:type="dxa"/>
              <w:left w:w="15" w:type="dxa"/>
              <w:right w:w="15" w:type="dxa"/>
            </w:tcMar>
            <w:vAlign w:val="center"/>
          </w:tcPr>
          <w:p w14:paraId="6EB20FD9">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最小值</w:t>
            </w:r>
          </w:p>
        </w:tc>
        <w:tc>
          <w:tcPr>
            <w:tcW w:w="554" w:type="pct"/>
            <w:tcBorders>
              <w:tl2br w:val="nil"/>
              <w:tr2bl w:val="nil"/>
            </w:tcBorders>
            <w:shd w:val="clear" w:color="auto" w:fill="auto"/>
            <w:noWrap/>
            <w:tcMar>
              <w:top w:w="15" w:type="dxa"/>
              <w:left w:w="15" w:type="dxa"/>
              <w:right w:w="15" w:type="dxa"/>
            </w:tcMar>
            <w:vAlign w:val="center"/>
          </w:tcPr>
          <w:p w14:paraId="7BFB8637">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648 </w:t>
            </w:r>
          </w:p>
        </w:tc>
      </w:tr>
      <w:tr w14:paraId="0439A8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45" w:type="pct"/>
            <w:gridSpan w:val="4"/>
            <w:tcBorders>
              <w:tl2br w:val="nil"/>
              <w:tr2bl w:val="nil"/>
            </w:tcBorders>
            <w:shd w:val="clear" w:color="auto" w:fill="auto"/>
            <w:noWrap/>
            <w:tcMar>
              <w:top w:w="15" w:type="dxa"/>
              <w:left w:w="15" w:type="dxa"/>
              <w:right w:w="15" w:type="dxa"/>
            </w:tcMar>
            <w:vAlign w:val="center"/>
          </w:tcPr>
          <w:p w14:paraId="7F9A512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平均值</w:t>
            </w:r>
          </w:p>
        </w:tc>
        <w:tc>
          <w:tcPr>
            <w:tcW w:w="554" w:type="pct"/>
            <w:tcBorders>
              <w:tl2br w:val="nil"/>
              <w:tr2bl w:val="nil"/>
            </w:tcBorders>
            <w:shd w:val="clear" w:color="auto" w:fill="auto"/>
            <w:noWrap/>
            <w:tcMar>
              <w:top w:w="15" w:type="dxa"/>
              <w:left w:w="15" w:type="dxa"/>
              <w:right w:w="15" w:type="dxa"/>
            </w:tcMar>
            <w:vAlign w:val="center"/>
          </w:tcPr>
          <w:p w14:paraId="19FA84D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7</w:t>
            </w:r>
            <w:r>
              <w:rPr>
                <w:rFonts w:hint="eastAsia"/>
                <w:color w:val="000000"/>
                <w:kern w:val="0"/>
                <w:sz w:val="21"/>
                <w:szCs w:val="21"/>
                <w:highlight w:val="none"/>
                <w:lang w:val="en-US" w:eastAsia="zh-CN" w:bidi="ar"/>
              </w:rPr>
              <w:t>49</w:t>
            </w:r>
            <w:r>
              <w:rPr>
                <w:color w:val="000000"/>
                <w:kern w:val="0"/>
                <w:sz w:val="21"/>
                <w:szCs w:val="21"/>
                <w:highlight w:val="none"/>
                <w:lang w:bidi="ar"/>
              </w:rPr>
              <w:t xml:space="preserve"> </w:t>
            </w:r>
          </w:p>
        </w:tc>
      </w:tr>
      <w:tr w14:paraId="1D7F0A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45" w:type="pct"/>
            <w:gridSpan w:val="4"/>
            <w:tcBorders>
              <w:tl2br w:val="nil"/>
              <w:tr2bl w:val="nil"/>
            </w:tcBorders>
            <w:shd w:val="clear" w:color="auto" w:fill="auto"/>
            <w:noWrap/>
            <w:tcMar>
              <w:top w:w="15" w:type="dxa"/>
              <w:left w:w="15" w:type="dxa"/>
              <w:right w:w="15" w:type="dxa"/>
            </w:tcMar>
            <w:vAlign w:val="center"/>
          </w:tcPr>
          <w:p w14:paraId="392FB5E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检出率</w:t>
            </w:r>
          </w:p>
        </w:tc>
        <w:tc>
          <w:tcPr>
            <w:tcW w:w="554" w:type="pct"/>
            <w:tcBorders>
              <w:tl2br w:val="nil"/>
              <w:tr2bl w:val="nil"/>
            </w:tcBorders>
            <w:shd w:val="clear" w:color="auto" w:fill="auto"/>
            <w:noWrap/>
            <w:tcMar>
              <w:top w:w="15" w:type="dxa"/>
              <w:left w:w="15" w:type="dxa"/>
              <w:right w:w="15" w:type="dxa"/>
            </w:tcMar>
            <w:vAlign w:val="bottom"/>
          </w:tcPr>
          <w:p w14:paraId="0E7401E5">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100%</w:t>
            </w:r>
          </w:p>
        </w:tc>
      </w:tr>
      <w:tr w14:paraId="5D75DF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45" w:type="pct"/>
            <w:gridSpan w:val="4"/>
            <w:tcBorders>
              <w:tl2br w:val="nil"/>
              <w:tr2bl w:val="nil"/>
            </w:tcBorders>
            <w:shd w:val="clear" w:color="auto" w:fill="auto"/>
            <w:noWrap/>
            <w:tcMar>
              <w:top w:w="15" w:type="dxa"/>
              <w:left w:w="15" w:type="dxa"/>
              <w:right w:w="15" w:type="dxa"/>
            </w:tcMar>
            <w:vAlign w:val="center"/>
          </w:tcPr>
          <w:p w14:paraId="5631845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建设用地第一类用地筛选值</w:t>
            </w:r>
          </w:p>
        </w:tc>
        <w:tc>
          <w:tcPr>
            <w:tcW w:w="554" w:type="pct"/>
            <w:tcBorders>
              <w:tl2br w:val="nil"/>
              <w:tr2bl w:val="nil"/>
            </w:tcBorders>
            <w:shd w:val="clear" w:color="auto" w:fill="auto"/>
            <w:noWrap/>
            <w:tcMar>
              <w:top w:w="15" w:type="dxa"/>
              <w:left w:w="15" w:type="dxa"/>
              <w:right w:w="15" w:type="dxa"/>
            </w:tcMar>
            <w:vAlign w:val="center"/>
          </w:tcPr>
          <w:p w14:paraId="5ECFCF8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1960</w:t>
            </w:r>
          </w:p>
        </w:tc>
      </w:tr>
      <w:tr w14:paraId="5A64AE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45" w:type="pct"/>
            <w:gridSpan w:val="4"/>
            <w:tcBorders>
              <w:tl2br w:val="nil"/>
              <w:tr2bl w:val="nil"/>
            </w:tcBorders>
            <w:shd w:val="clear" w:color="auto" w:fill="auto"/>
            <w:noWrap/>
            <w:tcMar>
              <w:top w:w="15" w:type="dxa"/>
              <w:left w:w="15" w:type="dxa"/>
              <w:right w:w="15" w:type="dxa"/>
            </w:tcMar>
            <w:vAlign w:val="center"/>
          </w:tcPr>
          <w:p w14:paraId="6D6DC78A">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建设用地第二类用地筛选值</w:t>
            </w:r>
          </w:p>
        </w:tc>
        <w:tc>
          <w:tcPr>
            <w:tcW w:w="554" w:type="pct"/>
            <w:tcBorders>
              <w:tl2br w:val="nil"/>
              <w:tr2bl w:val="nil"/>
            </w:tcBorders>
            <w:shd w:val="clear" w:color="auto" w:fill="auto"/>
            <w:noWrap/>
            <w:tcMar>
              <w:top w:w="15" w:type="dxa"/>
              <w:left w:w="15" w:type="dxa"/>
              <w:right w:w="15" w:type="dxa"/>
            </w:tcMar>
            <w:vAlign w:val="center"/>
          </w:tcPr>
          <w:p w14:paraId="26B43599">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10000</w:t>
            </w:r>
          </w:p>
        </w:tc>
      </w:tr>
      <w:tr w14:paraId="3B55748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45" w:type="pct"/>
            <w:gridSpan w:val="4"/>
            <w:tcBorders>
              <w:tl2br w:val="nil"/>
              <w:tr2bl w:val="nil"/>
            </w:tcBorders>
            <w:shd w:val="clear" w:color="auto" w:fill="auto"/>
            <w:noWrap/>
            <w:tcMar>
              <w:top w:w="15" w:type="dxa"/>
              <w:left w:w="15" w:type="dxa"/>
              <w:right w:w="15" w:type="dxa"/>
            </w:tcMar>
            <w:vAlign w:val="center"/>
          </w:tcPr>
          <w:p w14:paraId="4944A71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达标情况</w:t>
            </w:r>
          </w:p>
        </w:tc>
        <w:tc>
          <w:tcPr>
            <w:tcW w:w="554" w:type="pct"/>
            <w:tcBorders>
              <w:tl2br w:val="nil"/>
              <w:tr2bl w:val="nil"/>
            </w:tcBorders>
            <w:shd w:val="clear" w:color="auto" w:fill="auto"/>
            <w:noWrap/>
            <w:tcMar>
              <w:top w:w="15" w:type="dxa"/>
              <w:left w:w="15" w:type="dxa"/>
              <w:right w:w="15" w:type="dxa"/>
            </w:tcMar>
            <w:vAlign w:val="center"/>
          </w:tcPr>
          <w:p w14:paraId="612B412C">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w:t>
            </w:r>
          </w:p>
        </w:tc>
      </w:tr>
    </w:tbl>
    <w:p w14:paraId="14D4388D">
      <w:pPr>
        <w:pStyle w:val="2"/>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eastAsia="黑体"/>
          <w:b/>
          <w:bCs/>
          <w:color w:val="000000"/>
          <w:highlight w:val="none"/>
          <w:lang w:val="en-US" w:eastAsia="zh-CN"/>
        </w:rPr>
      </w:pPr>
      <w:r>
        <w:rPr>
          <w:rFonts w:hint="eastAsia"/>
          <w:b/>
          <w:bCs/>
          <w:color w:val="000000"/>
          <w:kern w:val="0"/>
          <w:sz w:val="18"/>
          <w:szCs w:val="18"/>
          <w:highlight w:val="none"/>
          <w:lang w:val="en-US" w:eastAsia="zh-CN"/>
        </w:rPr>
        <w:t>①表列参考标准选取依据详见5.1.1节表5-1-1相关内容，下同。</w:t>
      </w:r>
    </w:p>
    <w:p w14:paraId="0EED934D">
      <w:pPr>
        <w:ind w:firstLine="420"/>
        <w:rPr>
          <w:highlight w:val="none"/>
        </w:rPr>
      </w:pPr>
      <w:r>
        <w:rPr>
          <w:rFonts w:hint="eastAsia"/>
          <w:highlight w:val="none"/>
        </w:rPr>
        <w:t>送检总氟化物</w:t>
      </w:r>
      <w:r>
        <w:rPr>
          <w:highlight w:val="none"/>
        </w:rPr>
        <w:t>点位</w:t>
      </w:r>
      <w:r>
        <w:rPr>
          <w:rFonts w:hint="eastAsia"/>
          <w:highlight w:val="none"/>
        </w:rPr>
        <w:t>的总氟化物</w:t>
      </w:r>
      <w:r>
        <w:rPr>
          <w:highlight w:val="none"/>
        </w:rPr>
        <w:t>监测浓度散点分布图如下：</w:t>
      </w:r>
    </w:p>
    <w:tbl>
      <w:tblPr>
        <w:tblStyle w:val="22"/>
        <w:tblW w:w="88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26"/>
      </w:tblGrid>
      <w:tr w14:paraId="21BA9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6A273610">
            <w:pPr>
              <w:pStyle w:val="2"/>
              <w:spacing w:after="0" w:line="240" w:lineRule="auto"/>
              <w:jc w:val="center"/>
              <w:rPr>
                <w:highlight w:val="none"/>
              </w:rPr>
            </w:pPr>
            <w:r>
              <w:rPr>
                <w:highlight w:val="none"/>
              </w:rPr>
              <w:drawing>
                <wp:inline distT="0" distB="0" distL="114300" distR="114300">
                  <wp:extent cx="4890135" cy="3839845"/>
                  <wp:effectExtent l="9525" t="0" r="22860" b="52070"/>
                  <wp:docPr id="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24F3B3F">
            <w:pPr>
              <w:pStyle w:val="2"/>
              <w:spacing w:after="0" w:line="240" w:lineRule="auto"/>
              <w:jc w:val="left"/>
              <w:rPr>
                <w:b/>
                <w:bCs/>
                <w:sz w:val="18"/>
                <w:szCs w:val="18"/>
                <w:highlight w:val="none"/>
              </w:rPr>
            </w:pPr>
            <w:r>
              <w:rPr>
                <w:b/>
                <w:bCs/>
                <w:sz w:val="18"/>
                <w:szCs w:val="18"/>
                <w:highlight w:val="none"/>
              </w:rPr>
              <w:t>注：①</w:t>
            </w:r>
            <w:r>
              <w:rPr>
                <w:rFonts w:hint="eastAsia"/>
                <w:b/>
                <w:bCs/>
                <w:sz w:val="18"/>
                <w:szCs w:val="18"/>
                <w:highlight w:val="none"/>
              </w:rPr>
              <w:t>指标</w:t>
            </w:r>
            <w:r>
              <w:rPr>
                <w:b/>
                <w:bCs/>
                <w:sz w:val="18"/>
                <w:szCs w:val="18"/>
                <w:highlight w:val="none"/>
              </w:rPr>
              <w:t>对应的参考</w:t>
            </w:r>
            <w:r>
              <w:rPr>
                <w:rFonts w:hint="eastAsia"/>
                <w:b/>
                <w:bCs/>
                <w:sz w:val="18"/>
                <w:szCs w:val="18"/>
                <w:highlight w:val="none"/>
              </w:rPr>
              <w:t>标准</w:t>
            </w:r>
            <w:r>
              <w:rPr>
                <w:b/>
                <w:bCs/>
                <w:sz w:val="18"/>
                <w:szCs w:val="18"/>
                <w:highlight w:val="none"/>
              </w:rPr>
              <w:t>均远大于监测浓度值，故不在分布图中展现，下同；</w:t>
            </w:r>
          </w:p>
          <w:p w14:paraId="75CECD70">
            <w:pPr>
              <w:pStyle w:val="2"/>
              <w:spacing w:after="0" w:line="240" w:lineRule="auto"/>
              <w:ind w:firstLine="361" w:firstLineChars="200"/>
              <w:jc w:val="left"/>
              <w:rPr>
                <w:b/>
                <w:bCs/>
                <w:sz w:val="18"/>
                <w:szCs w:val="18"/>
                <w:highlight w:val="none"/>
              </w:rPr>
            </w:pPr>
            <w:r>
              <w:rPr>
                <w:b/>
                <w:bCs/>
                <w:sz w:val="18"/>
                <w:szCs w:val="18"/>
                <w:highlight w:val="none"/>
              </w:rPr>
              <w:t>②已检出指标的检出限均远小于监测浓度值，故不在分布图中展现，下同。</w:t>
            </w:r>
          </w:p>
          <w:p w14:paraId="7E66F83F">
            <w:pPr>
              <w:pStyle w:val="2"/>
              <w:spacing w:after="0" w:line="240" w:lineRule="auto"/>
              <w:jc w:val="center"/>
              <w:rPr>
                <w:highlight w:val="none"/>
              </w:rPr>
            </w:pPr>
            <w:r>
              <w:rPr>
                <w:b/>
                <w:bCs/>
                <w:highlight w:val="none"/>
              </w:rPr>
              <w:t xml:space="preserve">图5-3-2 </w:t>
            </w:r>
            <w:r>
              <w:rPr>
                <w:rFonts w:hint="eastAsia"/>
                <w:b/>
                <w:bCs/>
                <w:highlight w:val="none"/>
              </w:rPr>
              <w:t>总氟化物</w:t>
            </w:r>
            <w:r>
              <w:rPr>
                <w:b/>
                <w:bCs/>
                <w:highlight w:val="none"/>
              </w:rPr>
              <w:t>指标分布情况图</w:t>
            </w:r>
          </w:p>
        </w:tc>
      </w:tr>
    </w:tbl>
    <w:p w14:paraId="3BD96123">
      <w:pPr>
        <w:ind w:firstLine="420"/>
        <w:rPr>
          <w:highlight w:val="none"/>
        </w:rPr>
      </w:pPr>
      <w:r>
        <w:rPr>
          <w:rFonts w:hint="eastAsia"/>
          <w:highlight w:val="none"/>
        </w:rPr>
        <w:t>由图可知，各送检总氟化物点位的总氟化物监测值</w:t>
      </w:r>
      <w:r>
        <w:rPr>
          <w:highlight w:val="none"/>
        </w:rPr>
        <w:t>差别较小，各检测值与均值差别较小</w:t>
      </w:r>
      <w:r>
        <w:rPr>
          <w:rFonts w:hint="eastAsia"/>
          <w:highlight w:val="none"/>
        </w:rPr>
        <w:t>。</w:t>
      </w:r>
    </w:p>
    <w:p w14:paraId="4B97261B">
      <w:pPr>
        <w:spacing w:before="165" w:beforeLines="50"/>
        <w:ind w:firstLine="420"/>
        <w:rPr>
          <w:b/>
          <w:bCs/>
          <w:highlight w:val="none"/>
        </w:rPr>
      </w:pPr>
      <w:r>
        <w:rPr>
          <w:rStyle w:val="64"/>
          <w:rFonts w:eastAsia="黑体"/>
          <w:highlight w:val="none"/>
        </w:rPr>
        <w:t>（3）</w:t>
      </w:r>
      <w:r>
        <w:rPr>
          <w:b/>
          <w:bCs/>
          <w:highlight w:val="none"/>
        </w:rPr>
        <w:t>重金属</w:t>
      </w:r>
    </w:p>
    <w:p w14:paraId="3F8485EB">
      <w:pPr>
        <w:ind w:firstLine="420"/>
        <w:rPr>
          <w:highlight w:val="none"/>
        </w:rPr>
      </w:pPr>
      <w:r>
        <w:rPr>
          <w:rFonts w:hint="eastAsia"/>
          <w:highlight w:val="none"/>
        </w:rPr>
        <w:t>园区11个土壤</w:t>
      </w:r>
      <w:r>
        <w:rPr>
          <w:highlight w:val="none"/>
        </w:rPr>
        <w:t>样品</w:t>
      </w:r>
      <w:r>
        <w:rPr>
          <w:rFonts w:hint="eastAsia"/>
          <w:highlight w:val="none"/>
        </w:rPr>
        <w:t>（</w:t>
      </w:r>
      <w:r>
        <w:rPr>
          <w:rFonts w:hint="eastAsia"/>
          <w:highlight w:val="none"/>
          <w:lang w:eastAsia="zh-CN"/>
        </w:rPr>
        <w:t>不含质控样品</w:t>
      </w:r>
      <w:r>
        <w:rPr>
          <w:rFonts w:hint="eastAsia"/>
          <w:highlight w:val="none"/>
        </w:rPr>
        <w:t>）重金属测试项目除铬（六价）以外均有检出，检出率均为100%。各点位检出的重金属浓度均未超过对应的参考标准值，各点位重金属监测结果均可达到相应标准值要求。</w:t>
      </w:r>
    </w:p>
    <w:p w14:paraId="312FC1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highlight w:val="none"/>
        </w:rPr>
      </w:pPr>
      <w:r>
        <w:rPr>
          <w:rFonts w:eastAsia="黑体"/>
          <w:b/>
          <w:bCs/>
          <w:color w:val="000000"/>
          <w:highlight w:val="none"/>
        </w:rPr>
        <w:t>表5-3-3  土壤样品</w:t>
      </w:r>
      <w:r>
        <w:rPr>
          <w:rFonts w:eastAsia="黑体"/>
          <w:b/>
          <w:bCs/>
          <w:highlight w:val="none"/>
        </w:rPr>
        <w:t>检出重金属指标</w:t>
      </w:r>
      <w:r>
        <w:rPr>
          <w:rFonts w:eastAsia="黑体"/>
          <w:b/>
          <w:bCs/>
          <w:color w:val="000000"/>
          <w:highlight w:val="none"/>
        </w:rPr>
        <w:t>监测值（</w:t>
      </w:r>
      <w:r>
        <w:rPr>
          <w:rFonts w:hint="eastAsia" w:eastAsia="黑体"/>
          <w:b/>
          <w:bCs/>
          <w:color w:val="000000"/>
          <w:highlight w:val="none"/>
        </w:rPr>
        <w:t>基于</w:t>
      </w:r>
      <w:r>
        <w:rPr>
          <w:rFonts w:eastAsia="黑体"/>
          <w:b/>
          <w:bCs/>
          <w:color w:val="000000"/>
          <w:highlight w:val="none"/>
        </w:rPr>
        <w:t>建设用地标准）  （单位：mg/kg）</w:t>
      </w:r>
    </w:p>
    <w:tbl>
      <w:tblPr>
        <w:tblStyle w:val="2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94"/>
        <w:gridCol w:w="981"/>
        <w:gridCol w:w="1767"/>
        <w:gridCol w:w="1679"/>
        <w:gridCol w:w="570"/>
        <w:gridCol w:w="570"/>
        <w:gridCol w:w="666"/>
        <w:gridCol w:w="608"/>
        <w:gridCol w:w="570"/>
        <w:gridCol w:w="570"/>
        <w:gridCol w:w="570"/>
        <w:gridCol w:w="543"/>
      </w:tblGrid>
      <w:tr w14:paraId="526514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258" w:type="pct"/>
            <w:tcBorders>
              <w:bottom w:val="single" w:color="auto" w:sz="12" w:space="0"/>
              <w:tl2br w:val="nil"/>
              <w:tr2bl w:val="nil"/>
            </w:tcBorders>
            <w:shd w:val="clear" w:color="auto" w:fill="auto"/>
            <w:noWrap/>
            <w:tcMar>
              <w:top w:w="15" w:type="dxa"/>
              <w:left w:w="15" w:type="dxa"/>
              <w:right w:w="15" w:type="dxa"/>
            </w:tcMar>
            <w:vAlign w:val="center"/>
          </w:tcPr>
          <w:p w14:paraId="1A50EB91">
            <w:pPr>
              <w:widowControl/>
              <w:spacing w:line="240" w:lineRule="auto"/>
              <w:jc w:val="center"/>
              <w:textAlignment w:val="center"/>
              <w:rPr>
                <w:rFonts w:hint="eastAsia" w:ascii="Times New Roman" w:hAnsi="Times New Roman" w:eastAsia="宋体" w:cs="Times New Roman"/>
                <w:b/>
                <w:color w:val="000000"/>
                <w:kern w:val="2"/>
                <w:sz w:val="21"/>
                <w:szCs w:val="21"/>
                <w:highlight w:val="none"/>
                <w:lang w:val="en-US" w:eastAsia="zh-CN" w:bidi="ar-SA"/>
              </w:rPr>
            </w:pPr>
            <w:bookmarkStart w:id="44" w:name="_Hlk59438954"/>
            <w:r>
              <w:rPr>
                <w:b/>
                <w:color w:val="000000"/>
                <w:kern w:val="0"/>
                <w:sz w:val="21"/>
                <w:szCs w:val="21"/>
                <w:highlight w:val="none"/>
                <w:lang w:bidi="ar"/>
              </w:rPr>
              <w:t>序号</w:t>
            </w:r>
          </w:p>
        </w:tc>
        <w:tc>
          <w:tcPr>
            <w:tcW w:w="511" w:type="pct"/>
            <w:tcBorders>
              <w:bottom w:val="single" w:color="auto" w:sz="12" w:space="0"/>
              <w:tl2br w:val="nil"/>
              <w:tr2bl w:val="nil"/>
            </w:tcBorders>
            <w:shd w:val="clear" w:color="auto" w:fill="auto"/>
            <w:noWrap/>
            <w:tcMar>
              <w:top w:w="15" w:type="dxa"/>
              <w:left w:w="15" w:type="dxa"/>
              <w:right w:w="15" w:type="dxa"/>
            </w:tcMar>
            <w:vAlign w:val="center"/>
          </w:tcPr>
          <w:p w14:paraId="4DEE826D">
            <w:pPr>
              <w:widowControl/>
              <w:spacing w:line="240" w:lineRule="auto"/>
              <w:jc w:val="center"/>
              <w:textAlignment w:val="center"/>
              <w:rPr>
                <w:rFonts w:hint="eastAsia" w:ascii="Times New Roman" w:hAnsi="Times New Roman" w:eastAsia="宋体" w:cs="Times New Roman"/>
                <w:b/>
                <w:color w:val="000000"/>
                <w:kern w:val="0"/>
                <w:sz w:val="21"/>
                <w:szCs w:val="21"/>
                <w:highlight w:val="none"/>
                <w:lang w:val="en-US" w:eastAsia="zh-CN" w:bidi="ar"/>
              </w:rPr>
            </w:pPr>
            <w:r>
              <w:rPr>
                <w:rFonts w:hint="eastAsia"/>
                <w:b/>
                <w:color w:val="000000"/>
                <w:kern w:val="0"/>
                <w:sz w:val="21"/>
                <w:szCs w:val="21"/>
                <w:highlight w:val="none"/>
                <w:lang w:bidi="ar"/>
              </w:rPr>
              <w:t>样品</w:t>
            </w:r>
            <w:r>
              <w:rPr>
                <w:b/>
                <w:color w:val="000000"/>
                <w:kern w:val="0"/>
                <w:sz w:val="21"/>
                <w:szCs w:val="21"/>
                <w:highlight w:val="none"/>
                <w:lang w:bidi="ar"/>
              </w:rPr>
              <w:t>编号</w:t>
            </w:r>
          </w:p>
        </w:tc>
        <w:tc>
          <w:tcPr>
            <w:tcW w:w="921" w:type="pct"/>
            <w:tcBorders>
              <w:bottom w:val="single" w:color="auto" w:sz="12" w:space="0"/>
              <w:tl2br w:val="nil"/>
              <w:tr2bl w:val="nil"/>
            </w:tcBorders>
            <w:shd w:val="clear" w:color="auto" w:fill="auto"/>
            <w:noWrap/>
            <w:tcMar>
              <w:top w:w="15" w:type="dxa"/>
              <w:left w:w="15" w:type="dxa"/>
              <w:right w:w="15" w:type="dxa"/>
            </w:tcMar>
            <w:vAlign w:val="center"/>
          </w:tcPr>
          <w:p w14:paraId="0687C88B">
            <w:pPr>
              <w:widowControl/>
              <w:spacing w:line="240" w:lineRule="auto"/>
              <w:jc w:val="center"/>
              <w:textAlignment w:val="center"/>
              <w:rPr>
                <w:rFonts w:ascii="Times New Roman" w:hAnsi="Times New Roman" w:eastAsia="宋体" w:cs="Times New Roman"/>
                <w:b/>
                <w:color w:val="000000"/>
                <w:kern w:val="0"/>
                <w:sz w:val="21"/>
                <w:szCs w:val="21"/>
                <w:highlight w:val="none"/>
                <w:lang w:val="en-US" w:eastAsia="zh-CN" w:bidi="ar"/>
              </w:rPr>
            </w:pPr>
            <w:r>
              <w:rPr>
                <w:rFonts w:hint="eastAsia"/>
                <w:b/>
                <w:color w:val="000000"/>
                <w:kern w:val="0"/>
                <w:sz w:val="21"/>
                <w:szCs w:val="21"/>
                <w:highlight w:val="none"/>
                <w:lang w:val="en-US" w:eastAsia="zh-CN" w:bidi="ar"/>
              </w:rPr>
              <w:t>点位位置</w:t>
            </w:r>
          </w:p>
        </w:tc>
        <w:tc>
          <w:tcPr>
            <w:tcW w:w="875" w:type="pct"/>
            <w:tcBorders>
              <w:bottom w:val="single" w:color="auto" w:sz="12" w:space="0"/>
              <w:tl2br w:val="nil"/>
              <w:tr2bl w:val="nil"/>
            </w:tcBorders>
            <w:shd w:val="clear" w:color="auto" w:fill="auto"/>
            <w:noWrap/>
            <w:tcMar>
              <w:top w:w="15" w:type="dxa"/>
              <w:left w:w="15" w:type="dxa"/>
              <w:right w:w="15" w:type="dxa"/>
            </w:tcMar>
            <w:vAlign w:val="center"/>
          </w:tcPr>
          <w:p w14:paraId="610150D4">
            <w:pPr>
              <w:widowControl/>
              <w:spacing w:line="240" w:lineRule="auto"/>
              <w:jc w:val="center"/>
              <w:textAlignment w:val="center"/>
              <w:rPr>
                <w:rFonts w:hint="default" w:eastAsia="宋体"/>
                <w:b/>
                <w:bCs/>
                <w:color w:val="000000"/>
                <w:kern w:val="0"/>
                <w:sz w:val="21"/>
                <w:szCs w:val="21"/>
                <w:highlight w:val="none"/>
                <w:lang w:val="en-US" w:eastAsia="zh-CN" w:bidi="ar"/>
              </w:rPr>
            </w:pPr>
            <w:r>
              <w:rPr>
                <w:rFonts w:hint="eastAsia"/>
                <w:b/>
                <w:bCs/>
                <w:color w:val="000000"/>
                <w:kern w:val="0"/>
                <w:sz w:val="21"/>
                <w:szCs w:val="21"/>
                <w:highlight w:val="none"/>
                <w:lang w:val="en-US" w:eastAsia="zh-CN" w:bidi="ar"/>
              </w:rPr>
              <w:t>参考标准</w:t>
            </w:r>
            <w:r>
              <w:rPr>
                <w:rFonts w:hint="eastAsia"/>
                <w:b/>
                <w:bCs/>
                <w:color w:val="000000"/>
                <w:kern w:val="0"/>
                <w:sz w:val="21"/>
                <w:szCs w:val="21"/>
                <w:highlight w:val="none"/>
                <w:vertAlign w:val="superscript"/>
                <w:lang w:val="en-US" w:eastAsia="zh-CN" w:bidi="ar"/>
              </w:rPr>
              <w:t>①</w:t>
            </w:r>
          </w:p>
        </w:tc>
        <w:tc>
          <w:tcPr>
            <w:tcW w:w="297" w:type="pct"/>
            <w:tcBorders>
              <w:bottom w:val="single" w:color="auto" w:sz="12" w:space="0"/>
              <w:tl2br w:val="nil"/>
              <w:tr2bl w:val="nil"/>
            </w:tcBorders>
            <w:shd w:val="clear" w:color="auto" w:fill="auto"/>
            <w:noWrap/>
            <w:tcMar>
              <w:top w:w="15" w:type="dxa"/>
              <w:left w:w="15" w:type="dxa"/>
              <w:right w:w="15" w:type="dxa"/>
            </w:tcMar>
            <w:vAlign w:val="center"/>
          </w:tcPr>
          <w:p w14:paraId="2CEBCC93">
            <w:pPr>
              <w:widowControl/>
              <w:spacing w:line="240" w:lineRule="auto"/>
              <w:jc w:val="center"/>
              <w:textAlignment w:val="center"/>
              <w:rPr>
                <w:rFonts w:ascii="Times New Roman" w:hAnsi="Times New Roman" w:eastAsia="宋体" w:cs="Times New Roman"/>
                <w:b/>
                <w:bCs/>
                <w:color w:val="000000"/>
                <w:kern w:val="0"/>
                <w:sz w:val="21"/>
                <w:szCs w:val="21"/>
                <w:highlight w:val="none"/>
                <w:lang w:val="en-US" w:eastAsia="zh-CN" w:bidi="ar"/>
              </w:rPr>
            </w:pPr>
            <w:r>
              <w:rPr>
                <w:b/>
                <w:bCs/>
                <w:color w:val="000000"/>
                <w:kern w:val="0"/>
                <w:sz w:val="21"/>
                <w:szCs w:val="21"/>
                <w:highlight w:val="none"/>
                <w:lang w:bidi="ar"/>
              </w:rPr>
              <w:t>铅</w:t>
            </w:r>
          </w:p>
        </w:tc>
        <w:tc>
          <w:tcPr>
            <w:tcW w:w="297" w:type="pct"/>
            <w:tcBorders>
              <w:bottom w:val="single" w:color="auto" w:sz="12" w:space="0"/>
              <w:tl2br w:val="nil"/>
              <w:tr2bl w:val="nil"/>
            </w:tcBorders>
            <w:shd w:val="clear" w:color="auto" w:fill="auto"/>
            <w:noWrap/>
            <w:tcMar>
              <w:top w:w="15" w:type="dxa"/>
              <w:left w:w="15" w:type="dxa"/>
              <w:right w:w="15" w:type="dxa"/>
            </w:tcMar>
            <w:vAlign w:val="center"/>
          </w:tcPr>
          <w:p w14:paraId="179B2ED9">
            <w:pPr>
              <w:widowControl/>
              <w:spacing w:line="240" w:lineRule="auto"/>
              <w:jc w:val="center"/>
              <w:textAlignment w:val="center"/>
              <w:rPr>
                <w:b/>
                <w:bCs/>
                <w:color w:val="000000"/>
                <w:kern w:val="0"/>
                <w:sz w:val="21"/>
                <w:szCs w:val="21"/>
                <w:highlight w:val="none"/>
                <w:lang w:bidi="ar"/>
              </w:rPr>
            </w:pPr>
            <w:r>
              <w:rPr>
                <w:b/>
                <w:bCs/>
                <w:color w:val="000000"/>
                <w:kern w:val="0"/>
                <w:sz w:val="21"/>
                <w:szCs w:val="21"/>
                <w:highlight w:val="none"/>
                <w:lang w:bidi="ar"/>
              </w:rPr>
              <w:t>汞</w:t>
            </w:r>
          </w:p>
        </w:tc>
        <w:tc>
          <w:tcPr>
            <w:tcW w:w="347" w:type="pct"/>
            <w:tcBorders>
              <w:bottom w:val="single" w:color="auto" w:sz="12" w:space="0"/>
              <w:tl2br w:val="nil"/>
              <w:tr2bl w:val="nil"/>
            </w:tcBorders>
            <w:shd w:val="clear" w:color="auto" w:fill="auto"/>
            <w:noWrap/>
            <w:tcMar>
              <w:top w:w="15" w:type="dxa"/>
              <w:left w:w="15" w:type="dxa"/>
              <w:right w:w="15" w:type="dxa"/>
            </w:tcMar>
            <w:vAlign w:val="center"/>
          </w:tcPr>
          <w:p w14:paraId="6FA59481">
            <w:pPr>
              <w:widowControl/>
              <w:spacing w:line="240" w:lineRule="auto"/>
              <w:jc w:val="center"/>
              <w:textAlignment w:val="center"/>
              <w:rPr>
                <w:b/>
                <w:bCs/>
                <w:color w:val="000000"/>
                <w:kern w:val="0"/>
                <w:sz w:val="21"/>
                <w:szCs w:val="21"/>
                <w:highlight w:val="none"/>
                <w:lang w:bidi="ar"/>
              </w:rPr>
            </w:pPr>
            <w:r>
              <w:rPr>
                <w:b/>
                <w:bCs/>
                <w:color w:val="000000"/>
                <w:kern w:val="0"/>
                <w:sz w:val="21"/>
                <w:szCs w:val="21"/>
                <w:highlight w:val="none"/>
                <w:lang w:bidi="ar"/>
              </w:rPr>
              <w:t>镉</w:t>
            </w:r>
          </w:p>
        </w:tc>
        <w:tc>
          <w:tcPr>
            <w:tcW w:w="317" w:type="pct"/>
            <w:tcBorders>
              <w:bottom w:val="single" w:color="auto" w:sz="12" w:space="0"/>
              <w:tl2br w:val="nil"/>
              <w:tr2bl w:val="nil"/>
            </w:tcBorders>
            <w:shd w:val="clear" w:color="auto" w:fill="auto"/>
            <w:noWrap/>
            <w:tcMar>
              <w:top w:w="15" w:type="dxa"/>
              <w:left w:w="15" w:type="dxa"/>
              <w:right w:w="15" w:type="dxa"/>
            </w:tcMar>
            <w:vAlign w:val="center"/>
          </w:tcPr>
          <w:p w14:paraId="1643259A">
            <w:pPr>
              <w:widowControl/>
              <w:spacing w:line="240" w:lineRule="auto"/>
              <w:jc w:val="center"/>
              <w:textAlignment w:val="center"/>
              <w:rPr>
                <w:b/>
                <w:bCs/>
                <w:color w:val="000000"/>
                <w:kern w:val="0"/>
                <w:sz w:val="21"/>
                <w:szCs w:val="21"/>
                <w:highlight w:val="none"/>
                <w:lang w:bidi="ar"/>
              </w:rPr>
            </w:pPr>
            <w:r>
              <w:rPr>
                <w:rFonts w:hint="eastAsia"/>
                <w:b/>
                <w:bCs/>
                <w:color w:val="000000"/>
                <w:kern w:val="0"/>
                <w:sz w:val="21"/>
                <w:szCs w:val="21"/>
                <w:highlight w:val="none"/>
                <w:lang w:bidi="ar"/>
              </w:rPr>
              <w:t>铜</w:t>
            </w:r>
          </w:p>
        </w:tc>
        <w:tc>
          <w:tcPr>
            <w:tcW w:w="297" w:type="pct"/>
            <w:tcBorders>
              <w:bottom w:val="single" w:color="auto" w:sz="12" w:space="0"/>
              <w:tl2br w:val="nil"/>
              <w:tr2bl w:val="nil"/>
            </w:tcBorders>
            <w:shd w:val="clear" w:color="auto" w:fill="auto"/>
            <w:noWrap/>
            <w:tcMar>
              <w:top w:w="15" w:type="dxa"/>
              <w:left w:w="15" w:type="dxa"/>
              <w:right w:w="15" w:type="dxa"/>
            </w:tcMar>
            <w:vAlign w:val="center"/>
          </w:tcPr>
          <w:p w14:paraId="3C0C2298">
            <w:pPr>
              <w:widowControl/>
              <w:spacing w:line="240" w:lineRule="auto"/>
              <w:jc w:val="center"/>
              <w:textAlignment w:val="center"/>
              <w:rPr>
                <w:b/>
                <w:bCs/>
                <w:color w:val="000000"/>
                <w:kern w:val="0"/>
                <w:sz w:val="21"/>
                <w:szCs w:val="21"/>
                <w:highlight w:val="none"/>
                <w:lang w:bidi="ar"/>
              </w:rPr>
            </w:pPr>
            <w:r>
              <w:rPr>
                <w:b/>
                <w:bCs/>
                <w:color w:val="000000"/>
                <w:kern w:val="0"/>
                <w:sz w:val="21"/>
                <w:szCs w:val="21"/>
                <w:highlight w:val="none"/>
                <w:lang w:bidi="ar"/>
              </w:rPr>
              <w:t>镍</w:t>
            </w:r>
          </w:p>
        </w:tc>
        <w:tc>
          <w:tcPr>
            <w:tcW w:w="297" w:type="pct"/>
            <w:tcBorders>
              <w:bottom w:val="single" w:color="auto" w:sz="12" w:space="0"/>
              <w:tl2br w:val="nil"/>
              <w:tr2bl w:val="nil"/>
            </w:tcBorders>
            <w:shd w:val="clear" w:color="auto" w:fill="auto"/>
            <w:noWrap/>
            <w:tcMar>
              <w:top w:w="15" w:type="dxa"/>
              <w:left w:w="15" w:type="dxa"/>
              <w:right w:w="15" w:type="dxa"/>
            </w:tcMar>
            <w:vAlign w:val="center"/>
          </w:tcPr>
          <w:p w14:paraId="27018178">
            <w:pPr>
              <w:widowControl/>
              <w:spacing w:line="240" w:lineRule="auto"/>
              <w:jc w:val="center"/>
              <w:textAlignment w:val="center"/>
              <w:rPr>
                <w:b/>
                <w:bCs/>
                <w:color w:val="000000"/>
                <w:kern w:val="0"/>
                <w:sz w:val="21"/>
                <w:szCs w:val="21"/>
                <w:highlight w:val="none"/>
                <w:lang w:bidi="ar"/>
              </w:rPr>
            </w:pPr>
            <w:r>
              <w:rPr>
                <w:b/>
                <w:bCs/>
                <w:color w:val="000000"/>
                <w:kern w:val="0"/>
                <w:sz w:val="21"/>
                <w:szCs w:val="21"/>
                <w:highlight w:val="none"/>
                <w:lang w:bidi="ar"/>
              </w:rPr>
              <w:t>铬</w:t>
            </w:r>
          </w:p>
        </w:tc>
        <w:tc>
          <w:tcPr>
            <w:tcW w:w="297" w:type="pct"/>
            <w:tcBorders>
              <w:bottom w:val="single" w:color="auto" w:sz="12" w:space="0"/>
              <w:tl2br w:val="nil"/>
              <w:tr2bl w:val="nil"/>
            </w:tcBorders>
            <w:shd w:val="clear" w:color="auto" w:fill="auto"/>
            <w:noWrap/>
            <w:tcMar>
              <w:top w:w="15" w:type="dxa"/>
              <w:left w:w="15" w:type="dxa"/>
              <w:right w:w="15" w:type="dxa"/>
            </w:tcMar>
            <w:vAlign w:val="center"/>
          </w:tcPr>
          <w:p w14:paraId="2772E305">
            <w:pPr>
              <w:widowControl/>
              <w:spacing w:line="240" w:lineRule="auto"/>
              <w:jc w:val="center"/>
              <w:textAlignment w:val="center"/>
              <w:rPr>
                <w:b/>
                <w:bCs/>
                <w:color w:val="000000"/>
                <w:kern w:val="0"/>
                <w:sz w:val="21"/>
                <w:szCs w:val="21"/>
                <w:highlight w:val="none"/>
                <w:lang w:bidi="ar"/>
              </w:rPr>
            </w:pPr>
            <w:r>
              <w:rPr>
                <w:b/>
                <w:bCs/>
                <w:color w:val="000000"/>
                <w:kern w:val="0"/>
                <w:sz w:val="21"/>
                <w:szCs w:val="21"/>
                <w:highlight w:val="none"/>
                <w:lang w:bidi="ar"/>
              </w:rPr>
              <w:t>砷</w:t>
            </w:r>
          </w:p>
        </w:tc>
        <w:tc>
          <w:tcPr>
            <w:tcW w:w="283" w:type="pct"/>
            <w:tcBorders>
              <w:bottom w:val="single" w:color="auto" w:sz="12" w:space="0"/>
              <w:tl2br w:val="nil"/>
              <w:tr2bl w:val="nil"/>
            </w:tcBorders>
            <w:vAlign w:val="center"/>
          </w:tcPr>
          <w:p w14:paraId="0EDC8411">
            <w:pPr>
              <w:widowControl/>
              <w:spacing w:line="240" w:lineRule="auto"/>
              <w:jc w:val="center"/>
              <w:textAlignment w:val="center"/>
              <w:rPr>
                <w:b/>
                <w:bCs/>
                <w:color w:val="000000"/>
                <w:kern w:val="0"/>
                <w:sz w:val="21"/>
                <w:szCs w:val="21"/>
                <w:highlight w:val="none"/>
                <w:lang w:bidi="ar"/>
              </w:rPr>
            </w:pPr>
            <w:r>
              <w:rPr>
                <w:b/>
                <w:bCs/>
                <w:color w:val="000000"/>
                <w:kern w:val="0"/>
                <w:sz w:val="21"/>
                <w:szCs w:val="21"/>
                <w:highlight w:val="none"/>
                <w:lang w:bidi="ar"/>
              </w:rPr>
              <w:t>锑</w:t>
            </w:r>
          </w:p>
        </w:tc>
      </w:tr>
      <w:tr w14:paraId="0444FB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8" w:type="pct"/>
            <w:tcBorders>
              <w:top w:val="single" w:color="auto" w:sz="12" w:space="0"/>
              <w:tl2br w:val="nil"/>
              <w:tr2bl w:val="nil"/>
            </w:tcBorders>
            <w:shd w:val="clear" w:color="auto" w:fill="auto"/>
            <w:noWrap/>
            <w:tcMar>
              <w:top w:w="15" w:type="dxa"/>
              <w:left w:w="15" w:type="dxa"/>
              <w:right w:w="15" w:type="dxa"/>
            </w:tcMar>
            <w:vAlign w:val="center"/>
          </w:tcPr>
          <w:p w14:paraId="375B041E">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color w:val="000000"/>
                <w:kern w:val="0"/>
                <w:sz w:val="21"/>
                <w:szCs w:val="21"/>
                <w:highlight w:val="none"/>
                <w:lang w:bidi="ar"/>
              </w:rPr>
              <w:t>1</w:t>
            </w:r>
          </w:p>
        </w:tc>
        <w:tc>
          <w:tcPr>
            <w:tcW w:w="511" w:type="pct"/>
            <w:tcBorders>
              <w:top w:val="single" w:color="auto" w:sz="12" w:space="0"/>
              <w:tl2br w:val="nil"/>
              <w:tr2bl w:val="nil"/>
            </w:tcBorders>
            <w:shd w:val="clear" w:color="auto" w:fill="auto"/>
            <w:noWrap/>
            <w:tcMar>
              <w:top w:w="15" w:type="dxa"/>
              <w:left w:w="15" w:type="dxa"/>
              <w:right w:w="15" w:type="dxa"/>
            </w:tcMar>
            <w:vAlign w:val="center"/>
          </w:tcPr>
          <w:p w14:paraId="31D4CD00">
            <w:pPr>
              <w:widowControl/>
              <w:spacing w:line="240" w:lineRule="auto"/>
              <w:jc w:val="center"/>
              <w:textAlignment w:val="center"/>
              <w:rPr>
                <w:rFonts w:hint="eastAsia"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HH-1-75</w:t>
            </w:r>
          </w:p>
        </w:tc>
        <w:tc>
          <w:tcPr>
            <w:tcW w:w="921" w:type="pct"/>
            <w:tcBorders>
              <w:top w:val="single" w:color="auto" w:sz="12" w:space="0"/>
              <w:tl2br w:val="nil"/>
              <w:tr2bl w:val="nil"/>
            </w:tcBorders>
            <w:shd w:val="clear" w:color="auto" w:fill="auto"/>
            <w:noWrap/>
            <w:tcMar>
              <w:top w:w="15" w:type="dxa"/>
              <w:left w:w="15" w:type="dxa"/>
              <w:right w:w="15" w:type="dxa"/>
            </w:tcMar>
            <w:vAlign w:val="center"/>
          </w:tcPr>
          <w:p w14:paraId="254308AE">
            <w:pPr>
              <w:spacing w:line="240" w:lineRule="auto"/>
              <w:jc w:val="center"/>
              <w:rPr>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w:t>
            </w:r>
          </w:p>
          <w:p w14:paraId="685315AE">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西侧下风向75m</w:t>
            </w:r>
          </w:p>
        </w:tc>
        <w:tc>
          <w:tcPr>
            <w:tcW w:w="875" w:type="pct"/>
            <w:tcBorders>
              <w:top w:val="single" w:color="auto" w:sz="12" w:space="0"/>
              <w:tl2br w:val="nil"/>
              <w:tr2bl w:val="nil"/>
            </w:tcBorders>
            <w:shd w:val="clear" w:color="auto" w:fill="auto"/>
            <w:noWrap/>
            <w:tcMar>
              <w:top w:w="15" w:type="dxa"/>
              <w:left w:w="15" w:type="dxa"/>
              <w:right w:w="15" w:type="dxa"/>
            </w:tcMar>
            <w:vAlign w:val="center"/>
          </w:tcPr>
          <w:p w14:paraId="33DA6BA6">
            <w:pPr>
              <w:widowControl/>
              <w:spacing w:line="240" w:lineRule="auto"/>
              <w:jc w:val="center"/>
              <w:textAlignment w:val="center"/>
              <w:rPr>
                <w:kern w:val="0"/>
                <w:sz w:val="21"/>
                <w:szCs w:val="21"/>
                <w:highlight w:val="none"/>
                <w:lang w:bidi="ar"/>
              </w:rPr>
            </w:pPr>
            <w:r>
              <w:rPr>
                <w:kern w:val="0"/>
                <w:sz w:val="21"/>
                <w:szCs w:val="21"/>
                <w:highlight w:val="none"/>
                <w:lang w:bidi="ar"/>
              </w:rPr>
              <w:t>第一类</w:t>
            </w:r>
          </w:p>
          <w:p w14:paraId="36E4E346">
            <w:pPr>
              <w:widowControl/>
              <w:spacing w:line="240" w:lineRule="auto"/>
              <w:jc w:val="center"/>
              <w:textAlignment w:val="center"/>
              <w:rPr>
                <w:rFonts w:ascii="Times New Roman" w:hAnsi="Times New Roman" w:eastAsia="宋体" w:cs="Times New Roman"/>
                <w:kern w:val="0"/>
                <w:sz w:val="21"/>
                <w:szCs w:val="21"/>
                <w:highlight w:val="none"/>
                <w:lang w:val="en-US" w:eastAsia="zh-CN" w:bidi="ar"/>
              </w:rPr>
            </w:pPr>
            <w:r>
              <w:rPr>
                <w:kern w:val="0"/>
                <w:sz w:val="21"/>
                <w:szCs w:val="21"/>
                <w:highlight w:val="none"/>
                <w:lang w:bidi="ar"/>
              </w:rPr>
              <w:t>用地筛选值</w:t>
            </w:r>
          </w:p>
        </w:tc>
        <w:tc>
          <w:tcPr>
            <w:tcW w:w="297" w:type="pct"/>
            <w:tcBorders>
              <w:top w:val="single" w:color="auto" w:sz="12" w:space="0"/>
              <w:tl2br w:val="nil"/>
              <w:tr2bl w:val="nil"/>
            </w:tcBorders>
            <w:shd w:val="clear" w:color="auto" w:fill="auto"/>
            <w:noWrap/>
            <w:tcMar>
              <w:top w:w="15" w:type="dxa"/>
              <w:left w:w="15" w:type="dxa"/>
              <w:right w:w="15" w:type="dxa"/>
            </w:tcMar>
            <w:vAlign w:val="center"/>
          </w:tcPr>
          <w:p w14:paraId="337688F9">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41.4</w:t>
            </w:r>
          </w:p>
        </w:tc>
        <w:tc>
          <w:tcPr>
            <w:tcW w:w="297" w:type="pct"/>
            <w:tcBorders>
              <w:top w:val="single" w:color="auto" w:sz="12" w:space="0"/>
              <w:tl2br w:val="nil"/>
              <w:tr2bl w:val="nil"/>
            </w:tcBorders>
            <w:shd w:val="clear" w:color="auto" w:fill="auto"/>
            <w:noWrap/>
            <w:tcMar>
              <w:top w:w="15" w:type="dxa"/>
              <w:left w:w="15" w:type="dxa"/>
              <w:right w:w="15" w:type="dxa"/>
            </w:tcMar>
            <w:vAlign w:val="center"/>
          </w:tcPr>
          <w:p w14:paraId="5769A84A">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0.09</w:t>
            </w:r>
          </w:p>
        </w:tc>
        <w:tc>
          <w:tcPr>
            <w:tcW w:w="347" w:type="pct"/>
            <w:tcBorders>
              <w:top w:val="single" w:color="auto" w:sz="12" w:space="0"/>
              <w:tl2br w:val="nil"/>
              <w:tr2bl w:val="nil"/>
            </w:tcBorders>
            <w:shd w:val="clear" w:color="auto" w:fill="auto"/>
            <w:noWrap/>
            <w:tcMar>
              <w:top w:w="15" w:type="dxa"/>
              <w:left w:w="15" w:type="dxa"/>
              <w:right w:w="15" w:type="dxa"/>
            </w:tcMar>
            <w:vAlign w:val="center"/>
          </w:tcPr>
          <w:p w14:paraId="1C7C685C">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0.03 </w:t>
            </w:r>
          </w:p>
        </w:tc>
        <w:tc>
          <w:tcPr>
            <w:tcW w:w="317" w:type="pct"/>
            <w:tcBorders>
              <w:top w:val="single" w:color="auto" w:sz="12" w:space="0"/>
              <w:tl2br w:val="nil"/>
              <w:tr2bl w:val="nil"/>
            </w:tcBorders>
            <w:shd w:val="clear" w:color="auto" w:fill="auto"/>
            <w:noWrap/>
            <w:tcMar>
              <w:top w:w="15" w:type="dxa"/>
              <w:left w:w="15" w:type="dxa"/>
              <w:right w:w="15" w:type="dxa"/>
            </w:tcMar>
            <w:vAlign w:val="center"/>
          </w:tcPr>
          <w:p w14:paraId="75F3470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28</w:t>
            </w:r>
          </w:p>
        </w:tc>
        <w:tc>
          <w:tcPr>
            <w:tcW w:w="297" w:type="pct"/>
            <w:tcBorders>
              <w:top w:val="single" w:color="auto" w:sz="12" w:space="0"/>
              <w:tl2br w:val="nil"/>
              <w:tr2bl w:val="nil"/>
            </w:tcBorders>
            <w:shd w:val="clear" w:color="auto" w:fill="auto"/>
            <w:noWrap/>
            <w:tcMar>
              <w:top w:w="15" w:type="dxa"/>
              <w:left w:w="15" w:type="dxa"/>
              <w:right w:w="15" w:type="dxa"/>
            </w:tcMar>
            <w:vAlign w:val="center"/>
          </w:tcPr>
          <w:p w14:paraId="28D626E9">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31</w:t>
            </w:r>
          </w:p>
        </w:tc>
        <w:tc>
          <w:tcPr>
            <w:tcW w:w="297" w:type="pct"/>
            <w:tcBorders>
              <w:top w:val="single" w:color="auto" w:sz="12" w:space="0"/>
              <w:tl2br w:val="nil"/>
              <w:tr2bl w:val="nil"/>
            </w:tcBorders>
            <w:shd w:val="clear" w:color="auto" w:fill="auto"/>
            <w:noWrap/>
            <w:tcMar>
              <w:top w:w="15" w:type="dxa"/>
              <w:left w:w="15" w:type="dxa"/>
              <w:right w:w="15" w:type="dxa"/>
            </w:tcMar>
            <w:vAlign w:val="center"/>
          </w:tcPr>
          <w:p w14:paraId="6A87CE17">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60</w:t>
            </w:r>
          </w:p>
        </w:tc>
        <w:tc>
          <w:tcPr>
            <w:tcW w:w="297" w:type="pct"/>
            <w:tcBorders>
              <w:top w:val="single" w:color="auto" w:sz="12" w:space="0"/>
              <w:tl2br w:val="nil"/>
              <w:tr2bl w:val="nil"/>
            </w:tcBorders>
            <w:shd w:val="clear" w:color="auto" w:fill="auto"/>
            <w:noWrap/>
            <w:tcMar>
              <w:top w:w="15" w:type="dxa"/>
              <w:left w:w="15" w:type="dxa"/>
              <w:right w:w="15" w:type="dxa"/>
            </w:tcMar>
            <w:vAlign w:val="center"/>
          </w:tcPr>
          <w:p w14:paraId="6D00A60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14.0 </w:t>
            </w:r>
          </w:p>
        </w:tc>
        <w:tc>
          <w:tcPr>
            <w:tcW w:w="283" w:type="pct"/>
            <w:tcBorders>
              <w:top w:val="single" w:color="auto" w:sz="12" w:space="0"/>
              <w:tl2br w:val="nil"/>
              <w:tr2bl w:val="nil"/>
            </w:tcBorders>
            <w:vAlign w:val="center"/>
          </w:tcPr>
          <w:p w14:paraId="4AB29B5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0.7 </w:t>
            </w:r>
          </w:p>
        </w:tc>
      </w:tr>
      <w:tr w14:paraId="2551EC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4A46F032">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color w:val="000000"/>
                <w:kern w:val="0"/>
                <w:sz w:val="21"/>
                <w:szCs w:val="21"/>
                <w:highlight w:val="none"/>
                <w:lang w:bidi="ar"/>
              </w:rPr>
              <w:t>2</w:t>
            </w:r>
          </w:p>
        </w:tc>
        <w:tc>
          <w:tcPr>
            <w:tcW w:w="511" w:type="pct"/>
            <w:tcBorders>
              <w:tl2br w:val="nil"/>
              <w:tr2bl w:val="nil"/>
            </w:tcBorders>
            <w:shd w:val="clear" w:color="auto" w:fill="auto"/>
            <w:noWrap/>
            <w:tcMar>
              <w:top w:w="15" w:type="dxa"/>
              <w:left w:w="15" w:type="dxa"/>
              <w:right w:w="15" w:type="dxa"/>
            </w:tcMar>
            <w:vAlign w:val="center"/>
          </w:tcPr>
          <w:p w14:paraId="5BE97912">
            <w:pPr>
              <w:widowControl/>
              <w:spacing w:line="240" w:lineRule="auto"/>
              <w:jc w:val="center"/>
              <w:textAlignment w:val="center"/>
              <w:rPr>
                <w:rFonts w:hint="eastAsia"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HH-1-200</w:t>
            </w:r>
          </w:p>
        </w:tc>
        <w:tc>
          <w:tcPr>
            <w:tcW w:w="921" w:type="pct"/>
            <w:tcBorders>
              <w:tl2br w:val="nil"/>
              <w:tr2bl w:val="nil"/>
            </w:tcBorders>
            <w:shd w:val="clear" w:color="auto" w:fill="auto"/>
            <w:noWrap/>
            <w:tcMar>
              <w:top w:w="15" w:type="dxa"/>
              <w:left w:w="15" w:type="dxa"/>
              <w:right w:w="15" w:type="dxa"/>
            </w:tcMar>
            <w:vAlign w:val="center"/>
          </w:tcPr>
          <w:p w14:paraId="0633CAA6">
            <w:pPr>
              <w:spacing w:line="240" w:lineRule="auto"/>
              <w:jc w:val="center"/>
              <w:rPr>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w:t>
            </w:r>
          </w:p>
          <w:p w14:paraId="51CB49A5">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西侧下风向200m</w:t>
            </w:r>
          </w:p>
        </w:tc>
        <w:tc>
          <w:tcPr>
            <w:tcW w:w="875" w:type="pct"/>
            <w:tcBorders>
              <w:tl2br w:val="nil"/>
              <w:tr2bl w:val="nil"/>
            </w:tcBorders>
            <w:shd w:val="clear" w:color="auto" w:fill="auto"/>
            <w:noWrap/>
            <w:tcMar>
              <w:top w:w="15" w:type="dxa"/>
              <w:left w:w="15" w:type="dxa"/>
              <w:right w:w="15" w:type="dxa"/>
            </w:tcMar>
            <w:vAlign w:val="center"/>
          </w:tcPr>
          <w:p w14:paraId="272F64F3">
            <w:pPr>
              <w:widowControl/>
              <w:spacing w:line="240" w:lineRule="auto"/>
              <w:jc w:val="center"/>
              <w:textAlignment w:val="center"/>
              <w:rPr>
                <w:kern w:val="0"/>
                <w:sz w:val="21"/>
                <w:szCs w:val="21"/>
                <w:highlight w:val="none"/>
                <w:lang w:bidi="ar"/>
              </w:rPr>
            </w:pPr>
            <w:r>
              <w:rPr>
                <w:kern w:val="0"/>
                <w:sz w:val="21"/>
                <w:szCs w:val="21"/>
                <w:highlight w:val="none"/>
                <w:lang w:bidi="ar"/>
              </w:rPr>
              <w:t>第一类</w:t>
            </w:r>
          </w:p>
          <w:p w14:paraId="05D069D3">
            <w:pPr>
              <w:widowControl/>
              <w:spacing w:line="240" w:lineRule="auto"/>
              <w:jc w:val="center"/>
              <w:textAlignment w:val="center"/>
              <w:rPr>
                <w:rFonts w:ascii="Times New Roman" w:hAnsi="Times New Roman" w:eastAsia="宋体" w:cs="Times New Roman"/>
                <w:kern w:val="0"/>
                <w:sz w:val="21"/>
                <w:szCs w:val="21"/>
                <w:highlight w:val="none"/>
                <w:lang w:val="en-US" w:eastAsia="zh-CN" w:bidi="ar"/>
              </w:rPr>
            </w:pPr>
            <w:r>
              <w:rPr>
                <w:kern w:val="0"/>
                <w:sz w:val="21"/>
                <w:szCs w:val="21"/>
                <w:highlight w:val="none"/>
                <w:lang w:bidi="ar"/>
              </w:rPr>
              <w:t>用地筛选值</w:t>
            </w:r>
          </w:p>
        </w:tc>
        <w:tc>
          <w:tcPr>
            <w:tcW w:w="297" w:type="pct"/>
            <w:tcBorders>
              <w:tl2br w:val="nil"/>
              <w:tr2bl w:val="nil"/>
            </w:tcBorders>
            <w:shd w:val="clear" w:color="auto" w:fill="auto"/>
            <w:noWrap/>
            <w:tcMar>
              <w:top w:w="15" w:type="dxa"/>
              <w:left w:w="15" w:type="dxa"/>
              <w:right w:w="15" w:type="dxa"/>
            </w:tcMar>
            <w:vAlign w:val="center"/>
          </w:tcPr>
          <w:p w14:paraId="610123DE">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28.3</w:t>
            </w:r>
          </w:p>
        </w:tc>
        <w:tc>
          <w:tcPr>
            <w:tcW w:w="297" w:type="pct"/>
            <w:tcBorders>
              <w:tl2br w:val="nil"/>
              <w:tr2bl w:val="nil"/>
            </w:tcBorders>
            <w:shd w:val="clear" w:color="auto" w:fill="auto"/>
            <w:noWrap/>
            <w:tcMar>
              <w:top w:w="15" w:type="dxa"/>
              <w:left w:w="15" w:type="dxa"/>
              <w:right w:w="15" w:type="dxa"/>
            </w:tcMar>
            <w:vAlign w:val="center"/>
          </w:tcPr>
          <w:p w14:paraId="3B6C054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0.09</w:t>
            </w:r>
          </w:p>
        </w:tc>
        <w:tc>
          <w:tcPr>
            <w:tcW w:w="347" w:type="pct"/>
            <w:tcBorders>
              <w:tl2br w:val="nil"/>
              <w:tr2bl w:val="nil"/>
            </w:tcBorders>
            <w:shd w:val="clear" w:color="auto" w:fill="auto"/>
            <w:noWrap/>
            <w:tcMar>
              <w:top w:w="15" w:type="dxa"/>
              <w:left w:w="15" w:type="dxa"/>
              <w:right w:w="15" w:type="dxa"/>
            </w:tcMar>
            <w:vAlign w:val="center"/>
          </w:tcPr>
          <w:p w14:paraId="0F36275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0.07 </w:t>
            </w:r>
          </w:p>
        </w:tc>
        <w:tc>
          <w:tcPr>
            <w:tcW w:w="317" w:type="pct"/>
            <w:tcBorders>
              <w:tl2br w:val="nil"/>
              <w:tr2bl w:val="nil"/>
            </w:tcBorders>
            <w:shd w:val="clear" w:color="auto" w:fill="auto"/>
            <w:noWrap/>
            <w:tcMar>
              <w:top w:w="15" w:type="dxa"/>
              <w:left w:w="15" w:type="dxa"/>
              <w:right w:w="15" w:type="dxa"/>
            </w:tcMar>
            <w:vAlign w:val="center"/>
          </w:tcPr>
          <w:p w14:paraId="2DBD3B19">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30</w:t>
            </w:r>
          </w:p>
        </w:tc>
        <w:tc>
          <w:tcPr>
            <w:tcW w:w="297" w:type="pct"/>
            <w:tcBorders>
              <w:tl2br w:val="nil"/>
              <w:tr2bl w:val="nil"/>
            </w:tcBorders>
            <w:shd w:val="clear" w:color="auto" w:fill="auto"/>
            <w:noWrap/>
            <w:tcMar>
              <w:top w:w="15" w:type="dxa"/>
              <w:left w:w="15" w:type="dxa"/>
              <w:right w:w="15" w:type="dxa"/>
            </w:tcMar>
            <w:vAlign w:val="center"/>
          </w:tcPr>
          <w:p w14:paraId="6F66BF0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45</w:t>
            </w:r>
          </w:p>
        </w:tc>
        <w:tc>
          <w:tcPr>
            <w:tcW w:w="297" w:type="pct"/>
            <w:tcBorders>
              <w:tl2br w:val="nil"/>
              <w:tr2bl w:val="nil"/>
            </w:tcBorders>
            <w:shd w:val="clear" w:color="auto" w:fill="auto"/>
            <w:noWrap/>
            <w:tcMar>
              <w:top w:w="15" w:type="dxa"/>
              <w:left w:w="15" w:type="dxa"/>
              <w:right w:w="15" w:type="dxa"/>
            </w:tcMar>
            <w:vAlign w:val="center"/>
          </w:tcPr>
          <w:p w14:paraId="558A02C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61</w:t>
            </w:r>
          </w:p>
        </w:tc>
        <w:tc>
          <w:tcPr>
            <w:tcW w:w="297" w:type="pct"/>
            <w:tcBorders>
              <w:tl2br w:val="nil"/>
              <w:tr2bl w:val="nil"/>
            </w:tcBorders>
            <w:shd w:val="clear" w:color="auto" w:fill="auto"/>
            <w:noWrap/>
            <w:tcMar>
              <w:top w:w="15" w:type="dxa"/>
              <w:left w:w="15" w:type="dxa"/>
              <w:right w:w="15" w:type="dxa"/>
            </w:tcMar>
            <w:vAlign w:val="center"/>
          </w:tcPr>
          <w:p w14:paraId="2666185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11.3 </w:t>
            </w:r>
          </w:p>
        </w:tc>
        <w:tc>
          <w:tcPr>
            <w:tcW w:w="283" w:type="pct"/>
            <w:tcBorders>
              <w:tl2br w:val="nil"/>
              <w:tr2bl w:val="nil"/>
            </w:tcBorders>
            <w:vAlign w:val="center"/>
          </w:tcPr>
          <w:p w14:paraId="4BB444A7">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0.5 </w:t>
            </w:r>
          </w:p>
        </w:tc>
      </w:tr>
      <w:tr w14:paraId="02CAE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33BFDDEF">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color w:val="000000"/>
                <w:kern w:val="0"/>
                <w:sz w:val="21"/>
                <w:szCs w:val="21"/>
                <w:highlight w:val="none"/>
                <w:lang w:bidi="ar"/>
              </w:rPr>
              <w:t>3</w:t>
            </w:r>
          </w:p>
        </w:tc>
        <w:tc>
          <w:tcPr>
            <w:tcW w:w="511" w:type="pct"/>
            <w:tcBorders>
              <w:tl2br w:val="nil"/>
              <w:tr2bl w:val="nil"/>
            </w:tcBorders>
            <w:shd w:val="clear" w:color="auto" w:fill="auto"/>
            <w:noWrap/>
            <w:tcMar>
              <w:top w:w="15" w:type="dxa"/>
              <w:left w:w="15" w:type="dxa"/>
              <w:right w:w="15" w:type="dxa"/>
            </w:tcMar>
            <w:vAlign w:val="center"/>
          </w:tcPr>
          <w:p w14:paraId="4E5BFB35">
            <w:pPr>
              <w:widowControl/>
              <w:spacing w:line="240" w:lineRule="auto"/>
              <w:jc w:val="center"/>
              <w:textAlignment w:val="center"/>
              <w:rPr>
                <w:rFonts w:hint="eastAsia"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HH-1-400</w:t>
            </w:r>
          </w:p>
        </w:tc>
        <w:tc>
          <w:tcPr>
            <w:tcW w:w="921" w:type="pct"/>
            <w:tcBorders>
              <w:tl2br w:val="nil"/>
              <w:tr2bl w:val="nil"/>
            </w:tcBorders>
            <w:shd w:val="clear" w:color="auto" w:fill="auto"/>
            <w:noWrap/>
            <w:tcMar>
              <w:top w:w="15" w:type="dxa"/>
              <w:left w:w="15" w:type="dxa"/>
              <w:right w:w="15" w:type="dxa"/>
            </w:tcMar>
            <w:vAlign w:val="center"/>
          </w:tcPr>
          <w:p w14:paraId="388B4E12">
            <w:pPr>
              <w:spacing w:line="240" w:lineRule="auto"/>
              <w:jc w:val="center"/>
              <w:rPr>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w:t>
            </w:r>
          </w:p>
          <w:p w14:paraId="665F3651">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西侧下风向400m</w:t>
            </w:r>
          </w:p>
        </w:tc>
        <w:tc>
          <w:tcPr>
            <w:tcW w:w="875" w:type="pct"/>
            <w:tcBorders>
              <w:tl2br w:val="nil"/>
              <w:tr2bl w:val="nil"/>
            </w:tcBorders>
            <w:shd w:val="clear" w:color="auto" w:fill="auto"/>
            <w:noWrap/>
            <w:tcMar>
              <w:top w:w="15" w:type="dxa"/>
              <w:left w:w="15" w:type="dxa"/>
              <w:right w:w="15" w:type="dxa"/>
            </w:tcMar>
            <w:vAlign w:val="center"/>
          </w:tcPr>
          <w:p w14:paraId="15B57432">
            <w:pPr>
              <w:widowControl/>
              <w:spacing w:line="240" w:lineRule="auto"/>
              <w:jc w:val="center"/>
              <w:textAlignment w:val="center"/>
              <w:rPr>
                <w:kern w:val="0"/>
                <w:sz w:val="21"/>
                <w:szCs w:val="21"/>
                <w:highlight w:val="none"/>
                <w:lang w:bidi="ar"/>
              </w:rPr>
            </w:pPr>
            <w:r>
              <w:rPr>
                <w:kern w:val="0"/>
                <w:sz w:val="21"/>
                <w:szCs w:val="21"/>
                <w:highlight w:val="none"/>
                <w:lang w:bidi="ar"/>
              </w:rPr>
              <w:t>第一类</w:t>
            </w:r>
          </w:p>
          <w:p w14:paraId="4D1D545C">
            <w:pPr>
              <w:widowControl/>
              <w:spacing w:line="240" w:lineRule="auto"/>
              <w:jc w:val="center"/>
              <w:textAlignment w:val="center"/>
              <w:rPr>
                <w:rFonts w:ascii="Times New Roman" w:hAnsi="Times New Roman" w:eastAsia="宋体" w:cs="Times New Roman"/>
                <w:kern w:val="0"/>
                <w:sz w:val="21"/>
                <w:szCs w:val="21"/>
                <w:highlight w:val="none"/>
                <w:lang w:val="en-US" w:eastAsia="zh-CN" w:bidi="ar"/>
              </w:rPr>
            </w:pPr>
            <w:r>
              <w:rPr>
                <w:kern w:val="0"/>
                <w:sz w:val="21"/>
                <w:szCs w:val="21"/>
                <w:highlight w:val="none"/>
                <w:lang w:bidi="ar"/>
              </w:rPr>
              <w:t>用地筛选值</w:t>
            </w:r>
          </w:p>
        </w:tc>
        <w:tc>
          <w:tcPr>
            <w:tcW w:w="297" w:type="pct"/>
            <w:tcBorders>
              <w:tl2br w:val="nil"/>
              <w:tr2bl w:val="nil"/>
            </w:tcBorders>
            <w:shd w:val="clear" w:color="auto" w:fill="auto"/>
            <w:noWrap/>
            <w:tcMar>
              <w:top w:w="15" w:type="dxa"/>
              <w:left w:w="15" w:type="dxa"/>
              <w:right w:w="15" w:type="dxa"/>
            </w:tcMar>
            <w:vAlign w:val="center"/>
          </w:tcPr>
          <w:p w14:paraId="433E62F3">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27.5</w:t>
            </w:r>
          </w:p>
        </w:tc>
        <w:tc>
          <w:tcPr>
            <w:tcW w:w="297" w:type="pct"/>
            <w:tcBorders>
              <w:tl2br w:val="nil"/>
              <w:tr2bl w:val="nil"/>
            </w:tcBorders>
            <w:shd w:val="clear" w:color="auto" w:fill="auto"/>
            <w:noWrap/>
            <w:tcMar>
              <w:top w:w="15" w:type="dxa"/>
              <w:left w:w="15" w:type="dxa"/>
              <w:right w:w="15" w:type="dxa"/>
            </w:tcMar>
            <w:vAlign w:val="center"/>
          </w:tcPr>
          <w:p w14:paraId="7B81B6B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0.06</w:t>
            </w:r>
          </w:p>
        </w:tc>
        <w:tc>
          <w:tcPr>
            <w:tcW w:w="347" w:type="pct"/>
            <w:tcBorders>
              <w:tl2br w:val="nil"/>
              <w:tr2bl w:val="nil"/>
            </w:tcBorders>
            <w:shd w:val="clear" w:color="auto" w:fill="auto"/>
            <w:noWrap/>
            <w:tcMar>
              <w:top w:w="15" w:type="dxa"/>
              <w:left w:w="15" w:type="dxa"/>
              <w:right w:w="15" w:type="dxa"/>
            </w:tcMar>
            <w:vAlign w:val="center"/>
          </w:tcPr>
          <w:p w14:paraId="1C60F1E5">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0.06 </w:t>
            </w:r>
          </w:p>
        </w:tc>
        <w:tc>
          <w:tcPr>
            <w:tcW w:w="317" w:type="pct"/>
            <w:tcBorders>
              <w:tl2br w:val="nil"/>
              <w:tr2bl w:val="nil"/>
            </w:tcBorders>
            <w:shd w:val="clear" w:color="auto" w:fill="auto"/>
            <w:noWrap/>
            <w:tcMar>
              <w:top w:w="15" w:type="dxa"/>
              <w:left w:w="15" w:type="dxa"/>
              <w:right w:w="15" w:type="dxa"/>
            </w:tcMar>
            <w:vAlign w:val="center"/>
          </w:tcPr>
          <w:p w14:paraId="0B695A9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49</w:t>
            </w:r>
          </w:p>
        </w:tc>
        <w:tc>
          <w:tcPr>
            <w:tcW w:w="297" w:type="pct"/>
            <w:tcBorders>
              <w:tl2br w:val="nil"/>
              <w:tr2bl w:val="nil"/>
            </w:tcBorders>
            <w:shd w:val="clear" w:color="auto" w:fill="auto"/>
            <w:noWrap/>
            <w:tcMar>
              <w:top w:w="15" w:type="dxa"/>
              <w:left w:w="15" w:type="dxa"/>
              <w:right w:w="15" w:type="dxa"/>
            </w:tcMar>
            <w:vAlign w:val="center"/>
          </w:tcPr>
          <w:p w14:paraId="49782967">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54</w:t>
            </w:r>
          </w:p>
        </w:tc>
        <w:tc>
          <w:tcPr>
            <w:tcW w:w="297" w:type="pct"/>
            <w:tcBorders>
              <w:tl2br w:val="nil"/>
              <w:tr2bl w:val="nil"/>
            </w:tcBorders>
            <w:shd w:val="clear" w:color="auto" w:fill="auto"/>
            <w:noWrap/>
            <w:tcMar>
              <w:top w:w="15" w:type="dxa"/>
              <w:left w:w="15" w:type="dxa"/>
              <w:right w:w="15" w:type="dxa"/>
            </w:tcMar>
            <w:vAlign w:val="center"/>
          </w:tcPr>
          <w:p w14:paraId="0F3597C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79</w:t>
            </w:r>
          </w:p>
        </w:tc>
        <w:tc>
          <w:tcPr>
            <w:tcW w:w="297" w:type="pct"/>
            <w:tcBorders>
              <w:tl2br w:val="nil"/>
              <w:tr2bl w:val="nil"/>
            </w:tcBorders>
            <w:shd w:val="clear" w:color="auto" w:fill="auto"/>
            <w:noWrap/>
            <w:tcMar>
              <w:top w:w="15" w:type="dxa"/>
              <w:left w:w="15" w:type="dxa"/>
              <w:right w:w="15" w:type="dxa"/>
            </w:tcMar>
            <w:vAlign w:val="center"/>
          </w:tcPr>
          <w:p w14:paraId="44FAB78A">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5.4 </w:t>
            </w:r>
          </w:p>
        </w:tc>
        <w:tc>
          <w:tcPr>
            <w:tcW w:w="283" w:type="pct"/>
            <w:tcBorders>
              <w:tl2br w:val="nil"/>
              <w:tr2bl w:val="nil"/>
            </w:tcBorders>
            <w:vAlign w:val="center"/>
          </w:tcPr>
          <w:p w14:paraId="541372A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0.6 </w:t>
            </w:r>
          </w:p>
        </w:tc>
      </w:tr>
      <w:tr w14:paraId="5AE719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3EC32D66">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color w:val="000000"/>
                <w:kern w:val="0"/>
                <w:sz w:val="21"/>
                <w:szCs w:val="21"/>
                <w:highlight w:val="none"/>
                <w:lang w:bidi="ar"/>
              </w:rPr>
              <w:t>4</w:t>
            </w:r>
          </w:p>
        </w:tc>
        <w:tc>
          <w:tcPr>
            <w:tcW w:w="511" w:type="pct"/>
            <w:tcBorders>
              <w:tl2br w:val="nil"/>
              <w:tr2bl w:val="nil"/>
            </w:tcBorders>
            <w:shd w:val="clear" w:color="auto" w:fill="auto"/>
            <w:noWrap/>
            <w:tcMar>
              <w:top w:w="15" w:type="dxa"/>
              <w:left w:w="15" w:type="dxa"/>
              <w:right w:w="15" w:type="dxa"/>
            </w:tcMar>
            <w:vAlign w:val="center"/>
          </w:tcPr>
          <w:p w14:paraId="3D407C96">
            <w:pPr>
              <w:widowControl/>
              <w:spacing w:line="240" w:lineRule="auto"/>
              <w:jc w:val="center"/>
              <w:textAlignment w:val="center"/>
              <w:rPr>
                <w:rFonts w:hint="eastAsia"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HH-2</w:t>
            </w:r>
          </w:p>
        </w:tc>
        <w:tc>
          <w:tcPr>
            <w:tcW w:w="921" w:type="pct"/>
            <w:tcBorders>
              <w:tl2br w:val="nil"/>
              <w:tr2bl w:val="nil"/>
            </w:tcBorders>
            <w:shd w:val="clear" w:color="auto" w:fill="auto"/>
            <w:noWrap/>
            <w:tcMar>
              <w:top w:w="15" w:type="dxa"/>
              <w:left w:w="15" w:type="dxa"/>
              <w:right w:w="15" w:type="dxa"/>
            </w:tcMar>
            <w:vAlign w:val="center"/>
          </w:tcPr>
          <w:p w14:paraId="50A8BF76">
            <w:pPr>
              <w:spacing w:line="240" w:lineRule="auto"/>
              <w:jc w:val="center"/>
              <w:rPr>
                <w:rFonts w:hint="eastAsia"/>
                <w:sz w:val="21"/>
                <w:szCs w:val="21"/>
                <w:highlight w:val="none"/>
              </w:rPr>
            </w:pPr>
            <w:r>
              <w:rPr>
                <w:sz w:val="21"/>
                <w:szCs w:val="21"/>
                <w:highlight w:val="none"/>
              </w:rPr>
              <w:t>园区边界</w:t>
            </w:r>
            <w:r>
              <w:rPr>
                <w:rFonts w:hint="eastAsia"/>
                <w:sz w:val="21"/>
                <w:szCs w:val="21"/>
                <w:highlight w:val="none"/>
              </w:rPr>
              <w:t>东侧</w:t>
            </w:r>
          </w:p>
          <w:p w14:paraId="731EAB6D">
            <w:pPr>
              <w:spacing w:line="240" w:lineRule="auto"/>
              <w:jc w:val="center"/>
              <w:rPr>
                <w:rFonts w:ascii="Times New Roman" w:hAnsi="Times New Roman" w:eastAsia="宋体" w:cs="Times New Roman"/>
                <w:color w:val="000000"/>
                <w:kern w:val="2"/>
                <w:sz w:val="21"/>
                <w:szCs w:val="21"/>
                <w:highlight w:val="none"/>
                <w:lang w:val="en-US" w:eastAsia="zh-CN" w:bidi="ar-SA"/>
              </w:rPr>
            </w:pPr>
            <w:r>
              <w:rPr>
                <w:rFonts w:hint="eastAsia"/>
                <w:sz w:val="21"/>
                <w:szCs w:val="21"/>
                <w:highlight w:val="none"/>
              </w:rPr>
              <w:t>上</w:t>
            </w:r>
            <w:r>
              <w:rPr>
                <w:sz w:val="21"/>
                <w:szCs w:val="21"/>
                <w:highlight w:val="none"/>
              </w:rPr>
              <w:t>风向</w:t>
            </w:r>
            <w:r>
              <w:rPr>
                <w:rFonts w:hint="eastAsia"/>
                <w:sz w:val="21"/>
                <w:szCs w:val="21"/>
                <w:highlight w:val="none"/>
              </w:rPr>
              <w:t>20</w:t>
            </w:r>
            <w:r>
              <w:rPr>
                <w:sz w:val="21"/>
                <w:szCs w:val="21"/>
                <w:highlight w:val="none"/>
              </w:rPr>
              <w:t>m</w:t>
            </w:r>
            <w:r>
              <w:rPr>
                <w:rFonts w:hint="eastAsia"/>
                <w:sz w:val="21"/>
                <w:szCs w:val="21"/>
                <w:highlight w:val="none"/>
              </w:rPr>
              <w:t>以外</w:t>
            </w:r>
          </w:p>
        </w:tc>
        <w:tc>
          <w:tcPr>
            <w:tcW w:w="875" w:type="pct"/>
            <w:tcBorders>
              <w:tl2br w:val="nil"/>
              <w:tr2bl w:val="nil"/>
            </w:tcBorders>
            <w:shd w:val="clear" w:color="auto" w:fill="auto"/>
            <w:noWrap/>
            <w:tcMar>
              <w:top w:w="15" w:type="dxa"/>
              <w:left w:w="15" w:type="dxa"/>
              <w:right w:w="15" w:type="dxa"/>
            </w:tcMar>
            <w:vAlign w:val="center"/>
          </w:tcPr>
          <w:p w14:paraId="2C4C06B4">
            <w:pPr>
              <w:widowControl/>
              <w:spacing w:line="240" w:lineRule="auto"/>
              <w:jc w:val="center"/>
              <w:textAlignment w:val="center"/>
              <w:rPr>
                <w:kern w:val="0"/>
                <w:sz w:val="21"/>
                <w:szCs w:val="21"/>
                <w:highlight w:val="none"/>
                <w:lang w:bidi="ar"/>
              </w:rPr>
            </w:pPr>
            <w:r>
              <w:rPr>
                <w:kern w:val="0"/>
                <w:sz w:val="21"/>
                <w:szCs w:val="21"/>
                <w:highlight w:val="none"/>
                <w:lang w:bidi="ar"/>
              </w:rPr>
              <w:t>第二类</w:t>
            </w:r>
          </w:p>
          <w:p w14:paraId="4B7DF3BD">
            <w:pPr>
              <w:widowControl/>
              <w:spacing w:line="240" w:lineRule="auto"/>
              <w:jc w:val="center"/>
              <w:textAlignment w:val="center"/>
              <w:rPr>
                <w:rFonts w:ascii="Times New Roman" w:hAnsi="Times New Roman" w:eastAsia="宋体" w:cs="Times New Roman"/>
                <w:kern w:val="0"/>
                <w:sz w:val="21"/>
                <w:szCs w:val="21"/>
                <w:highlight w:val="none"/>
                <w:lang w:val="en-US" w:eastAsia="zh-CN" w:bidi="ar"/>
              </w:rPr>
            </w:pPr>
            <w:r>
              <w:rPr>
                <w:kern w:val="0"/>
                <w:sz w:val="21"/>
                <w:szCs w:val="21"/>
                <w:highlight w:val="none"/>
                <w:lang w:bidi="ar"/>
              </w:rPr>
              <w:t>用地筛选值</w:t>
            </w:r>
          </w:p>
        </w:tc>
        <w:tc>
          <w:tcPr>
            <w:tcW w:w="297" w:type="pct"/>
            <w:tcBorders>
              <w:tl2br w:val="nil"/>
              <w:tr2bl w:val="nil"/>
            </w:tcBorders>
            <w:shd w:val="clear" w:color="auto" w:fill="auto"/>
            <w:noWrap/>
            <w:tcMar>
              <w:top w:w="15" w:type="dxa"/>
              <w:left w:w="15" w:type="dxa"/>
              <w:right w:w="15" w:type="dxa"/>
            </w:tcMar>
            <w:vAlign w:val="center"/>
          </w:tcPr>
          <w:p w14:paraId="37E23AD5">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27.6</w:t>
            </w:r>
          </w:p>
        </w:tc>
        <w:tc>
          <w:tcPr>
            <w:tcW w:w="297" w:type="pct"/>
            <w:tcBorders>
              <w:tl2br w:val="nil"/>
              <w:tr2bl w:val="nil"/>
            </w:tcBorders>
            <w:shd w:val="clear" w:color="auto" w:fill="auto"/>
            <w:noWrap/>
            <w:tcMar>
              <w:top w:w="15" w:type="dxa"/>
              <w:left w:w="15" w:type="dxa"/>
              <w:right w:w="15" w:type="dxa"/>
            </w:tcMar>
            <w:vAlign w:val="center"/>
          </w:tcPr>
          <w:p w14:paraId="27A9DE7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0.06</w:t>
            </w:r>
          </w:p>
        </w:tc>
        <w:tc>
          <w:tcPr>
            <w:tcW w:w="347" w:type="pct"/>
            <w:tcBorders>
              <w:tl2br w:val="nil"/>
              <w:tr2bl w:val="nil"/>
            </w:tcBorders>
            <w:shd w:val="clear" w:color="auto" w:fill="auto"/>
            <w:noWrap/>
            <w:tcMar>
              <w:top w:w="15" w:type="dxa"/>
              <w:left w:w="15" w:type="dxa"/>
              <w:right w:w="15" w:type="dxa"/>
            </w:tcMar>
            <w:vAlign w:val="center"/>
          </w:tcPr>
          <w:p w14:paraId="61A90A86">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0.03 </w:t>
            </w:r>
          </w:p>
        </w:tc>
        <w:tc>
          <w:tcPr>
            <w:tcW w:w="317" w:type="pct"/>
            <w:tcBorders>
              <w:tl2br w:val="nil"/>
              <w:tr2bl w:val="nil"/>
            </w:tcBorders>
            <w:shd w:val="clear" w:color="auto" w:fill="auto"/>
            <w:noWrap/>
            <w:tcMar>
              <w:top w:w="15" w:type="dxa"/>
              <w:left w:w="15" w:type="dxa"/>
              <w:right w:w="15" w:type="dxa"/>
            </w:tcMar>
            <w:vAlign w:val="center"/>
          </w:tcPr>
          <w:p w14:paraId="05981436">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33</w:t>
            </w:r>
          </w:p>
        </w:tc>
        <w:tc>
          <w:tcPr>
            <w:tcW w:w="297" w:type="pct"/>
            <w:tcBorders>
              <w:tl2br w:val="nil"/>
              <w:tr2bl w:val="nil"/>
            </w:tcBorders>
            <w:shd w:val="clear" w:color="auto" w:fill="auto"/>
            <w:noWrap/>
            <w:tcMar>
              <w:top w:w="15" w:type="dxa"/>
              <w:left w:w="15" w:type="dxa"/>
              <w:right w:w="15" w:type="dxa"/>
            </w:tcMar>
            <w:vAlign w:val="center"/>
          </w:tcPr>
          <w:p w14:paraId="05FDECF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37</w:t>
            </w:r>
          </w:p>
        </w:tc>
        <w:tc>
          <w:tcPr>
            <w:tcW w:w="297" w:type="pct"/>
            <w:tcBorders>
              <w:tl2br w:val="nil"/>
              <w:tr2bl w:val="nil"/>
            </w:tcBorders>
            <w:shd w:val="clear" w:color="auto" w:fill="auto"/>
            <w:noWrap/>
            <w:tcMar>
              <w:top w:w="15" w:type="dxa"/>
              <w:left w:w="15" w:type="dxa"/>
              <w:right w:w="15" w:type="dxa"/>
            </w:tcMar>
            <w:vAlign w:val="center"/>
          </w:tcPr>
          <w:p w14:paraId="042099A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55</w:t>
            </w:r>
          </w:p>
        </w:tc>
        <w:tc>
          <w:tcPr>
            <w:tcW w:w="297" w:type="pct"/>
            <w:tcBorders>
              <w:tl2br w:val="nil"/>
              <w:tr2bl w:val="nil"/>
            </w:tcBorders>
            <w:shd w:val="clear" w:color="auto" w:fill="auto"/>
            <w:noWrap/>
            <w:tcMar>
              <w:top w:w="15" w:type="dxa"/>
              <w:left w:w="15" w:type="dxa"/>
              <w:right w:w="15" w:type="dxa"/>
            </w:tcMar>
            <w:vAlign w:val="center"/>
          </w:tcPr>
          <w:p w14:paraId="373A416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12.7 </w:t>
            </w:r>
          </w:p>
        </w:tc>
        <w:tc>
          <w:tcPr>
            <w:tcW w:w="283" w:type="pct"/>
            <w:tcBorders>
              <w:tl2br w:val="nil"/>
              <w:tr2bl w:val="nil"/>
            </w:tcBorders>
            <w:vAlign w:val="center"/>
          </w:tcPr>
          <w:p w14:paraId="3967B8C6">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0.6 </w:t>
            </w:r>
          </w:p>
        </w:tc>
      </w:tr>
      <w:tr w14:paraId="21E868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2E88184D">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color w:val="000000"/>
                <w:kern w:val="0"/>
                <w:sz w:val="21"/>
                <w:szCs w:val="21"/>
                <w:highlight w:val="none"/>
                <w:lang w:bidi="ar"/>
              </w:rPr>
              <w:t>5</w:t>
            </w:r>
          </w:p>
        </w:tc>
        <w:tc>
          <w:tcPr>
            <w:tcW w:w="511" w:type="pct"/>
            <w:tcBorders>
              <w:tl2br w:val="nil"/>
              <w:tr2bl w:val="nil"/>
            </w:tcBorders>
            <w:shd w:val="clear" w:color="auto" w:fill="auto"/>
            <w:noWrap/>
            <w:tcMar>
              <w:top w:w="15" w:type="dxa"/>
              <w:left w:w="15" w:type="dxa"/>
              <w:right w:w="15" w:type="dxa"/>
            </w:tcMar>
            <w:vAlign w:val="center"/>
          </w:tcPr>
          <w:p w14:paraId="4E28CF87">
            <w:pPr>
              <w:widowControl/>
              <w:spacing w:line="240" w:lineRule="auto"/>
              <w:jc w:val="center"/>
              <w:textAlignment w:val="center"/>
              <w:rPr>
                <w:rFonts w:hint="eastAsia"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HH-3-75</w:t>
            </w:r>
          </w:p>
        </w:tc>
        <w:tc>
          <w:tcPr>
            <w:tcW w:w="921" w:type="pct"/>
            <w:tcBorders>
              <w:tl2br w:val="nil"/>
              <w:tr2bl w:val="nil"/>
            </w:tcBorders>
            <w:shd w:val="clear" w:color="auto" w:fill="auto"/>
            <w:noWrap/>
            <w:tcMar>
              <w:top w:w="15" w:type="dxa"/>
              <w:left w:w="15" w:type="dxa"/>
              <w:right w:w="15" w:type="dxa"/>
            </w:tcMar>
            <w:vAlign w:val="center"/>
          </w:tcPr>
          <w:p w14:paraId="400F8A11">
            <w:pPr>
              <w:spacing w:line="240" w:lineRule="auto"/>
              <w:jc w:val="center"/>
              <w:rPr>
                <w:sz w:val="21"/>
                <w:szCs w:val="21"/>
                <w:highlight w:val="none"/>
              </w:rPr>
            </w:pPr>
            <w:r>
              <w:rPr>
                <w:sz w:val="21"/>
                <w:szCs w:val="21"/>
                <w:highlight w:val="none"/>
              </w:rPr>
              <w:t>企业</w:t>
            </w:r>
            <w:r>
              <w:rPr>
                <w:rFonts w:hint="eastAsia"/>
                <w:sz w:val="21"/>
                <w:szCs w:val="21"/>
                <w:highlight w:val="none"/>
              </w:rPr>
              <w:t>聚集区</w:t>
            </w:r>
            <w:r>
              <w:rPr>
                <w:sz w:val="21"/>
                <w:szCs w:val="21"/>
                <w:highlight w:val="none"/>
              </w:rPr>
              <w:t>边界</w:t>
            </w:r>
          </w:p>
          <w:p w14:paraId="3758C00B">
            <w:pPr>
              <w:spacing w:line="240" w:lineRule="auto"/>
              <w:jc w:val="center"/>
              <w:rPr>
                <w:rFonts w:ascii="Times New Roman" w:hAnsi="Times New Roman" w:eastAsia="宋体" w:cs="Times New Roman"/>
                <w:color w:val="000000"/>
                <w:kern w:val="2"/>
                <w:sz w:val="21"/>
                <w:szCs w:val="21"/>
                <w:highlight w:val="none"/>
                <w:lang w:val="en-US" w:eastAsia="zh-CN" w:bidi="ar-SA"/>
              </w:rPr>
            </w:pPr>
            <w:r>
              <w:rPr>
                <w:rFonts w:hint="eastAsia"/>
                <w:sz w:val="21"/>
                <w:szCs w:val="21"/>
                <w:highlight w:val="none"/>
              </w:rPr>
              <w:t>南侧</w:t>
            </w:r>
            <w:r>
              <w:rPr>
                <w:sz w:val="21"/>
                <w:szCs w:val="21"/>
                <w:highlight w:val="none"/>
              </w:rPr>
              <w:t>下风向</w:t>
            </w:r>
            <w:r>
              <w:rPr>
                <w:rFonts w:hint="eastAsia"/>
                <w:sz w:val="21"/>
                <w:szCs w:val="21"/>
                <w:highlight w:val="none"/>
              </w:rPr>
              <w:t>75</w:t>
            </w:r>
            <w:r>
              <w:rPr>
                <w:sz w:val="21"/>
                <w:szCs w:val="21"/>
                <w:highlight w:val="none"/>
              </w:rPr>
              <w:t>m</w:t>
            </w:r>
          </w:p>
        </w:tc>
        <w:tc>
          <w:tcPr>
            <w:tcW w:w="875" w:type="pct"/>
            <w:tcBorders>
              <w:tl2br w:val="nil"/>
              <w:tr2bl w:val="nil"/>
            </w:tcBorders>
            <w:shd w:val="clear" w:color="auto" w:fill="auto"/>
            <w:noWrap/>
            <w:tcMar>
              <w:top w:w="15" w:type="dxa"/>
              <w:left w:w="15" w:type="dxa"/>
              <w:right w:w="15" w:type="dxa"/>
            </w:tcMar>
            <w:vAlign w:val="center"/>
          </w:tcPr>
          <w:p w14:paraId="73D244D6">
            <w:pPr>
              <w:widowControl/>
              <w:spacing w:line="240" w:lineRule="auto"/>
              <w:jc w:val="center"/>
              <w:textAlignment w:val="center"/>
              <w:rPr>
                <w:kern w:val="0"/>
                <w:sz w:val="21"/>
                <w:szCs w:val="21"/>
                <w:highlight w:val="none"/>
                <w:lang w:bidi="ar"/>
              </w:rPr>
            </w:pPr>
            <w:r>
              <w:rPr>
                <w:kern w:val="0"/>
                <w:sz w:val="21"/>
                <w:szCs w:val="21"/>
                <w:highlight w:val="none"/>
                <w:lang w:bidi="ar"/>
              </w:rPr>
              <w:t>第二类</w:t>
            </w:r>
          </w:p>
          <w:p w14:paraId="6C493EEC">
            <w:pPr>
              <w:widowControl/>
              <w:spacing w:line="240" w:lineRule="auto"/>
              <w:jc w:val="center"/>
              <w:textAlignment w:val="center"/>
              <w:rPr>
                <w:rFonts w:ascii="Times New Roman" w:hAnsi="Times New Roman" w:eastAsia="宋体" w:cs="Times New Roman"/>
                <w:kern w:val="0"/>
                <w:sz w:val="21"/>
                <w:szCs w:val="21"/>
                <w:highlight w:val="none"/>
                <w:lang w:val="en-US" w:eastAsia="zh-CN" w:bidi="ar"/>
              </w:rPr>
            </w:pPr>
            <w:r>
              <w:rPr>
                <w:kern w:val="0"/>
                <w:sz w:val="21"/>
                <w:szCs w:val="21"/>
                <w:highlight w:val="none"/>
                <w:lang w:bidi="ar"/>
              </w:rPr>
              <w:t>用地筛选值</w:t>
            </w:r>
          </w:p>
        </w:tc>
        <w:tc>
          <w:tcPr>
            <w:tcW w:w="297" w:type="pct"/>
            <w:tcBorders>
              <w:tl2br w:val="nil"/>
              <w:tr2bl w:val="nil"/>
            </w:tcBorders>
            <w:shd w:val="clear" w:color="auto" w:fill="auto"/>
            <w:noWrap/>
            <w:tcMar>
              <w:top w:w="15" w:type="dxa"/>
              <w:left w:w="15" w:type="dxa"/>
              <w:right w:w="15" w:type="dxa"/>
            </w:tcMar>
            <w:vAlign w:val="center"/>
          </w:tcPr>
          <w:p w14:paraId="41FCD6DE">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39.6</w:t>
            </w:r>
          </w:p>
        </w:tc>
        <w:tc>
          <w:tcPr>
            <w:tcW w:w="297" w:type="pct"/>
            <w:tcBorders>
              <w:tl2br w:val="nil"/>
              <w:tr2bl w:val="nil"/>
            </w:tcBorders>
            <w:shd w:val="clear" w:color="auto" w:fill="auto"/>
            <w:noWrap/>
            <w:tcMar>
              <w:top w:w="15" w:type="dxa"/>
              <w:left w:w="15" w:type="dxa"/>
              <w:right w:w="15" w:type="dxa"/>
            </w:tcMar>
            <w:vAlign w:val="center"/>
          </w:tcPr>
          <w:p w14:paraId="2B2D688C">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0.11</w:t>
            </w:r>
          </w:p>
        </w:tc>
        <w:tc>
          <w:tcPr>
            <w:tcW w:w="347" w:type="pct"/>
            <w:tcBorders>
              <w:tl2br w:val="nil"/>
              <w:tr2bl w:val="nil"/>
            </w:tcBorders>
            <w:shd w:val="clear" w:color="auto" w:fill="auto"/>
            <w:noWrap/>
            <w:tcMar>
              <w:top w:w="15" w:type="dxa"/>
              <w:left w:w="15" w:type="dxa"/>
              <w:right w:w="15" w:type="dxa"/>
            </w:tcMar>
            <w:vAlign w:val="center"/>
          </w:tcPr>
          <w:p w14:paraId="179D4EE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0.07 </w:t>
            </w:r>
          </w:p>
        </w:tc>
        <w:tc>
          <w:tcPr>
            <w:tcW w:w="317" w:type="pct"/>
            <w:tcBorders>
              <w:tl2br w:val="nil"/>
              <w:tr2bl w:val="nil"/>
            </w:tcBorders>
            <w:shd w:val="clear" w:color="auto" w:fill="auto"/>
            <w:noWrap/>
            <w:tcMar>
              <w:top w:w="15" w:type="dxa"/>
              <w:left w:w="15" w:type="dxa"/>
              <w:right w:w="15" w:type="dxa"/>
            </w:tcMar>
            <w:vAlign w:val="center"/>
          </w:tcPr>
          <w:p w14:paraId="0B7FF43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41</w:t>
            </w:r>
          </w:p>
        </w:tc>
        <w:tc>
          <w:tcPr>
            <w:tcW w:w="297" w:type="pct"/>
            <w:tcBorders>
              <w:tl2br w:val="nil"/>
              <w:tr2bl w:val="nil"/>
            </w:tcBorders>
            <w:shd w:val="clear" w:color="auto" w:fill="auto"/>
            <w:noWrap/>
            <w:tcMar>
              <w:top w:w="15" w:type="dxa"/>
              <w:left w:w="15" w:type="dxa"/>
              <w:right w:w="15" w:type="dxa"/>
            </w:tcMar>
            <w:vAlign w:val="center"/>
          </w:tcPr>
          <w:p w14:paraId="57DE7B0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39</w:t>
            </w:r>
          </w:p>
        </w:tc>
        <w:tc>
          <w:tcPr>
            <w:tcW w:w="297" w:type="pct"/>
            <w:tcBorders>
              <w:tl2br w:val="nil"/>
              <w:tr2bl w:val="nil"/>
            </w:tcBorders>
            <w:shd w:val="clear" w:color="auto" w:fill="auto"/>
            <w:noWrap/>
            <w:tcMar>
              <w:top w:w="15" w:type="dxa"/>
              <w:left w:w="15" w:type="dxa"/>
              <w:right w:w="15" w:type="dxa"/>
            </w:tcMar>
            <w:vAlign w:val="center"/>
          </w:tcPr>
          <w:p w14:paraId="40FE464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58</w:t>
            </w:r>
          </w:p>
        </w:tc>
        <w:tc>
          <w:tcPr>
            <w:tcW w:w="297" w:type="pct"/>
            <w:tcBorders>
              <w:tl2br w:val="nil"/>
              <w:tr2bl w:val="nil"/>
            </w:tcBorders>
            <w:shd w:val="clear" w:color="auto" w:fill="auto"/>
            <w:noWrap/>
            <w:tcMar>
              <w:top w:w="15" w:type="dxa"/>
              <w:left w:w="15" w:type="dxa"/>
              <w:right w:w="15" w:type="dxa"/>
            </w:tcMar>
            <w:vAlign w:val="center"/>
          </w:tcPr>
          <w:p w14:paraId="0E2C957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16.4 </w:t>
            </w:r>
          </w:p>
        </w:tc>
        <w:tc>
          <w:tcPr>
            <w:tcW w:w="283" w:type="pct"/>
            <w:tcBorders>
              <w:tl2br w:val="nil"/>
              <w:tr2bl w:val="nil"/>
            </w:tcBorders>
            <w:vAlign w:val="center"/>
          </w:tcPr>
          <w:p w14:paraId="478CD0BC">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0.8 </w:t>
            </w:r>
          </w:p>
        </w:tc>
      </w:tr>
      <w:tr w14:paraId="4FF32C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474F0D46">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color w:val="000000"/>
                <w:kern w:val="0"/>
                <w:sz w:val="21"/>
                <w:szCs w:val="21"/>
                <w:highlight w:val="none"/>
                <w:lang w:bidi="ar"/>
              </w:rPr>
              <w:t>6</w:t>
            </w:r>
          </w:p>
        </w:tc>
        <w:tc>
          <w:tcPr>
            <w:tcW w:w="511" w:type="pct"/>
            <w:tcBorders>
              <w:tl2br w:val="nil"/>
              <w:tr2bl w:val="nil"/>
            </w:tcBorders>
            <w:shd w:val="clear" w:color="auto" w:fill="auto"/>
            <w:noWrap/>
            <w:tcMar>
              <w:top w:w="15" w:type="dxa"/>
              <w:left w:w="15" w:type="dxa"/>
              <w:right w:w="15" w:type="dxa"/>
            </w:tcMar>
            <w:vAlign w:val="center"/>
          </w:tcPr>
          <w:p w14:paraId="1B563F8A">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HH-4</w:t>
            </w:r>
          </w:p>
        </w:tc>
        <w:tc>
          <w:tcPr>
            <w:tcW w:w="921" w:type="pct"/>
            <w:tcBorders>
              <w:tl2br w:val="nil"/>
              <w:tr2bl w:val="nil"/>
            </w:tcBorders>
            <w:shd w:val="clear" w:color="auto" w:fill="auto"/>
            <w:noWrap/>
            <w:tcMar>
              <w:top w:w="15" w:type="dxa"/>
              <w:left w:w="15" w:type="dxa"/>
              <w:right w:w="15" w:type="dxa"/>
            </w:tcMar>
            <w:vAlign w:val="center"/>
          </w:tcPr>
          <w:p w14:paraId="3EDF77BC">
            <w:pPr>
              <w:spacing w:line="240" w:lineRule="auto"/>
              <w:jc w:val="center"/>
              <w:rPr>
                <w:rFonts w:hint="eastAsia"/>
                <w:sz w:val="21"/>
                <w:szCs w:val="21"/>
                <w:highlight w:val="none"/>
              </w:rPr>
            </w:pPr>
            <w:r>
              <w:rPr>
                <w:sz w:val="21"/>
                <w:szCs w:val="21"/>
                <w:highlight w:val="none"/>
              </w:rPr>
              <w:t>园区边界</w:t>
            </w:r>
            <w:r>
              <w:rPr>
                <w:rFonts w:hint="eastAsia"/>
                <w:sz w:val="21"/>
                <w:szCs w:val="21"/>
                <w:highlight w:val="none"/>
              </w:rPr>
              <w:t>北侧</w:t>
            </w:r>
          </w:p>
          <w:p w14:paraId="0E63EDC2">
            <w:pPr>
              <w:spacing w:line="240" w:lineRule="auto"/>
              <w:jc w:val="center"/>
              <w:rPr>
                <w:rFonts w:ascii="Times New Roman" w:hAnsi="Times New Roman" w:eastAsia="宋体" w:cs="Times New Roman"/>
                <w:color w:val="000000"/>
                <w:kern w:val="2"/>
                <w:sz w:val="21"/>
                <w:szCs w:val="21"/>
                <w:highlight w:val="none"/>
                <w:lang w:val="en-US" w:eastAsia="zh-CN" w:bidi="ar-SA"/>
              </w:rPr>
            </w:pPr>
            <w:r>
              <w:rPr>
                <w:rFonts w:hint="eastAsia"/>
                <w:sz w:val="21"/>
                <w:szCs w:val="21"/>
                <w:highlight w:val="none"/>
              </w:rPr>
              <w:t>上</w:t>
            </w:r>
            <w:r>
              <w:rPr>
                <w:sz w:val="21"/>
                <w:szCs w:val="21"/>
                <w:highlight w:val="none"/>
              </w:rPr>
              <w:t>风向</w:t>
            </w:r>
            <w:r>
              <w:rPr>
                <w:rFonts w:hint="eastAsia"/>
                <w:sz w:val="21"/>
                <w:szCs w:val="21"/>
                <w:highlight w:val="none"/>
              </w:rPr>
              <w:t>2</w:t>
            </w:r>
            <w:r>
              <w:rPr>
                <w:sz w:val="21"/>
                <w:szCs w:val="21"/>
                <w:highlight w:val="none"/>
              </w:rPr>
              <w:t>0m</w:t>
            </w:r>
            <w:r>
              <w:rPr>
                <w:rFonts w:hint="eastAsia"/>
                <w:sz w:val="21"/>
                <w:szCs w:val="21"/>
                <w:highlight w:val="none"/>
              </w:rPr>
              <w:t>以外</w:t>
            </w:r>
          </w:p>
        </w:tc>
        <w:tc>
          <w:tcPr>
            <w:tcW w:w="875" w:type="pct"/>
            <w:tcBorders>
              <w:tl2br w:val="nil"/>
              <w:tr2bl w:val="nil"/>
            </w:tcBorders>
            <w:shd w:val="clear" w:color="auto" w:fill="auto"/>
            <w:noWrap/>
            <w:tcMar>
              <w:top w:w="15" w:type="dxa"/>
              <w:left w:w="15" w:type="dxa"/>
              <w:right w:w="15" w:type="dxa"/>
            </w:tcMar>
            <w:vAlign w:val="center"/>
          </w:tcPr>
          <w:p w14:paraId="7A0DD423">
            <w:pPr>
              <w:widowControl/>
              <w:spacing w:line="240" w:lineRule="auto"/>
              <w:jc w:val="center"/>
              <w:textAlignment w:val="center"/>
              <w:rPr>
                <w:kern w:val="0"/>
                <w:sz w:val="21"/>
                <w:szCs w:val="21"/>
                <w:highlight w:val="none"/>
                <w:lang w:bidi="ar"/>
              </w:rPr>
            </w:pPr>
            <w:r>
              <w:rPr>
                <w:kern w:val="0"/>
                <w:sz w:val="21"/>
                <w:szCs w:val="21"/>
                <w:highlight w:val="none"/>
                <w:lang w:bidi="ar"/>
              </w:rPr>
              <w:t>第一类</w:t>
            </w:r>
          </w:p>
          <w:p w14:paraId="058A86D4">
            <w:pPr>
              <w:widowControl/>
              <w:spacing w:line="240" w:lineRule="auto"/>
              <w:jc w:val="center"/>
              <w:textAlignment w:val="center"/>
              <w:rPr>
                <w:rFonts w:ascii="Times New Roman" w:hAnsi="Times New Roman" w:eastAsia="宋体" w:cs="Times New Roman"/>
                <w:kern w:val="0"/>
                <w:sz w:val="21"/>
                <w:szCs w:val="21"/>
                <w:highlight w:val="none"/>
                <w:lang w:val="en-US" w:eastAsia="zh-CN" w:bidi="ar"/>
              </w:rPr>
            </w:pPr>
            <w:r>
              <w:rPr>
                <w:kern w:val="0"/>
                <w:sz w:val="21"/>
                <w:szCs w:val="21"/>
                <w:highlight w:val="none"/>
                <w:lang w:bidi="ar"/>
              </w:rPr>
              <w:t>用地筛选值</w:t>
            </w:r>
          </w:p>
        </w:tc>
        <w:tc>
          <w:tcPr>
            <w:tcW w:w="297" w:type="pct"/>
            <w:tcBorders>
              <w:tl2br w:val="nil"/>
              <w:tr2bl w:val="nil"/>
            </w:tcBorders>
            <w:shd w:val="clear" w:color="auto" w:fill="auto"/>
            <w:noWrap/>
            <w:tcMar>
              <w:top w:w="15" w:type="dxa"/>
              <w:left w:w="15" w:type="dxa"/>
              <w:right w:w="15" w:type="dxa"/>
            </w:tcMar>
            <w:vAlign w:val="center"/>
          </w:tcPr>
          <w:p w14:paraId="2D8ABF81">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41.7</w:t>
            </w:r>
          </w:p>
        </w:tc>
        <w:tc>
          <w:tcPr>
            <w:tcW w:w="297" w:type="pct"/>
            <w:tcBorders>
              <w:tl2br w:val="nil"/>
              <w:tr2bl w:val="nil"/>
            </w:tcBorders>
            <w:shd w:val="clear" w:color="auto" w:fill="auto"/>
            <w:noWrap/>
            <w:tcMar>
              <w:top w:w="15" w:type="dxa"/>
              <w:left w:w="15" w:type="dxa"/>
              <w:right w:w="15" w:type="dxa"/>
            </w:tcMar>
            <w:vAlign w:val="center"/>
          </w:tcPr>
          <w:p w14:paraId="1C684B0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0.14</w:t>
            </w:r>
          </w:p>
        </w:tc>
        <w:tc>
          <w:tcPr>
            <w:tcW w:w="347" w:type="pct"/>
            <w:tcBorders>
              <w:tl2br w:val="nil"/>
              <w:tr2bl w:val="nil"/>
            </w:tcBorders>
            <w:shd w:val="clear" w:color="auto" w:fill="auto"/>
            <w:noWrap/>
            <w:tcMar>
              <w:top w:w="15" w:type="dxa"/>
              <w:left w:w="15" w:type="dxa"/>
              <w:right w:w="15" w:type="dxa"/>
            </w:tcMar>
            <w:vAlign w:val="center"/>
          </w:tcPr>
          <w:p w14:paraId="78D81D0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0.04 </w:t>
            </w:r>
          </w:p>
        </w:tc>
        <w:tc>
          <w:tcPr>
            <w:tcW w:w="317" w:type="pct"/>
            <w:tcBorders>
              <w:tl2br w:val="nil"/>
              <w:tr2bl w:val="nil"/>
            </w:tcBorders>
            <w:shd w:val="clear" w:color="auto" w:fill="auto"/>
            <w:noWrap/>
            <w:tcMar>
              <w:top w:w="15" w:type="dxa"/>
              <w:left w:w="15" w:type="dxa"/>
              <w:right w:w="15" w:type="dxa"/>
            </w:tcMar>
            <w:vAlign w:val="center"/>
          </w:tcPr>
          <w:p w14:paraId="4AC2637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23</w:t>
            </w:r>
          </w:p>
        </w:tc>
        <w:tc>
          <w:tcPr>
            <w:tcW w:w="297" w:type="pct"/>
            <w:tcBorders>
              <w:tl2br w:val="nil"/>
              <w:tr2bl w:val="nil"/>
            </w:tcBorders>
            <w:shd w:val="clear" w:color="auto" w:fill="auto"/>
            <w:noWrap/>
            <w:tcMar>
              <w:top w:w="15" w:type="dxa"/>
              <w:left w:w="15" w:type="dxa"/>
              <w:right w:w="15" w:type="dxa"/>
            </w:tcMar>
            <w:vAlign w:val="center"/>
          </w:tcPr>
          <w:p w14:paraId="5C194A9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18</w:t>
            </w:r>
          </w:p>
        </w:tc>
        <w:tc>
          <w:tcPr>
            <w:tcW w:w="297" w:type="pct"/>
            <w:tcBorders>
              <w:tl2br w:val="nil"/>
              <w:tr2bl w:val="nil"/>
            </w:tcBorders>
            <w:shd w:val="clear" w:color="auto" w:fill="auto"/>
            <w:noWrap/>
            <w:tcMar>
              <w:top w:w="15" w:type="dxa"/>
              <w:left w:w="15" w:type="dxa"/>
              <w:right w:w="15" w:type="dxa"/>
            </w:tcMar>
            <w:vAlign w:val="center"/>
          </w:tcPr>
          <w:p w14:paraId="629CB56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60</w:t>
            </w:r>
          </w:p>
        </w:tc>
        <w:tc>
          <w:tcPr>
            <w:tcW w:w="297" w:type="pct"/>
            <w:tcBorders>
              <w:tl2br w:val="nil"/>
              <w:tr2bl w:val="nil"/>
            </w:tcBorders>
            <w:shd w:val="clear" w:color="auto" w:fill="auto"/>
            <w:noWrap/>
            <w:tcMar>
              <w:top w:w="15" w:type="dxa"/>
              <w:left w:w="15" w:type="dxa"/>
              <w:right w:w="15" w:type="dxa"/>
            </w:tcMar>
            <w:vAlign w:val="center"/>
          </w:tcPr>
          <w:p w14:paraId="3240BB4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11.1 </w:t>
            </w:r>
          </w:p>
        </w:tc>
        <w:tc>
          <w:tcPr>
            <w:tcW w:w="283" w:type="pct"/>
            <w:tcBorders>
              <w:tl2br w:val="nil"/>
              <w:tr2bl w:val="nil"/>
            </w:tcBorders>
            <w:vAlign w:val="center"/>
          </w:tcPr>
          <w:p w14:paraId="227E7CC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0.7 </w:t>
            </w:r>
          </w:p>
        </w:tc>
      </w:tr>
      <w:tr w14:paraId="0CFE78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5" w:hRule="atLeast"/>
          <w:jc w:val="center"/>
        </w:trPr>
        <w:tc>
          <w:tcPr>
            <w:tcW w:w="258" w:type="pct"/>
            <w:tcBorders>
              <w:tl2br w:val="nil"/>
              <w:tr2bl w:val="nil"/>
            </w:tcBorders>
            <w:shd w:val="clear" w:color="auto" w:fill="auto"/>
            <w:noWrap/>
            <w:tcMar>
              <w:top w:w="15" w:type="dxa"/>
              <w:left w:w="15" w:type="dxa"/>
              <w:right w:w="15" w:type="dxa"/>
            </w:tcMar>
            <w:vAlign w:val="center"/>
          </w:tcPr>
          <w:p w14:paraId="72D541D7">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rPr>
              <w:t>7</w:t>
            </w:r>
          </w:p>
        </w:tc>
        <w:tc>
          <w:tcPr>
            <w:tcW w:w="511" w:type="pct"/>
            <w:tcBorders>
              <w:tl2br w:val="nil"/>
              <w:tr2bl w:val="nil"/>
            </w:tcBorders>
            <w:shd w:val="clear" w:color="auto" w:fill="auto"/>
            <w:noWrap/>
            <w:tcMar>
              <w:top w:w="15" w:type="dxa"/>
              <w:left w:w="15" w:type="dxa"/>
              <w:right w:w="15" w:type="dxa"/>
            </w:tcMar>
            <w:vAlign w:val="center"/>
          </w:tcPr>
          <w:p w14:paraId="277FD671">
            <w:pPr>
              <w:widowControl/>
              <w:spacing w:line="240" w:lineRule="auto"/>
              <w:jc w:val="center"/>
              <w:textAlignment w:val="center"/>
              <w:rPr>
                <w:rFonts w:hint="eastAsia"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HH-JJ-1</w:t>
            </w:r>
          </w:p>
        </w:tc>
        <w:tc>
          <w:tcPr>
            <w:tcW w:w="1767" w:type="dxa"/>
            <w:tcBorders>
              <w:tl2br w:val="nil"/>
              <w:tr2bl w:val="nil"/>
            </w:tcBorders>
            <w:shd w:val="clear" w:color="auto" w:fill="auto"/>
            <w:noWrap/>
            <w:tcMar>
              <w:top w:w="15" w:type="dxa"/>
              <w:left w:w="15" w:type="dxa"/>
              <w:right w:w="15" w:type="dxa"/>
            </w:tcMar>
            <w:vAlign w:val="center"/>
          </w:tcPr>
          <w:p w14:paraId="39640887">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企业聚集区</w:t>
            </w:r>
            <w:r>
              <w:rPr>
                <w:rFonts w:hint="eastAsia"/>
                <w:sz w:val="21"/>
                <w:szCs w:val="21"/>
                <w:highlight w:val="none"/>
                <w:lang w:val="en-US" w:eastAsia="zh-CN"/>
              </w:rPr>
              <w:t>南侧</w:t>
            </w:r>
          </w:p>
        </w:tc>
        <w:tc>
          <w:tcPr>
            <w:tcW w:w="875" w:type="pct"/>
            <w:tcBorders>
              <w:tl2br w:val="nil"/>
              <w:tr2bl w:val="nil"/>
            </w:tcBorders>
            <w:shd w:val="clear" w:color="auto" w:fill="auto"/>
            <w:noWrap/>
            <w:tcMar>
              <w:top w:w="15" w:type="dxa"/>
              <w:left w:w="15" w:type="dxa"/>
              <w:right w:w="15" w:type="dxa"/>
            </w:tcMar>
            <w:vAlign w:val="center"/>
          </w:tcPr>
          <w:p w14:paraId="28D912EC">
            <w:pPr>
              <w:widowControl/>
              <w:spacing w:line="240" w:lineRule="auto"/>
              <w:jc w:val="center"/>
              <w:textAlignment w:val="center"/>
              <w:rPr>
                <w:kern w:val="0"/>
                <w:sz w:val="21"/>
                <w:szCs w:val="21"/>
                <w:highlight w:val="none"/>
                <w:lang w:bidi="ar"/>
              </w:rPr>
            </w:pPr>
            <w:r>
              <w:rPr>
                <w:kern w:val="0"/>
                <w:sz w:val="21"/>
                <w:szCs w:val="21"/>
                <w:highlight w:val="none"/>
                <w:lang w:bidi="ar"/>
              </w:rPr>
              <w:t>第一类</w:t>
            </w:r>
          </w:p>
          <w:p w14:paraId="77556C29">
            <w:pPr>
              <w:widowControl/>
              <w:spacing w:line="240" w:lineRule="auto"/>
              <w:jc w:val="center"/>
              <w:textAlignment w:val="center"/>
              <w:rPr>
                <w:rFonts w:ascii="Times New Roman" w:hAnsi="Times New Roman" w:eastAsia="宋体" w:cs="Times New Roman"/>
                <w:kern w:val="0"/>
                <w:sz w:val="21"/>
                <w:szCs w:val="21"/>
                <w:highlight w:val="none"/>
                <w:lang w:val="en-US" w:eastAsia="zh-CN" w:bidi="ar"/>
              </w:rPr>
            </w:pPr>
            <w:r>
              <w:rPr>
                <w:kern w:val="0"/>
                <w:sz w:val="21"/>
                <w:szCs w:val="21"/>
                <w:highlight w:val="none"/>
                <w:lang w:bidi="ar"/>
              </w:rPr>
              <w:t>用地筛选值</w:t>
            </w:r>
          </w:p>
        </w:tc>
        <w:tc>
          <w:tcPr>
            <w:tcW w:w="297" w:type="pct"/>
            <w:tcBorders>
              <w:tl2br w:val="nil"/>
              <w:tr2bl w:val="nil"/>
            </w:tcBorders>
            <w:shd w:val="clear" w:color="auto" w:fill="auto"/>
            <w:noWrap/>
            <w:tcMar>
              <w:top w:w="15" w:type="dxa"/>
              <w:left w:w="15" w:type="dxa"/>
              <w:right w:w="15" w:type="dxa"/>
            </w:tcMar>
            <w:vAlign w:val="center"/>
          </w:tcPr>
          <w:p w14:paraId="05891208">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46.3</w:t>
            </w:r>
          </w:p>
        </w:tc>
        <w:tc>
          <w:tcPr>
            <w:tcW w:w="297" w:type="pct"/>
            <w:tcBorders>
              <w:tl2br w:val="nil"/>
              <w:tr2bl w:val="nil"/>
            </w:tcBorders>
            <w:shd w:val="clear" w:color="auto" w:fill="auto"/>
            <w:noWrap/>
            <w:tcMar>
              <w:top w:w="15" w:type="dxa"/>
              <w:left w:w="15" w:type="dxa"/>
              <w:right w:w="15" w:type="dxa"/>
            </w:tcMar>
            <w:vAlign w:val="center"/>
          </w:tcPr>
          <w:p w14:paraId="43ECDE0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0.26</w:t>
            </w:r>
          </w:p>
        </w:tc>
        <w:tc>
          <w:tcPr>
            <w:tcW w:w="347" w:type="pct"/>
            <w:tcBorders>
              <w:tl2br w:val="nil"/>
              <w:tr2bl w:val="nil"/>
            </w:tcBorders>
            <w:shd w:val="clear" w:color="auto" w:fill="auto"/>
            <w:noWrap/>
            <w:tcMar>
              <w:top w:w="15" w:type="dxa"/>
              <w:left w:w="15" w:type="dxa"/>
              <w:right w:w="15" w:type="dxa"/>
            </w:tcMar>
            <w:vAlign w:val="center"/>
          </w:tcPr>
          <w:p w14:paraId="072E73CA">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0.10 </w:t>
            </w:r>
          </w:p>
        </w:tc>
        <w:tc>
          <w:tcPr>
            <w:tcW w:w="317" w:type="pct"/>
            <w:tcBorders>
              <w:tl2br w:val="nil"/>
              <w:tr2bl w:val="nil"/>
            </w:tcBorders>
            <w:shd w:val="clear" w:color="auto" w:fill="auto"/>
            <w:noWrap/>
            <w:tcMar>
              <w:top w:w="15" w:type="dxa"/>
              <w:left w:w="15" w:type="dxa"/>
              <w:right w:w="15" w:type="dxa"/>
            </w:tcMar>
            <w:vAlign w:val="center"/>
          </w:tcPr>
          <w:p w14:paraId="67F8A2F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40</w:t>
            </w:r>
          </w:p>
        </w:tc>
        <w:tc>
          <w:tcPr>
            <w:tcW w:w="297" w:type="pct"/>
            <w:tcBorders>
              <w:tl2br w:val="nil"/>
              <w:tr2bl w:val="nil"/>
            </w:tcBorders>
            <w:shd w:val="clear" w:color="auto" w:fill="auto"/>
            <w:noWrap/>
            <w:tcMar>
              <w:top w:w="15" w:type="dxa"/>
              <w:left w:w="15" w:type="dxa"/>
              <w:right w:w="15" w:type="dxa"/>
            </w:tcMar>
            <w:vAlign w:val="center"/>
          </w:tcPr>
          <w:p w14:paraId="32309A06">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31</w:t>
            </w:r>
          </w:p>
        </w:tc>
        <w:tc>
          <w:tcPr>
            <w:tcW w:w="297" w:type="pct"/>
            <w:tcBorders>
              <w:tl2br w:val="nil"/>
              <w:tr2bl w:val="nil"/>
            </w:tcBorders>
            <w:shd w:val="clear" w:color="auto" w:fill="auto"/>
            <w:noWrap/>
            <w:tcMar>
              <w:top w:w="15" w:type="dxa"/>
              <w:left w:w="15" w:type="dxa"/>
              <w:right w:w="15" w:type="dxa"/>
            </w:tcMar>
            <w:vAlign w:val="center"/>
          </w:tcPr>
          <w:p w14:paraId="49D6BEB9">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93</w:t>
            </w:r>
          </w:p>
        </w:tc>
        <w:tc>
          <w:tcPr>
            <w:tcW w:w="297" w:type="pct"/>
            <w:tcBorders>
              <w:tl2br w:val="nil"/>
              <w:tr2bl w:val="nil"/>
            </w:tcBorders>
            <w:shd w:val="clear" w:color="auto" w:fill="auto"/>
            <w:noWrap/>
            <w:tcMar>
              <w:top w:w="15" w:type="dxa"/>
              <w:left w:w="15" w:type="dxa"/>
              <w:right w:w="15" w:type="dxa"/>
            </w:tcMar>
            <w:vAlign w:val="center"/>
          </w:tcPr>
          <w:p w14:paraId="34C51FF9">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15.6 </w:t>
            </w:r>
          </w:p>
        </w:tc>
        <w:tc>
          <w:tcPr>
            <w:tcW w:w="283" w:type="pct"/>
            <w:tcBorders>
              <w:tl2br w:val="nil"/>
              <w:tr2bl w:val="nil"/>
            </w:tcBorders>
            <w:vAlign w:val="center"/>
          </w:tcPr>
          <w:p w14:paraId="5877947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1.0 </w:t>
            </w:r>
          </w:p>
        </w:tc>
      </w:tr>
      <w:tr w14:paraId="31FC41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0DEB4FB2">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rPr>
              <w:t>8</w:t>
            </w:r>
          </w:p>
        </w:tc>
        <w:tc>
          <w:tcPr>
            <w:tcW w:w="511" w:type="pct"/>
            <w:tcBorders>
              <w:tl2br w:val="nil"/>
              <w:tr2bl w:val="nil"/>
            </w:tcBorders>
            <w:shd w:val="clear" w:color="auto" w:fill="auto"/>
            <w:noWrap/>
            <w:tcMar>
              <w:top w:w="15" w:type="dxa"/>
              <w:left w:w="15" w:type="dxa"/>
              <w:right w:w="15" w:type="dxa"/>
            </w:tcMar>
            <w:vAlign w:val="center"/>
          </w:tcPr>
          <w:p w14:paraId="02FB42AC">
            <w:pPr>
              <w:widowControl/>
              <w:spacing w:line="240" w:lineRule="auto"/>
              <w:jc w:val="center"/>
              <w:textAlignment w:val="center"/>
              <w:rPr>
                <w:rFonts w:hint="eastAsia"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HH-JJ-2</w:t>
            </w:r>
          </w:p>
        </w:tc>
        <w:tc>
          <w:tcPr>
            <w:tcW w:w="1767" w:type="dxa"/>
            <w:tcBorders>
              <w:tl2br w:val="nil"/>
              <w:tr2bl w:val="nil"/>
            </w:tcBorders>
            <w:shd w:val="clear" w:color="auto" w:fill="auto"/>
            <w:noWrap/>
            <w:tcMar>
              <w:top w:w="15" w:type="dxa"/>
              <w:left w:w="15" w:type="dxa"/>
              <w:right w:w="15" w:type="dxa"/>
            </w:tcMar>
            <w:vAlign w:val="center"/>
          </w:tcPr>
          <w:p w14:paraId="2E315F33">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企业聚集区</w:t>
            </w:r>
            <w:r>
              <w:rPr>
                <w:rFonts w:hint="eastAsia"/>
                <w:sz w:val="21"/>
                <w:szCs w:val="21"/>
                <w:highlight w:val="none"/>
              </w:rPr>
              <w:t>北</w:t>
            </w:r>
            <w:r>
              <w:rPr>
                <w:sz w:val="21"/>
                <w:szCs w:val="21"/>
                <w:highlight w:val="none"/>
              </w:rPr>
              <w:t>侧</w:t>
            </w:r>
          </w:p>
        </w:tc>
        <w:tc>
          <w:tcPr>
            <w:tcW w:w="875" w:type="pct"/>
            <w:tcBorders>
              <w:tl2br w:val="nil"/>
              <w:tr2bl w:val="nil"/>
            </w:tcBorders>
            <w:shd w:val="clear" w:color="auto" w:fill="auto"/>
            <w:noWrap/>
            <w:tcMar>
              <w:top w:w="15" w:type="dxa"/>
              <w:left w:w="15" w:type="dxa"/>
              <w:right w:w="15" w:type="dxa"/>
            </w:tcMar>
            <w:vAlign w:val="center"/>
          </w:tcPr>
          <w:p w14:paraId="0C31F4FA">
            <w:pPr>
              <w:widowControl/>
              <w:spacing w:line="240" w:lineRule="auto"/>
              <w:jc w:val="center"/>
              <w:textAlignment w:val="center"/>
              <w:rPr>
                <w:kern w:val="0"/>
                <w:sz w:val="21"/>
                <w:szCs w:val="21"/>
                <w:highlight w:val="none"/>
                <w:lang w:bidi="ar"/>
              </w:rPr>
            </w:pPr>
            <w:r>
              <w:rPr>
                <w:kern w:val="0"/>
                <w:sz w:val="21"/>
                <w:szCs w:val="21"/>
                <w:highlight w:val="none"/>
                <w:lang w:bidi="ar"/>
              </w:rPr>
              <w:t>第二类</w:t>
            </w:r>
          </w:p>
          <w:p w14:paraId="0B3D1B91">
            <w:pPr>
              <w:widowControl/>
              <w:spacing w:line="240" w:lineRule="auto"/>
              <w:jc w:val="center"/>
              <w:textAlignment w:val="center"/>
              <w:rPr>
                <w:rFonts w:ascii="Times New Roman" w:hAnsi="Times New Roman" w:eastAsia="宋体" w:cs="Times New Roman"/>
                <w:kern w:val="0"/>
                <w:sz w:val="21"/>
                <w:szCs w:val="21"/>
                <w:highlight w:val="none"/>
                <w:lang w:val="en-US" w:eastAsia="zh-CN" w:bidi="ar"/>
              </w:rPr>
            </w:pPr>
            <w:r>
              <w:rPr>
                <w:kern w:val="0"/>
                <w:sz w:val="21"/>
                <w:szCs w:val="21"/>
                <w:highlight w:val="none"/>
                <w:lang w:bidi="ar"/>
              </w:rPr>
              <w:t>用地筛选值</w:t>
            </w:r>
          </w:p>
        </w:tc>
        <w:tc>
          <w:tcPr>
            <w:tcW w:w="297" w:type="pct"/>
            <w:tcBorders>
              <w:tl2br w:val="nil"/>
              <w:tr2bl w:val="nil"/>
            </w:tcBorders>
            <w:shd w:val="clear" w:color="auto" w:fill="auto"/>
            <w:noWrap/>
            <w:tcMar>
              <w:top w:w="15" w:type="dxa"/>
              <w:left w:w="15" w:type="dxa"/>
              <w:right w:w="15" w:type="dxa"/>
            </w:tcMar>
            <w:vAlign w:val="center"/>
          </w:tcPr>
          <w:p w14:paraId="0481D03E">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69.9</w:t>
            </w:r>
          </w:p>
        </w:tc>
        <w:tc>
          <w:tcPr>
            <w:tcW w:w="297" w:type="pct"/>
            <w:tcBorders>
              <w:tl2br w:val="nil"/>
              <w:tr2bl w:val="nil"/>
            </w:tcBorders>
            <w:shd w:val="clear" w:color="auto" w:fill="auto"/>
            <w:noWrap/>
            <w:tcMar>
              <w:top w:w="15" w:type="dxa"/>
              <w:left w:w="15" w:type="dxa"/>
              <w:right w:w="15" w:type="dxa"/>
            </w:tcMar>
            <w:vAlign w:val="center"/>
          </w:tcPr>
          <w:p w14:paraId="4300EAC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0.17</w:t>
            </w:r>
          </w:p>
        </w:tc>
        <w:tc>
          <w:tcPr>
            <w:tcW w:w="347" w:type="pct"/>
            <w:tcBorders>
              <w:tl2br w:val="nil"/>
              <w:tr2bl w:val="nil"/>
            </w:tcBorders>
            <w:shd w:val="clear" w:color="auto" w:fill="auto"/>
            <w:noWrap/>
            <w:tcMar>
              <w:top w:w="15" w:type="dxa"/>
              <w:left w:w="15" w:type="dxa"/>
              <w:right w:w="15" w:type="dxa"/>
            </w:tcMar>
            <w:vAlign w:val="center"/>
          </w:tcPr>
          <w:p w14:paraId="34D07A5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0.06 </w:t>
            </w:r>
          </w:p>
        </w:tc>
        <w:tc>
          <w:tcPr>
            <w:tcW w:w="317" w:type="pct"/>
            <w:tcBorders>
              <w:tl2br w:val="nil"/>
              <w:tr2bl w:val="nil"/>
            </w:tcBorders>
            <w:shd w:val="clear" w:color="auto" w:fill="auto"/>
            <w:noWrap/>
            <w:tcMar>
              <w:top w:w="15" w:type="dxa"/>
              <w:left w:w="15" w:type="dxa"/>
              <w:right w:w="15" w:type="dxa"/>
            </w:tcMar>
            <w:vAlign w:val="center"/>
          </w:tcPr>
          <w:p w14:paraId="2F21C96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47</w:t>
            </w:r>
          </w:p>
        </w:tc>
        <w:tc>
          <w:tcPr>
            <w:tcW w:w="297" w:type="pct"/>
            <w:tcBorders>
              <w:tl2br w:val="nil"/>
              <w:tr2bl w:val="nil"/>
            </w:tcBorders>
            <w:shd w:val="clear" w:color="auto" w:fill="auto"/>
            <w:noWrap/>
            <w:tcMar>
              <w:top w:w="15" w:type="dxa"/>
              <w:left w:w="15" w:type="dxa"/>
              <w:right w:w="15" w:type="dxa"/>
            </w:tcMar>
            <w:vAlign w:val="center"/>
          </w:tcPr>
          <w:p w14:paraId="0648B1F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48</w:t>
            </w:r>
          </w:p>
        </w:tc>
        <w:tc>
          <w:tcPr>
            <w:tcW w:w="297" w:type="pct"/>
            <w:tcBorders>
              <w:tl2br w:val="nil"/>
              <w:tr2bl w:val="nil"/>
            </w:tcBorders>
            <w:shd w:val="clear" w:color="auto" w:fill="auto"/>
            <w:noWrap/>
            <w:tcMar>
              <w:top w:w="15" w:type="dxa"/>
              <w:left w:w="15" w:type="dxa"/>
              <w:right w:w="15" w:type="dxa"/>
            </w:tcMar>
            <w:vAlign w:val="center"/>
          </w:tcPr>
          <w:p w14:paraId="68CFD7A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97</w:t>
            </w:r>
          </w:p>
        </w:tc>
        <w:tc>
          <w:tcPr>
            <w:tcW w:w="297" w:type="pct"/>
            <w:tcBorders>
              <w:tl2br w:val="nil"/>
              <w:tr2bl w:val="nil"/>
            </w:tcBorders>
            <w:shd w:val="clear" w:color="auto" w:fill="auto"/>
            <w:noWrap/>
            <w:tcMar>
              <w:top w:w="15" w:type="dxa"/>
              <w:left w:w="15" w:type="dxa"/>
              <w:right w:w="15" w:type="dxa"/>
            </w:tcMar>
            <w:vAlign w:val="center"/>
          </w:tcPr>
          <w:p w14:paraId="0D5DD19C">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16.3 </w:t>
            </w:r>
          </w:p>
        </w:tc>
        <w:tc>
          <w:tcPr>
            <w:tcW w:w="283" w:type="pct"/>
            <w:tcBorders>
              <w:tl2br w:val="nil"/>
              <w:tr2bl w:val="nil"/>
            </w:tcBorders>
            <w:vAlign w:val="center"/>
          </w:tcPr>
          <w:p w14:paraId="3E4E5419">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1.3 </w:t>
            </w:r>
          </w:p>
        </w:tc>
      </w:tr>
      <w:tr w14:paraId="2F9F7F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1734E3CB">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rPr>
              <w:t>9</w:t>
            </w:r>
          </w:p>
        </w:tc>
        <w:tc>
          <w:tcPr>
            <w:tcW w:w="511" w:type="pct"/>
            <w:tcBorders>
              <w:tl2br w:val="nil"/>
              <w:tr2bl w:val="nil"/>
            </w:tcBorders>
            <w:shd w:val="clear" w:color="auto" w:fill="auto"/>
            <w:noWrap/>
            <w:tcMar>
              <w:top w:w="15" w:type="dxa"/>
              <w:left w:w="15" w:type="dxa"/>
              <w:right w:w="15" w:type="dxa"/>
            </w:tcMar>
            <w:vAlign w:val="center"/>
          </w:tcPr>
          <w:p w14:paraId="33BDC559">
            <w:pPr>
              <w:widowControl/>
              <w:spacing w:line="240" w:lineRule="auto"/>
              <w:jc w:val="center"/>
              <w:textAlignment w:val="center"/>
              <w:rPr>
                <w:rFonts w:hint="eastAsia"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HH-JJ-3</w:t>
            </w:r>
          </w:p>
        </w:tc>
        <w:tc>
          <w:tcPr>
            <w:tcW w:w="1767" w:type="dxa"/>
            <w:tcBorders>
              <w:tl2br w:val="nil"/>
              <w:tr2bl w:val="nil"/>
            </w:tcBorders>
            <w:shd w:val="clear" w:color="auto" w:fill="auto"/>
            <w:noWrap/>
            <w:tcMar>
              <w:top w:w="15" w:type="dxa"/>
              <w:left w:w="15" w:type="dxa"/>
              <w:right w:w="15" w:type="dxa"/>
            </w:tcMar>
            <w:vAlign w:val="center"/>
          </w:tcPr>
          <w:p w14:paraId="1247266C">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企业聚集区</w:t>
            </w:r>
            <w:r>
              <w:rPr>
                <w:rFonts w:hint="eastAsia"/>
                <w:sz w:val="21"/>
                <w:szCs w:val="21"/>
                <w:highlight w:val="none"/>
              </w:rPr>
              <w:t>西侧</w:t>
            </w:r>
          </w:p>
        </w:tc>
        <w:tc>
          <w:tcPr>
            <w:tcW w:w="875" w:type="pct"/>
            <w:tcBorders>
              <w:tl2br w:val="nil"/>
              <w:tr2bl w:val="nil"/>
            </w:tcBorders>
            <w:shd w:val="clear" w:color="auto" w:fill="auto"/>
            <w:noWrap/>
            <w:tcMar>
              <w:top w:w="15" w:type="dxa"/>
              <w:left w:w="15" w:type="dxa"/>
              <w:right w:w="15" w:type="dxa"/>
            </w:tcMar>
            <w:vAlign w:val="center"/>
          </w:tcPr>
          <w:p w14:paraId="736E32DE">
            <w:pPr>
              <w:widowControl/>
              <w:spacing w:line="240" w:lineRule="auto"/>
              <w:jc w:val="center"/>
              <w:textAlignment w:val="center"/>
              <w:rPr>
                <w:kern w:val="0"/>
                <w:sz w:val="21"/>
                <w:szCs w:val="21"/>
                <w:highlight w:val="none"/>
                <w:lang w:bidi="ar"/>
              </w:rPr>
            </w:pPr>
            <w:r>
              <w:rPr>
                <w:kern w:val="0"/>
                <w:sz w:val="21"/>
                <w:szCs w:val="21"/>
                <w:highlight w:val="none"/>
                <w:lang w:bidi="ar"/>
              </w:rPr>
              <w:t>第一类</w:t>
            </w:r>
          </w:p>
          <w:p w14:paraId="0C50F014">
            <w:pPr>
              <w:widowControl/>
              <w:spacing w:line="240" w:lineRule="auto"/>
              <w:jc w:val="center"/>
              <w:textAlignment w:val="center"/>
              <w:rPr>
                <w:rFonts w:ascii="Times New Roman" w:hAnsi="Times New Roman" w:eastAsia="宋体" w:cs="Times New Roman"/>
                <w:kern w:val="0"/>
                <w:sz w:val="21"/>
                <w:szCs w:val="21"/>
                <w:highlight w:val="none"/>
                <w:lang w:val="en-US" w:eastAsia="zh-CN" w:bidi="ar"/>
              </w:rPr>
            </w:pPr>
            <w:r>
              <w:rPr>
                <w:kern w:val="0"/>
                <w:sz w:val="21"/>
                <w:szCs w:val="21"/>
                <w:highlight w:val="none"/>
                <w:lang w:bidi="ar"/>
              </w:rPr>
              <w:t>用地筛选值</w:t>
            </w:r>
          </w:p>
        </w:tc>
        <w:tc>
          <w:tcPr>
            <w:tcW w:w="297" w:type="pct"/>
            <w:tcBorders>
              <w:tl2br w:val="nil"/>
              <w:tr2bl w:val="nil"/>
            </w:tcBorders>
            <w:shd w:val="clear" w:color="auto" w:fill="auto"/>
            <w:noWrap/>
            <w:tcMar>
              <w:top w:w="15" w:type="dxa"/>
              <w:left w:w="15" w:type="dxa"/>
              <w:right w:w="15" w:type="dxa"/>
            </w:tcMar>
            <w:vAlign w:val="center"/>
          </w:tcPr>
          <w:p w14:paraId="08E8370C">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26.1</w:t>
            </w:r>
          </w:p>
        </w:tc>
        <w:tc>
          <w:tcPr>
            <w:tcW w:w="297" w:type="pct"/>
            <w:tcBorders>
              <w:tl2br w:val="nil"/>
              <w:tr2bl w:val="nil"/>
            </w:tcBorders>
            <w:shd w:val="clear" w:color="auto" w:fill="auto"/>
            <w:noWrap/>
            <w:tcMar>
              <w:top w:w="15" w:type="dxa"/>
              <w:left w:w="15" w:type="dxa"/>
              <w:right w:w="15" w:type="dxa"/>
            </w:tcMar>
            <w:vAlign w:val="center"/>
          </w:tcPr>
          <w:p w14:paraId="691BA9EA">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0.11</w:t>
            </w:r>
          </w:p>
        </w:tc>
        <w:tc>
          <w:tcPr>
            <w:tcW w:w="347" w:type="pct"/>
            <w:tcBorders>
              <w:tl2br w:val="nil"/>
              <w:tr2bl w:val="nil"/>
            </w:tcBorders>
            <w:shd w:val="clear" w:color="auto" w:fill="auto"/>
            <w:noWrap/>
            <w:tcMar>
              <w:top w:w="15" w:type="dxa"/>
              <w:left w:w="15" w:type="dxa"/>
              <w:right w:w="15" w:type="dxa"/>
            </w:tcMar>
            <w:vAlign w:val="center"/>
          </w:tcPr>
          <w:p w14:paraId="3081C0F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0.04 </w:t>
            </w:r>
          </w:p>
        </w:tc>
        <w:tc>
          <w:tcPr>
            <w:tcW w:w="317" w:type="pct"/>
            <w:tcBorders>
              <w:tl2br w:val="nil"/>
              <w:tr2bl w:val="nil"/>
            </w:tcBorders>
            <w:shd w:val="clear" w:color="auto" w:fill="auto"/>
            <w:noWrap/>
            <w:tcMar>
              <w:top w:w="15" w:type="dxa"/>
              <w:left w:w="15" w:type="dxa"/>
              <w:right w:w="15" w:type="dxa"/>
            </w:tcMar>
            <w:vAlign w:val="center"/>
          </w:tcPr>
          <w:p w14:paraId="14AED5A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27</w:t>
            </w:r>
          </w:p>
        </w:tc>
        <w:tc>
          <w:tcPr>
            <w:tcW w:w="297" w:type="pct"/>
            <w:tcBorders>
              <w:tl2br w:val="nil"/>
              <w:tr2bl w:val="nil"/>
            </w:tcBorders>
            <w:shd w:val="clear" w:color="auto" w:fill="auto"/>
            <w:noWrap/>
            <w:tcMar>
              <w:top w:w="15" w:type="dxa"/>
              <w:left w:w="15" w:type="dxa"/>
              <w:right w:w="15" w:type="dxa"/>
            </w:tcMar>
            <w:vAlign w:val="center"/>
          </w:tcPr>
          <w:p w14:paraId="3A2DC50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28</w:t>
            </w:r>
          </w:p>
        </w:tc>
        <w:tc>
          <w:tcPr>
            <w:tcW w:w="297" w:type="pct"/>
            <w:tcBorders>
              <w:tl2br w:val="nil"/>
              <w:tr2bl w:val="nil"/>
            </w:tcBorders>
            <w:shd w:val="clear" w:color="auto" w:fill="auto"/>
            <w:noWrap/>
            <w:tcMar>
              <w:top w:w="15" w:type="dxa"/>
              <w:left w:w="15" w:type="dxa"/>
              <w:right w:w="15" w:type="dxa"/>
            </w:tcMar>
            <w:vAlign w:val="center"/>
          </w:tcPr>
          <w:p w14:paraId="569DAC7C">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73</w:t>
            </w:r>
          </w:p>
        </w:tc>
        <w:tc>
          <w:tcPr>
            <w:tcW w:w="297" w:type="pct"/>
            <w:tcBorders>
              <w:tl2br w:val="nil"/>
              <w:tr2bl w:val="nil"/>
            </w:tcBorders>
            <w:shd w:val="clear" w:color="auto" w:fill="auto"/>
            <w:noWrap/>
            <w:tcMar>
              <w:top w:w="15" w:type="dxa"/>
              <w:left w:w="15" w:type="dxa"/>
              <w:right w:w="15" w:type="dxa"/>
            </w:tcMar>
            <w:vAlign w:val="center"/>
          </w:tcPr>
          <w:p w14:paraId="6310EA2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13.4 </w:t>
            </w:r>
          </w:p>
        </w:tc>
        <w:tc>
          <w:tcPr>
            <w:tcW w:w="283" w:type="pct"/>
            <w:tcBorders>
              <w:tl2br w:val="nil"/>
              <w:tr2bl w:val="nil"/>
            </w:tcBorders>
            <w:vAlign w:val="center"/>
          </w:tcPr>
          <w:p w14:paraId="4158F69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0.9 </w:t>
            </w:r>
          </w:p>
        </w:tc>
      </w:tr>
      <w:tr w14:paraId="12AA2A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4D9C443A">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rPr>
              <w:t>10</w:t>
            </w:r>
          </w:p>
        </w:tc>
        <w:tc>
          <w:tcPr>
            <w:tcW w:w="511" w:type="pct"/>
            <w:tcBorders>
              <w:tl2br w:val="nil"/>
              <w:tr2bl w:val="nil"/>
            </w:tcBorders>
            <w:shd w:val="clear" w:color="auto" w:fill="auto"/>
            <w:noWrap/>
            <w:tcMar>
              <w:top w:w="15" w:type="dxa"/>
              <w:left w:w="15" w:type="dxa"/>
              <w:right w:w="15" w:type="dxa"/>
            </w:tcMar>
            <w:vAlign w:val="center"/>
          </w:tcPr>
          <w:p w14:paraId="741F502A">
            <w:pPr>
              <w:widowControl/>
              <w:spacing w:line="240" w:lineRule="auto"/>
              <w:jc w:val="center"/>
              <w:textAlignment w:val="center"/>
              <w:rPr>
                <w:rFonts w:hint="eastAsia"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HH-JJ-4</w:t>
            </w:r>
          </w:p>
        </w:tc>
        <w:tc>
          <w:tcPr>
            <w:tcW w:w="1767" w:type="dxa"/>
            <w:tcBorders>
              <w:tl2br w:val="nil"/>
              <w:tr2bl w:val="nil"/>
            </w:tcBorders>
            <w:shd w:val="clear" w:color="auto" w:fill="auto"/>
            <w:noWrap/>
            <w:tcMar>
              <w:top w:w="15" w:type="dxa"/>
              <w:left w:w="15" w:type="dxa"/>
              <w:right w:w="15" w:type="dxa"/>
            </w:tcMar>
            <w:vAlign w:val="center"/>
          </w:tcPr>
          <w:p w14:paraId="3A52FEBF">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企业聚集区</w:t>
            </w:r>
            <w:r>
              <w:rPr>
                <w:rFonts w:hint="eastAsia"/>
                <w:sz w:val="21"/>
                <w:szCs w:val="21"/>
                <w:highlight w:val="none"/>
              </w:rPr>
              <w:t>西</w:t>
            </w:r>
            <w:r>
              <w:rPr>
                <w:sz w:val="21"/>
                <w:szCs w:val="21"/>
                <w:highlight w:val="none"/>
              </w:rPr>
              <w:t>侧</w:t>
            </w:r>
          </w:p>
        </w:tc>
        <w:tc>
          <w:tcPr>
            <w:tcW w:w="875" w:type="pct"/>
            <w:tcBorders>
              <w:tl2br w:val="nil"/>
              <w:tr2bl w:val="nil"/>
            </w:tcBorders>
            <w:shd w:val="clear" w:color="auto" w:fill="auto"/>
            <w:noWrap/>
            <w:tcMar>
              <w:top w:w="15" w:type="dxa"/>
              <w:left w:w="15" w:type="dxa"/>
              <w:right w:w="15" w:type="dxa"/>
            </w:tcMar>
            <w:vAlign w:val="center"/>
          </w:tcPr>
          <w:p w14:paraId="0D2853C9">
            <w:pPr>
              <w:widowControl/>
              <w:spacing w:line="240" w:lineRule="auto"/>
              <w:jc w:val="center"/>
              <w:textAlignment w:val="center"/>
              <w:rPr>
                <w:kern w:val="0"/>
                <w:sz w:val="21"/>
                <w:szCs w:val="21"/>
                <w:highlight w:val="none"/>
                <w:lang w:bidi="ar"/>
              </w:rPr>
            </w:pPr>
            <w:r>
              <w:rPr>
                <w:kern w:val="0"/>
                <w:sz w:val="21"/>
                <w:szCs w:val="21"/>
                <w:highlight w:val="none"/>
                <w:lang w:bidi="ar"/>
              </w:rPr>
              <w:t>第一类</w:t>
            </w:r>
          </w:p>
          <w:p w14:paraId="70CA9F2B">
            <w:pPr>
              <w:widowControl/>
              <w:spacing w:line="240" w:lineRule="auto"/>
              <w:jc w:val="center"/>
              <w:textAlignment w:val="center"/>
              <w:rPr>
                <w:rFonts w:ascii="Times New Roman" w:hAnsi="Times New Roman" w:eastAsia="宋体" w:cs="Times New Roman"/>
                <w:kern w:val="0"/>
                <w:sz w:val="21"/>
                <w:szCs w:val="21"/>
                <w:highlight w:val="none"/>
                <w:lang w:val="en-US" w:eastAsia="zh-CN" w:bidi="ar"/>
              </w:rPr>
            </w:pPr>
            <w:r>
              <w:rPr>
                <w:kern w:val="0"/>
                <w:sz w:val="21"/>
                <w:szCs w:val="21"/>
                <w:highlight w:val="none"/>
                <w:lang w:bidi="ar"/>
              </w:rPr>
              <w:t>用地筛选值</w:t>
            </w:r>
          </w:p>
        </w:tc>
        <w:tc>
          <w:tcPr>
            <w:tcW w:w="297" w:type="pct"/>
            <w:tcBorders>
              <w:tl2br w:val="nil"/>
              <w:tr2bl w:val="nil"/>
            </w:tcBorders>
            <w:shd w:val="clear" w:color="auto" w:fill="auto"/>
            <w:noWrap/>
            <w:tcMar>
              <w:top w:w="15" w:type="dxa"/>
              <w:left w:w="15" w:type="dxa"/>
              <w:right w:w="15" w:type="dxa"/>
            </w:tcMar>
            <w:vAlign w:val="center"/>
          </w:tcPr>
          <w:p w14:paraId="262D1A79">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25.3</w:t>
            </w:r>
          </w:p>
        </w:tc>
        <w:tc>
          <w:tcPr>
            <w:tcW w:w="297" w:type="pct"/>
            <w:tcBorders>
              <w:tl2br w:val="nil"/>
              <w:tr2bl w:val="nil"/>
            </w:tcBorders>
            <w:shd w:val="clear" w:color="auto" w:fill="auto"/>
            <w:noWrap/>
            <w:tcMar>
              <w:top w:w="15" w:type="dxa"/>
              <w:left w:w="15" w:type="dxa"/>
              <w:right w:w="15" w:type="dxa"/>
            </w:tcMar>
            <w:vAlign w:val="center"/>
          </w:tcPr>
          <w:p w14:paraId="184C124A">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0.11</w:t>
            </w:r>
          </w:p>
        </w:tc>
        <w:tc>
          <w:tcPr>
            <w:tcW w:w="347" w:type="pct"/>
            <w:tcBorders>
              <w:tl2br w:val="nil"/>
              <w:tr2bl w:val="nil"/>
            </w:tcBorders>
            <w:shd w:val="clear" w:color="auto" w:fill="auto"/>
            <w:noWrap/>
            <w:tcMar>
              <w:top w:w="15" w:type="dxa"/>
              <w:left w:w="15" w:type="dxa"/>
              <w:right w:w="15" w:type="dxa"/>
            </w:tcMar>
            <w:vAlign w:val="center"/>
          </w:tcPr>
          <w:p w14:paraId="0382BD2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0.05 </w:t>
            </w:r>
          </w:p>
        </w:tc>
        <w:tc>
          <w:tcPr>
            <w:tcW w:w="317" w:type="pct"/>
            <w:tcBorders>
              <w:tl2br w:val="nil"/>
              <w:tr2bl w:val="nil"/>
            </w:tcBorders>
            <w:shd w:val="clear" w:color="auto" w:fill="auto"/>
            <w:noWrap/>
            <w:tcMar>
              <w:top w:w="15" w:type="dxa"/>
              <w:left w:w="15" w:type="dxa"/>
              <w:right w:w="15" w:type="dxa"/>
            </w:tcMar>
            <w:vAlign w:val="center"/>
          </w:tcPr>
          <w:p w14:paraId="47233D4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39</w:t>
            </w:r>
          </w:p>
        </w:tc>
        <w:tc>
          <w:tcPr>
            <w:tcW w:w="297" w:type="pct"/>
            <w:tcBorders>
              <w:tl2br w:val="nil"/>
              <w:tr2bl w:val="nil"/>
            </w:tcBorders>
            <w:shd w:val="clear" w:color="auto" w:fill="auto"/>
            <w:noWrap/>
            <w:tcMar>
              <w:top w:w="15" w:type="dxa"/>
              <w:left w:w="15" w:type="dxa"/>
              <w:right w:w="15" w:type="dxa"/>
            </w:tcMar>
            <w:vAlign w:val="center"/>
          </w:tcPr>
          <w:p w14:paraId="77AA0DA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32</w:t>
            </w:r>
          </w:p>
        </w:tc>
        <w:tc>
          <w:tcPr>
            <w:tcW w:w="297" w:type="pct"/>
            <w:tcBorders>
              <w:tl2br w:val="nil"/>
              <w:tr2bl w:val="nil"/>
            </w:tcBorders>
            <w:shd w:val="clear" w:color="auto" w:fill="auto"/>
            <w:noWrap/>
            <w:tcMar>
              <w:top w:w="15" w:type="dxa"/>
              <w:left w:w="15" w:type="dxa"/>
              <w:right w:w="15" w:type="dxa"/>
            </w:tcMar>
            <w:vAlign w:val="center"/>
          </w:tcPr>
          <w:p w14:paraId="59B4442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69</w:t>
            </w:r>
          </w:p>
        </w:tc>
        <w:tc>
          <w:tcPr>
            <w:tcW w:w="297" w:type="pct"/>
            <w:tcBorders>
              <w:tl2br w:val="nil"/>
              <w:tr2bl w:val="nil"/>
            </w:tcBorders>
            <w:shd w:val="clear" w:color="auto" w:fill="auto"/>
            <w:noWrap/>
            <w:tcMar>
              <w:top w:w="15" w:type="dxa"/>
              <w:left w:w="15" w:type="dxa"/>
              <w:right w:w="15" w:type="dxa"/>
            </w:tcMar>
            <w:vAlign w:val="center"/>
          </w:tcPr>
          <w:p w14:paraId="684AF8E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11.5 </w:t>
            </w:r>
          </w:p>
        </w:tc>
        <w:tc>
          <w:tcPr>
            <w:tcW w:w="283" w:type="pct"/>
            <w:tcBorders>
              <w:tl2br w:val="nil"/>
              <w:tr2bl w:val="nil"/>
            </w:tcBorders>
            <w:vAlign w:val="center"/>
          </w:tcPr>
          <w:p w14:paraId="6DED4CD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0.8 </w:t>
            </w:r>
          </w:p>
        </w:tc>
      </w:tr>
      <w:tr w14:paraId="0CE2CC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2876F460">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color w:val="000000"/>
                <w:kern w:val="0"/>
                <w:sz w:val="21"/>
                <w:szCs w:val="21"/>
                <w:highlight w:val="none"/>
                <w:lang w:bidi="ar"/>
              </w:rPr>
              <w:t>1</w:t>
            </w:r>
            <w:r>
              <w:rPr>
                <w:rFonts w:hint="eastAsia"/>
                <w:color w:val="000000"/>
                <w:kern w:val="0"/>
                <w:sz w:val="21"/>
                <w:szCs w:val="21"/>
                <w:highlight w:val="none"/>
                <w:lang w:bidi="ar"/>
              </w:rPr>
              <w:t>1</w:t>
            </w:r>
          </w:p>
        </w:tc>
        <w:tc>
          <w:tcPr>
            <w:tcW w:w="511" w:type="pct"/>
            <w:tcBorders>
              <w:tl2br w:val="nil"/>
              <w:tr2bl w:val="nil"/>
            </w:tcBorders>
            <w:shd w:val="clear" w:color="auto" w:fill="auto"/>
            <w:noWrap/>
            <w:tcMar>
              <w:top w:w="15" w:type="dxa"/>
              <w:left w:w="15" w:type="dxa"/>
              <w:right w:w="15" w:type="dxa"/>
            </w:tcMar>
            <w:vAlign w:val="center"/>
          </w:tcPr>
          <w:p w14:paraId="4C2D9B0A">
            <w:pPr>
              <w:widowControl/>
              <w:spacing w:line="240" w:lineRule="auto"/>
              <w:jc w:val="center"/>
              <w:textAlignment w:val="center"/>
              <w:rPr>
                <w:rFonts w:hint="eastAsia"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HH-JJ-5</w:t>
            </w:r>
          </w:p>
        </w:tc>
        <w:tc>
          <w:tcPr>
            <w:tcW w:w="1767" w:type="dxa"/>
            <w:tcBorders>
              <w:tl2br w:val="nil"/>
              <w:tr2bl w:val="nil"/>
            </w:tcBorders>
            <w:shd w:val="clear" w:color="auto" w:fill="auto"/>
            <w:noWrap/>
            <w:tcMar>
              <w:top w:w="15" w:type="dxa"/>
              <w:left w:w="15" w:type="dxa"/>
              <w:right w:w="15" w:type="dxa"/>
            </w:tcMar>
            <w:vAlign w:val="center"/>
          </w:tcPr>
          <w:p w14:paraId="7C1B13F0">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企业聚集区</w:t>
            </w:r>
            <w:r>
              <w:rPr>
                <w:rFonts w:hint="eastAsia"/>
                <w:sz w:val="21"/>
                <w:szCs w:val="21"/>
                <w:highlight w:val="none"/>
              </w:rPr>
              <w:t>东</w:t>
            </w:r>
            <w:r>
              <w:rPr>
                <w:sz w:val="21"/>
                <w:szCs w:val="21"/>
                <w:highlight w:val="none"/>
              </w:rPr>
              <w:t>侧</w:t>
            </w:r>
          </w:p>
        </w:tc>
        <w:tc>
          <w:tcPr>
            <w:tcW w:w="875" w:type="pct"/>
            <w:tcBorders>
              <w:tl2br w:val="nil"/>
              <w:tr2bl w:val="nil"/>
            </w:tcBorders>
            <w:shd w:val="clear" w:color="auto" w:fill="auto"/>
            <w:noWrap/>
            <w:tcMar>
              <w:top w:w="15" w:type="dxa"/>
              <w:left w:w="15" w:type="dxa"/>
              <w:right w:w="15" w:type="dxa"/>
            </w:tcMar>
            <w:vAlign w:val="center"/>
          </w:tcPr>
          <w:p w14:paraId="34C64E7E">
            <w:pPr>
              <w:widowControl/>
              <w:spacing w:line="240" w:lineRule="auto"/>
              <w:jc w:val="center"/>
              <w:textAlignment w:val="center"/>
              <w:rPr>
                <w:kern w:val="0"/>
                <w:sz w:val="21"/>
                <w:szCs w:val="21"/>
                <w:highlight w:val="none"/>
                <w:lang w:bidi="ar"/>
              </w:rPr>
            </w:pPr>
            <w:r>
              <w:rPr>
                <w:kern w:val="0"/>
                <w:sz w:val="21"/>
                <w:szCs w:val="21"/>
                <w:highlight w:val="none"/>
                <w:lang w:bidi="ar"/>
              </w:rPr>
              <w:t>第二类</w:t>
            </w:r>
          </w:p>
          <w:p w14:paraId="3E855578">
            <w:pPr>
              <w:widowControl/>
              <w:spacing w:line="240" w:lineRule="auto"/>
              <w:jc w:val="center"/>
              <w:textAlignment w:val="center"/>
              <w:rPr>
                <w:rFonts w:ascii="Times New Roman" w:hAnsi="Times New Roman" w:eastAsia="宋体" w:cs="Times New Roman"/>
                <w:color w:val="000000"/>
                <w:kern w:val="2"/>
                <w:sz w:val="21"/>
                <w:szCs w:val="21"/>
                <w:highlight w:val="none"/>
                <w:lang w:val="en-US" w:eastAsia="zh-CN" w:bidi="ar-SA"/>
              </w:rPr>
            </w:pPr>
            <w:r>
              <w:rPr>
                <w:kern w:val="0"/>
                <w:sz w:val="21"/>
                <w:szCs w:val="21"/>
                <w:highlight w:val="none"/>
                <w:lang w:bidi="ar"/>
              </w:rPr>
              <w:t>用地筛选值</w:t>
            </w:r>
          </w:p>
        </w:tc>
        <w:tc>
          <w:tcPr>
            <w:tcW w:w="297" w:type="pct"/>
            <w:tcBorders>
              <w:tl2br w:val="nil"/>
              <w:tr2bl w:val="nil"/>
            </w:tcBorders>
            <w:shd w:val="clear" w:color="auto" w:fill="auto"/>
            <w:noWrap/>
            <w:tcMar>
              <w:top w:w="15" w:type="dxa"/>
              <w:left w:w="15" w:type="dxa"/>
              <w:right w:w="15" w:type="dxa"/>
            </w:tcMar>
            <w:vAlign w:val="center"/>
          </w:tcPr>
          <w:p w14:paraId="08638833">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25.8</w:t>
            </w:r>
          </w:p>
        </w:tc>
        <w:tc>
          <w:tcPr>
            <w:tcW w:w="297" w:type="pct"/>
            <w:tcBorders>
              <w:tl2br w:val="nil"/>
              <w:tr2bl w:val="nil"/>
            </w:tcBorders>
            <w:shd w:val="clear" w:color="auto" w:fill="auto"/>
            <w:noWrap/>
            <w:tcMar>
              <w:top w:w="15" w:type="dxa"/>
              <w:left w:w="15" w:type="dxa"/>
              <w:right w:w="15" w:type="dxa"/>
            </w:tcMar>
            <w:vAlign w:val="center"/>
          </w:tcPr>
          <w:p w14:paraId="2C785926">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0.15</w:t>
            </w:r>
          </w:p>
        </w:tc>
        <w:tc>
          <w:tcPr>
            <w:tcW w:w="347" w:type="pct"/>
            <w:tcBorders>
              <w:tl2br w:val="nil"/>
              <w:tr2bl w:val="nil"/>
            </w:tcBorders>
            <w:shd w:val="clear" w:color="auto" w:fill="auto"/>
            <w:noWrap/>
            <w:tcMar>
              <w:top w:w="15" w:type="dxa"/>
              <w:left w:w="15" w:type="dxa"/>
              <w:right w:w="15" w:type="dxa"/>
            </w:tcMar>
            <w:vAlign w:val="center"/>
          </w:tcPr>
          <w:p w14:paraId="21A354C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0.02 </w:t>
            </w:r>
          </w:p>
        </w:tc>
        <w:tc>
          <w:tcPr>
            <w:tcW w:w="317" w:type="pct"/>
            <w:tcBorders>
              <w:tl2br w:val="nil"/>
              <w:tr2bl w:val="nil"/>
            </w:tcBorders>
            <w:shd w:val="clear" w:color="auto" w:fill="auto"/>
            <w:noWrap/>
            <w:tcMar>
              <w:top w:w="15" w:type="dxa"/>
              <w:left w:w="15" w:type="dxa"/>
              <w:right w:w="15" w:type="dxa"/>
            </w:tcMar>
            <w:vAlign w:val="center"/>
          </w:tcPr>
          <w:p w14:paraId="19105D7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46</w:t>
            </w:r>
          </w:p>
        </w:tc>
        <w:tc>
          <w:tcPr>
            <w:tcW w:w="297" w:type="pct"/>
            <w:tcBorders>
              <w:tl2br w:val="nil"/>
              <w:tr2bl w:val="nil"/>
            </w:tcBorders>
            <w:shd w:val="clear" w:color="auto" w:fill="auto"/>
            <w:noWrap/>
            <w:tcMar>
              <w:top w:w="15" w:type="dxa"/>
              <w:left w:w="15" w:type="dxa"/>
              <w:right w:w="15" w:type="dxa"/>
            </w:tcMar>
            <w:vAlign w:val="center"/>
          </w:tcPr>
          <w:p w14:paraId="3B2EAAEC">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48</w:t>
            </w:r>
          </w:p>
        </w:tc>
        <w:tc>
          <w:tcPr>
            <w:tcW w:w="297" w:type="pct"/>
            <w:tcBorders>
              <w:tl2br w:val="nil"/>
              <w:tr2bl w:val="nil"/>
            </w:tcBorders>
            <w:shd w:val="clear" w:color="auto" w:fill="auto"/>
            <w:noWrap/>
            <w:tcMar>
              <w:top w:w="15" w:type="dxa"/>
              <w:left w:w="15" w:type="dxa"/>
              <w:right w:w="15" w:type="dxa"/>
            </w:tcMar>
            <w:vAlign w:val="center"/>
          </w:tcPr>
          <w:p w14:paraId="52DF0FA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75</w:t>
            </w:r>
          </w:p>
        </w:tc>
        <w:tc>
          <w:tcPr>
            <w:tcW w:w="297" w:type="pct"/>
            <w:tcBorders>
              <w:tl2br w:val="nil"/>
              <w:tr2bl w:val="nil"/>
            </w:tcBorders>
            <w:shd w:val="clear" w:color="auto" w:fill="auto"/>
            <w:noWrap/>
            <w:tcMar>
              <w:top w:w="15" w:type="dxa"/>
              <w:left w:w="15" w:type="dxa"/>
              <w:right w:w="15" w:type="dxa"/>
            </w:tcMar>
            <w:vAlign w:val="center"/>
          </w:tcPr>
          <w:p w14:paraId="0390FC16">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12.8 </w:t>
            </w:r>
          </w:p>
        </w:tc>
        <w:tc>
          <w:tcPr>
            <w:tcW w:w="283" w:type="pct"/>
            <w:tcBorders>
              <w:tl2br w:val="nil"/>
              <w:tr2bl w:val="nil"/>
            </w:tcBorders>
            <w:vAlign w:val="center"/>
          </w:tcPr>
          <w:p w14:paraId="3A51ABC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0.8 </w:t>
            </w:r>
          </w:p>
        </w:tc>
      </w:tr>
      <w:tr w14:paraId="794980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65" w:type="pct"/>
            <w:gridSpan w:val="4"/>
            <w:tcBorders>
              <w:tl2br w:val="nil"/>
              <w:tr2bl w:val="nil"/>
            </w:tcBorders>
            <w:shd w:val="clear" w:color="auto" w:fill="auto"/>
            <w:noWrap/>
            <w:tcMar>
              <w:top w:w="15" w:type="dxa"/>
              <w:left w:w="15" w:type="dxa"/>
              <w:right w:w="15" w:type="dxa"/>
            </w:tcMar>
            <w:vAlign w:val="center"/>
          </w:tcPr>
          <w:p w14:paraId="58B94B5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最大值</w:t>
            </w:r>
          </w:p>
        </w:tc>
        <w:tc>
          <w:tcPr>
            <w:tcW w:w="297" w:type="pct"/>
            <w:tcBorders>
              <w:tl2br w:val="nil"/>
              <w:tr2bl w:val="nil"/>
            </w:tcBorders>
            <w:shd w:val="clear" w:color="auto" w:fill="auto"/>
            <w:noWrap/>
            <w:tcMar>
              <w:top w:w="15" w:type="dxa"/>
              <w:left w:w="15" w:type="dxa"/>
              <w:right w:w="15" w:type="dxa"/>
            </w:tcMar>
            <w:vAlign w:val="center"/>
          </w:tcPr>
          <w:p w14:paraId="479E856A">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 xml:space="preserve">69.9 </w:t>
            </w:r>
          </w:p>
        </w:tc>
        <w:tc>
          <w:tcPr>
            <w:tcW w:w="297" w:type="pct"/>
            <w:tcBorders>
              <w:tl2br w:val="nil"/>
              <w:tr2bl w:val="nil"/>
            </w:tcBorders>
            <w:shd w:val="clear" w:color="auto" w:fill="auto"/>
            <w:noWrap/>
            <w:tcMar>
              <w:top w:w="15" w:type="dxa"/>
              <w:left w:w="15" w:type="dxa"/>
              <w:right w:w="15" w:type="dxa"/>
            </w:tcMar>
            <w:vAlign w:val="center"/>
          </w:tcPr>
          <w:p w14:paraId="0AAC4D6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0.26 </w:t>
            </w:r>
          </w:p>
        </w:tc>
        <w:tc>
          <w:tcPr>
            <w:tcW w:w="347" w:type="pct"/>
            <w:tcBorders>
              <w:tl2br w:val="nil"/>
              <w:tr2bl w:val="nil"/>
            </w:tcBorders>
            <w:shd w:val="clear" w:color="auto" w:fill="auto"/>
            <w:noWrap/>
            <w:tcMar>
              <w:top w:w="15" w:type="dxa"/>
              <w:left w:w="15" w:type="dxa"/>
              <w:right w:w="15" w:type="dxa"/>
            </w:tcMar>
            <w:vAlign w:val="center"/>
          </w:tcPr>
          <w:p w14:paraId="66F15E9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0.10 </w:t>
            </w:r>
          </w:p>
        </w:tc>
        <w:tc>
          <w:tcPr>
            <w:tcW w:w="317" w:type="pct"/>
            <w:tcBorders>
              <w:tl2br w:val="nil"/>
              <w:tr2bl w:val="nil"/>
            </w:tcBorders>
            <w:shd w:val="clear" w:color="auto" w:fill="auto"/>
            <w:noWrap/>
            <w:tcMar>
              <w:top w:w="15" w:type="dxa"/>
              <w:left w:w="15" w:type="dxa"/>
              <w:right w:w="15" w:type="dxa"/>
            </w:tcMar>
            <w:vAlign w:val="center"/>
          </w:tcPr>
          <w:p w14:paraId="0C9D941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49 </w:t>
            </w:r>
          </w:p>
        </w:tc>
        <w:tc>
          <w:tcPr>
            <w:tcW w:w="297" w:type="pct"/>
            <w:tcBorders>
              <w:tl2br w:val="nil"/>
              <w:tr2bl w:val="nil"/>
            </w:tcBorders>
            <w:shd w:val="clear" w:color="auto" w:fill="auto"/>
            <w:noWrap/>
            <w:tcMar>
              <w:top w:w="15" w:type="dxa"/>
              <w:left w:w="15" w:type="dxa"/>
              <w:right w:w="15" w:type="dxa"/>
            </w:tcMar>
            <w:vAlign w:val="center"/>
          </w:tcPr>
          <w:p w14:paraId="18FFEC65">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54 </w:t>
            </w:r>
          </w:p>
        </w:tc>
        <w:tc>
          <w:tcPr>
            <w:tcW w:w="297" w:type="pct"/>
            <w:tcBorders>
              <w:tl2br w:val="nil"/>
              <w:tr2bl w:val="nil"/>
            </w:tcBorders>
            <w:shd w:val="clear" w:color="auto" w:fill="auto"/>
            <w:noWrap/>
            <w:tcMar>
              <w:top w:w="15" w:type="dxa"/>
              <w:left w:w="15" w:type="dxa"/>
              <w:right w:w="15" w:type="dxa"/>
            </w:tcMar>
            <w:vAlign w:val="center"/>
          </w:tcPr>
          <w:p w14:paraId="2C96447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97 </w:t>
            </w:r>
          </w:p>
        </w:tc>
        <w:tc>
          <w:tcPr>
            <w:tcW w:w="297" w:type="pct"/>
            <w:tcBorders>
              <w:tl2br w:val="nil"/>
              <w:tr2bl w:val="nil"/>
            </w:tcBorders>
            <w:shd w:val="clear" w:color="auto" w:fill="auto"/>
            <w:noWrap/>
            <w:tcMar>
              <w:top w:w="15" w:type="dxa"/>
              <w:left w:w="15" w:type="dxa"/>
              <w:right w:w="15" w:type="dxa"/>
            </w:tcMar>
            <w:vAlign w:val="center"/>
          </w:tcPr>
          <w:p w14:paraId="3E8B22E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16.4 </w:t>
            </w:r>
          </w:p>
        </w:tc>
        <w:tc>
          <w:tcPr>
            <w:tcW w:w="283" w:type="pct"/>
            <w:tcBorders>
              <w:tl2br w:val="nil"/>
              <w:tr2bl w:val="nil"/>
            </w:tcBorders>
            <w:vAlign w:val="center"/>
          </w:tcPr>
          <w:p w14:paraId="7D406EF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1.3 </w:t>
            </w:r>
          </w:p>
        </w:tc>
      </w:tr>
      <w:tr w14:paraId="7EF1B2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65" w:type="pct"/>
            <w:gridSpan w:val="4"/>
            <w:tcBorders>
              <w:tl2br w:val="nil"/>
              <w:tr2bl w:val="nil"/>
            </w:tcBorders>
            <w:shd w:val="clear" w:color="auto" w:fill="auto"/>
            <w:noWrap/>
            <w:tcMar>
              <w:top w:w="15" w:type="dxa"/>
              <w:left w:w="15" w:type="dxa"/>
              <w:right w:w="15" w:type="dxa"/>
            </w:tcMar>
            <w:vAlign w:val="center"/>
          </w:tcPr>
          <w:p w14:paraId="7881244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最小值</w:t>
            </w:r>
          </w:p>
        </w:tc>
        <w:tc>
          <w:tcPr>
            <w:tcW w:w="297" w:type="pct"/>
            <w:tcBorders>
              <w:tl2br w:val="nil"/>
              <w:tr2bl w:val="nil"/>
            </w:tcBorders>
            <w:shd w:val="clear" w:color="auto" w:fill="auto"/>
            <w:noWrap/>
            <w:tcMar>
              <w:top w:w="15" w:type="dxa"/>
              <w:left w:w="15" w:type="dxa"/>
              <w:right w:w="15" w:type="dxa"/>
            </w:tcMar>
            <w:vAlign w:val="center"/>
          </w:tcPr>
          <w:p w14:paraId="612071C0">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 xml:space="preserve">25.3 </w:t>
            </w:r>
          </w:p>
        </w:tc>
        <w:tc>
          <w:tcPr>
            <w:tcW w:w="297" w:type="pct"/>
            <w:tcBorders>
              <w:tl2br w:val="nil"/>
              <w:tr2bl w:val="nil"/>
            </w:tcBorders>
            <w:shd w:val="clear" w:color="auto" w:fill="auto"/>
            <w:noWrap/>
            <w:tcMar>
              <w:top w:w="15" w:type="dxa"/>
              <w:left w:w="15" w:type="dxa"/>
              <w:right w:w="15" w:type="dxa"/>
            </w:tcMar>
            <w:vAlign w:val="center"/>
          </w:tcPr>
          <w:p w14:paraId="0FB9F49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0.06 </w:t>
            </w:r>
          </w:p>
        </w:tc>
        <w:tc>
          <w:tcPr>
            <w:tcW w:w="347" w:type="pct"/>
            <w:tcBorders>
              <w:tl2br w:val="nil"/>
              <w:tr2bl w:val="nil"/>
            </w:tcBorders>
            <w:shd w:val="clear" w:color="auto" w:fill="auto"/>
            <w:noWrap/>
            <w:tcMar>
              <w:top w:w="15" w:type="dxa"/>
              <w:left w:w="15" w:type="dxa"/>
              <w:right w:w="15" w:type="dxa"/>
            </w:tcMar>
            <w:vAlign w:val="center"/>
          </w:tcPr>
          <w:p w14:paraId="482353B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0.02 </w:t>
            </w:r>
          </w:p>
        </w:tc>
        <w:tc>
          <w:tcPr>
            <w:tcW w:w="317" w:type="pct"/>
            <w:tcBorders>
              <w:tl2br w:val="nil"/>
              <w:tr2bl w:val="nil"/>
            </w:tcBorders>
            <w:shd w:val="clear" w:color="auto" w:fill="auto"/>
            <w:noWrap/>
            <w:tcMar>
              <w:top w:w="15" w:type="dxa"/>
              <w:left w:w="15" w:type="dxa"/>
              <w:right w:w="15" w:type="dxa"/>
            </w:tcMar>
            <w:vAlign w:val="center"/>
          </w:tcPr>
          <w:p w14:paraId="02018AD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23 </w:t>
            </w:r>
          </w:p>
        </w:tc>
        <w:tc>
          <w:tcPr>
            <w:tcW w:w="297" w:type="pct"/>
            <w:tcBorders>
              <w:tl2br w:val="nil"/>
              <w:tr2bl w:val="nil"/>
            </w:tcBorders>
            <w:shd w:val="clear" w:color="auto" w:fill="auto"/>
            <w:noWrap/>
            <w:tcMar>
              <w:top w:w="15" w:type="dxa"/>
              <w:left w:w="15" w:type="dxa"/>
              <w:right w:w="15" w:type="dxa"/>
            </w:tcMar>
            <w:vAlign w:val="center"/>
          </w:tcPr>
          <w:p w14:paraId="4991DBB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18 </w:t>
            </w:r>
          </w:p>
        </w:tc>
        <w:tc>
          <w:tcPr>
            <w:tcW w:w="297" w:type="pct"/>
            <w:tcBorders>
              <w:tl2br w:val="nil"/>
              <w:tr2bl w:val="nil"/>
            </w:tcBorders>
            <w:shd w:val="clear" w:color="auto" w:fill="auto"/>
            <w:noWrap/>
            <w:tcMar>
              <w:top w:w="15" w:type="dxa"/>
              <w:left w:w="15" w:type="dxa"/>
              <w:right w:w="15" w:type="dxa"/>
            </w:tcMar>
            <w:vAlign w:val="center"/>
          </w:tcPr>
          <w:p w14:paraId="189D8FB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55 </w:t>
            </w:r>
          </w:p>
        </w:tc>
        <w:tc>
          <w:tcPr>
            <w:tcW w:w="297" w:type="pct"/>
            <w:tcBorders>
              <w:tl2br w:val="nil"/>
              <w:tr2bl w:val="nil"/>
            </w:tcBorders>
            <w:shd w:val="clear" w:color="auto" w:fill="auto"/>
            <w:noWrap/>
            <w:tcMar>
              <w:top w:w="15" w:type="dxa"/>
              <w:left w:w="15" w:type="dxa"/>
              <w:right w:w="15" w:type="dxa"/>
            </w:tcMar>
            <w:vAlign w:val="center"/>
          </w:tcPr>
          <w:p w14:paraId="7FBFC89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5.4 </w:t>
            </w:r>
          </w:p>
        </w:tc>
        <w:tc>
          <w:tcPr>
            <w:tcW w:w="283" w:type="pct"/>
            <w:tcBorders>
              <w:tl2br w:val="nil"/>
              <w:tr2bl w:val="nil"/>
            </w:tcBorders>
            <w:vAlign w:val="center"/>
          </w:tcPr>
          <w:p w14:paraId="0C623A39">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0.5 </w:t>
            </w:r>
          </w:p>
        </w:tc>
      </w:tr>
      <w:tr w14:paraId="26DC55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65" w:type="pct"/>
            <w:gridSpan w:val="4"/>
            <w:tcBorders>
              <w:tl2br w:val="nil"/>
              <w:tr2bl w:val="nil"/>
            </w:tcBorders>
            <w:shd w:val="clear" w:color="auto" w:fill="auto"/>
            <w:noWrap/>
            <w:tcMar>
              <w:top w:w="15" w:type="dxa"/>
              <w:left w:w="15" w:type="dxa"/>
              <w:right w:w="15" w:type="dxa"/>
            </w:tcMar>
            <w:vAlign w:val="center"/>
          </w:tcPr>
          <w:p w14:paraId="0790A3F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平均值</w:t>
            </w:r>
          </w:p>
        </w:tc>
        <w:tc>
          <w:tcPr>
            <w:tcW w:w="297" w:type="pct"/>
            <w:tcBorders>
              <w:tl2br w:val="nil"/>
              <w:tr2bl w:val="nil"/>
            </w:tcBorders>
            <w:shd w:val="clear" w:color="auto" w:fill="auto"/>
            <w:noWrap/>
            <w:tcMar>
              <w:top w:w="15" w:type="dxa"/>
              <w:left w:w="15" w:type="dxa"/>
              <w:right w:w="15" w:type="dxa"/>
            </w:tcMar>
            <w:vAlign w:val="center"/>
          </w:tcPr>
          <w:p w14:paraId="2EAF54CA">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 xml:space="preserve">36.3 </w:t>
            </w:r>
          </w:p>
        </w:tc>
        <w:tc>
          <w:tcPr>
            <w:tcW w:w="297" w:type="pct"/>
            <w:tcBorders>
              <w:tl2br w:val="nil"/>
              <w:tr2bl w:val="nil"/>
            </w:tcBorders>
            <w:shd w:val="clear" w:color="auto" w:fill="auto"/>
            <w:noWrap/>
            <w:tcMar>
              <w:top w:w="15" w:type="dxa"/>
              <w:left w:w="15" w:type="dxa"/>
              <w:right w:w="15" w:type="dxa"/>
            </w:tcMar>
            <w:vAlign w:val="center"/>
          </w:tcPr>
          <w:p w14:paraId="4BC33D7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0.12 </w:t>
            </w:r>
          </w:p>
        </w:tc>
        <w:tc>
          <w:tcPr>
            <w:tcW w:w="347" w:type="pct"/>
            <w:tcBorders>
              <w:tl2br w:val="nil"/>
              <w:tr2bl w:val="nil"/>
            </w:tcBorders>
            <w:shd w:val="clear" w:color="auto" w:fill="auto"/>
            <w:noWrap/>
            <w:tcMar>
              <w:top w:w="15" w:type="dxa"/>
              <w:left w:w="15" w:type="dxa"/>
              <w:right w:w="15" w:type="dxa"/>
            </w:tcMar>
            <w:vAlign w:val="center"/>
          </w:tcPr>
          <w:p w14:paraId="398370F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0.05 </w:t>
            </w:r>
          </w:p>
        </w:tc>
        <w:tc>
          <w:tcPr>
            <w:tcW w:w="317" w:type="pct"/>
            <w:tcBorders>
              <w:tl2br w:val="nil"/>
              <w:tr2bl w:val="nil"/>
            </w:tcBorders>
            <w:shd w:val="clear" w:color="auto" w:fill="auto"/>
            <w:noWrap/>
            <w:tcMar>
              <w:top w:w="15" w:type="dxa"/>
              <w:left w:w="15" w:type="dxa"/>
              <w:right w:w="15" w:type="dxa"/>
            </w:tcMar>
            <w:vAlign w:val="center"/>
          </w:tcPr>
          <w:p w14:paraId="65B2F13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37 </w:t>
            </w:r>
          </w:p>
        </w:tc>
        <w:tc>
          <w:tcPr>
            <w:tcW w:w="297" w:type="pct"/>
            <w:tcBorders>
              <w:tl2br w:val="nil"/>
              <w:tr2bl w:val="nil"/>
            </w:tcBorders>
            <w:shd w:val="clear" w:color="auto" w:fill="auto"/>
            <w:noWrap/>
            <w:tcMar>
              <w:top w:w="15" w:type="dxa"/>
              <w:left w:w="15" w:type="dxa"/>
              <w:right w:w="15" w:type="dxa"/>
            </w:tcMar>
            <w:vAlign w:val="center"/>
          </w:tcPr>
          <w:p w14:paraId="24B920E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37 </w:t>
            </w:r>
          </w:p>
        </w:tc>
        <w:tc>
          <w:tcPr>
            <w:tcW w:w="297" w:type="pct"/>
            <w:tcBorders>
              <w:tl2br w:val="nil"/>
              <w:tr2bl w:val="nil"/>
            </w:tcBorders>
            <w:shd w:val="clear" w:color="auto" w:fill="auto"/>
            <w:noWrap/>
            <w:tcMar>
              <w:top w:w="15" w:type="dxa"/>
              <w:left w:w="15" w:type="dxa"/>
              <w:right w:w="15" w:type="dxa"/>
            </w:tcMar>
            <w:vAlign w:val="center"/>
          </w:tcPr>
          <w:p w14:paraId="2D81F94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71 </w:t>
            </w:r>
          </w:p>
        </w:tc>
        <w:tc>
          <w:tcPr>
            <w:tcW w:w="297" w:type="pct"/>
            <w:tcBorders>
              <w:tl2br w:val="nil"/>
              <w:tr2bl w:val="nil"/>
            </w:tcBorders>
            <w:shd w:val="clear" w:color="auto" w:fill="auto"/>
            <w:noWrap/>
            <w:tcMar>
              <w:top w:w="15" w:type="dxa"/>
              <w:left w:w="15" w:type="dxa"/>
              <w:right w:w="15" w:type="dxa"/>
            </w:tcMar>
            <w:vAlign w:val="center"/>
          </w:tcPr>
          <w:p w14:paraId="024E155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12.8 </w:t>
            </w:r>
          </w:p>
        </w:tc>
        <w:tc>
          <w:tcPr>
            <w:tcW w:w="283" w:type="pct"/>
            <w:tcBorders>
              <w:tl2br w:val="nil"/>
              <w:tr2bl w:val="nil"/>
            </w:tcBorders>
            <w:vAlign w:val="center"/>
          </w:tcPr>
          <w:p w14:paraId="5B6C356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0.8 </w:t>
            </w:r>
          </w:p>
        </w:tc>
      </w:tr>
      <w:tr w14:paraId="6AE892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65" w:type="pct"/>
            <w:gridSpan w:val="4"/>
            <w:tcBorders>
              <w:tl2br w:val="nil"/>
              <w:tr2bl w:val="nil"/>
            </w:tcBorders>
            <w:shd w:val="clear" w:color="auto" w:fill="auto"/>
            <w:noWrap/>
            <w:tcMar>
              <w:top w:w="15" w:type="dxa"/>
              <w:left w:w="15" w:type="dxa"/>
              <w:right w:w="15" w:type="dxa"/>
            </w:tcMar>
            <w:vAlign w:val="center"/>
          </w:tcPr>
          <w:p w14:paraId="488DD0F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检出率</w:t>
            </w:r>
          </w:p>
        </w:tc>
        <w:tc>
          <w:tcPr>
            <w:tcW w:w="297" w:type="pct"/>
            <w:tcBorders>
              <w:tl2br w:val="nil"/>
              <w:tr2bl w:val="nil"/>
            </w:tcBorders>
            <w:shd w:val="clear" w:color="auto" w:fill="auto"/>
            <w:noWrap/>
            <w:tcMar>
              <w:top w:w="15" w:type="dxa"/>
              <w:left w:w="15" w:type="dxa"/>
              <w:right w:w="15" w:type="dxa"/>
            </w:tcMar>
            <w:vAlign w:val="center"/>
          </w:tcPr>
          <w:p w14:paraId="7E05E7CB">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100%</w:t>
            </w:r>
          </w:p>
        </w:tc>
        <w:tc>
          <w:tcPr>
            <w:tcW w:w="297" w:type="pct"/>
            <w:tcBorders>
              <w:tl2br w:val="nil"/>
              <w:tr2bl w:val="nil"/>
            </w:tcBorders>
            <w:shd w:val="clear" w:color="auto" w:fill="auto"/>
            <w:noWrap/>
            <w:tcMar>
              <w:top w:w="15" w:type="dxa"/>
              <w:left w:w="15" w:type="dxa"/>
              <w:right w:w="15" w:type="dxa"/>
            </w:tcMar>
            <w:vAlign w:val="center"/>
          </w:tcPr>
          <w:p w14:paraId="72DBD7B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100%</w:t>
            </w:r>
          </w:p>
        </w:tc>
        <w:tc>
          <w:tcPr>
            <w:tcW w:w="347" w:type="pct"/>
            <w:tcBorders>
              <w:tl2br w:val="nil"/>
              <w:tr2bl w:val="nil"/>
            </w:tcBorders>
            <w:shd w:val="clear" w:color="auto" w:fill="auto"/>
            <w:noWrap/>
            <w:tcMar>
              <w:top w:w="15" w:type="dxa"/>
              <w:left w:w="15" w:type="dxa"/>
              <w:right w:w="15" w:type="dxa"/>
            </w:tcMar>
            <w:vAlign w:val="center"/>
          </w:tcPr>
          <w:p w14:paraId="31161F9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100%</w:t>
            </w:r>
          </w:p>
        </w:tc>
        <w:tc>
          <w:tcPr>
            <w:tcW w:w="317" w:type="pct"/>
            <w:tcBorders>
              <w:tl2br w:val="nil"/>
              <w:tr2bl w:val="nil"/>
            </w:tcBorders>
            <w:shd w:val="clear" w:color="auto" w:fill="auto"/>
            <w:noWrap/>
            <w:tcMar>
              <w:top w:w="15" w:type="dxa"/>
              <w:left w:w="15" w:type="dxa"/>
              <w:right w:w="15" w:type="dxa"/>
            </w:tcMar>
            <w:vAlign w:val="center"/>
          </w:tcPr>
          <w:p w14:paraId="458EEFA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100%</w:t>
            </w:r>
          </w:p>
        </w:tc>
        <w:tc>
          <w:tcPr>
            <w:tcW w:w="297" w:type="pct"/>
            <w:tcBorders>
              <w:tl2br w:val="nil"/>
              <w:tr2bl w:val="nil"/>
            </w:tcBorders>
            <w:shd w:val="clear" w:color="auto" w:fill="auto"/>
            <w:noWrap/>
            <w:tcMar>
              <w:top w:w="15" w:type="dxa"/>
              <w:left w:w="15" w:type="dxa"/>
              <w:right w:w="15" w:type="dxa"/>
            </w:tcMar>
            <w:vAlign w:val="center"/>
          </w:tcPr>
          <w:p w14:paraId="32A5585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100%</w:t>
            </w:r>
          </w:p>
        </w:tc>
        <w:tc>
          <w:tcPr>
            <w:tcW w:w="297" w:type="pct"/>
            <w:tcBorders>
              <w:tl2br w:val="nil"/>
              <w:tr2bl w:val="nil"/>
            </w:tcBorders>
            <w:shd w:val="clear" w:color="auto" w:fill="auto"/>
            <w:noWrap/>
            <w:tcMar>
              <w:top w:w="15" w:type="dxa"/>
              <w:left w:w="15" w:type="dxa"/>
              <w:right w:w="15" w:type="dxa"/>
            </w:tcMar>
            <w:vAlign w:val="center"/>
          </w:tcPr>
          <w:p w14:paraId="7C594D3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100%</w:t>
            </w:r>
          </w:p>
        </w:tc>
        <w:tc>
          <w:tcPr>
            <w:tcW w:w="297" w:type="pct"/>
            <w:tcBorders>
              <w:tl2br w:val="nil"/>
              <w:tr2bl w:val="nil"/>
            </w:tcBorders>
            <w:shd w:val="clear" w:color="auto" w:fill="auto"/>
            <w:noWrap/>
            <w:tcMar>
              <w:top w:w="15" w:type="dxa"/>
              <w:left w:w="15" w:type="dxa"/>
              <w:right w:w="15" w:type="dxa"/>
            </w:tcMar>
            <w:vAlign w:val="center"/>
          </w:tcPr>
          <w:p w14:paraId="3B81A9F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100%</w:t>
            </w:r>
          </w:p>
        </w:tc>
        <w:tc>
          <w:tcPr>
            <w:tcW w:w="283" w:type="pct"/>
            <w:tcBorders>
              <w:tl2br w:val="nil"/>
              <w:tr2bl w:val="nil"/>
            </w:tcBorders>
            <w:vAlign w:val="center"/>
          </w:tcPr>
          <w:p w14:paraId="719EEC3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100%</w:t>
            </w:r>
          </w:p>
        </w:tc>
      </w:tr>
      <w:tr w14:paraId="1BB61C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65" w:type="pct"/>
            <w:gridSpan w:val="4"/>
            <w:tcBorders>
              <w:tl2br w:val="nil"/>
              <w:tr2bl w:val="nil"/>
            </w:tcBorders>
            <w:shd w:val="clear" w:color="auto" w:fill="auto"/>
            <w:noWrap/>
            <w:tcMar>
              <w:top w:w="15" w:type="dxa"/>
              <w:left w:w="15" w:type="dxa"/>
              <w:right w:w="15" w:type="dxa"/>
            </w:tcMar>
            <w:vAlign w:val="center"/>
          </w:tcPr>
          <w:p w14:paraId="31DB30B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第一类建设用地筛选值</w:t>
            </w:r>
          </w:p>
        </w:tc>
        <w:tc>
          <w:tcPr>
            <w:tcW w:w="297" w:type="pct"/>
            <w:tcBorders>
              <w:tl2br w:val="nil"/>
              <w:tr2bl w:val="nil"/>
            </w:tcBorders>
            <w:shd w:val="clear" w:color="auto" w:fill="auto"/>
            <w:noWrap/>
            <w:tcMar>
              <w:top w:w="15" w:type="dxa"/>
              <w:left w:w="15" w:type="dxa"/>
              <w:right w:w="15" w:type="dxa"/>
            </w:tcMar>
            <w:vAlign w:val="center"/>
          </w:tcPr>
          <w:p w14:paraId="275D0532">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400</w:t>
            </w:r>
          </w:p>
        </w:tc>
        <w:tc>
          <w:tcPr>
            <w:tcW w:w="297" w:type="pct"/>
            <w:tcBorders>
              <w:tl2br w:val="nil"/>
              <w:tr2bl w:val="nil"/>
            </w:tcBorders>
            <w:shd w:val="clear" w:color="auto" w:fill="auto"/>
            <w:noWrap/>
            <w:tcMar>
              <w:top w:w="15" w:type="dxa"/>
              <w:left w:w="15" w:type="dxa"/>
              <w:right w:w="15" w:type="dxa"/>
            </w:tcMar>
            <w:vAlign w:val="center"/>
          </w:tcPr>
          <w:p w14:paraId="41AEABE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8</w:t>
            </w:r>
          </w:p>
        </w:tc>
        <w:tc>
          <w:tcPr>
            <w:tcW w:w="347" w:type="pct"/>
            <w:tcBorders>
              <w:tl2br w:val="nil"/>
              <w:tr2bl w:val="nil"/>
            </w:tcBorders>
            <w:shd w:val="clear" w:color="auto" w:fill="auto"/>
            <w:noWrap/>
            <w:tcMar>
              <w:top w:w="15" w:type="dxa"/>
              <w:left w:w="15" w:type="dxa"/>
              <w:right w:w="15" w:type="dxa"/>
            </w:tcMar>
            <w:vAlign w:val="center"/>
          </w:tcPr>
          <w:p w14:paraId="6E2ED26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20</w:t>
            </w:r>
          </w:p>
        </w:tc>
        <w:tc>
          <w:tcPr>
            <w:tcW w:w="317" w:type="pct"/>
            <w:tcBorders>
              <w:tl2br w:val="nil"/>
              <w:tr2bl w:val="nil"/>
            </w:tcBorders>
            <w:shd w:val="clear" w:color="auto" w:fill="auto"/>
            <w:noWrap/>
            <w:tcMar>
              <w:top w:w="15" w:type="dxa"/>
              <w:left w:w="15" w:type="dxa"/>
              <w:right w:w="15" w:type="dxa"/>
            </w:tcMar>
            <w:vAlign w:val="center"/>
          </w:tcPr>
          <w:p w14:paraId="07DDA44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2000</w:t>
            </w:r>
          </w:p>
        </w:tc>
        <w:tc>
          <w:tcPr>
            <w:tcW w:w="297" w:type="pct"/>
            <w:tcBorders>
              <w:tl2br w:val="nil"/>
              <w:tr2bl w:val="nil"/>
            </w:tcBorders>
            <w:shd w:val="clear" w:color="auto" w:fill="auto"/>
            <w:noWrap/>
            <w:tcMar>
              <w:top w:w="15" w:type="dxa"/>
              <w:left w:w="15" w:type="dxa"/>
              <w:right w:w="15" w:type="dxa"/>
            </w:tcMar>
            <w:vAlign w:val="center"/>
          </w:tcPr>
          <w:p w14:paraId="463DD0A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150</w:t>
            </w:r>
          </w:p>
        </w:tc>
        <w:tc>
          <w:tcPr>
            <w:tcW w:w="297" w:type="pct"/>
            <w:tcBorders>
              <w:tl2br w:val="nil"/>
              <w:tr2bl w:val="nil"/>
            </w:tcBorders>
            <w:shd w:val="clear" w:color="auto" w:fill="auto"/>
            <w:noWrap/>
            <w:tcMar>
              <w:top w:w="15" w:type="dxa"/>
              <w:left w:w="15" w:type="dxa"/>
              <w:right w:w="15" w:type="dxa"/>
            </w:tcMar>
            <w:vAlign w:val="center"/>
          </w:tcPr>
          <w:p w14:paraId="2AC0D27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1210</w:t>
            </w:r>
          </w:p>
        </w:tc>
        <w:tc>
          <w:tcPr>
            <w:tcW w:w="297" w:type="pct"/>
            <w:tcBorders>
              <w:tl2br w:val="nil"/>
              <w:tr2bl w:val="nil"/>
            </w:tcBorders>
            <w:shd w:val="clear" w:color="auto" w:fill="auto"/>
            <w:noWrap/>
            <w:tcMar>
              <w:top w:w="15" w:type="dxa"/>
              <w:left w:w="15" w:type="dxa"/>
              <w:right w:w="15" w:type="dxa"/>
            </w:tcMar>
            <w:vAlign w:val="center"/>
          </w:tcPr>
          <w:p w14:paraId="7AC0A7A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20</w:t>
            </w:r>
          </w:p>
        </w:tc>
        <w:tc>
          <w:tcPr>
            <w:tcW w:w="283" w:type="pct"/>
            <w:tcBorders>
              <w:tl2br w:val="nil"/>
              <w:tr2bl w:val="nil"/>
            </w:tcBorders>
            <w:vAlign w:val="center"/>
          </w:tcPr>
          <w:p w14:paraId="1A6C23A7">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2</w:t>
            </w:r>
            <w:r>
              <w:rPr>
                <w:color w:val="000000"/>
                <w:kern w:val="0"/>
                <w:sz w:val="21"/>
                <w:szCs w:val="21"/>
                <w:highlight w:val="none"/>
                <w:lang w:bidi="ar"/>
              </w:rPr>
              <w:t>0</w:t>
            </w:r>
          </w:p>
        </w:tc>
      </w:tr>
      <w:tr w14:paraId="607EB6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55" w:hRule="atLeast"/>
          <w:jc w:val="center"/>
        </w:trPr>
        <w:tc>
          <w:tcPr>
            <w:tcW w:w="2565" w:type="pct"/>
            <w:gridSpan w:val="4"/>
            <w:tcBorders>
              <w:tl2br w:val="nil"/>
              <w:tr2bl w:val="nil"/>
            </w:tcBorders>
            <w:shd w:val="clear" w:color="auto" w:fill="auto"/>
            <w:noWrap/>
            <w:tcMar>
              <w:top w:w="15" w:type="dxa"/>
              <w:left w:w="15" w:type="dxa"/>
              <w:right w:w="15" w:type="dxa"/>
            </w:tcMar>
            <w:vAlign w:val="center"/>
          </w:tcPr>
          <w:p w14:paraId="0CEFA41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第二类建设用地筛选值</w:t>
            </w:r>
          </w:p>
        </w:tc>
        <w:tc>
          <w:tcPr>
            <w:tcW w:w="297" w:type="pct"/>
            <w:tcBorders>
              <w:tl2br w:val="nil"/>
              <w:tr2bl w:val="nil"/>
            </w:tcBorders>
            <w:shd w:val="clear" w:color="auto" w:fill="auto"/>
            <w:noWrap/>
            <w:tcMar>
              <w:top w:w="15" w:type="dxa"/>
              <w:left w:w="15" w:type="dxa"/>
              <w:right w:w="15" w:type="dxa"/>
            </w:tcMar>
            <w:vAlign w:val="center"/>
          </w:tcPr>
          <w:p w14:paraId="1F10DE13">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800</w:t>
            </w:r>
          </w:p>
        </w:tc>
        <w:tc>
          <w:tcPr>
            <w:tcW w:w="297" w:type="pct"/>
            <w:tcBorders>
              <w:tl2br w:val="nil"/>
              <w:tr2bl w:val="nil"/>
            </w:tcBorders>
            <w:shd w:val="clear" w:color="auto" w:fill="auto"/>
            <w:noWrap/>
            <w:tcMar>
              <w:top w:w="15" w:type="dxa"/>
              <w:left w:w="15" w:type="dxa"/>
              <w:right w:w="15" w:type="dxa"/>
            </w:tcMar>
            <w:vAlign w:val="center"/>
          </w:tcPr>
          <w:p w14:paraId="4A55E82C">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38</w:t>
            </w:r>
          </w:p>
        </w:tc>
        <w:tc>
          <w:tcPr>
            <w:tcW w:w="347" w:type="pct"/>
            <w:tcBorders>
              <w:tl2br w:val="nil"/>
              <w:tr2bl w:val="nil"/>
            </w:tcBorders>
            <w:shd w:val="clear" w:color="auto" w:fill="auto"/>
            <w:noWrap/>
            <w:tcMar>
              <w:top w:w="15" w:type="dxa"/>
              <w:left w:w="15" w:type="dxa"/>
              <w:right w:w="15" w:type="dxa"/>
            </w:tcMar>
            <w:vAlign w:val="center"/>
          </w:tcPr>
          <w:p w14:paraId="5E529C4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65</w:t>
            </w:r>
          </w:p>
        </w:tc>
        <w:tc>
          <w:tcPr>
            <w:tcW w:w="317" w:type="pct"/>
            <w:tcBorders>
              <w:tl2br w:val="nil"/>
              <w:tr2bl w:val="nil"/>
            </w:tcBorders>
            <w:shd w:val="clear" w:color="auto" w:fill="auto"/>
            <w:noWrap/>
            <w:tcMar>
              <w:top w:w="15" w:type="dxa"/>
              <w:left w:w="15" w:type="dxa"/>
              <w:right w:w="15" w:type="dxa"/>
            </w:tcMar>
            <w:vAlign w:val="center"/>
          </w:tcPr>
          <w:p w14:paraId="71A2EE1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18000</w:t>
            </w:r>
          </w:p>
        </w:tc>
        <w:tc>
          <w:tcPr>
            <w:tcW w:w="297" w:type="pct"/>
            <w:tcBorders>
              <w:tl2br w:val="nil"/>
              <w:tr2bl w:val="nil"/>
            </w:tcBorders>
            <w:shd w:val="clear" w:color="auto" w:fill="auto"/>
            <w:noWrap/>
            <w:tcMar>
              <w:top w:w="15" w:type="dxa"/>
              <w:left w:w="15" w:type="dxa"/>
              <w:right w:w="15" w:type="dxa"/>
            </w:tcMar>
            <w:vAlign w:val="center"/>
          </w:tcPr>
          <w:p w14:paraId="74FC7EB7">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900</w:t>
            </w:r>
          </w:p>
        </w:tc>
        <w:tc>
          <w:tcPr>
            <w:tcW w:w="297" w:type="pct"/>
            <w:tcBorders>
              <w:tl2br w:val="nil"/>
              <w:tr2bl w:val="nil"/>
            </w:tcBorders>
            <w:shd w:val="clear" w:color="auto" w:fill="auto"/>
            <w:noWrap/>
            <w:tcMar>
              <w:top w:w="15" w:type="dxa"/>
              <w:left w:w="15" w:type="dxa"/>
              <w:right w:w="15" w:type="dxa"/>
            </w:tcMar>
            <w:vAlign w:val="center"/>
          </w:tcPr>
          <w:p w14:paraId="7FF1660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2910</w:t>
            </w:r>
          </w:p>
        </w:tc>
        <w:tc>
          <w:tcPr>
            <w:tcW w:w="297" w:type="pct"/>
            <w:tcBorders>
              <w:tl2br w:val="nil"/>
              <w:tr2bl w:val="nil"/>
            </w:tcBorders>
            <w:shd w:val="clear" w:color="auto" w:fill="auto"/>
            <w:noWrap/>
            <w:tcMar>
              <w:top w:w="15" w:type="dxa"/>
              <w:left w:w="15" w:type="dxa"/>
              <w:right w:w="15" w:type="dxa"/>
            </w:tcMar>
            <w:vAlign w:val="center"/>
          </w:tcPr>
          <w:p w14:paraId="05CBB14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60</w:t>
            </w:r>
          </w:p>
        </w:tc>
        <w:tc>
          <w:tcPr>
            <w:tcW w:w="283" w:type="pct"/>
            <w:tcBorders>
              <w:tl2br w:val="nil"/>
              <w:tr2bl w:val="nil"/>
            </w:tcBorders>
            <w:vAlign w:val="center"/>
          </w:tcPr>
          <w:p w14:paraId="1BB7A613">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1</w:t>
            </w:r>
            <w:r>
              <w:rPr>
                <w:color w:val="000000"/>
                <w:kern w:val="0"/>
                <w:sz w:val="21"/>
                <w:szCs w:val="21"/>
                <w:highlight w:val="none"/>
                <w:lang w:bidi="ar"/>
              </w:rPr>
              <w:t>80</w:t>
            </w:r>
          </w:p>
        </w:tc>
      </w:tr>
      <w:tr w14:paraId="390234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65" w:type="pct"/>
            <w:gridSpan w:val="4"/>
            <w:tcBorders>
              <w:tl2br w:val="nil"/>
              <w:tr2bl w:val="nil"/>
            </w:tcBorders>
            <w:shd w:val="clear" w:color="auto" w:fill="auto"/>
            <w:noWrap/>
            <w:tcMar>
              <w:top w:w="15" w:type="dxa"/>
              <w:left w:w="15" w:type="dxa"/>
              <w:right w:w="15" w:type="dxa"/>
            </w:tcMar>
            <w:vAlign w:val="center"/>
          </w:tcPr>
          <w:p w14:paraId="38D12BF7">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区域背景值</w:t>
            </w:r>
          </w:p>
        </w:tc>
        <w:tc>
          <w:tcPr>
            <w:tcW w:w="297" w:type="pct"/>
            <w:tcBorders>
              <w:tl2br w:val="nil"/>
              <w:tr2bl w:val="nil"/>
            </w:tcBorders>
            <w:shd w:val="clear" w:color="auto" w:fill="auto"/>
            <w:noWrap/>
            <w:tcMar>
              <w:top w:w="15" w:type="dxa"/>
              <w:left w:w="15" w:type="dxa"/>
              <w:right w:w="15" w:type="dxa"/>
            </w:tcMar>
            <w:vAlign w:val="center"/>
          </w:tcPr>
          <w:p w14:paraId="1D9F704E">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42.3</w:t>
            </w:r>
          </w:p>
        </w:tc>
        <w:tc>
          <w:tcPr>
            <w:tcW w:w="297" w:type="pct"/>
            <w:tcBorders>
              <w:tl2br w:val="nil"/>
              <w:tr2bl w:val="nil"/>
            </w:tcBorders>
            <w:shd w:val="clear" w:color="auto" w:fill="auto"/>
            <w:noWrap/>
            <w:tcMar>
              <w:top w:w="15" w:type="dxa"/>
              <w:left w:w="15" w:type="dxa"/>
              <w:right w:w="15" w:type="dxa"/>
            </w:tcMar>
            <w:vAlign w:val="center"/>
          </w:tcPr>
          <w:p w14:paraId="3B987E4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0.193</w:t>
            </w:r>
          </w:p>
        </w:tc>
        <w:tc>
          <w:tcPr>
            <w:tcW w:w="347" w:type="pct"/>
            <w:tcBorders>
              <w:tl2br w:val="nil"/>
              <w:tr2bl w:val="nil"/>
            </w:tcBorders>
            <w:shd w:val="clear" w:color="auto" w:fill="auto"/>
            <w:noWrap/>
            <w:tcMar>
              <w:top w:w="15" w:type="dxa"/>
              <w:left w:w="15" w:type="dxa"/>
              <w:right w:w="15" w:type="dxa"/>
            </w:tcMar>
            <w:vAlign w:val="center"/>
          </w:tcPr>
          <w:p w14:paraId="36A14F2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0.5643</w:t>
            </w:r>
          </w:p>
        </w:tc>
        <w:tc>
          <w:tcPr>
            <w:tcW w:w="317" w:type="pct"/>
            <w:tcBorders>
              <w:tl2br w:val="nil"/>
              <w:tr2bl w:val="nil"/>
            </w:tcBorders>
            <w:shd w:val="clear" w:color="auto" w:fill="auto"/>
            <w:noWrap/>
            <w:tcMar>
              <w:top w:w="15" w:type="dxa"/>
              <w:left w:w="15" w:type="dxa"/>
              <w:right w:w="15" w:type="dxa"/>
            </w:tcMar>
            <w:vAlign w:val="center"/>
          </w:tcPr>
          <w:p w14:paraId="4F03A60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56.4</w:t>
            </w:r>
          </w:p>
        </w:tc>
        <w:tc>
          <w:tcPr>
            <w:tcW w:w="297" w:type="pct"/>
            <w:tcBorders>
              <w:tl2br w:val="nil"/>
              <w:tr2bl w:val="nil"/>
            </w:tcBorders>
            <w:shd w:val="clear" w:color="auto" w:fill="auto"/>
            <w:noWrap/>
            <w:tcMar>
              <w:top w:w="15" w:type="dxa"/>
              <w:left w:w="15" w:type="dxa"/>
              <w:right w:w="15" w:type="dxa"/>
            </w:tcMar>
            <w:vAlign w:val="center"/>
          </w:tcPr>
          <w:p w14:paraId="77C7C13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54.2</w:t>
            </w:r>
          </w:p>
        </w:tc>
        <w:tc>
          <w:tcPr>
            <w:tcW w:w="297" w:type="pct"/>
            <w:tcBorders>
              <w:tl2br w:val="nil"/>
              <w:tr2bl w:val="nil"/>
            </w:tcBorders>
            <w:shd w:val="clear" w:color="auto" w:fill="auto"/>
            <w:noWrap/>
            <w:tcMar>
              <w:top w:w="15" w:type="dxa"/>
              <w:left w:w="15" w:type="dxa"/>
              <w:right w:w="15" w:type="dxa"/>
            </w:tcMar>
            <w:vAlign w:val="center"/>
          </w:tcPr>
          <w:p w14:paraId="41D88A7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146.8</w:t>
            </w:r>
          </w:p>
        </w:tc>
        <w:tc>
          <w:tcPr>
            <w:tcW w:w="297" w:type="pct"/>
            <w:tcBorders>
              <w:tl2br w:val="nil"/>
              <w:tr2bl w:val="nil"/>
            </w:tcBorders>
            <w:shd w:val="clear" w:color="auto" w:fill="auto"/>
            <w:noWrap/>
            <w:tcMar>
              <w:top w:w="15" w:type="dxa"/>
              <w:left w:w="15" w:type="dxa"/>
              <w:right w:w="15" w:type="dxa"/>
            </w:tcMar>
            <w:vAlign w:val="center"/>
          </w:tcPr>
          <w:p w14:paraId="6F3A4395">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40</w:t>
            </w:r>
          </w:p>
        </w:tc>
        <w:tc>
          <w:tcPr>
            <w:tcW w:w="283" w:type="pct"/>
            <w:tcBorders>
              <w:tl2br w:val="nil"/>
              <w:tr2bl w:val="nil"/>
            </w:tcBorders>
            <w:vAlign w:val="center"/>
          </w:tcPr>
          <w:p w14:paraId="646BD55B">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2</w:t>
            </w:r>
            <w:r>
              <w:rPr>
                <w:color w:val="000000"/>
                <w:kern w:val="0"/>
                <w:sz w:val="21"/>
                <w:szCs w:val="21"/>
                <w:highlight w:val="none"/>
                <w:lang w:bidi="ar"/>
              </w:rPr>
              <w:t>.23</w:t>
            </w:r>
          </w:p>
        </w:tc>
      </w:tr>
      <w:tr w14:paraId="222E3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565" w:type="pct"/>
            <w:gridSpan w:val="4"/>
            <w:tcBorders>
              <w:tl2br w:val="nil"/>
              <w:tr2bl w:val="nil"/>
            </w:tcBorders>
            <w:shd w:val="clear" w:color="auto" w:fill="auto"/>
            <w:noWrap/>
            <w:tcMar>
              <w:top w:w="15" w:type="dxa"/>
              <w:left w:w="15" w:type="dxa"/>
              <w:right w:w="15" w:type="dxa"/>
            </w:tcMar>
            <w:vAlign w:val="center"/>
          </w:tcPr>
          <w:p w14:paraId="6E1F782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达标情况</w:t>
            </w:r>
          </w:p>
        </w:tc>
        <w:tc>
          <w:tcPr>
            <w:tcW w:w="297" w:type="pct"/>
            <w:tcBorders>
              <w:tl2br w:val="nil"/>
              <w:tr2bl w:val="nil"/>
            </w:tcBorders>
            <w:shd w:val="clear" w:color="auto" w:fill="auto"/>
            <w:noWrap/>
            <w:tcMar>
              <w:top w:w="15" w:type="dxa"/>
              <w:left w:w="15" w:type="dxa"/>
              <w:right w:w="15" w:type="dxa"/>
            </w:tcMar>
            <w:vAlign w:val="center"/>
          </w:tcPr>
          <w:p w14:paraId="3F2B1A8A">
            <w:pPr>
              <w:widowControl/>
              <w:spacing w:line="240" w:lineRule="auto"/>
              <w:jc w:val="center"/>
              <w:textAlignment w:val="center"/>
              <w:rPr>
                <w:rFonts w:ascii="Times New Roman" w:hAnsi="Times New Roman" w:eastAsia="宋体" w:cs="Times New Roman"/>
                <w:color w:val="000000"/>
                <w:kern w:val="0"/>
                <w:sz w:val="21"/>
                <w:szCs w:val="21"/>
                <w:highlight w:val="none"/>
                <w:lang w:val="en-US" w:eastAsia="zh-CN" w:bidi="ar"/>
              </w:rPr>
            </w:pPr>
            <w:r>
              <w:rPr>
                <w:color w:val="000000"/>
                <w:kern w:val="0"/>
                <w:sz w:val="21"/>
                <w:szCs w:val="21"/>
                <w:highlight w:val="none"/>
                <w:lang w:bidi="ar"/>
              </w:rPr>
              <w:t>达标</w:t>
            </w:r>
          </w:p>
        </w:tc>
        <w:tc>
          <w:tcPr>
            <w:tcW w:w="297" w:type="pct"/>
            <w:tcBorders>
              <w:tl2br w:val="nil"/>
              <w:tr2bl w:val="nil"/>
            </w:tcBorders>
            <w:shd w:val="clear" w:color="auto" w:fill="auto"/>
            <w:noWrap/>
            <w:tcMar>
              <w:top w:w="15" w:type="dxa"/>
              <w:left w:w="15" w:type="dxa"/>
              <w:right w:w="15" w:type="dxa"/>
            </w:tcMar>
            <w:vAlign w:val="center"/>
          </w:tcPr>
          <w:p w14:paraId="4984B93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w:t>
            </w:r>
          </w:p>
        </w:tc>
        <w:tc>
          <w:tcPr>
            <w:tcW w:w="347" w:type="pct"/>
            <w:tcBorders>
              <w:tl2br w:val="nil"/>
              <w:tr2bl w:val="nil"/>
            </w:tcBorders>
            <w:shd w:val="clear" w:color="auto" w:fill="auto"/>
            <w:noWrap/>
            <w:tcMar>
              <w:top w:w="15" w:type="dxa"/>
              <w:left w:w="15" w:type="dxa"/>
              <w:right w:w="15" w:type="dxa"/>
            </w:tcMar>
            <w:vAlign w:val="center"/>
          </w:tcPr>
          <w:p w14:paraId="7CBF8FD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w:t>
            </w:r>
          </w:p>
        </w:tc>
        <w:tc>
          <w:tcPr>
            <w:tcW w:w="317" w:type="pct"/>
            <w:tcBorders>
              <w:tl2br w:val="nil"/>
              <w:tr2bl w:val="nil"/>
            </w:tcBorders>
            <w:shd w:val="clear" w:color="auto" w:fill="auto"/>
            <w:noWrap/>
            <w:tcMar>
              <w:top w:w="15" w:type="dxa"/>
              <w:left w:w="15" w:type="dxa"/>
              <w:right w:w="15" w:type="dxa"/>
            </w:tcMar>
            <w:vAlign w:val="center"/>
          </w:tcPr>
          <w:p w14:paraId="351635A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w:t>
            </w:r>
          </w:p>
        </w:tc>
        <w:tc>
          <w:tcPr>
            <w:tcW w:w="297" w:type="pct"/>
            <w:tcBorders>
              <w:tl2br w:val="nil"/>
              <w:tr2bl w:val="nil"/>
            </w:tcBorders>
            <w:shd w:val="clear" w:color="auto" w:fill="auto"/>
            <w:noWrap/>
            <w:tcMar>
              <w:top w:w="15" w:type="dxa"/>
              <w:left w:w="15" w:type="dxa"/>
              <w:right w:w="15" w:type="dxa"/>
            </w:tcMar>
            <w:vAlign w:val="center"/>
          </w:tcPr>
          <w:p w14:paraId="6BC1414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w:t>
            </w:r>
          </w:p>
        </w:tc>
        <w:tc>
          <w:tcPr>
            <w:tcW w:w="297" w:type="pct"/>
            <w:tcBorders>
              <w:tl2br w:val="nil"/>
              <w:tr2bl w:val="nil"/>
            </w:tcBorders>
            <w:shd w:val="clear" w:color="auto" w:fill="auto"/>
            <w:noWrap/>
            <w:tcMar>
              <w:top w:w="15" w:type="dxa"/>
              <w:left w:w="15" w:type="dxa"/>
              <w:right w:w="15" w:type="dxa"/>
            </w:tcMar>
            <w:vAlign w:val="center"/>
          </w:tcPr>
          <w:p w14:paraId="0635227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w:t>
            </w:r>
          </w:p>
        </w:tc>
        <w:tc>
          <w:tcPr>
            <w:tcW w:w="297" w:type="pct"/>
            <w:tcBorders>
              <w:tl2br w:val="nil"/>
              <w:tr2bl w:val="nil"/>
            </w:tcBorders>
            <w:shd w:val="clear" w:color="auto" w:fill="auto"/>
            <w:noWrap/>
            <w:tcMar>
              <w:top w:w="15" w:type="dxa"/>
              <w:left w:w="15" w:type="dxa"/>
              <w:right w:w="15" w:type="dxa"/>
            </w:tcMar>
            <w:vAlign w:val="center"/>
          </w:tcPr>
          <w:p w14:paraId="4FE59AFA">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w:t>
            </w:r>
          </w:p>
        </w:tc>
        <w:tc>
          <w:tcPr>
            <w:tcW w:w="283" w:type="pct"/>
            <w:tcBorders>
              <w:tl2br w:val="nil"/>
              <w:tr2bl w:val="nil"/>
            </w:tcBorders>
            <w:vAlign w:val="center"/>
          </w:tcPr>
          <w:p w14:paraId="744E47F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w:t>
            </w:r>
          </w:p>
        </w:tc>
      </w:tr>
      <w:bookmarkEnd w:id="44"/>
    </w:tbl>
    <w:p w14:paraId="67879691">
      <w:pPr>
        <w:pStyle w:val="2"/>
        <w:spacing w:before="165" w:beforeLines="50" w:after="0" w:line="240" w:lineRule="auto"/>
        <w:jc w:val="center"/>
        <w:rPr>
          <w:highlight w:val="none"/>
        </w:rPr>
      </w:pPr>
      <w:bookmarkStart w:id="45" w:name="_Toc21346_WPSOffice_Level2"/>
      <w:bookmarkEnd w:id="45"/>
      <w:bookmarkStart w:id="46" w:name="_Toc20828_WPSOffice_Level2"/>
      <w:bookmarkEnd w:id="46"/>
      <w:r>
        <w:rPr>
          <w:rFonts w:eastAsia="黑体"/>
          <w:b/>
          <w:bCs/>
          <w:color w:val="000000"/>
          <w:highlight w:val="none"/>
        </w:rPr>
        <w:t>表5-3-4 土壤样品</w:t>
      </w:r>
      <w:r>
        <w:rPr>
          <w:rFonts w:eastAsia="黑体"/>
          <w:b/>
          <w:bCs/>
          <w:highlight w:val="none"/>
        </w:rPr>
        <w:t>已检出重金属指标</w:t>
      </w:r>
      <w:r>
        <w:rPr>
          <w:rFonts w:eastAsia="黑体"/>
          <w:b/>
          <w:bCs/>
          <w:color w:val="000000"/>
          <w:highlight w:val="none"/>
        </w:rPr>
        <w:t>监测值（</w:t>
      </w:r>
      <w:r>
        <w:rPr>
          <w:rFonts w:hint="eastAsia" w:eastAsia="黑体"/>
          <w:b/>
          <w:bCs/>
          <w:color w:val="000000"/>
          <w:highlight w:val="none"/>
        </w:rPr>
        <w:t>基于</w:t>
      </w:r>
      <w:r>
        <w:rPr>
          <w:rFonts w:eastAsia="黑体"/>
          <w:b/>
          <w:bCs/>
          <w:color w:val="000000"/>
          <w:highlight w:val="none"/>
        </w:rPr>
        <w:t>农用地标准）  （单位：mg/kg）</w:t>
      </w:r>
    </w:p>
    <w:tbl>
      <w:tblPr>
        <w:tblStyle w:val="21"/>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320"/>
        <w:gridCol w:w="1102"/>
        <w:gridCol w:w="1970"/>
        <w:gridCol w:w="500"/>
        <w:gridCol w:w="500"/>
        <w:gridCol w:w="500"/>
        <w:gridCol w:w="500"/>
        <w:gridCol w:w="302"/>
        <w:gridCol w:w="302"/>
        <w:gridCol w:w="435"/>
        <w:gridCol w:w="435"/>
        <w:gridCol w:w="500"/>
        <w:gridCol w:w="1235"/>
      </w:tblGrid>
      <w:tr w14:paraId="1460CC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686" w:type="pct"/>
            <w:tcBorders>
              <w:bottom w:val="single" w:color="auto" w:sz="12" w:space="0"/>
            </w:tcBorders>
            <w:shd w:val="clear" w:color="auto" w:fill="auto"/>
            <w:noWrap/>
            <w:tcMar>
              <w:top w:w="15" w:type="dxa"/>
              <w:left w:w="15" w:type="dxa"/>
              <w:right w:w="15" w:type="dxa"/>
            </w:tcMar>
            <w:vAlign w:val="center"/>
          </w:tcPr>
          <w:p w14:paraId="15938DB3">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pH范围</w:t>
            </w:r>
          </w:p>
        </w:tc>
        <w:tc>
          <w:tcPr>
            <w:tcW w:w="573" w:type="pct"/>
            <w:tcBorders>
              <w:bottom w:val="single" w:color="auto" w:sz="12" w:space="0"/>
            </w:tcBorders>
            <w:shd w:val="clear" w:color="auto" w:fill="auto"/>
            <w:noWrap/>
            <w:tcMar>
              <w:top w:w="15" w:type="dxa"/>
              <w:left w:w="15" w:type="dxa"/>
              <w:right w:w="15" w:type="dxa"/>
            </w:tcMar>
            <w:vAlign w:val="center"/>
          </w:tcPr>
          <w:p w14:paraId="393D7EEA">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样品编号</w:t>
            </w:r>
          </w:p>
        </w:tc>
        <w:tc>
          <w:tcPr>
            <w:tcW w:w="1023" w:type="pct"/>
            <w:tcBorders>
              <w:bottom w:val="single" w:color="auto" w:sz="12" w:space="0"/>
            </w:tcBorders>
            <w:shd w:val="clear" w:color="auto" w:fill="auto"/>
            <w:noWrap/>
            <w:tcMar>
              <w:top w:w="15" w:type="dxa"/>
              <w:left w:w="15" w:type="dxa"/>
              <w:right w:w="15" w:type="dxa"/>
            </w:tcMar>
            <w:vAlign w:val="center"/>
          </w:tcPr>
          <w:p w14:paraId="26AB20A5">
            <w:pPr>
              <w:widowControl/>
              <w:spacing w:line="240" w:lineRule="auto"/>
              <w:jc w:val="center"/>
              <w:textAlignment w:val="center"/>
              <w:rPr>
                <w:rFonts w:hint="default" w:eastAsia="宋体"/>
                <w:b/>
                <w:bCs/>
                <w:color w:val="000000"/>
                <w:kern w:val="0"/>
                <w:sz w:val="21"/>
                <w:szCs w:val="21"/>
                <w:highlight w:val="none"/>
                <w:lang w:val="en-US" w:eastAsia="zh-CN" w:bidi="ar"/>
              </w:rPr>
            </w:pPr>
            <w:r>
              <w:rPr>
                <w:rFonts w:hint="eastAsia"/>
                <w:b/>
                <w:bCs/>
                <w:color w:val="000000"/>
                <w:kern w:val="0"/>
                <w:sz w:val="21"/>
                <w:szCs w:val="21"/>
                <w:highlight w:val="none"/>
                <w:lang w:val="en-US" w:eastAsia="zh-CN" w:bidi="ar"/>
              </w:rPr>
              <w:t>点位位置</w:t>
            </w:r>
          </w:p>
        </w:tc>
        <w:tc>
          <w:tcPr>
            <w:tcW w:w="260" w:type="pct"/>
            <w:tcBorders>
              <w:bottom w:val="single" w:color="auto" w:sz="12" w:space="0"/>
            </w:tcBorders>
            <w:shd w:val="clear" w:color="auto" w:fill="auto"/>
            <w:noWrap/>
            <w:tcMar>
              <w:top w:w="15" w:type="dxa"/>
              <w:left w:w="15" w:type="dxa"/>
              <w:right w:w="15" w:type="dxa"/>
            </w:tcMar>
            <w:vAlign w:val="center"/>
          </w:tcPr>
          <w:p w14:paraId="4417F059">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pH</w:t>
            </w:r>
          </w:p>
        </w:tc>
        <w:tc>
          <w:tcPr>
            <w:tcW w:w="260" w:type="pct"/>
            <w:tcBorders>
              <w:bottom w:val="single" w:color="auto" w:sz="12" w:space="0"/>
            </w:tcBorders>
            <w:shd w:val="clear" w:color="auto" w:fill="auto"/>
            <w:noWrap/>
            <w:tcMar>
              <w:top w:w="15" w:type="dxa"/>
              <w:left w:w="15" w:type="dxa"/>
              <w:right w:w="15" w:type="dxa"/>
            </w:tcMar>
            <w:vAlign w:val="center"/>
          </w:tcPr>
          <w:p w14:paraId="63D63E3F">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铅</w:t>
            </w:r>
          </w:p>
        </w:tc>
        <w:tc>
          <w:tcPr>
            <w:tcW w:w="260" w:type="pct"/>
            <w:tcBorders>
              <w:bottom w:val="single" w:color="auto" w:sz="12" w:space="0"/>
            </w:tcBorders>
            <w:shd w:val="clear" w:color="auto" w:fill="auto"/>
            <w:noWrap/>
            <w:tcMar>
              <w:top w:w="15" w:type="dxa"/>
              <w:left w:w="15" w:type="dxa"/>
              <w:right w:w="15" w:type="dxa"/>
            </w:tcMar>
            <w:vAlign w:val="center"/>
          </w:tcPr>
          <w:p w14:paraId="5800099A">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汞</w:t>
            </w:r>
          </w:p>
        </w:tc>
        <w:tc>
          <w:tcPr>
            <w:tcW w:w="260" w:type="pct"/>
            <w:tcBorders>
              <w:bottom w:val="single" w:color="auto" w:sz="12" w:space="0"/>
            </w:tcBorders>
            <w:shd w:val="clear" w:color="auto" w:fill="auto"/>
            <w:noWrap/>
            <w:tcMar>
              <w:top w:w="15" w:type="dxa"/>
              <w:left w:w="15" w:type="dxa"/>
              <w:right w:w="15" w:type="dxa"/>
            </w:tcMar>
            <w:vAlign w:val="center"/>
          </w:tcPr>
          <w:p w14:paraId="0C1CF59B">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镉</w:t>
            </w:r>
          </w:p>
        </w:tc>
        <w:tc>
          <w:tcPr>
            <w:tcW w:w="157" w:type="pct"/>
            <w:tcBorders>
              <w:bottom w:val="single" w:color="auto" w:sz="12" w:space="0"/>
            </w:tcBorders>
            <w:shd w:val="clear" w:color="auto" w:fill="auto"/>
            <w:noWrap/>
            <w:tcMar>
              <w:top w:w="15" w:type="dxa"/>
              <w:left w:w="15" w:type="dxa"/>
              <w:right w:w="15" w:type="dxa"/>
            </w:tcMar>
            <w:vAlign w:val="center"/>
          </w:tcPr>
          <w:p w14:paraId="3954CFF8">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铜</w:t>
            </w:r>
          </w:p>
        </w:tc>
        <w:tc>
          <w:tcPr>
            <w:tcW w:w="157" w:type="pct"/>
            <w:tcBorders>
              <w:bottom w:val="single" w:color="auto" w:sz="12" w:space="0"/>
            </w:tcBorders>
            <w:shd w:val="clear" w:color="auto" w:fill="auto"/>
            <w:noWrap/>
            <w:tcMar>
              <w:top w:w="15" w:type="dxa"/>
              <w:left w:w="15" w:type="dxa"/>
              <w:right w:w="15" w:type="dxa"/>
            </w:tcMar>
            <w:vAlign w:val="center"/>
          </w:tcPr>
          <w:p w14:paraId="332CD5D9">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镍</w:t>
            </w:r>
          </w:p>
        </w:tc>
        <w:tc>
          <w:tcPr>
            <w:tcW w:w="226" w:type="pct"/>
            <w:tcBorders>
              <w:bottom w:val="single" w:color="auto" w:sz="12" w:space="0"/>
            </w:tcBorders>
            <w:shd w:val="clear" w:color="auto" w:fill="auto"/>
            <w:noWrap/>
            <w:tcMar>
              <w:top w:w="15" w:type="dxa"/>
              <w:left w:w="15" w:type="dxa"/>
              <w:right w:w="15" w:type="dxa"/>
            </w:tcMar>
            <w:vAlign w:val="center"/>
          </w:tcPr>
          <w:p w14:paraId="2E593664">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铬</w:t>
            </w:r>
          </w:p>
        </w:tc>
        <w:tc>
          <w:tcPr>
            <w:tcW w:w="226" w:type="pct"/>
            <w:tcBorders>
              <w:bottom w:val="single" w:color="auto" w:sz="12" w:space="0"/>
            </w:tcBorders>
            <w:shd w:val="clear" w:color="auto" w:fill="auto"/>
            <w:noWrap/>
            <w:tcMar>
              <w:top w:w="15" w:type="dxa"/>
              <w:left w:w="15" w:type="dxa"/>
              <w:right w:w="15" w:type="dxa"/>
            </w:tcMar>
            <w:vAlign w:val="center"/>
          </w:tcPr>
          <w:p w14:paraId="6F0529D1">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锌</w:t>
            </w:r>
          </w:p>
        </w:tc>
        <w:tc>
          <w:tcPr>
            <w:tcW w:w="260" w:type="pct"/>
            <w:tcBorders>
              <w:bottom w:val="single" w:color="auto" w:sz="12" w:space="0"/>
            </w:tcBorders>
            <w:shd w:val="clear" w:color="auto" w:fill="auto"/>
            <w:noWrap/>
            <w:tcMar>
              <w:top w:w="15" w:type="dxa"/>
              <w:left w:w="15" w:type="dxa"/>
              <w:right w:w="15" w:type="dxa"/>
            </w:tcMar>
            <w:vAlign w:val="center"/>
          </w:tcPr>
          <w:p w14:paraId="4344EE3F">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砷</w:t>
            </w:r>
          </w:p>
        </w:tc>
        <w:tc>
          <w:tcPr>
            <w:tcW w:w="642" w:type="pct"/>
            <w:tcBorders>
              <w:bottom w:val="single" w:color="auto" w:sz="12" w:space="0"/>
            </w:tcBorders>
            <w:shd w:val="clear" w:color="auto" w:fill="auto"/>
            <w:noWrap/>
            <w:tcMar>
              <w:top w:w="15" w:type="dxa"/>
              <w:left w:w="15" w:type="dxa"/>
              <w:right w:w="15" w:type="dxa"/>
            </w:tcMar>
            <w:vAlign w:val="center"/>
          </w:tcPr>
          <w:p w14:paraId="51DB8BF5">
            <w:pPr>
              <w:widowControl/>
              <w:spacing w:line="240" w:lineRule="auto"/>
              <w:jc w:val="center"/>
              <w:textAlignment w:val="center"/>
              <w:rPr>
                <w:b/>
                <w:bCs/>
                <w:color w:val="000000"/>
                <w:sz w:val="21"/>
                <w:szCs w:val="21"/>
                <w:highlight w:val="none"/>
              </w:rPr>
            </w:pPr>
            <w:r>
              <w:rPr>
                <w:b/>
                <w:bCs/>
                <w:color w:val="000000"/>
                <w:kern w:val="0"/>
                <w:sz w:val="21"/>
                <w:szCs w:val="21"/>
                <w:highlight w:val="none"/>
                <w:lang w:bidi="ar"/>
              </w:rPr>
              <w:t>达标情况</w:t>
            </w:r>
            <w:r>
              <w:rPr>
                <w:b/>
                <w:bCs/>
                <w:color w:val="000000"/>
                <w:kern w:val="0"/>
                <w:sz w:val="21"/>
                <w:szCs w:val="21"/>
                <w:highlight w:val="none"/>
                <w:vertAlign w:val="superscript"/>
                <w:lang w:bidi="ar"/>
              </w:rPr>
              <w:t>①</w:t>
            </w:r>
          </w:p>
        </w:tc>
      </w:tr>
      <w:tr w14:paraId="75583C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6" w:type="pct"/>
            <w:vMerge w:val="restart"/>
            <w:tcBorders>
              <w:tl2br w:val="nil"/>
              <w:tr2bl w:val="nil"/>
            </w:tcBorders>
            <w:shd w:val="clear" w:color="auto" w:fill="auto"/>
            <w:noWrap/>
            <w:tcMar>
              <w:top w:w="15" w:type="dxa"/>
              <w:left w:w="15" w:type="dxa"/>
              <w:right w:w="15" w:type="dxa"/>
            </w:tcMar>
            <w:vAlign w:val="center"/>
          </w:tcPr>
          <w:p w14:paraId="7CB10A79">
            <w:pPr>
              <w:widowControl/>
              <w:spacing w:line="240" w:lineRule="auto"/>
              <w:jc w:val="center"/>
              <w:textAlignment w:val="center"/>
              <w:rPr>
                <w:color w:val="000000"/>
                <w:sz w:val="21"/>
                <w:szCs w:val="21"/>
                <w:highlight w:val="none"/>
              </w:rPr>
            </w:pPr>
            <w:r>
              <w:rPr>
                <w:color w:val="000000"/>
                <w:kern w:val="0"/>
                <w:sz w:val="21"/>
                <w:szCs w:val="21"/>
                <w:highlight w:val="none"/>
                <w:lang w:bidi="ar"/>
              </w:rPr>
              <w:t>5.5&lt;pH≤6.5</w:t>
            </w:r>
          </w:p>
        </w:tc>
        <w:tc>
          <w:tcPr>
            <w:tcW w:w="573" w:type="pct"/>
            <w:tcBorders>
              <w:tl2br w:val="nil"/>
              <w:tr2bl w:val="nil"/>
            </w:tcBorders>
            <w:shd w:val="clear" w:color="auto" w:fill="auto"/>
            <w:noWrap/>
            <w:tcMar>
              <w:top w:w="15" w:type="dxa"/>
              <w:left w:w="15" w:type="dxa"/>
              <w:right w:w="15" w:type="dxa"/>
            </w:tcMar>
            <w:vAlign w:val="center"/>
          </w:tcPr>
          <w:p w14:paraId="296EF374">
            <w:pPr>
              <w:widowControl/>
              <w:spacing w:line="240" w:lineRule="auto"/>
              <w:jc w:val="center"/>
              <w:textAlignment w:val="center"/>
              <w:rPr>
                <w:color w:val="000000"/>
                <w:kern w:val="0"/>
                <w:sz w:val="21"/>
                <w:szCs w:val="21"/>
                <w:highlight w:val="none"/>
                <w:lang w:bidi="ar"/>
              </w:rPr>
            </w:pPr>
            <w:r>
              <w:rPr>
                <w:kern w:val="0"/>
                <w:sz w:val="21"/>
                <w:szCs w:val="21"/>
                <w:highlight w:val="none"/>
                <w:lang w:bidi="ar"/>
              </w:rPr>
              <w:t>HH-4</w:t>
            </w:r>
          </w:p>
        </w:tc>
        <w:tc>
          <w:tcPr>
            <w:tcW w:w="1023" w:type="pct"/>
            <w:tcBorders>
              <w:tl2br w:val="nil"/>
              <w:tr2bl w:val="nil"/>
            </w:tcBorders>
            <w:shd w:val="clear" w:color="auto" w:fill="auto"/>
            <w:noWrap/>
            <w:tcMar>
              <w:top w:w="15" w:type="dxa"/>
              <w:left w:w="15" w:type="dxa"/>
              <w:right w:w="15" w:type="dxa"/>
            </w:tcMar>
            <w:vAlign w:val="center"/>
          </w:tcPr>
          <w:p w14:paraId="282A9F3A">
            <w:pPr>
              <w:spacing w:line="240" w:lineRule="auto"/>
              <w:jc w:val="center"/>
              <w:rPr>
                <w:rFonts w:hint="eastAsia"/>
                <w:sz w:val="21"/>
                <w:szCs w:val="21"/>
                <w:highlight w:val="none"/>
              </w:rPr>
            </w:pPr>
            <w:r>
              <w:rPr>
                <w:sz w:val="21"/>
                <w:szCs w:val="21"/>
                <w:highlight w:val="none"/>
              </w:rPr>
              <w:t>园区边界</w:t>
            </w:r>
            <w:r>
              <w:rPr>
                <w:rFonts w:hint="eastAsia"/>
                <w:sz w:val="21"/>
                <w:szCs w:val="21"/>
                <w:highlight w:val="none"/>
              </w:rPr>
              <w:t>北侧</w:t>
            </w:r>
          </w:p>
          <w:p w14:paraId="75AE4D09">
            <w:pPr>
              <w:widowControl/>
              <w:spacing w:line="240" w:lineRule="auto"/>
              <w:jc w:val="center"/>
              <w:textAlignment w:val="center"/>
              <w:rPr>
                <w:kern w:val="0"/>
                <w:sz w:val="21"/>
                <w:szCs w:val="21"/>
                <w:highlight w:val="none"/>
                <w:lang w:bidi="ar"/>
              </w:rPr>
            </w:pPr>
            <w:r>
              <w:rPr>
                <w:rFonts w:hint="eastAsia"/>
                <w:sz w:val="21"/>
                <w:szCs w:val="21"/>
                <w:highlight w:val="none"/>
              </w:rPr>
              <w:t>上</w:t>
            </w:r>
            <w:r>
              <w:rPr>
                <w:sz w:val="21"/>
                <w:szCs w:val="21"/>
                <w:highlight w:val="none"/>
              </w:rPr>
              <w:t>风向</w:t>
            </w:r>
            <w:r>
              <w:rPr>
                <w:rFonts w:hint="eastAsia"/>
                <w:sz w:val="21"/>
                <w:szCs w:val="21"/>
                <w:highlight w:val="none"/>
              </w:rPr>
              <w:t>2</w:t>
            </w:r>
            <w:r>
              <w:rPr>
                <w:sz w:val="21"/>
                <w:szCs w:val="21"/>
                <w:highlight w:val="none"/>
              </w:rPr>
              <w:t>0m</w:t>
            </w:r>
            <w:r>
              <w:rPr>
                <w:rFonts w:hint="eastAsia"/>
                <w:sz w:val="21"/>
                <w:szCs w:val="21"/>
                <w:highlight w:val="none"/>
              </w:rPr>
              <w:t>以外</w:t>
            </w:r>
          </w:p>
        </w:tc>
        <w:tc>
          <w:tcPr>
            <w:tcW w:w="260" w:type="pct"/>
            <w:tcBorders>
              <w:tl2br w:val="nil"/>
              <w:tr2bl w:val="nil"/>
            </w:tcBorders>
            <w:shd w:val="clear" w:color="auto" w:fill="auto"/>
            <w:noWrap/>
            <w:tcMar>
              <w:top w:w="15" w:type="dxa"/>
              <w:left w:w="15" w:type="dxa"/>
              <w:right w:w="15" w:type="dxa"/>
            </w:tcMar>
            <w:vAlign w:val="center"/>
          </w:tcPr>
          <w:p w14:paraId="7BB5D4D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6.02 </w:t>
            </w:r>
          </w:p>
        </w:tc>
        <w:tc>
          <w:tcPr>
            <w:tcW w:w="260" w:type="pct"/>
            <w:tcBorders>
              <w:tl2br w:val="nil"/>
              <w:tr2bl w:val="nil"/>
            </w:tcBorders>
            <w:shd w:val="clear" w:color="auto" w:fill="auto"/>
            <w:noWrap/>
            <w:tcMar>
              <w:top w:w="15" w:type="dxa"/>
              <w:left w:w="15" w:type="dxa"/>
              <w:right w:w="15" w:type="dxa"/>
            </w:tcMar>
            <w:vAlign w:val="center"/>
          </w:tcPr>
          <w:p w14:paraId="055D1DC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41.7</w:t>
            </w:r>
          </w:p>
        </w:tc>
        <w:tc>
          <w:tcPr>
            <w:tcW w:w="260" w:type="pct"/>
            <w:tcBorders>
              <w:tl2br w:val="nil"/>
              <w:tr2bl w:val="nil"/>
            </w:tcBorders>
            <w:shd w:val="clear" w:color="auto" w:fill="auto"/>
            <w:noWrap/>
            <w:tcMar>
              <w:top w:w="15" w:type="dxa"/>
              <w:left w:w="15" w:type="dxa"/>
              <w:right w:w="15" w:type="dxa"/>
            </w:tcMar>
            <w:vAlign w:val="center"/>
          </w:tcPr>
          <w:p w14:paraId="6673923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0.14</w:t>
            </w:r>
          </w:p>
        </w:tc>
        <w:tc>
          <w:tcPr>
            <w:tcW w:w="260" w:type="pct"/>
            <w:tcBorders>
              <w:tl2br w:val="nil"/>
              <w:tr2bl w:val="nil"/>
            </w:tcBorders>
            <w:shd w:val="clear" w:color="auto" w:fill="auto"/>
            <w:noWrap/>
            <w:tcMar>
              <w:top w:w="15" w:type="dxa"/>
              <w:left w:w="15" w:type="dxa"/>
              <w:right w:w="15" w:type="dxa"/>
            </w:tcMar>
            <w:vAlign w:val="center"/>
          </w:tcPr>
          <w:p w14:paraId="662DE85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0.04 </w:t>
            </w:r>
          </w:p>
        </w:tc>
        <w:tc>
          <w:tcPr>
            <w:tcW w:w="157" w:type="pct"/>
            <w:tcBorders>
              <w:tl2br w:val="nil"/>
              <w:tr2bl w:val="nil"/>
            </w:tcBorders>
            <w:shd w:val="clear" w:color="auto" w:fill="auto"/>
            <w:noWrap/>
            <w:tcMar>
              <w:top w:w="15" w:type="dxa"/>
              <w:left w:w="15" w:type="dxa"/>
              <w:right w:w="15" w:type="dxa"/>
            </w:tcMar>
            <w:vAlign w:val="center"/>
          </w:tcPr>
          <w:p w14:paraId="51437F1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23</w:t>
            </w:r>
          </w:p>
        </w:tc>
        <w:tc>
          <w:tcPr>
            <w:tcW w:w="157" w:type="pct"/>
            <w:tcBorders>
              <w:tl2br w:val="nil"/>
              <w:tr2bl w:val="nil"/>
            </w:tcBorders>
            <w:shd w:val="clear" w:color="auto" w:fill="auto"/>
            <w:noWrap/>
            <w:tcMar>
              <w:top w:w="15" w:type="dxa"/>
              <w:left w:w="15" w:type="dxa"/>
              <w:right w:w="15" w:type="dxa"/>
            </w:tcMar>
            <w:vAlign w:val="center"/>
          </w:tcPr>
          <w:p w14:paraId="6631B73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18</w:t>
            </w:r>
          </w:p>
        </w:tc>
        <w:tc>
          <w:tcPr>
            <w:tcW w:w="226" w:type="pct"/>
            <w:tcBorders>
              <w:tl2br w:val="nil"/>
              <w:tr2bl w:val="nil"/>
            </w:tcBorders>
            <w:shd w:val="clear" w:color="auto" w:fill="auto"/>
            <w:noWrap/>
            <w:tcMar>
              <w:top w:w="15" w:type="dxa"/>
              <w:left w:w="15" w:type="dxa"/>
              <w:right w:w="15" w:type="dxa"/>
            </w:tcMar>
            <w:vAlign w:val="center"/>
          </w:tcPr>
          <w:p w14:paraId="6CD304C5">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60</w:t>
            </w:r>
          </w:p>
        </w:tc>
        <w:tc>
          <w:tcPr>
            <w:tcW w:w="226" w:type="pct"/>
            <w:tcBorders>
              <w:tl2br w:val="nil"/>
              <w:tr2bl w:val="nil"/>
            </w:tcBorders>
            <w:shd w:val="clear" w:color="auto" w:fill="auto"/>
            <w:noWrap/>
            <w:tcMar>
              <w:top w:w="15" w:type="dxa"/>
              <w:left w:w="15" w:type="dxa"/>
              <w:right w:w="15" w:type="dxa"/>
            </w:tcMar>
            <w:vAlign w:val="center"/>
          </w:tcPr>
          <w:p w14:paraId="3002993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95</w:t>
            </w:r>
          </w:p>
        </w:tc>
        <w:tc>
          <w:tcPr>
            <w:tcW w:w="260" w:type="pct"/>
            <w:tcBorders>
              <w:tl2br w:val="nil"/>
              <w:tr2bl w:val="nil"/>
            </w:tcBorders>
            <w:shd w:val="clear" w:color="auto" w:fill="auto"/>
            <w:noWrap/>
            <w:tcMar>
              <w:top w:w="15" w:type="dxa"/>
              <w:left w:w="15" w:type="dxa"/>
              <w:right w:w="15" w:type="dxa"/>
            </w:tcMar>
            <w:vAlign w:val="center"/>
          </w:tcPr>
          <w:p w14:paraId="740747A6">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11.1 </w:t>
            </w:r>
          </w:p>
        </w:tc>
        <w:tc>
          <w:tcPr>
            <w:tcW w:w="642" w:type="pct"/>
            <w:tcBorders>
              <w:tl2br w:val="nil"/>
              <w:tr2bl w:val="nil"/>
            </w:tcBorders>
            <w:shd w:val="clear" w:color="auto" w:fill="auto"/>
            <w:noWrap/>
            <w:tcMar>
              <w:top w:w="15" w:type="dxa"/>
              <w:left w:w="15" w:type="dxa"/>
              <w:right w:w="15" w:type="dxa"/>
            </w:tcMar>
            <w:vAlign w:val="center"/>
          </w:tcPr>
          <w:p w14:paraId="2ABCC7C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w:t>
            </w:r>
          </w:p>
        </w:tc>
      </w:tr>
      <w:tr w14:paraId="570AC8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686" w:type="pct"/>
            <w:vMerge w:val="continue"/>
            <w:tcBorders>
              <w:tl2br w:val="nil"/>
              <w:tr2bl w:val="nil"/>
            </w:tcBorders>
            <w:shd w:val="clear" w:color="auto" w:fill="auto"/>
            <w:noWrap/>
            <w:tcMar>
              <w:top w:w="15" w:type="dxa"/>
              <w:left w:w="15" w:type="dxa"/>
              <w:right w:w="15" w:type="dxa"/>
            </w:tcMar>
            <w:vAlign w:val="center"/>
          </w:tcPr>
          <w:p w14:paraId="175B7953">
            <w:pPr>
              <w:spacing w:line="240" w:lineRule="auto"/>
              <w:jc w:val="center"/>
              <w:rPr>
                <w:color w:val="000000"/>
                <w:sz w:val="21"/>
                <w:szCs w:val="21"/>
                <w:highlight w:val="none"/>
              </w:rPr>
            </w:pPr>
          </w:p>
        </w:tc>
        <w:tc>
          <w:tcPr>
            <w:tcW w:w="1597" w:type="pct"/>
            <w:gridSpan w:val="2"/>
            <w:tcBorders>
              <w:tl2br w:val="nil"/>
              <w:tr2bl w:val="nil"/>
            </w:tcBorders>
            <w:shd w:val="clear" w:color="auto" w:fill="auto"/>
            <w:noWrap/>
            <w:tcMar>
              <w:top w:w="15" w:type="dxa"/>
              <w:left w:w="15" w:type="dxa"/>
              <w:right w:w="15" w:type="dxa"/>
            </w:tcMar>
            <w:vAlign w:val="center"/>
          </w:tcPr>
          <w:p w14:paraId="5D9A83DC">
            <w:pPr>
              <w:widowControl/>
              <w:spacing w:line="240" w:lineRule="auto"/>
              <w:jc w:val="center"/>
              <w:textAlignment w:val="center"/>
              <w:rPr>
                <w:color w:val="000000"/>
                <w:kern w:val="0"/>
                <w:sz w:val="21"/>
                <w:szCs w:val="21"/>
                <w:highlight w:val="none"/>
                <w:lang w:bidi="ar"/>
              </w:rPr>
            </w:pPr>
            <w:r>
              <w:rPr>
                <w:rFonts w:hint="eastAsia" w:cs="Times New Roman"/>
                <w:color w:val="auto"/>
                <w:kern w:val="0"/>
                <w:sz w:val="21"/>
                <w:szCs w:val="21"/>
                <w:highlight w:val="none"/>
                <w:lang w:val="en-US" w:eastAsia="zh-CN" w:bidi="ar"/>
              </w:rPr>
              <w:t>GB15618表1</w:t>
            </w:r>
            <w:r>
              <w:rPr>
                <w:rFonts w:hint="default" w:ascii="Times New Roman" w:hAnsi="Times New Roman" w:cs="Times New Roman"/>
                <w:color w:val="auto"/>
                <w:kern w:val="0"/>
                <w:sz w:val="21"/>
                <w:szCs w:val="21"/>
                <w:highlight w:val="none"/>
                <w:lang w:bidi="ar"/>
              </w:rPr>
              <w:t>其它</w:t>
            </w:r>
          </w:p>
        </w:tc>
        <w:tc>
          <w:tcPr>
            <w:tcW w:w="260" w:type="pct"/>
            <w:tcBorders>
              <w:tl2br w:val="nil"/>
              <w:tr2bl w:val="nil"/>
            </w:tcBorders>
            <w:shd w:val="clear" w:color="auto" w:fill="auto"/>
            <w:noWrap/>
            <w:tcMar>
              <w:top w:w="15" w:type="dxa"/>
              <w:left w:w="15" w:type="dxa"/>
              <w:right w:w="15" w:type="dxa"/>
            </w:tcMar>
            <w:vAlign w:val="center"/>
          </w:tcPr>
          <w:p w14:paraId="68E2B30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w:t>
            </w:r>
          </w:p>
        </w:tc>
        <w:tc>
          <w:tcPr>
            <w:tcW w:w="260" w:type="pct"/>
            <w:tcBorders>
              <w:tl2br w:val="nil"/>
              <w:tr2bl w:val="nil"/>
            </w:tcBorders>
            <w:shd w:val="clear" w:color="auto" w:fill="auto"/>
            <w:noWrap/>
            <w:tcMar>
              <w:top w:w="15" w:type="dxa"/>
              <w:left w:w="15" w:type="dxa"/>
              <w:right w:w="15" w:type="dxa"/>
            </w:tcMar>
            <w:vAlign w:val="center"/>
          </w:tcPr>
          <w:p w14:paraId="5F80716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90</w:t>
            </w:r>
          </w:p>
        </w:tc>
        <w:tc>
          <w:tcPr>
            <w:tcW w:w="260" w:type="pct"/>
            <w:tcBorders>
              <w:tl2br w:val="nil"/>
              <w:tr2bl w:val="nil"/>
            </w:tcBorders>
            <w:shd w:val="clear" w:color="auto" w:fill="auto"/>
            <w:noWrap/>
            <w:tcMar>
              <w:top w:w="15" w:type="dxa"/>
              <w:left w:w="15" w:type="dxa"/>
              <w:right w:w="15" w:type="dxa"/>
            </w:tcMar>
            <w:vAlign w:val="center"/>
          </w:tcPr>
          <w:p w14:paraId="1BA29E29">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1.8</w:t>
            </w:r>
          </w:p>
        </w:tc>
        <w:tc>
          <w:tcPr>
            <w:tcW w:w="260" w:type="pct"/>
            <w:tcBorders>
              <w:tl2br w:val="nil"/>
              <w:tr2bl w:val="nil"/>
            </w:tcBorders>
            <w:shd w:val="clear" w:color="auto" w:fill="auto"/>
            <w:noWrap/>
            <w:tcMar>
              <w:top w:w="15" w:type="dxa"/>
              <w:left w:w="15" w:type="dxa"/>
              <w:right w:w="15" w:type="dxa"/>
            </w:tcMar>
            <w:vAlign w:val="center"/>
          </w:tcPr>
          <w:p w14:paraId="0DC1FB4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0.3</w:t>
            </w:r>
          </w:p>
        </w:tc>
        <w:tc>
          <w:tcPr>
            <w:tcW w:w="157" w:type="pct"/>
            <w:tcBorders>
              <w:tl2br w:val="nil"/>
              <w:tr2bl w:val="nil"/>
            </w:tcBorders>
            <w:shd w:val="clear" w:color="auto" w:fill="auto"/>
            <w:noWrap/>
            <w:tcMar>
              <w:top w:w="15" w:type="dxa"/>
              <w:left w:w="15" w:type="dxa"/>
              <w:right w:w="15" w:type="dxa"/>
            </w:tcMar>
            <w:vAlign w:val="center"/>
          </w:tcPr>
          <w:p w14:paraId="7F5CAF5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50</w:t>
            </w:r>
          </w:p>
        </w:tc>
        <w:tc>
          <w:tcPr>
            <w:tcW w:w="157" w:type="pct"/>
            <w:tcBorders>
              <w:tl2br w:val="nil"/>
              <w:tr2bl w:val="nil"/>
            </w:tcBorders>
            <w:shd w:val="clear" w:color="auto" w:fill="auto"/>
            <w:noWrap/>
            <w:tcMar>
              <w:top w:w="15" w:type="dxa"/>
              <w:left w:w="15" w:type="dxa"/>
              <w:right w:w="15" w:type="dxa"/>
            </w:tcMar>
            <w:vAlign w:val="center"/>
          </w:tcPr>
          <w:p w14:paraId="54506015">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70</w:t>
            </w:r>
          </w:p>
        </w:tc>
        <w:tc>
          <w:tcPr>
            <w:tcW w:w="226" w:type="pct"/>
            <w:tcBorders>
              <w:tl2br w:val="nil"/>
              <w:tr2bl w:val="nil"/>
            </w:tcBorders>
            <w:shd w:val="clear" w:color="auto" w:fill="auto"/>
            <w:noWrap/>
            <w:tcMar>
              <w:top w:w="15" w:type="dxa"/>
              <w:left w:w="15" w:type="dxa"/>
              <w:right w:w="15" w:type="dxa"/>
            </w:tcMar>
            <w:vAlign w:val="center"/>
          </w:tcPr>
          <w:p w14:paraId="05E5B9F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150</w:t>
            </w:r>
          </w:p>
        </w:tc>
        <w:tc>
          <w:tcPr>
            <w:tcW w:w="226" w:type="pct"/>
            <w:tcBorders>
              <w:tl2br w:val="nil"/>
              <w:tr2bl w:val="nil"/>
            </w:tcBorders>
            <w:shd w:val="clear" w:color="auto" w:fill="auto"/>
            <w:noWrap/>
            <w:tcMar>
              <w:top w:w="15" w:type="dxa"/>
              <w:left w:w="15" w:type="dxa"/>
              <w:right w:w="15" w:type="dxa"/>
            </w:tcMar>
            <w:vAlign w:val="center"/>
          </w:tcPr>
          <w:p w14:paraId="0B697707">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200</w:t>
            </w:r>
          </w:p>
        </w:tc>
        <w:tc>
          <w:tcPr>
            <w:tcW w:w="260" w:type="pct"/>
            <w:tcBorders>
              <w:tl2br w:val="nil"/>
              <w:tr2bl w:val="nil"/>
            </w:tcBorders>
            <w:shd w:val="clear" w:color="auto" w:fill="auto"/>
            <w:noWrap/>
            <w:tcMar>
              <w:top w:w="15" w:type="dxa"/>
              <w:left w:w="15" w:type="dxa"/>
              <w:right w:w="15" w:type="dxa"/>
            </w:tcMar>
            <w:vAlign w:val="center"/>
          </w:tcPr>
          <w:p w14:paraId="143580C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40</w:t>
            </w:r>
          </w:p>
        </w:tc>
        <w:tc>
          <w:tcPr>
            <w:tcW w:w="642" w:type="pct"/>
            <w:tcBorders>
              <w:tl2br w:val="nil"/>
              <w:tr2bl w:val="nil"/>
            </w:tcBorders>
            <w:shd w:val="clear" w:color="auto" w:fill="auto"/>
            <w:noWrap/>
            <w:tcMar>
              <w:top w:w="15" w:type="dxa"/>
              <w:left w:w="15" w:type="dxa"/>
              <w:right w:w="15" w:type="dxa"/>
            </w:tcMar>
            <w:vAlign w:val="center"/>
          </w:tcPr>
          <w:p w14:paraId="004C31A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w:t>
            </w:r>
          </w:p>
        </w:tc>
      </w:tr>
    </w:tbl>
    <w:p w14:paraId="14B341E4">
      <w:pPr>
        <w:ind w:firstLine="420"/>
        <w:rPr>
          <w:highlight w:val="none"/>
        </w:rPr>
      </w:pPr>
      <w:r>
        <w:rPr>
          <w:highlight w:val="none"/>
        </w:rPr>
        <w:t>各点位重金属监测浓度散点分布图如下：</w:t>
      </w:r>
    </w:p>
    <w:tbl>
      <w:tblPr>
        <w:tblStyle w:val="22"/>
        <w:tblW w:w="88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26"/>
      </w:tblGrid>
      <w:tr w14:paraId="15371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39AD60FA">
            <w:pPr>
              <w:pStyle w:val="2"/>
              <w:spacing w:after="0" w:line="240" w:lineRule="auto"/>
              <w:jc w:val="center"/>
              <w:rPr>
                <w:highlight w:val="none"/>
              </w:rPr>
            </w:pPr>
            <w:r>
              <w:rPr>
                <w:highlight w:val="none"/>
              </w:rPr>
              <w:drawing>
                <wp:inline distT="0" distB="0" distL="114300" distR="114300">
                  <wp:extent cx="4890135" cy="3906520"/>
                  <wp:effectExtent l="9525" t="0" r="22860" b="46355"/>
                  <wp:docPr id="1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9E41D04">
            <w:pPr>
              <w:pStyle w:val="2"/>
              <w:spacing w:after="0" w:line="240" w:lineRule="auto"/>
              <w:jc w:val="center"/>
              <w:rPr>
                <w:highlight w:val="none"/>
              </w:rPr>
            </w:pPr>
            <w:r>
              <w:rPr>
                <w:b/>
                <w:bCs/>
                <w:highlight w:val="none"/>
              </w:rPr>
              <w:t>图5-3-</w:t>
            </w:r>
            <w:r>
              <w:rPr>
                <w:rFonts w:hint="eastAsia"/>
                <w:b/>
                <w:bCs/>
                <w:highlight w:val="none"/>
              </w:rPr>
              <w:t>3</w:t>
            </w:r>
            <w:r>
              <w:rPr>
                <w:b/>
                <w:bCs/>
                <w:highlight w:val="none"/>
              </w:rPr>
              <w:t xml:space="preserve"> 铅指标分布情况图</w:t>
            </w:r>
          </w:p>
        </w:tc>
      </w:tr>
      <w:tr w14:paraId="2289A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7F3BB89F">
            <w:pPr>
              <w:pStyle w:val="2"/>
              <w:spacing w:after="0" w:line="240" w:lineRule="auto"/>
              <w:jc w:val="center"/>
              <w:rPr>
                <w:highlight w:val="none"/>
              </w:rPr>
            </w:pPr>
            <w:r>
              <w:rPr>
                <w:highlight w:val="none"/>
              </w:rPr>
              <w:drawing>
                <wp:inline distT="0" distB="0" distL="114300" distR="114300">
                  <wp:extent cx="4890135" cy="4058920"/>
                  <wp:effectExtent l="9525" t="0" r="22860" b="46355"/>
                  <wp:docPr id="2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0879327">
            <w:pPr>
              <w:pStyle w:val="2"/>
              <w:spacing w:after="0" w:line="240" w:lineRule="auto"/>
              <w:jc w:val="center"/>
              <w:rPr>
                <w:highlight w:val="none"/>
              </w:rPr>
            </w:pPr>
            <w:r>
              <w:rPr>
                <w:b/>
                <w:bCs/>
                <w:highlight w:val="none"/>
              </w:rPr>
              <w:t>图5-3-4</w:t>
            </w:r>
            <w:r>
              <w:rPr>
                <w:rFonts w:hint="eastAsia"/>
                <w:b/>
                <w:bCs/>
                <w:highlight w:val="none"/>
              </w:rPr>
              <w:t xml:space="preserve"> </w:t>
            </w:r>
            <w:r>
              <w:rPr>
                <w:b/>
                <w:bCs/>
                <w:highlight w:val="none"/>
              </w:rPr>
              <w:t>汞指标分布情况图</w:t>
            </w:r>
          </w:p>
        </w:tc>
      </w:tr>
      <w:tr w14:paraId="0B7BF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1DCFBC6E">
            <w:pPr>
              <w:pStyle w:val="2"/>
              <w:spacing w:after="0" w:line="240" w:lineRule="auto"/>
              <w:jc w:val="center"/>
              <w:rPr>
                <w:b/>
                <w:bCs/>
                <w:highlight w:val="none"/>
              </w:rPr>
            </w:pPr>
            <w:r>
              <w:rPr>
                <w:highlight w:val="none"/>
              </w:rPr>
              <w:drawing>
                <wp:inline distT="0" distB="0" distL="114300" distR="114300">
                  <wp:extent cx="4890135" cy="3839845"/>
                  <wp:effectExtent l="9525" t="0" r="22860" b="52070"/>
                  <wp:docPr id="2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94B20F5">
            <w:pPr>
              <w:pStyle w:val="2"/>
              <w:spacing w:after="0" w:line="240" w:lineRule="auto"/>
              <w:jc w:val="center"/>
              <w:rPr>
                <w:highlight w:val="none"/>
              </w:rPr>
            </w:pPr>
            <w:r>
              <w:rPr>
                <w:b/>
                <w:bCs/>
                <w:highlight w:val="none"/>
              </w:rPr>
              <w:t>图5-3-</w:t>
            </w:r>
            <w:r>
              <w:rPr>
                <w:rFonts w:hint="eastAsia"/>
                <w:b/>
                <w:bCs/>
                <w:highlight w:val="none"/>
              </w:rPr>
              <w:t>5</w:t>
            </w:r>
            <w:r>
              <w:rPr>
                <w:b/>
                <w:bCs/>
                <w:highlight w:val="none"/>
              </w:rPr>
              <w:t xml:space="preserve"> 镉指标分布情况图</w:t>
            </w:r>
          </w:p>
        </w:tc>
      </w:tr>
      <w:tr w14:paraId="31A18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504F52AB">
            <w:pPr>
              <w:pStyle w:val="2"/>
              <w:spacing w:after="0" w:line="240" w:lineRule="auto"/>
              <w:jc w:val="center"/>
              <w:rPr>
                <w:highlight w:val="none"/>
              </w:rPr>
            </w:pPr>
            <w:r>
              <w:rPr>
                <w:highlight w:val="none"/>
              </w:rPr>
              <w:drawing>
                <wp:inline distT="0" distB="0" distL="114300" distR="114300">
                  <wp:extent cx="4890135" cy="3839845"/>
                  <wp:effectExtent l="9525" t="0" r="22860" b="52070"/>
                  <wp:docPr id="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BFDA070">
            <w:pPr>
              <w:pStyle w:val="2"/>
              <w:spacing w:after="0" w:line="240" w:lineRule="auto"/>
              <w:jc w:val="center"/>
              <w:rPr>
                <w:highlight w:val="none"/>
              </w:rPr>
            </w:pPr>
            <w:r>
              <w:rPr>
                <w:b/>
                <w:bCs/>
                <w:highlight w:val="none"/>
              </w:rPr>
              <w:t>图5-3-</w:t>
            </w:r>
            <w:r>
              <w:rPr>
                <w:rFonts w:hint="eastAsia"/>
                <w:b/>
                <w:bCs/>
                <w:highlight w:val="none"/>
              </w:rPr>
              <w:t xml:space="preserve">6 </w:t>
            </w:r>
            <w:r>
              <w:rPr>
                <w:b/>
                <w:bCs/>
                <w:highlight w:val="none"/>
              </w:rPr>
              <w:t>铜指标分布情况图</w:t>
            </w:r>
          </w:p>
        </w:tc>
      </w:tr>
      <w:tr w14:paraId="26D39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33FA417D">
            <w:pPr>
              <w:pStyle w:val="2"/>
              <w:spacing w:after="0" w:line="240" w:lineRule="auto"/>
              <w:jc w:val="center"/>
              <w:rPr>
                <w:b/>
                <w:bCs/>
                <w:highlight w:val="none"/>
              </w:rPr>
            </w:pPr>
            <w:r>
              <w:rPr>
                <w:highlight w:val="none"/>
              </w:rPr>
              <w:drawing>
                <wp:inline distT="0" distB="0" distL="114300" distR="114300">
                  <wp:extent cx="4890135" cy="3839845"/>
                  <wp:effectExtent l="9525" t="0" r="22860" b="52070"/>
                  <wp:docPr id="2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21D409D">
            <w:pPr>
              <w:pStyle w:val="2"/>
              <w:spacing w:after="0" w:line="240" w:lineRule="auto"/>
              <w:jc w:val="center"/>
              <w:rPr>
                <w:b/>
                <w:bCs/>
                <w:highlight w:val="none"/>
              </w:rPr>
            </w:pPr>
            <w:r>
              <w:rPr>
                <w:b/>
                <w:bCs/>
                <w:highlight w:val="none"/>
              </w:rPr>
              <w:t>图5-3-</w:t>
            </w:r>
            <w:r>
              <w:rPr>
                <w:rFonts w:hint="eastAsia"/>
                <w:b/>
                <w:bCs/>
                <w:highlight w:val="none"/>
              </w:rPr>
              <w:t>7</w:t>
            </w:r>
            <w:r>
              <w:rPr>
                <w:b/>
                <w:bCs/>
                <w:highlight w:val="none"/>
              </w:rPr>
              <w:t xml:space="preserve"> 镍指标分布情况图</w:t>
            </w:r>
          </w:p>
        </w:tc>
      </w:tr>
      <w:tr w14:paraId="3E6F1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68DCF58A">
            <w:pPr>
              <w:pStyle w:val="2"/>
              <w:spacing w:after="0" w:line="240" w:lineRule="auto"/>
              <w:jc w:val="center"/>
              <w:rPr>
                <w:highlight w:val="none"/>
              </w:rPr>
            </w:pPr>
            <w:r>
              <w:rPr>
                <w:highlight w:val="none"/>
              </w:rPr>
              <w:drawing>
                <wp:inline distT="0" distB="0" distL="114300" distR="114300">
                  <wp:extent cx="4890135" cy="3839845"/>
                  <wp:effectExtent l="9525" t="0" r="22860" b="52070"/>
                  <wp:docPr id="2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3FA9CB4">
            <w:pPr>
              <w:pStyle w:val="2"/>
              <w:spacing w:after="0" w:line="240" w:lineRule="auto"/>
              <w:jc w:val="center"/>
              <w:rPr>
                <w:highlight w:val="none"/>
              </w:rPr>
            </w:pPr>
            <w:r>
              <w:rPr>
                <w:b/>
                <w:bCs/>
                <w:highlight w:val="none"/>
              </w:rPr>
              <w:t>图5-3-</w:t>
            </w:r>
            <w:r>
              <w:rPr>
                <w:rFonts w:hint="eastAsia"/>
                <w:b/>
                <w:bCs/>
                <w:highlight w:val="none"/>
              </w:rPr>
              <w:t>8</w:t>
            </w:r>
            <w:r>
              <w:rPr>
                <w:b/>
                <w:bCs/>
                <w:highlight w:val="none"/>
              </w:rPr>
              <w:t xml:space="preserve"> 铬指标分布情况图</w:t>
            </w:r>
          </w:p>
        </w:tc>
      </w:tr>
      <w:tr w14:paraId="4F490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0B680F93">
            <w:pPr>
              <w:pStyle w:val="2"/>
              <w:spacing w:after="0" w:line="240" w:lineRule="auto"/>
              <w:jc w:val="center"/>
              <w:rPr>
                <w:highlight w:val="none"/>
              </w:rPr>
            </w:pPr>
            <w:r>
              <w:rPr>
                <w:highlight w:val="none"/>
              </w:rPr>
              <w:drawing>
                <wp:inline distT="0" distB="0" distL="114300" distR="114300">
                  <wp:extent cx="4890135" cy="3839845"/>
                  <wp:effectExtent l="9525" t="0" r="22860" b="52070"/>
                  <wp:docPr id="2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A90C3F2">
            <w:pPr>
              <w:pStyle w:val="2"/>
              <w:spacing w:after="0" w:line="240" w:lineRule="auto"/>
              <w:jc w:val="center"/>
              <w:rPr>
                <w:highlight w:val="none"/>
              </w:rPr>
            </w:pPr>
            <w:r>
              <w:rPr>
                <w:b/>
                <w:bCs/>
                <w:highlight w:val="none"/>
              </w:rPr>
              <w:t>图5-3-</w:t>
            </w:r>
            <w:r>
              <w:rPr>
                <w:rFonts w:hint="eastAsia"/>
                <w:b/>
                <w:bCs/>
                <w:highlight w:val="none"/>
              </w:rPr>
              <w:t xml:space="preserve">9 </w:t>
            </w:r>
            <w:r>
              <w:rPr>
                <w:b/>
                <w:bCs/>
                <w:highlight w:val="none"/>
              </w:rPr>
              <w:t>砷指标分布情况图</w:t>
            </w:r>
          </w:p>
        </w:tc>
      </w:tr>
      <w:tr w14:paraId="3BD3B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5BFE7095">
            <w:pPr>
              <w:pStyle w:val="2"/>
              <w:spacing w:after="0" w:line="240" w:lineRule="auto"/>
              <w:jc w:val="center"/>
              <w:rPr>
                <w:b/>
                <w:bCs/>
                <w:highlight w:val="none"/>
              </w:rPr>
            </w:pPr>
            <w:r>
              <w:rPr>
                <w:highlight w:val="none"/>
              </w:rPr>
              <w:drawing>
                <wp:inline distT="0" distB="0" distL="114300" distR="114300">
                  <wp:extent cx="4890135" cy="3839845"/>
                  <wp:effectExtent l="9525" t="0" r="22860" b="52070"/>
                  <wp:docPr id="3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5D0E367">
            <w:pPr>
              <w:pStyle w:val="2"/>
              <w:spacing w:after="0" w:line="240" w:lineRule="auto"/>
              <w:jc w:val="center"/>
              <w:rPr>
                <w:highlight w:val="none"/>
              </w:rPr>
            </w:pPr>
            <w:r>
              <w:rPr>
                <w:b/>
                <w:bCs/>
                <w:highlight w:val="none"/>
              </w:rPr>
              <w:t>图5-3-1</w:t>
            </w:r>
            <w:r>
              <w:rPr>
                <w:rFonts w:hint="eastAsia"/>
                <w:b/>
                <w:bCs/>
                <w:highlight w:val="none"/>
              </w:rPr>
              <w:t>0 锑</w:t>
            </w:r>
            <w:r>
              <w:rPr>
                <w:b/>
                <w:bCs/>
                <w:highlight w:val="none"/>
              </w:rPr>
              <w:t>指标分布情况图</w:t>
            </w:r>
          </w:p>
        </w:tc>
      </w:tr>
    </w:tbl>
    <w:p w14:paraId="3A2F69F3">
      <w:pPr>
        <w:ind w:firstLine="420"/>
        <w:rPr>
          <w:highlight w:val="none"/>
        </w:rPr>
      </w:pPr>
      <w:r>
        <w:rPr>
          <w:highlight w:val="none"/>
        </w:rPr>
        <w:t>由各点位重金属监测浓度散点分布图可知，园区内上风向点位和下风向点位各测试项目检测值中，</w:t>
      </w:r>
      <w:r>
        <w:rPr>
          <w:rFonts w:hint="eastAsia"/>
          <w:highlight w:val="none"/>
        </w:rPr>
        <w:t>仅HH-JJ-1的铅、汞略</w:t>
      </w:r>
      <w:r>
        <w:rPr>
          <w:highlight w:val="none"/>
        </w:rPr>
        <w:t>高于调查区域背景值，其余高于平均值点位的污染项目指标均低于调查区域背景值</w:t>
      </w:r>
      <w:r>
        <w:rPr>
          <w:rFonts w:hint="eastAsia"/>
          <w:highlight w:val="none"/>
        </w:rPr>
        <w:t>，</w:t>
      </w:r>
      <w:r>
        <w:rPr>
          <w:highlight w:val="none"/>
        </w:rPr>
        <w:t>各项污染项目监测值差别较小。</w:t>
      </w:r>
    </w:p>
    <w:p w14:paraId="42A03358">
      <w:pPr>
        <w:ind w:firstLine="420"/>
        <w:rPr>
          <w:b/>
          <w:bCs/>
          <w:highlight w:val="none"/>
        </w:rPr>
      </w:pPr>
      <w:r>
        <w:rPr>
          <w:b/>
          <w:bCs/>
          <w:highlight w:val="none"/>
        </w:rPr>
        <w:t>（4）挥发性有机物和半挥发性有机物</w:t>
      </w:r>
    </w:p>
    <w:p w14:paraId="55CF416C">
      <w:pPr>
        <w:ind w:firstLine="482"/>
        <w:rPr>
          <w:highlight w:val="none"/>
        </w:rPr>
      </w:pPr>
      <w:r>
        <w:rPr>
          <w:highlight w:val="none"/>
        </w:rPr>
        <w:t>基于《土壤环境质量建设用地土壤污染风险管控标准（试行）》的基本项目要求，送检的土壤样品均进行</w:t>
      </w:r>
      <w:r>
        <w:rPr>
          <w:kern w:val="0"/>
          <w:highlight w:val="none"/>
        </w:rPr>
        <w:t>了GB36600基本项目中27项挥发性有机物和11项半挥发性有</w:t>
      </w:r>
      <w:r>
        <w:rPr>
          <w:highlight w:val="none"/>
        </w:rPr>
        <w:t>机物检测。</w:t>
      </w:r>
    </w:p>
    <w:p w14:paraId="2C45ABD0">
      <w:pPr>
        <w:ind w:firstLine="482"/>
        <w:rPr>
          <w:highlight w:val="none"/>
        </w:rPr>
      </w:pPr>
      <w:r>
        <w:rPr>
          <w:highlight w:val="none"/>
        </w:rPr>
        <w:t>监测报告显示：园区内所有</w:t>
      </w:r>
      <w:r>
        <w:rPr>
          <w:rFonts w:hint="eastAsia"/>
          <w:highlight w:val="none"/>
        </w:rPr>
        <w:t>11个</w:t>
      </w:r>
      <w:r>
        <w:rPr>
          <w:highlight w:val="none"/>
        </w:rPr>
        <w:t>送检样品</w:t>
      </w:r>
      <w:r>
        <w:rPr>
          <w:rFonts w:hint="eastAsia"/>
          <w:highlight w:val="none"/>
        </w:rPr>
        <w:t>挥发性有机物和</w:t>
      </w:r>
      <w:r>
        <w:rPr>
          <w:highlight w:val="none"/>
        </w:rPr>
        <w:t>半挥发性有机物均未检出，</w:t>
      </w:r>
      <w:r>
        <w:rPr>
          <w:rFonts w:hint="eastAsia"/>
          <w:highlight w:val="none"/>
        </w:rPr>
        <w:t>因此，所有送检样品的挥发性有机物和半挥发性有机物浓度</w:t>
      </w:r>
      <w:r>
        <w:rPr>
          <w:highlight w:val="none"/>
        </w:rPr>
        <w:t>可满足《土壤环境质量建设用地土壤污染风险管控标准（试行）》（GB36600-2018）中“第一类用地筛选值”要求。</w:t>
      </w:r>
    </w:p>
    <w:p w14:paraId="25BAA0BD">
      <w:pPr>
        <w:ind w:firstLine="420"/>
        <w:rPr>
          <w:b/>
          <w:bCs/>
          <w:highlight w:val="none"/>
        </w:rPr>
      </w:pPr>
      <w:r>
        <w:rPr>
          <w:b/>
          <w:bCs/>
          <w:highlight w:val="none"/>
        </w:rPr>
        <w:t>（</w:t>
      </w:r>
      <w:r>
        <w:rPr>
          <w:rFonts w:hint="eastAsia"/>
          <w:b/>
          <w:bCs/>
          <w:highlight w:val="none"/>
        </w:rPr>
        <w:t>5</w:t>
      </w:r>
      <w:r>
        <w:rPr>
          <w:b/>
          <w:bCs/>
          <w:highlight w:val="none"/>
        </w:rPr>
        <w:t>）石油烃（C</w:t>
      </w:r>
      <w:r>
        <w:rPr>
          <w:b/>
          <w:bCs/>
          <w:highlight w:val="none"/>
          <w:vertAlign w:val="subscript"/>
        </w:rPr>
        <w:t>10</w:t>
      </w:r>
      <w:r>
        <w:rPr>
          <w:b/>
          <w:bCs/>
          <w:highlight w:val="none"/>
        </w:rPr>
        <w:t>-C</w:t>
      </w:r>
      <w:r>
        <w:rPr>
          <w:b/>
          <w:bCs/>
          <w:highlight w:val="none"/>
          <w:vertAlign w:val="subscript"/>
        </w:rPr>
        <w:t>40</w:t>
      </w:r>
      <w:r>
        <w:rPr>
          <w:b/>
          <w:bCs/>
          <w:highlight w:val="none"/>
        </w:rPr>
        <w:t>）</w:t>
      </w:r>
    </w:p>
    <w:p w14:paraId="16FDDA4A">
      <w:pPr>
        <w:pStyle w:val="2"/>
        <w:keepNext w:val="0"/>
        <w:keepLines w:val="0"/>
        <w:pageBreakBefore w:val="0"/>
        <w:widowControl w:val="0"/>
        <w:kinsoku/>
        <w:wordWrap/>
        <w:overflowPunct/>
        <w:topLinePunct w:val="0"/>
        <w:autoSpaceDE/>
        <w:autoSpaceDN/>
        <w:bidi w:val="0"/>
        <w:adjustRightInd/>
        <w:snapToGrid/>
        <w:spacing w:after="0"/>
        <w:ind w:firstLine="420"/>
        <w:textAlignment w:val="auto"/>
        <w:rPr>
          <w:highlight w:val="none"/>
        </w:rPr>
      </w:pPr>
      <w:r>
        <w:rPr>
          <w:highlight w:val="none"/>
        </w:rPr>
        <w:t>调查范围内</w:t>
      </w:r>
      <w:r>
        <w:rPr>
          <w:rFonts w:hint="eastAsia"/>
          <w:highlight w:val="none"/>
        </w:rPr>
        <w:t>11个</w:t>
      </w:r>
      <w:r>
        <w:rPr>
          <w:highlight w:val="none"/>
        </w:rPr>
        <w:t>送检样品全部送检石油烃（C</w:t>
      </w:r>
      <w:r>
        <w:rPr>
          <w:highlight w:val="none"/>
          <w:vertAlign w:val="subscript"/>
        </w:rPr>
        <w:t>10</w:t>
      </w:r>
      <w:r>
        <w:rPr>
          <w:highlight w:val="none"/>
        </w:rPr>
        <w:t>-C</w:t>
      </w:r>
      <w:r>
        <w:rPr>
          <w:highlight w:val="none"/>
          <w:vertAlign w:val="subscript"/>
        </w:rPr>
        <w:t>40</w:t>
      </w:r>
      <w:r>
        <w:rPr>
          <w:highlight w:val="none"/>
        </w:rPr>
        <w:t>）。检测结果显示，</w:t>
      </w:r>
      <w:r>
        <w:rPr>
          <w:rFonts w:hint="eastAsia"/>
          <w:highlight w:val="none"/>
        </w:rPr>
        <w:t>除HH-4点位的</w:t>
      </w:r>
      <w:r>
        <w:rPr>
          <w:highlight w:val="none"/>
        </w:rPr>
        <w:t>石油烃</w:t>
      </w:r>
      <w:r>
        <w:rPr>
          <w:rFonts w:eastAsia="黑体"/>
          <w:highlight w:val="none"/>
        </w:rPr>
        <w:t>（C</w:t>
      </w:r>
      <w:r>
        <w:rPr>
          <w:rFonts w:eastAsia="黑体"/>
          <w:highlight w:val="none"/>
          <w:vertAlign w:val="subscript"/>
        </w:rPr>
        <w:t>10</w:t>
      </w:r>
      <w:r>
        <w:rPr>
          <w:rFonts w:eastAsia="黑体"/>
          <w:highlight w:val="none"/>
        </w:rPr>
        <w:t>-C</w:t>
      </w:r>
      <w:r>
        <w:rPr>
          <w:rFonts w:eastAsia="黑体"/>
          <w:highlight w:val="none"/>
          <w:vertAlign w:val="subscript"/>
        </w:rPr>
        <w:t>40</w:t>
      </w:r>
      <w:r>
        <w:rPr>
          <w:rFonts w:eastAsia="黑体"/>
          <w:highlight w:val="none"/>
        </w:rPr>
        <w:t>）</w:t>
      </w:r>
      <w:r>
        <w:rPr>
          <w:rFonts w:hint="eastAsia"/>
          <w:highlight w:val="none"/>
        </w:rPr>
        <w:t>指标</w:t>
      </w:r>
      <w:r>
        <w:rPr>
          <w:highlight w:val="none"/>
        </w:rPr>
        <w:t>未检出</w:t>
      </w:r>
      <w:r>
        <w:rPr>
          <w:rFonts w:hint="eastAsia"/>
          <w:highlight w:val="none"/>
        </w:rPr>
        <w:t>外其它点位均有检出，检出率为91%</w:t>
      </w:r>
      <w:r>
        <w:rPr>
          <w:highlight w:val="none"/>
        </w:rPr>
        <w:t>，检出样品中石油烃</w:t>
      </w:r>
      <w:r>
        <w:rPr>
          <w:rFonts w:eastAsia="黑体"/>
          <w:highlight w:val="none"/>
        </w:rPr>
        <w:t>（C</w:t>
      </w:r>
      <w:r>
        <w:rPr>
          <w:rFonts w:eastAsia="黑体"/>
          <w:highlight w:val="none"/>
          <w:vertAlign w:val="subscript"/>
        </w:rPr>
        <w:t>10</w:t>
      </w:r>
      <w:r>
        <w:rPr>
          <w:rFonts w:eastAsia="黑体"/>
          <w:highlight w:val="none"/>
        </w:rPr>
        <w:t>-C</w:t>
      </w:r>
      <w:r>
        <w:rPr>
          <w:rFonts w:eastAsia="黑体"/>
          <w:highlight w:val="none"/>
          <w:vertAlign w:val="subscript"/>
        </w:rPr>
        <w:t>40</w:t>
      </w:r>
      <w:r>
        <w:rPr>
          <w:rFonts w:eastAsia="黑体"/>
          <w:highlight w:val="none"/>
        </w:rPr>
        <w:t>）</w:t>
      </w:r>
      <w:r>
        <w:rPr>
          <w:highlight w:val="none"/>
        </w:rPr>
        <w:t>指标最大值为</w:t>
      </w:r>
      <w:r>
        <w:rPr>
          <w:rFonts w:hint="eastAsia"/>
          <w:highlight w:val="none"/>
        </w:rPr>
        <w:t xml:space="preserve">33 </w:t>
      </w:r>
      <w:r>
        <w:rPr>
          <w:highlight w:val="none"/>
        </w:rPr>
        <w:t>mg/kg。本次调查所有送检土壤样品石油烃</w:t>
      </w:r>
      <w:r>
        <w:rPr>
          <w:rFonts w:eastAsia="黑体"/>
          <w:highlight w:val="none"/>
        </w:rPr>
        <w:t>（C</w:t>
      </w:r>
      <w:r>
        <w:rPr>
          <w:rFonts w:eastAsia="黑体"/>
          <w:highlight w:val="none"/>
          <w:vertAlign w:val="subscript"/>
        </w:rPr>
        <w:t>10</w:t>
      </w:r>
      <w:r>
        <w:rPr>
          <w:rFonts w:eastAsia="黑体"/>
          <w:highlight w:val="none"/>
        </w:rPr>
        <w:t>-C</w:t>
      </w:r>
      <w:r>
        <w:rPr>
          <w:rFonts w:eastAsia="黑体"/>
          <w:highlight w:val="none"/>
          <w:vertAlign w:val="subscript"/>
        </w:rPr>
        <w:t>40</w:t>
      </w:r>
      <w:r>
        <w:rPr>
          <w:rFonts w:eastAsia="黑体"/>
          <w:highlight w:val="none"/>
        </w:rPr>
        <w:t>）</w:t>
      </w:r>
      <w:r>
        <w:rPr>
          <w:highlight w:val="none"/>
        </w:rPr>
        <w:t>检测值</w:t>
      </w:r>
      <w:r>
        <w:rPr>
          <w:rFonts w:hint="eastAsia"/>
          <w:highlight w:val="none"/>
        </w:rPr>
        <w:t>可满足《土壤环境质量建设用地土壤污染风险管控标准（试行）》（GB36600-2018）中“第一类用地筛选值”要求</w:t>
      </w:r>
      <w:r>
        <w:rPr>
          <w:highlight w:val="none"/>
        </w:rPr>
        <w:t>，具体监测值见表5-3-5。</w:t>
      </w:r>
    </w:p>
    <w:p w14:paraId="6D37C3AB">
      <w:pPr>
        <w:keepNext w:val="0"/>
        <w:keepLines w:val="0"/>
        <w:pageBreakBefore w:val="0"/>
        <w:widowControl w:val="0"/>
        <w:kinsoku/>
        <w:wordWrap/>
        <w:overflowPunct/>
        <w:topLinePunct w:val="0"/>
        <w:autoSpaceDE/>
        <w:autoSpaceDN/>
        <w:bidi w:val="0"/>
        <w:adjustRightInd/>
        <w:snapToGrid/>
        <w:spacing w:line="240" w:lineRule="auto"/>
        <w:ind w:firstLine="420"/>
        <w:jc w:val="center"/>
        <w:textAlignment w:val="auto"/>
        <w:rPr>
          <w:rFonts w:eastAsia="黑体"/>
          <w:b/>
          <w:highlight w:val="none"/>
        </w:rPr>
      </w:pPr>
      <w:r>
        <w:rPr>
          <w:rFonts w:eastAsia="黑体"/>
          <w:b/>
          <w:bCs/>
          <w:color w:val="000000"/>
          <w:highlight w:val="none"/>
        </w:rPr>
        <w:t xml:space="preserve">表5-3-5 </w:t>
      </w:r>
      <w:r>
        <w:rPr>
          <w:rFonts w:eastAsia="黑体"/>
          <w:b/>
          <w:bCs/>
          <w:highlight w:val="none"/>
        </w:rPr>
        <w:t>石油烃（C</w:t>
      </w:r>
      <w:r>
        <w:rPr>
          <w:rFonts w:eastAsia="黑体"/>
          <w:b/>
          <w:bCs/>
          <w:highlight w:val="none"/>
          <w:vertAlign w:val="subscript"/>
        </w:rPr>
        <w:t>10</w:t>
      </w:r>
      <w:r>
        <w:rPr>
          <w:rFonts w:eastAsia="黑体"/>
          <w:b/>
          <w:bCs/>
          <w:highlight w:val="none"/>
        </w:rPr>
        <w:t>-C</w:t>
      </w:r>
      <w:r>
        <w:rPr>
          <w:rFonts w:eastAsia="黑体"/>
          <w:b/>
          <w:bCs/>
          <w:highlight w:val="none"/>
          <w:vertAlign w:val="subscript"/>
        </w:rPr>
        <w:t>40</w:t>
      </w:r>
      <w:r>
        <w:rPr>
          <w:rFonts w:eastAsia="黑体"/>
          <w:b/>
          <w:bCs/>
          <w:highlight w:val="none"/>
        </w:rPr>
        <w:t>）</w:t>
      </w:r>
      <w:r>
        <w:rPr>
          <w:rFonts w:eastAsia="黑体"/>
          <w:b/>
          <w:bCs/>
          <w:color w:val="000000"/>
          <w:highlight w:val="none"/>
        </w:rPr>
        <w:t>监测值  （单位：mg/kg）</w:t>
      </w:r>
    </w:p>
    <w:tbl>
      <w:tblPr>
        <w:tblStyle w:val="21"/>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96"/>
        <w:gridCol w:w="982"/>
        <w:gridCol w:w="3389"/>
        <w:gridCol w:w="2839"/>
        <w:gridCol w:w="1903"/>
      </w:tblGrid>
      <w:tr w14:paraId="5D70A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jc w:val="center"/>
        </w:trPr>
        <w:tc>
          <w:tcPr>
            <w:tcW w:w="258" w:type="pct"/>
            <w:tcBorders>
              <w:bottom w:val="single" w:color="auto" w:sz="12" w:space="0"/>
            </w:tcBorders>
            <w:shd w:val="clear" w:color="auto" w:fill="auto"/>
            <w:noWrap/>
            <w:tcMar>
              <w:top w:w="15" w:type="dxa"/>
              <w:left w:w="15" w:type="dxa"/>
              <w:right w:w="15" w:type="dxa"/>
            </w:tcMar>
            <w:vAlign w:val="center"/>
          </w:tcPr>
          <w:p w14:paraId="2BCD96C9">
            <w:pPr>
              <w:widowControl/>
              <w:spacing w:line="240" w:lineRule="auto"/>
              <w:jc w:val="center"/>
              <w:textAlignment w:val="center"/>
              <w:rPr>
                <w:b/>
                <w:color w:val="000000"/>
                <w:sz w:val="21"/>
                <w:szCs w:val="21"/>
                <w:highlight w:val="none"/>
              </w:rPr>
            </w:pPr>
            <w:r>
              <w:rPr>
                <w:b/>
                <w:color w:val="000000"/>
                <w:kern w:val="0"/>
                <w:sz w:val="21"/>
                <w:szCs w:val="21"/>
                <w:highlight w:val="none"/>
                <w:lang w:bidi="ar"/>
              </w:rPr>
              <w:t>序号</w:t>
            </w:r>
          </w:p>
        </w:tc>
        <w:tc>
          <w:tcPr>
            <w:tcW w:w="511" w:type="pct"/>
            <w:tcBorders>
              <w:bottom w:val="single" w:color="auto" w:sz="12" w:space="0"/>
            </w:tcBorders>
            <w:shd w:val="clear" w:color="auto" w:fill="auto"/>
            <w:noWrap/>
            <w:tcMar>
              <w:top w:w="15" w:type="dxa"/>
              <w:left w:w="15" w:type="dxa"/>
              <w:right w:w="15" w:type="dxa"/>
            </w:tcMar>
            <w:vAlign w:val="center"/>
          </w:tcPr>
          <w:p w14:paraId="158F7FBF">
            <w:pPr>
              <w:widowControl/>
              <w:spacing w:line="240" w:lineRule="auto"/>
              <w:jc w:val="center"/>
              <w:textAlignment w:val="center"/>
              <w:rPr>
                <w:b/>
                <w:color w:val="000000"/>
                <w:sz w:val="21"/>
                <w:szCs w:val="21"/>
                <w:highlight w:val="none"/>
              </w:rPr>
            </w:pPr>
            <w:r>
              <w:rPr>
                <w:b/>
                <w:color w:val="000000"/>
                <w:kern w:val="0"/>
                <w:sz w:val="21"/>
                <w:szCs w:val="21"/>
                <w:highlight w:val="none"/>
                <w:lang w:bidi="ar"/>
              </w:rPr>
              <w:t>样品编号</w:t>
            </w:r>
          </w:p>
        </w:tc>
        <w:tc>
          <w:tcPr>
            <w:tcW w:w="1763" w:type="pct"/>
            <w:tcBorders>
              <w:bottom w:val="single" w:color="auto" w:sz="12" w:space="0"/>
            </w:tcBorders>
            <w:shd w:val="clear" w:color="auto" w:fill="auto"/>
            <w:noWrap/>
            <w:tcMar>
              <w:top w:w="15" w:type="dxa"/>
              <w:left w:w="15" w:type="dxa"/>
              <w:right w:w="15" w:type="dxa"/>
            </w:tcMar>
            <w:vAlign w:val="center"/>
          </w:tcPr>
          <w:p w14:paraId="433246B7">
            <w:pPr>
              <w:widowControl/>
              <w:spacing w:line="240" w:lineRule="auto"/>
              <w:jc w:val="center"/>
              <w:textAlignment w:val="center"/>
              <w:rPr>
                <w:rFonts w:ascii="Times New Roman" w:hAnsi="Times New Roman" w:eastAsia="宋体" w:cs="Times New Roman"/>
                <w:b/>
                <w:color w:val="000000"/>
                <w:kern w:val="0"/>
                <w:sz w:val="21"/>
                <w:szCs w:val="21"/>
                <w:highlight w:val="none"/>
                <w:lang w:val="en-US" w:eastAsia="zh-CN" w:bidi="ar"/>
              </w:rPr>
            </w:pPr>
            <w:r>
              <w:rPr>
                <w:rFonts w:hint="eastAsia"/>
                <w:b/>
                <w:color w:val="000000"/>
                <w:kern w:val="0"/>
                <w:sz w:val="21"/>
                <w:szCs w:val="21"/>
                <w:highlight w:val="none"/>
                <w:lang w:val="en-US" w:eastAsia="zh-CN" w:bidi="ar"/>
              </w:rPr>
              <w:t>点位位置</w:t>
            </w:r>
          </w:p>
        </w:tc>
        <w:tc>
          <w:tcPr>
            <w:tcW w:w="1476" w:type="pct"/>
            <w:tcBorders>
              <w:bottom w:val="single" w:color="auto" w:sz="12" w:space="0"/>
            </w:tcBorders>
            <w:shd w:val="clear" w:color="auto" w:fill="auto"/>
            <w:noWrap/>
            <w:tcMar>
              <w:top w:w="15" w:type="dxa"/>
              <w:left w:w="15" w:type="dxa"/>
              <w:right w:w="15" w:type="dxa"/>
            </w:tcMar>
            <w:vAlign w:val="center"/>
          </w:tcPr>
          <w:p w14:paraId="61914494">
            <w:pPr>
              <w:widowControl/>
              <w:spacing w:line="240" w:lineRule="auto"/>
              <w:jc w:val="center"/>
              <w:textAlignment w:val="center"/>
              <w:rPr>
                <w:rFonts w:hint="eastAsia"/>
                <w:b/>
                <w:color w:val="000000"/>
                <w:kern w:val="0"/>
                <w:sz w:val="21"/>
                <w:szCs w:val="21"/>
                <w:highlight w:val="none"/>
                <w:lang w:bidi="ar"/>
              </w:rPr>
            </w:pPr>
            <w:r>
              <w:rPr>
                <w:rFonts w:hint="eastAsia"/>
                <w:b/>
                <w:bCs/>
                <w:color w:val="000000"/>
                <w:kern w:val="0"/>
                <w:sz w:val="21"/>
                <w:szCs w:val="21"/>
                <w:highlight w:val="none"/>
                <w:lang w:val="en-US" w:eastAsia="zh-CN" w:bidi="ar"/>
              </w:rPr>
              <w:t>参考标准</w:t>
            </w:r>
            <w:r>
              <w:rPr>
                <w:rFonts w:hint="eastAsia"/>
                <w:b/>
                <w:bCs/>
                <w:color w:val="000000"/>
                <w:kern w:val="0"/>
                <w:sz w:val="21"/>
                <w:szCs w:val="21"/>
                <w:highlight w:val="none"/>
                <w:vertAlign w:val="superscript"/>
                <w:lang w:val="en-US" w:eastAsia="zh-CN" w:bidi="ar"/>
              </w:rPr>
              <w:t>①</w:t>
            </w:r>
          </w:p>
        </w:tc>
        <w:tc>
          <w:tcPr>
            <w:tcW w:w="990" w:type="pct"/>
            <w:tcBorders>
              <w:bottom w:val="single" w:color="auto" w:sz="12" w:space="0"/>
            </w:tcBorders>
            <w:shd w:val="clear" w:color="auto" w:fill="auto"/>
            <w:noWrap/>
            <w:tcMar>
              <w:top w:w="15" w:type="dxa"/>
              <w:left w:w="15" w:type="dxa"/>
              <w:right w:w="15" w:type="dxa"/>
            </w:tcMar>
            <w:vAlign w:val="center"/>
          </w:tcPr>
          <w:p w14:paraId="2D89D870">
            <w:pPr>
              <w:widowControl/>
              <w:spacing w:line="240" w:lineRule="auto"/>
              <w:jc w:val="center"/>
              <w:textAlignment w:val="center"/>
              <w:rPr>
                <w:b/>
                <w:color w:val="000000"/>
                <w:sz w:val="21"/>
                <w:szCs w:val="21"/>
                <w:highlight w:val="none"/>
              </w:rPr>
            </w:pPr>
            <w:r>
              <w:rPr>
                <w:b/>
                <w:color w:val="000000"/>
                <w:sz w:val="21"/>
                <w:szCs w:val="21"/>
                <w:highlight w:val="none"/>
              </w:rPr>
              <w:t>石油烃（C</w:t>
            </w:r>
            <w:r>
              <w:rPr>
                <w:b/>
                <w:color w:val="000000"/>
                <w:sz w:val="21"/>
                <w:szCs w:val="21"/>
                <w:highlight w:val="none"/>
                <w:vertAlign w:val="subscript"/>
              </w:rPr>
              <w:t>10</w:t>
            </w:r>
            <w:r>
              <w:rPr>
                <w:b/>
                <w:color w:val="000000"/>
                <w:sz w:val="21"/>
                <w:szCs w:val="21"/>
                <w:highlight w:val="none"/>
              </w:rPr>
              <w:t>-C</w:t>
            </w:r>
            <w:r>
              <w:rPr>
                <w:b/>
                <w:color w:val="000000"/>
                <w:sz w:val="21"/>
                <w:szCs w:val="21"/>
                <w:highlight w:val="none"/>
                <w:vertAlign w:val="subscript"/>
              </w:rPr>
              <w:t>40</w:t>
            </w:r>
            <w:r>
              <w:rPr>
                <w:b/>
                <w:color w:val="000000"/>
                <w:sz w:val="21"/>
                <w:szCs w:val="21"/>
                <w:highlight w:val="none"/>
              </w:rPr>
              <w:t>）</w:t>
            </w:r>
          </w:p>
        </w:tc>
      </w:tr>
      <w:tr w14:paraId="674276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8" w:type="pct"/>
            <w:tcBorders>
              <w:top w:val="single" w:color="auto" w:sz="12" w:space="0"/>
              <w:tl2br w:val="nil"/>
              <w:tr2bl w:val="nil"/>
            </w:tcBorders>
            <w:shd w:val="clear" w:color="auto" w:fill="auto"/>
            <w:noWrap/>
            <w:tcMar>
              <w:top w:w="15" w:type="dxa"/>
              <w:left w:w="15" w:type="dxa"/>
              <w:right w:w="15" w:type="dxa"/>
            </w:tcMar>
            <w:vAlign w:val="center"/>
          </w:tcPr>
          <w:p w14:paraId="147E75F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w:t>
            </w:r>
          </w:p>
        </w:tc>
        <w:tc>
          <w:tcPr>
            <w:tcW w:w="511" w:type="pct"/>
            <w:tcBorders>
              <w:top w:val="single" w:color="auto" w:sz="12" w:space="0"/>
              <w:tl2br w:val="nil"/>
              <w:tr2bl w:val="nil"/>
            </w:tcBorders>
            <w:shd w:val="clear" w:color="auto" w:fill="auto"/>
            <w:noWrap/>
            <w:tcMar>
              <w:top w:w="15" w:type="dxa"/>
              <w:left w:w="15" w:type="dxa"/>
              <w:right w:w="15" w:type="dxa"/>
            </w:tcMar>
            <w:vAlign w:val="bottom"/>
          </w:tcPr>
          <w:p w14:paraId="0491C0BA">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HH-1-75</w:t>
            </w:r>
          </w:p>
        </w:tc>
        <w:tc>
          <w:tcPr>
            <w:tcW w:w="1763" w:type="pct"/>
            <w:tcBorders>
              <w:top w:val="single" w:color="auto" w:sz="12" w:space="0"/>
              <w:tl2br w:val="nil"/>
              <w:tr2bl w:val="nil"/>
            </w:tcBorders>
            <w:shd w:val="clear" w:color="auto" w:fill="auto"/>
            <w:noWrap/>
            <w:tcMar>
              <w:top w:w="15" w:type="dxa"/>
              <w:left w:w="15" w:type="dxa"/>
              <w:right w:w="15" w:type="dxa"/>
            </w:tcMar>
            <w:vAlign w:val="center"/>
          </w:tcPr>
          <w:p w14:paraId="0045F2F5">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w:t>
            </w:r>
            <w:r>
              <w:rPr>
                <w:rFonts w:hint="eastAsia"/>
                <w:sz w:val="21"/>
                <w:szCs w:val="21"/>
                <w:highlight w:val="none"/>
              </w:rPr>
              <w:t>聚集区</w:t>
            </w:r>
            <w:r>
              <w:rPr>
                <w:sz w:val="21"/>
                <w:szCs w:val="21"/>
                <w:highlight w:val="none"/>
              </w:rPr>
              <w:t>边界西侧下风向75m</w:t>
            </w:r>
          </w:p>
        </w:tc>
        <w:tc>
          <w:tcPr>
            <w:tcW w:w="1476" w:type="pct"/>
            <w:tcBorders>
              <w:top w:val="single" w:color="auto" w:sz="12" w:space="0"/>
              <w:tl2br w:val="nil"/>
              <w:tr2bl w:val="nil"/>
            </w:tcBorders>
            <w:shd w:val="clear" w:color="auto" w:fill="auto"/>
            <w:noWrap/>
            <w:tcMar>
              <w:top w:w="15" w:type="dxa"/>
              <w:left w:w="15" w:type="dxa"/>
              <w:right w:w="15" w:type="dxa"/>
            </w:tcMar>
            <w:vAlign w:val="center"/>
          </w:tcPr>
          <w:p w14:paraId="07737021">
            <w:pPr>
              <w:widowControl/>
              <w:spacing w:line="240" w:lineRule="auto"/>
              <w:jc w:val="center"/>
              <w:textAlignment w:val="center"/>
              <w:rPr>
                <w:rFonts w:hint="eastAsia"/>
                <w:kern w:val="0"/>
                <w:sz w:val="21"/>
                <w:szCs w:val="21"/>
                <w:highlight w:val="none"/>
                <w:lang w:bidi="ar"/>
              </w:rPr>
            </w:pPr>
            <w:r>
              <w:rPr>
                <w:kern w:val="0"/>
                <w:sz w:val="21"/>
                <w:szCs w:val="21"/>
                <w:highlight w:val="none"/>
                <w:lang w:bidi="ar"/>
              </w:rPr>
              <w:t>GB36600第一类用地筛选值</w:t>
            </w:r>
          </w:p>
        </w:tc>
        <w:tc>
          <w:tcPr>
            <w:tcW w:w="990" w:type="pct"/>
            <w:tcBorders>
              <w:top w:val="single" w:color="auto" w:sz="12" w:space="0"/>
              <w:tl2br w:val="nil"/>
              <w:tr2bl w:val="nil"/>
            </w:tcBorders>
            <w:shd w:val="clear" w:color="auto" w:fill="auto"/>
            <w:noWrap/>
            <w:tcMar>
              <w:top w:w="15" w:type="dxa"/>
              <w:left w:w="15" w:type="dxa"/>
              <w:right w:w="15" w:type="dxa"/>
            </w:tcMar>
            <w:vAlign w:val="center"/>
          </w:tcPr>
          <w:p w14:paraId="269A46A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13</w:t>
            </w:r>
          </w:p>
        </w:tc>
      </w:tr>
      <w:tr w14:paraId="54B767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3334C68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w:t>
            </w:r>
          </w:p>
        </w:tc>
        <w:tc>
          <w:tcPr>
            <w:tcW w:w="511" w:type="pct"/>
            <w:tcBorders>
              <w:tl2br w:val="nil"/>
              <w:tr2bl w:val="nil"/>
            </w:tcBorders>
            <w:shd w:val="clear" w:color="auto" w:fill="auto"/>
            <w:noWrap/>
            <w:tcMar>
              <w:top w:w="15" w:type="dxa"/>
              <w:left w:w="15" w:type="dxa"/>
              <w:right w:w="15" w:type="dxa"/>
            </w:tcMar>
            <w:vAlign w:val="bottom"/>
          </w:tcPr>
          <w:p w14:paraId="174A825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HH-1-200</w:t>
            </w:r>
          </w:p>
        </w:tc>
        <w:tc>
          <w:tcPr>
            <w:tcW w:w="1763" w:type="pct"/>
            <w:tcBorders>
              <w:tl2br w:val="nil"/>
              <w:tr2bl w:val="nil"/>
            </w:tcBorders>
            <w:shd w:val="clear" w:color="auto" w:fill="auto"/>
            <w:noWrap/>
            <w:tcMar>
              <w:top w:w="15" w:type="dxa"/>
              <w:left w:w="15" w:type="dxa"/>
              <w:right w:w="15" w:type="dxa"/>
            </w:tcMar>
            <w:vAlign w:val="center"/>
          </w:tcPr>
          <w:p w14:paraId="6F639815">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w:t>
            </w:r>
            <w:r>
              <w:rPr>
                <w:rFonts w:hint="eastAsia"/>
                <w:sz w:val="21"/>
                <w:szCs w:val="21"/>
                <w:highlight w:val="none"/>
              </w:rPr>
              <w:t>聚集区</w:t>
            </w:r>
            <w:r>
              <w:rPr>
                <w:sz w:val="21"/>
                <w:szCs w:val="21"/>
                <w:highlight w:val="none"/>
              </w:rPr>
              <w:t>边界西侧下风向200m</w:t>
            </w:r>
          </w:p>
        </w:tc>
        <w:tc>
          <w:tcPr>
            <w:tcW w:w="1476" w:type="pct"/>
            <w:tcBorders>
              <w:tl2br w:val="nil"/>
              <w:tr2bl w:val="nil"/>
            </w:tcBorders>
            <w:shd w:val="clear" w:color="auto" w:fill="auto"/>
            <w:noWrap/>
            <w:tcMar>
              <w:top w:w="15" w:type="dxa"/>
              <w:left w:w="15" w:type="dxa"/>
              <w:right w:w="15" w:type="dxa"/>
            </w:tcMar>
            <w:vAlign w:val="center"/>
          </w:tcPr>
          <w:p w14:paraId="26CE1C00">
            <w:pPr>
              <w:widowControl/>
              <w:spacing w:line="240" w:lineRule="auto"/>
              <w:jc w:val="center"/>
              <w:textAlignment w:val="center"/>
              <w:rPr>
                <w:rFonts w:hint="eastAsia"/>
                <w:kern w:val="0"/>
                <w:sz w:val="21"/>
                <w:szCs w:val="21"/>
                <w:highlight w:val="none"/>
                <w:lang w:bidi="ar"/>
              </w:rPr>
            </w:pPr>
            <w:r>
              <w:rPr>
                <w:kern w:val="0"/>
                <w:sz w:val="21"/>
                <w:szCs w:val="21"/>
                <w:highlight w:val="none"/>
                <w:lang w:bidi="ar"/>
              </w:rPr>
              <w:t>GB36600第一类用地筛选值</w:t>
            </w:r>
          </w:p>
        </w:tc>
        <w:tc>
          <w:tcPr>
            <w:tcW w:w="990" w:type="pct"/>
            <w:tcBorders>
              <w:tl2br w:val="nil"/>
              <w:tr2bl w:val="nil"/>
            </w:tcBorders>
            <w:shd w:val="clear" w:color="auto" w:fill="auto"/>
            <w:noWrap/>
            <w:tcMar>
              <w:top w:w="15" w:type="dxa"/>
              <w:left w:w="15" w:type="dxa"/>
              <w:right w:w="15" w:type="dxa"/>
            </w:tcMar>
            <w:vAlign w:val="center"/>
          </w:tcPr>
          <w:p w14:paraId="2C9D1AAA">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10</w:t>
            </w:r>
          </w:p>
        </w:tc>
      </w:tr>
      <w:tr w14:paraId="32BC65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017FAF9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3</w:t>
            </w:r>
          </w:p>
        </w:tc>
        <w:tc>
          <w:tcPr>
            <w:tcW w:w="511" w:type="pct"/>
            <w:tcBorders>
              <w:tl2br w:val="nil"/>
              <w:tr2bl w:val="nil"/>
            </w:tcBorders>
            <w:shd w:val="clear" w:color="auto" w:fill="auto"/>
            <w:noWrap/>
            <w:tcMar>
              <w:top w:w="15" w:type="dxa"/>
              <w:left w:w="15" w:type="dxa"/>
              <w:right w:w="15" w:type="dxa"/>
            </w:tcMar>
            <w:vAlign w:val="bottom"/>
          </w:tcPr>
          <w:p w14:paraId="0A285D3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HH-1-400</w:t>
            </w:r>
          </w:p>
        </w:tc>
        <w:tc>
          <w:tcPr>
            <w:tcW w:w="1763" w:type="pct"/>
            <w:tcBorders>
              <w:tl2br w:val="nil"/>
              <w:tr2bl w:val="nil"/>
            </w:tcBorders>
            <w:shd w:val="clear" w:color="auto" w:fill="auto"/>
            <w:noWrap/>
            <w:tcMar>
              <w:top w:w="15" w:type="dxa"/>
              <w:left w:w="15" w:type="dxa"/>
              <w:right w:w="15" w:type="dxa"/>
            </w:tcMar>
            <w:vAlign w:val="center"/>
          </w:tcPr>
          <w:p w14:paraId="77F34AC9">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w:t>
            </w:r>
            <w:r>
              <w:rPr>
                <w:rFonts w:hint="eastAsia"/>
                <w:sz w:val="21"/>
                <w:szCs w:val="21"/>
                <w:highlight w:val="none"/>
              </w:rPr>
              <w:t>聚集区</w:t>
            </w:r>
            <w:r>
              <w:rPr>
                <w:sz w:val="21"/>
                <w:szCs w:val="21"/>
                <w:highlight w:val="none"/>
              </w:rPr>
              <w:t>边界西侧下风向400m</w:t>
            </w:r>
          </w:p>
        </w:tc>
        <w:tc>
          <w:tcPr>
            <w:tcW w:w="1476" w:type="pct"/>
            <w:tcBorders>
              <w:tl2br w:val="nil"/>
              <w:tr2bl w:val="nil"/>
            </w:tcBorders>
            <w:shd w:val="clear" w:color="auto" w:fill="auto"/>
            <w:noWrap/>
            <w:tcMar>
              <w:top w:w="15" w:type="dxa"/>
              <w:left w:w="15" w:type="dxa"/>
              <w:right w:w="15" w:type="dxa"/>
            </w:tcMar>
            <w:vAlign w:val="center"/>
          </w:tcPr>
          <w:p w14:paraId="57DC0116">
            <w:pPr>
              <w:widowControl/>
              <w:spacing w:line="240" w:lineRule="auto"/>
              <w:jc w:val="center"/>
              <w:textAlignment w:val="center"/>
              <w:rPr>
                <w:rFonts w:hint="eastAsia"/>
                <w:kern w:val="0"/>
                <w:sz w:val="21"/>
                <w:szCs w:val="21"/>
                <w:highlight w:val="none"/>
                <w:lang w:bidi="ar"/>
              </w:rPr>
            </w:pPr>
            <w:r>
              <w:rPr>
                <w:kern w:val="0"/>
                <w:sz w:val="21"/>
                <w:szCs w:val="21"/>
                <w:highlight w:val="none"/>
                <w:lang w:bidi="ar"/>
              </w:rPr>
              <w:t>GB36600第一类用地筛选值</w:t>
            </w:r>
          </w:p>
        </w:tc>
        <w:tc>
          <w:tcPr>
            <w:tcW w:w="990" w:type="pct"/>
            <w:tcBorders>
              <w:tl2br w:val="nil"/>
              <w:tr2bl w:val="nil"/>
            </w:tcBorders>
            <w:shd w:val="clear" w:color="auto" w:fill="auto"/>
            <w:noWrap/>
            <w:tcMar>
              <w:top w:w="15" w:type="dxa"/>
              <w:left w:w="15" w:type="dxa"/>
              <w:right w:w="15" w:type="dxa"/>
            </w:tcMar>
            <w:vAlign w:val="center"/>
          </w:tcPr>
          <w:p w14:paraId="05CBCD7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33</w:t>
            </w:r>
          </w:p>
        </w:tc>
      </w:tr>
      <w:tr w14:paraId="560B98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0252BF96">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w:t>
            </w:r>
          </w:p>
        </w:tc>
        <w:tc>
          <w:tcPr>
            <w:tcW w:w="511" w:type="pct"/>
            <w:tcBorders>
              <w:tl2br w:val="nil"/>
              <w:tr2bl w:val="nil"/>
            </w:tcBorders>
            <w:shd w:val="clear" w:color="auto" w:fill="auto"/>
            <w:noWrap/>
            <w:tcMar>
              <w:top w:w="15" w:type="dxa"/>
              <w:left w:w="15" w:type="dxa"/>
              <w:right w:w="15" w:type="dxa"/>
            </w:tcMar>
            <w:vAlign w:val="bottom"/>
          </w:tcPr>
          <w:p w14:paraId="11D84B0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HH-2</w:t>
            </w:r>
          </w:p>
        </w:tc>
        <w:tc>
          <w:tcPr>
            <w:tcW w:w="1763" w:type="pct"/>
            <w:tcBorders>
              <w:tl2br w:val="nil"/>
              <w:tr2bl w:val="nil"/>
            </w:tcBorders>
            <w:shd w:val="clear" w:color="auto" w:fill="auto"/>
            <w:noWrap/>
            <w:tcMar>
              <w:top w:w="15" w:type="dxa"/>
              <w:left w:w="15" w:type="dxa"/>
              <w:right w:w="15" w:type="dxa"/>
            </w:tcMar>
            <w:vAlign w:val="center"/>
          </w:tcPr>
          <w:p w14:paraId="12EF40EB">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园区边界</w:t>
            </w:r>
            <w:r>
              <w:rPr>
                <w:rFonts w:hint="eastAsia"/>
                <w:sz w:val="21"/>
                <w:szCs w:val="21"/>
                <w:highlight w:val="none"/>
              </w:rPr>
              <w:t>东侧上</w:t>
            </w:r>
            <w:r>
              <w:rPr>
                <w:sz w:val="21"/>
                <w:szCs w:val="21"/>
                <w:highlight w:val="none"/>
              </w:rPr>
              <w:t>风向</w:t>
            </w:r>
            <w:r>
              <w:rPr>
                <w:rFonts w:hint="eastAsia"/>
                <w:sz w:val="21"/>
                <w:szCs w:val="21"/>
                <w:highlight w:val="none"/>
              </w:rPr>
              <w:t>20</w:t>
            </w:r>
            <w:r>
              <w:rPr>
                <w:sz w:val="21"/>
                <w:szCs w:val="21"/>
                <w:highlight w:val="none"/>
              </w:rPr>
              <w:t>m</w:t>
            </w:r>
            <w:r>
              <w:rPr>
                <w:rFonts w:hint="eastAsia"/>
                <w:sz w:val="21"/>
                <w:szCs w:val="21"/>
                <w:highlight w:val="none"/>
              </w:rPr>
              <w:t>以外</w:t>
            </w:r>
          </w:p>
        </w:tc>
        <w:tc>
          <w:tcPr>
            <w:tcW w:w="1476" w:type="pct"/>
            <w:tcBorders>
              <w:tl2br w:val="nil"/>
              <w:tr2bl w:val="nil"/>
            </w:tcBorders>
            <w:shd w:val="clear" w:color="auto" w:fill="auto"/>
            <w:noWrap/>
            <w:tcMar>
              <w:top w:w="15" w:type="dxa"/>
              <w:left w:w="15" w:type="dxa"/>
              <w:right w:w="15" w:type="dxa"/>
            </w:tcMar>
            <w:vAlign w:val="center"/>
          </w:tcPr>
          <w:p w14:paraId="436B8495">
            <w:pPr>
              <w:widowControl/>
              <w:spacing w:line="240" w:lineRule="auto"/>
              <w:jc w:val="center"/>
              <w:textAlignment w:val="center"/>
              <w:rPr>
                <w:rFonts w:hint="eastAsia"/>
                <w:kern w:val="0"/>
                <w:sz w:val="21"/>
                <w:szCs w:val="21"/>
                <w:highlight w:val="none"/>
                <w:lang w:bidi="ar"/>
              </w:rPr>
            </w:pPr>
            <w:r>
              <w:rPr>
                <w:kern w:val="0"/>
                <w:sz w:val="21"/>
                <w:szCs w:val="21"/>
                <w:highlight w:val="none"/>
                <w:lang w:bidi="ar"/>
              </w:rPr>
              <w:t>GB36600第二类用地筛选值</w:t>
            </w:r>
          </w:p>
        </w:tc>
        <w:tc>
          <w:tcPr>
            <w:tcW w:w="990" w:type="pct"/>
            <w:tcBorders>
              <w:tl2br w:val="nil"/>
              <w:tr2bl w:val="nil"/>
            </w:tcBorders>
            <w:shd w:val="clear" w:color="auto" w:fill="auto"/>
            <w:noWrap/>
            <w:tcMar>
              <w:top w:w="15" w:type="dxa"/>
              <w:left w:w="15" w:type="dxa"/>
              <w:right w:w="15" w:type="dxa"/>
            </w:tcMar>
            <w:vAlign w:val="center"/>
          </w:tcPr>
          <w:p w14:paraId="7A4E1401">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8</w:t>
            </w:r>
          </w:p>
        </w:tc>
      </w:tr>
      <w:tr w14:paraId="2FD06F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2BE38D0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5</w:t>
            </w:r>
          </w:p>
        </w:tc>
        <w:tc>
          <w:tcPr>
            <w:tcW w:w="511" w:type="pct"/>
            <w:tcBorders>
              <w:tl2br w:val="nil"/>
              <w:tr2bl w:val="nil"/>
            </w:tcBorders>
            <w:shd w:val="clear" w:color="auto" w:fill="auto"/>
            <w:noWrap/>
            <w:tcMar>
              <w:top w:w="15" w:type="dxa"/>
              <w:left w:w="15" w:type="dxa"/>
              <w:right w:w="15" w:type="dxa"/>
            </w:tcMar>
            <w:vAlign w:val="bottom"/>
          </w:tcPr>
          <w:p w14:paraId="0B3B8BE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HH-3-75</w:t>
            </w:r>
          </w:p>
        </w:tc>
        <w:tc>
          <w:tcPr>
            <w:tcW w:w="1763" w:type="pct"/>
            <w:tcBorders>
              <w:tl2br w:val="nil"/>
              <w:tr2bl w:val="nil"/>
            </w:tcBorders>
            <w:shd w:val="clear" w:color="auto" w:fill="auto"/>
            <w:noWrap/>
            <w:tcMar>
              <w:top w:w="15" w:type="dxa"/>
              <w:left w:w="15" w:type="dxa"/>
              <w:right w:w="15" w:type="dxa"/>
            </w:tcMar>
            <w:vAlign w:val="center"/>
          </w:tcPr>
          <w:p w14:paraId="5311FF6C">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w:t>
            </w:r>
            <w:r>
              <w:rPr>
                <w:rFonts w:hint="eastAsia"/>
                <w:sz w:val="21"/>
                <w:szCs w:val="21"/>
                <w:highlight w:val="none"/>
              </w:rPr>
              <w:t>聚集区</w:t>
            </w:r>
            <w:r>
              <w:rPr>
                <w:sz w:val="21"/>
                <w:szCs w:val="21"/>
                <w:highlight w:val="none"/>
              </w:rPr>
              <w:t>边界</w:t>
            </w:r>
            <w:r>
              <w:rPr>
                <w:rFonts w:hint="eastAsia"/>
                <w:sz w:val="21"/>
                <w:szCs w:val="21"/>
                <w:highlight w:val="none"/>
              </w:rPr>
              <w:t>南侧</w:t>
            </w:r>
            <w:r>
              <w:rPr>
                <w:sz w:val="21"/>
                <w:szCs w:val="21"/>
                <w:highlight w:val="none"/>
              </w:rPr>
              <w:t>下风向</w:t>
            </w:r>
            <w:r>
              <w:rPr>
                <w:rFonts w:hint="eastAsia"/>
                <w:sz w:val="21"/>
                <w:szCs w:val="21"/>
                <w:highlight w:val="none"/>
              </w:rPr>
              <w:t>75</w:t>
            </w:r>
            <w:r>
              <w:rPr>
                <w:sz w:val="21"/>
                <w:szCs w:val="21"/>
                <w:highlight w:val="none"/>
              </w:rPr>
              <w:t>m</w:t>
            </w:r>
          </w:p>
        </w:tc>
        <w:tc>
          <w:tcPr>
            <w:tcW w:w="1476" w:type="pct"/>
            <w:tcBorders>
              <w:tl2br w:val="nil"/>
              <w:tr2bl w:val="nil"/>
            </w:tcBorders>
            <w:shd w:val="clear" w:color="auto" w:fill="auto"/>
            <w:noWrap/>
            <w:tcMar>
              <w:top w:w="15" w:type="dxa"/>
              <w:left w:w="15" w:type="dxa"/>
              <w:right w:w="15" w:type="dxa"/>
            </w:tcMar>
            <w:vAlign w:val="center"/>
          </w:tcPr>
          <w:p w14:paraId="4F50A747">
            <w:pPr>
              <w:widowControl/>
              <w:spacing w:line="240" w:lineRule="auto"/>
              <w:jc w:val="center"/>
              <w:textAlignment w:val="center"/>
              <w:rPr>
                <w:rFonts w:hint="eastAsia"/>
                <w:kern w:val="0"/>
                <w:sz w:val="21"/>
                <w:szCs w:val="21"/>
                <w:highlight w:val="none"/>
                <w:lang w:bidi="ar"/>
              </w:rPr>
            </w:pPr>
            <w:r>
              <w:rPr>
                <w:kern w:val="0"/>
                <w:sz w:val="21"/>
                <w:szCs w:val="21"/>
                <w:highlight w:val="none"/>
                <w:lang w:bidi="ar"/>
              </w:rPr>
              <w:t>GB36600第二类用地筛选值</w:t>
            </w:r>
          </w:p>
        </w:tc>
        <w:tc>
          <w:tcPr>
            <w:tcW w:w="990" w:type="pct"/>
            <w:tcBorders>
              <w:tl2br w:val="nil"/>
              <w:tr2bl w:val="nil"/>
            </w:tcBorders>
            <w:shd w:val="clear" w:color="auto" w:fill="auto"/>
            <w:noWrap/>
            <w:tcMar>
              <w:top w:w="15" w:type="dxa"/>
              <w:left w:w="15" w:type="dxa"/>
              <w:right w:w="15" w:type="dxa"/>
            </w:tcMar>
            <w:vAlign w:val="center"/>
          </w:tcPr>
          <w:p w14:paraId="40C6BF1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12</w:t>
            </w:r>
          </w:p>
        </w:tc>
      </w:tr>
      <w:tr w14:paraId="22092C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7AE4DE5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6</w:t>
            </w:r>
          </w:p>
        </w:tc>
        <w:tc>
          <w:tcPr>
            <w:tcW w:w="511" w:type="pct"/>
            <w:tcBorders>
              <w:tl2br w:val="nil"/>
              <w:tr2bl w:val="nil"/>
            </w:tcBorders>
            <w:shd w:val="clear" w:color="auto" w:fill="auto"/>
            <w:noWrap/>
            <w:tcMar>
              <w:top w:w="15" w:type="dxa"/>
              <w:left w:w="15" w:type="dxa"/>
              <w:right w:w="15" w:type="dxa"/>
            </w:tcMar>
            <w:vAlign w:val="bottom"/>
          </w:tcPr>
          <w:p w14:paraId="66656C2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HH-4</w:t>
            </w:r>
          </w:p>
        </w:tc>
        <w:tc>
          <w:tcPr>
            <w:tcW w:w="1763" w:type="pct"/>
            <w:tcBorders>
              <w:tl2br w:val="nil"/>
              <w:tr2bl w:val="nil"/>
            </w:tcBorders>
            <w:shd w:val="clear" w:color="auto" w:fill="auto"/>
            <w:noWrap/>
            <w:tcMar>
              <w:top w:w="15" w:type="dxa"/>
              <w:left w:w="15" w:type="dxa"/>
              <w:right w:w="15" w:type="dxa"/>
            </w:tcMar>
            <w:vAlign w:val="center"/>
          </w:tcPr>
          <w:p w14:paraId="6CDE6155">
            <w:pPr>
              <w:spacing w:line="240" w:lineRule="auto"/>
              <w:jc w:val="center"/>
              <w:rPr>
                <w:rFonts w:hint="eastAsia" w:ascii="Times New Roman" w:hAnsi="Times New Roman" w:eastAsia="宋体" w:cs="Times New Roman"/>
                <w:color w:val="000000"/>
                <w:kern w:val="2"/>
                <w:sz w:val="21"/>
                <w:szCs w:val="21"/>
                <w:highlight w:val="none"/>
                <w:lang w:val="en-US" w:eastAsia="zh-CN" w:bidi="ar-SA"/>
              </w:rPr>
            </w:pPr>
            <w:r>
              <w:rPr>
                <w:sz w:val="21"/>
                <w:szCs w:val="21"/>
                <w:highlight w:val="none"/>
              </w:rPr>
              <w:t>园区边界</w:t>
            </w:r>
            <w:r>
              <w:rPr>
                <w:rFonts w:hint="eastAsia"/>
                <w:sz w:val="21"/>
                <w:szCs w:val="21"/>
                <w:highlight w:val="none"/>
              </w:rPr>
              <w:t>北侧上</w:t>
            </w:r>
            <w:r>
              <w:rPr>
                <w:sz w:val="21"/>
                <w:szCs w:val="21"/>
                <w:highlight w:val="none"/>
              </w:rPr>
              <w:t>风向</w:t>
            </w:r>
            <w:r>
              <w:rPr>
                <w:rFonts w:hint="eastAsia"/>
                <w:sz w:val="21"/>
                <w:szCs w:val="21"/>
                <w:highlight w:val="none"/>
              </w:rPr>
              <w:t>2</w:t>
            </w:r>
            <w:r>
              <w:rPr>
                <w:sz w:val="21"/>
                <w:szCs w:val="21"/>
                <w:highlight w:val="none"/>
              </w:rPr>
              <w:t>0m</w:t>
            </w:r>
            <w:r>
              <w:rPr>
                <w:rFonts w:hint="eastAsia"/>
                <w:sz w:val="21"/>
                <w:szCs w:val="21"/>
                <w:highlight w:val="none"/>
              </w:rPr>
              <w:t>以外</w:t>
            </w:r>
          </w:p>
        </w:tc>
        <w:tc>
          <w:tcPr>
            <w:tcW w:w="1476" w:type="pct"/>
            <w:tcBorders>
              <w:tl2br w:val="nil"/>
              <w:tr2bl w:val="nil"/>
            </w:tcBorders>
            <w:shd w:val="clear" w:color="auto" w:fill="auto"/>
            <w:noWrap/>
            <w:tcMar>
              <w:top w:w="15" w:type="dxa"/>
              <w:left w:w="15" w:type="dxa"/>
              <w:right w:w="15" w:type="dxa"/>
            </w:tcMar>
            <w:vAlign w:val="center"/>
          </w:tcPr>
          <w:p w14:paraId="71DC1A12">
            <w:pPr>
              <w:widowControl/>
              <w:spacing w:line="240" w:lineRule="auto"/>
              <w:jc w:val="center"/>
              <w:textAlignment w:val="center"/>
              <w:rPr>
                <w:kern w:val="0"/>
                <w:sz w:val="21"/>
                <w:szCs w:val="21"/>
                <w:highlight w:val="none"/>
                <w:lang w:bidi="ar"/>
              </w:rPr>
            </w:pPr>
            <w:r>
              <w:rPr>
                <w:kern w:val="0"/>
                <w:sz w:val="21"/>
                <w:szCs w:val="21"/>
                <w:highlight w:val="none"/>
                <w:lang w:bidi="ar"/>
              </w:rPr>
              <w:t>GB36600第一类用地筛选值</w:t>
            </w:r>
          </w:p>
        </w:tc>
        <w:tc>
          <w:tcPr>
            <w:tcW w:w="990" w:type="pct"/>
            <w:tcBorders>
              <w:tl2br w:val="nil"/>
              <w:tr2bl w:val="nil"/>
            </w:tcBorders>
            <w:shd w:val="clear" w:color="auto" w:fill="auto"/>
            <w:noWrap/>
            <w:tcMar>
              <w:top w:w="15" w:type="dxa"/>
              <w:left w:w="15" w:type="dxa"/>
              <w:right w:w="15" w:type="dxa"/>
            </w:tcMar>
            <w:vAlign w:val="center"/>
          </w:tcPr>
          <w:p w14:paraId="576905C9">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＜6</w:t>
            </w:r>
          </w:p>
        </w:tc>
      </w:tr>
      <w:tr w14:paraId="2D031E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0E619BC5">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7</w:t>
            </w:r>
          </w:p>
        </w:tc>
        <w:tc>
          <w:tcPr>
            <w:tcW w:w="511" w:type="pct"/>
            <w:tcBorders>
              <w:tl2br w:val="nil"/>
              <w:tr2bl w:val="nil"/>
            </w:tcBorders>
            <w:shd w:val="clear" w:color="auto" w:fill="auto"/>
            <w:noWrap/>
            <w:tcMar>
              <w:top w:w="15" w:type="dxa"/>
              <w:left w:w="15" w:type="dxa"/>
              <w:right w:w="15" w:type="dxa"/>
            </w:tcMar>
            <w:vAlign w:val="bottom"/>
          </w:tcPr>
          <w:p w14:paraId="290925C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HH-JJ-1</w:t>
            </w:r>
          </w:p>
        </w:tc>
        <w:tc>
          <w:tcPr>
            <w:tcW w:w="3389" w:type="dxa"/>
            <w:tcBorders>
              <w:tl2br w:val="nil"/>
              <w:tr2bl w:val="nil"/>
            </w:tcBorders>
            <w:shd w:val="clear" w:color="auto" w:fill="auto"/>
            <w:noWrap/>
            <w:tcMar>
              <w:top w:w="15" w:type="dxa"/>
              <w:left w:w="15" w:type="dxa"/>
              <w:right w:w="15" w:type="dxa"/>
            </w:tcMar>
            <w:vAlign w:val="center"/>
          </w:tcPr>
          <w:p w14:paraId="0CD3EDD5">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企业聚集区</w:t>
            </w:r>
            <w:r>
              <w:rPr>
                <w:rFonts w:hint="eastAsia"/>
                <w:sz w:val="21"/>
                <w:szCs w:val="21"/>
                <w:highlight w:val="none"/>
                <w:lang w:val="en-US" w:eastAsia="zh-CN"/>
              </w:rPr>
              <w:t>南侧</w:t>
            </w:r>
          </w:p>
        </w:tc>
        <w:tc>
          <w:tcPr>
            <w:tcW w:w="1476" w:type="pct"/>
            <w:tcBorders>
              <w:tl2br w:val="nil"/>
              <w:tr2bl w:val="nil"/>
            </w:tcBorders>
            <w:shd w:val="clear" w:color="auto" w:fill="auto"/>
            <w:noWrap/>
            <w:tcMar>
              <w:top w:w="15" w:type="dxa"/>
              <w:left w:w="15" w:type="dxa"/>
              <w:right w:w="15" w:type="dxa"/>
            </w:tcMar>
            <w:vAlign w:val="center"/>
          </w:tcPr>
          <w:p w14:paraId="69456710">
            <w:pPr>
              <w:widowControl/>
              <w:spacing w:line="240" w:lineRule="auto"/>
              <w:jc w:val="center"/>
              <w:textAlignment w:val="center"/>
              <w:rPr>
                <w:rFonts w:hint="eastAsia"/>
                <w:kern w:val="0"/>
                <w:sz w:val="21"/>
                <w:szCs w:val="21"/>
                <w:highlight w:val="none"/>
                <w:lang w:bidi="ar"/>
              </w:rPr>
            </w:pPr>
            <w:r>
              <w:rPr>
                <w:kern w:val="0"/>
                <w:sz w:val="21"/>
                <w:szCs w:val="21"/>
                <w:highlight w:val="none"/>
                <w:lang w:bidi="ar"/>
              </w:rPr>
              <w:t>GB36600第一类用地筛选值</w:t>
            </w:r>
          </w:p>
        </w:tc>
        <w:tc>
          <w:tcPr>
            <w:tcW w:w="990" w:type="pct"/>
            <w:tcBorders>
              <w:tl2br w:val="nil"/>
              <w:tr2bl w:val="nil"/>
            </w:tcBorders>
            <w:shd w:val="clear" w:color="auto" w:fill="auto"/>
            <w:noWrap/>
            <w:tcMar>
              <w:top w:w="15" w:type="dxa"/>
              <w:left w:w="15" w:type="dxa"/>
              <w:right w:w="15" w:type="dxa"/>
            </w:tcMar>
            <w:vAlign w:val="center"/>
          </w:tcPr>
          <w:p w14:paraId="54744D49">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13</w:t>
            </w:r>
          </w:p>
        </w:tc>
      </w:tr>
      <w:tr w14:paraId="6A3AEA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1FEC5A17">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8</w:t>
            </w:r>
          </w:p>
        </w:tc>
        <w:tc>
          <w:tcPr>
            <w:tcW w:w="511" w:type="pct"/>
            <w:tcBorders>
              <w:tl2br w:val="nil"/>
              <w:tr2bl w:val="nil"/>
            </w:tcBorders>
            <w:shd w:val="clear" w:color="auto" w:fill="auto"/>
            <w:noWrap/>
            <w:tcMar>
              <w:top w:w="15" w:type="dxa"/>
              <w:left w:w="15" w:type="dxa"/>
              <w:right w:w="15" w:type="dxa"/>
            </w:tcMar>
            <w:vAlign w:val="bottom"/>
          </w:tcPr>
          <w:p w14:paraId="16FC0BBD">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HH-JJ-2</w:t>
            </w:r>
          </w:p>
        </w:tc>
        <w:tc>
          <w:tcPr>
            <w:tcW w:w="3389" w:type="dxa"/>
            <w:tcBorders>
              <w:tl2br w:val="nil"/>
              <w:tr2bl w:val="nil"/>
            </w:tcBorders>
            <w:shd w:val="clear" w:color="auto" w:fill="auto"/>
            <w:noWrap/>
            <w:tcMar>
              <w:top w:w="15" w:type="dxa"/>
              <w:left w:w="15" w:type="dxa"/>
              <w:right w:w="15" w:type="dxa"/>
            </w:tcMar>
            <w:vAlign w:val="center"/>
          </w:tcPr>
          <w:p w14:paraId="7810AAE4">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企业聚集区</w:t>
            </w:r>
            <w:r>
              <w:rPr>
                <w:rFonts w:hint="eastAsia"/>
                <w:sz w:val="21"/>
                <w:szCs w:val="21"/>
                <w:highlight w:val="none"/>
              </w:rPr>
              <w:t>北</w:t>
            </w:r>
            <w:r>
              <w:rPr>
                <w:sz w:val="21"/>
                <w:szCs w:val="21"/>
                <w:highlight w:val="none"/>
              </w:rPr>
              <w:t>侧</w:t>
            </w:r>
          </w:p>
        </w:tc>
        <w:tc>
          <w:tcPr>
            <w:tcW w:w="1476" w:type="pct"/>
            <w:tcBorders>
              <w:tl2br w:val="nil"/>
              <w:tr2bl w:val="nil"/>
            </w:tcBorders>
            <w:shd w:val="clear" w:color="auto" w:fill="auto"/>
            <w:noWrap/>
            <w:tcMar>
              <w:top w:w="15" w:type="dxa"/>
              <w:left w:w="15" w:type="dxa"/>
              <w:right w:w="15" w:type="dxa"/>
            </w:tcMar>
            <w:vAlign w:val="center"/>
          </w:tcPr>
          <w:p w14:paraId="3854E3DF">
            <w:pPr>
              <w:widowControl/>
              <w:spacing w:line="240" w:lineRule="auto"/>
              <w:jc w:val="center"/>
              <w:textAlignment w:val="center"/>
              <w:rPr>
                <w:rFonts w:hint="eastAsia"/>
                <w:kern w:val="0"/>
                <w:sz w:val="21"/>
                <w:szCs w:val="21"/>
                <w:highlight w:val="none"/>
                <w:lang w:bidi="ar"/>
              </w:rPr>
            </w:pPr>
            <w:r>
              <w:rPr>
                <w:kern w:val="0"/>
                <w:sz w:val="21"/>
                <w:szCs w:val="21"/>
                <w:highlight w:val="none"/>
                <w:lang w:bidi="ar"/>
              </w:rPr>
              <w:t>GB36600第二类用地筛选值</w:t>
            </w:r>
          </w:p>
        </w:tc>
        <w:tc>
          <w:tcPr>
            <w:tcW w:w="990" w:type="pct"/>
            <w:tcBorders>
              <w:tl2br w:val="nil"/>
              <w:tr2bl w:val="nil"/>
            </w:tcBorders>
            <w:shd w:val="clear" w:color="auto" w:fill="auto"/>
            <w:noWrap/>
            <w:tcMar>
              <w:top w:w="15" w:type="dxa"/>
              <w:left w:w="15" w:type="dxa"/>
              <w:right w:w="15" w:type="dxa"/>
            </w:tcMar>
            <w:vAlign w:val="center"/>
          </w:tcPr>
          <w:p w14:paraId="5608B958">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22</w:t>
            </w:r>
          </w:p>
        </w:tc>
      </w:tr>
      <w:tr w14:paraId="75D4D3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76E2144C">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9</w:t>
            </w:r>
          </w:p>
        </w:tc>
        <w:tc>
          <w:tcPr>
            <w:tcW w:w="511" w:type="pct"/>
            <w:tcBorders>
              <w:tl2br w:val="nil"/>
              <w:tr2bl w:val="nil"/>
            </w:tcBorders>
            <w:shd w:val="clear" w:color="auto" w:fill="auto"/>
            <w:noWrap/>
            <w:tcMar>
              <w:top w:w="15" w:type="dxa"/>
              <w:left w:w="15" w:type="dxa"/>
              <w:right w:w="15" w:type="dxa"/>
            </w:tcMar>
            <w:vAlign w:val="bottom"/>
          </w:tcPr>
          <w:p w14:paraId="13B49D5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HH-JJ-3</w:t>
            </w:r>
          </w:p>
        </w:tc>
        <w:tc>
          <w:tcPr>
            <w:tcW w:w="3389" w:type="dxa"/>
            <w:tcBorders>
              <w:tl2br w:val="nil"/>
              <w:tr2bl w:val="nil"/>
            </w:tcBorders>
            <w:shd w:val="clear" w:color="auto" w:fill="auto"/>
            <w:noWrap/>
            <w:tcMar>
              <w:top w:w="15" w:type="dxa"/>
              <w:left w:w="15" w:type="dxa"/>
              <w:right w:w="15" w:type="dxa"/>
            </w:tcMar>
            <w:vAlign w:val="center"/>
          </w:tcPr>
          <w:p w14:paraId="197F7C7D">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企业聚集区</w:t>
            </w:r>
            <w:r>
              <w:rPr>
                <w:rFonts w:hint="eastAsia"/>
                <w:sz w:val="21"/>
                <w:szCs w:val="21"/>
                <w:highlight w:val="none"/>
              </w:rPr>
              <w:t>西侧</w:t>
            </w:r>
          </w:p>
        </w:tc>
        <w:tc>
          <w:tcPr>
            <w:tcW w:w="1476" w:type="pct"/>
            <w:tcBorders>
              <w:tl2br w:val="nil"/>
              <w:tr2bl w:val="nil"/>
            </w:tcBorders>
            <w:shd w:val="clear" w:color="auto" w:fill="auto"/>
            <w:noWrap/>
            <w:tcMar>
              <w:top w:w="15" w:type="dxa"/>
              <w:left w:w="15" w:type="dxa"/>
              <w:right w:w="15" w:type="dxa"/>
            </w:tcMar>
            <w:vAlign w:val="center"/>
          </w:tcPr>
          <w:p w14:paraId="051C9AFA">
            <w:pPr>
              <w:widowControl/>
              <w:spacing w:line="240" w:lineRule="auto"/>
              <w:jc w:val="center"/>
              <w:textAlignment w:val="center"/>
              <w:rPr>
                <w:rFonts w:hint="eastAsia"/>
                <w:kern w:val="0"/>
                <w:sz w:val="21"/>
                <w:szCs w:val="21"/>
                <w:highlight w:val="none"/>
                <w:lang w:bidi="ar"/>
              </w:rPr>
            </w:pPr>
            <w:r>
              <w:rPr>
                <w:kern w:val="0"/>
                <w:sz w:val="21"/>
                <w:szCs w:val="21"/>
                <w:highlight w:val="none"/>
                <w:lang w:bidi="ar"/>
              </w:rPr>
              <w:t>GB36600第一类用地筛选值</w:t>
            </w:r>
          </w:p>
        </w:tc>
        <w:tc>
          <w:tcPr>
            <w:tcW w:w="990" w:type="pct"/>
            <w:tcBorders>
              <w:tl2br w:val="nil"/>
              <w:tr2bl w:val="nil"/>
            </w:tcBorders>
            <w:shd w:val="clear" w:color="auto" w:fill="auto"/>
            <w:noWrap/>
            <w:tcMar>
              <w:top w:w="15" w:type="dxa"/>
              <w:left w:w="15" w:type="dxa"/>
              <w:right w:w="15" w:type="dxa"/>
            </w:tcMar>
            <w:vAlign w:val="center"/>
          </w:tcPr>
          <w:p w14:paraId="2199DD2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7</w:t>
            </w:r>
          </w:p>
        </w:tc>
      </w:tr>
      <w:tr w14:paraId="3BCD72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8" w:type="pct"/>
            <w:tcBorders>
              <w:tl2br w:val="nil"/>
              <w:tr2bl w:val="nil"/>
            </w:tcBorders>
            <w:shd w:val="clear" w:color="auto" w:fill="auto"/>
            <w:noWrap/>
            <w:tcMar>
              <w:top w:w="15" w:type="dxa"/>
              <w:left w:w="15" w:type="dxa"/>
              <w:right w:w="15" w:type="dxa"/>
            </w:tcMar>
            <w:vAlign w:val="center"/>
          </w:tcPr>
          <w:p w14:paraId="50544C2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10</w:t>
            </w:r>
          </w:p>
        </w:tc>
        <w:tc>
          <w:tcPr>
            <w:tcW w:w="511" w:type="pct"/>
            <w:tcBorders>
              <w:tl2br w:val="nil"/>
              <w:tr2bl w:val="nil"/>
            </w:tcBorders>
            <w:shd w:val="clear" w:color="auto" w:fill="auto"/>
            <w:noWrap/>
            <w:tcMar>
              <w:top w:w="15" w:type="dxa"/>
              <w:left w:w="15" w:type="dxa"/>
              <w:right w:w="15" w:type="dxa"/>
            </w:tcMar>
            <w:vAlign w:val="bottom"/>
          </w:tcPr>
          <w:p w14:paraId="453AECB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HH-JJ-4</w:t>
            </w:r>
          </w:p>
        </w:tc>
        <w:tc>
          <w:tcPr>
            <w:tcW w:w="3389" w:type="dxa"/>
            <w:tcBorders>
              <w:tl2br w:val="nil"/>
              <w:tr2bl w:val="nil"/>
            </w:tcBorders>
            <w:shd w:val="clear" w:color="auto" w:fill="auto"/>
            <w:noWrap/>
            <w:tcMar>
              <w:top w:w="15" w:type="dxa"/>
              <w:left w:w="15" w:type="dxa"/>
              <w:right w:w="15" w:type="dxa"/>
            </w:tcMar>
            <w:vAlign w:val="center"/>
          </w:tcPr>
          <w:p w14:paraId="710545E1">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企业聚集区</w:t>
            </w:r>
            <w:r>
              <w:rPr>
                <w:rFonts w:hint="eastAsia"/>
                <w:sz w:val="21"/>
                <w:szCs w:val="21"/>
                <w:highlight w:val="none"/>
              </w:rPr>
              <w:t>西</w:t>
            </w:r>
            <w:r>
              <w:rPr>
                <w:sz w:val="21"/>
                <w:szCs w:val="21"/>
                <w:highlight w:val="none"/>
              </w:rPr>
              <w:t>侧</w:t>
            </w:r>
          </w:p>
        </w:tc>
        <w:tc>
          <w:tcPr>
            <w:tcW w:w="1476" w:type="pct"/>
            <w:tcBorders>
              <w:tl2br w:val="nil"/>
              <w:tr2bl w:val="nil"/>
            </w:tcBorders>
            <w:shd w:val="clear" w:color="auto" w:fill="auto"/>
            <w:noWrap/>
            <w:tcMar>
              <w:top w:w="15" w:type="dxa"/>
              <w:left w:w="15" w:type="dxa"/>
              <w:right w:w="15" w:type="dxa"/>
            </w:tcMar>
            <w:vAlign w:val="center"/>
          </w:tcPr>
          <w:p w14:paraId="301AA6C1">
            <w:pPr>
              <w:widowControl/>
              <w:spacing w:line="240" w:lineRule="auto"/>
              <w:jc w:val="center"/>
              <w:textAlignment w:val="center"/>
              <w:rPr>
                <w:rFonts w:hint="eastAsia"/>
                <w:kern w:val="0"/>
                <w:sz w:val="21"/>
                <w:szCs w:val="21"/>
                <w:highlight w:val="none"/>
                <w:lang w:bidi="ar"/>
              </w:rPr>
            </w:pPr>
            <w:r>
              <w:rPr>
                <w:kern w:val="0"/>
                <w:sz w:val="21"/>
                <w:szCs w:val="21"/>
                <w:highlight w:val="none"/>
                <w:lang w:bidi="ar"/>
              </w:rPr>
              <w:t>GB36600第一类用地筛选值</w:t>
            </w:r>
          </w:p>
        </w:tc>
        <w:tc>
          <w:tcPr>
            <w:tcW w:w="990" w:type="pct"/>
            <w:tcBorders>
              <w:tl2br w:val="nil"/>
              <w:tr2bl w:val="nil"/>
            </w:tcBorders>
            <w:shd w:val="clear" w:color="auto" w:fill="auto"/>
            <w:noWrap/>
            <w:tcMar>
              <w:top w:w="15" w:type="dxa"/>
              <w:left w:w="15" w:type="dxa"/>
              <w:right w:w="15" w:type="dxa"/>
            </w:tcMar>
            <w:vAlign w:val="center"/>
          </w:tcPr>
          <w:p w14:paraId="2B73BC7C">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8</w:t>
            </w:r>
          </w:p>
        </w:tc>
      </w:tr>
      <w:tr w14:paraId="33978A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258" w:type="pct"/>
            <w:tcBorders>
              <w:tl2br w:val="nil"/>
              <w:tr2bl w:val="nil"/>
            </w:tcBorders>
            <w:shd w:val="clear" w:color="auto" w:fill="auto"/>
            <w:noWrap/>
            <w:tcMar>
              <w:top w:w="15" w:type="dxa"/>
              <w:left w:w="15" w:type="dxa"/>
              <w:right w:w="15" w:type="dxa"/>
            </w:tcMar>
            <w:vAlign w:val="center"/>
          </w:tcPr>
          <w:p w14:paraId="21C1FF4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11</w:t>
            </w:r>
          </w:p>
        </w:tc>
        <w:tc>
          <w:tcPr>
            <w:tcW w:w="511" w:type="pct"/>
            <w:tcBorders>
              <w:tl2br w:val="nil"/>
              <w:tr2bl w:val="nil"/>
            </w:tcBorders>
            <w:shd w:val="clear" w:color="auto" w:fill="auto"/>
            <w:noWrap/>
            <w:tcMar>
              <w:top w:w="15" w:type="dxa"/>
              <w:left w:w="15" w:type="dxa"/>
              <w:right w:w="15" w:type="dxa"/>
            </w:tcMar>
            <w:vAlign w:val="bottom"/>
          </w:tcPr>
          <w:p w14:paraId="0A1E647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HH-JJ-5</w:t>
            </w:r>
          </w:p>
        </w:tc>
        <w:tc>
          <w:tcPr>
            <w:tcW w:w="3389" w:type="dxa"/>
            <w:tcBorders>
              <w:tl2br w:val="nil"/>
              <w:tr2bl w:val="nil"/>
            </w:tcBorders>
            <w:shd w:val="clear" w:color="auto" w:fill="auto"/>
            <w:noWrap/>
            <w:tcMar>
              <w:top w:w="15" w:type="dxa"/>
              <w:left w:w="15" w:type="dxa"/>
              <w:right w:w="15" w:type="dxa"/>
            </w:tcMar>
            <w:vAlign w:val="center"/>
          </w:tcPr>
          <w:p w14:paraId="2E82703C">
            <w:pPr>
              <w:spacing w:line="240" w:lineRule="auto"/>
              <w:jc w:val="center"/>
              <w:rPr>
                <w:rFonts w:ascii="Times New Roman" w:hAnsi="Times New Roman" w:eastAsia="宋体" w:cs="Times New Roman"/>
                <w:color w:val="000000"/>
                <w:kern w:val="2"/>
                <w:sz w:val="21"/>
                <w:szCs w:val="21"/>
                <w:highlight w:val="none"/>
                <w:lang w:val="en-US" w:eastAsia="zh-CN" w:bidi="ar-SA"/>
              </w:rPr>
            </w:pPr>
            <w:r>
              <w:rPr>
                <w:sz w:val="21"/>
                <w:szCs w:val="21"/>
                <w:highlight w:val="none"/>
              </w:rPr>
              <w:t>企业聚集区</w:t>
            </w:r>
            <w:r>
              <w:rPr>
                <w:rFonts w:hint="eastAsia"/>
                <w:sz w:val="21"/>
                <w:szCs w:val="21"/>
                <w:highlight w:val="none"/>
              </w:rPr>
              <w:t>东</w:t>
            </w:r>
            <w:r>
              <w:rPr>
                <w:sz w:val="21"/>
                <w:szCs w:val="21"/>
                <w:highlight w:val="none"/>
              </w:rPr>
              <w:t>侧</w:t>
            </w:r>
          </w:p>
        </w:tc>
        <w:tc>
          <w:tcPr>
            <w:tcW w:w="1476" w:type="pct"/>
            <w:tcBorders>
              <w:tl2br w:val="nil"/>
              <w:tr2bl w:val="nil"/>
            </w:tcBorders>
            <w:shd w:val="clear" w:color="auto" w:fill="auto"/>
            <w:noWrap/>
            <w:tcMar>
              <w:top w:w="15" w:type="dxa"/>
              <w:left w:w="15" w:type="dxa"/>
              <w:right w:w="15" w:type="dxa"/>
            </w:tcMar>
            <w:vAlign w:val="center"/>
          </w:tcPr>
          <w:p w14:paraId="508D3B9D">
            <w:pPr>
              <w:widowControl/>
              <w:spacing w:line="240" w:lineRule="auto"/>
              <w:jc w:val="center"/>
              <w:textAlignment w:val="center"/>
              <w:rPr>
                <w:rFonts w:hint="eastAsia"/>
                <w:kern w:val="0"/>
                <w:sz w:val="21"/>
                <w:szCs w:val="21"/>
                <w:highlight w:val="none"/>
                <w:lang w:bidi="ar"/>
              </w:rPr>
            </w:pPr>
            <w:r>
              <w:rPr>
                <w:kern w:val="0"/>
                <w:sz w:val="21"/>
                <w:szCs w:val="21"/>
                <w:highlight w:val="none"/>
                <w:lang w:bidi="ar"/>
              </w:rPr>
              <w:t>GB36600第二类用地筛选值</w:t>
            </w:r>
          </w:p>
        </w:tc>
        <w:tc>
          <w:tcPr>
            <w:tcW w:w="990" w:type="pct"/>
            <w:tcBorders>
              <w:tl2br w:val="nil"/>
              <w:tr2bl w:val="nil"/>
            </w:tcBorders>
            <w:shd w:val="clear" w:color="auto" w:fill="auto"/>
            <w:noWrap/>
            <w:tcMar>
              <w:top w:w="15" w:type="dxa"/>
              <w:left w:w="15" w:type="dxa"/>
              <w:right w:w="15" w:type="dxa"/>
            </w:tcMar>
            <w:vAlign w:val="center"/>
          </w:tcPr>
          <w:p w14:paraId="3D08013B">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22</w:t>
            </w:r>
          </w:p>
        </w:tc>
      </w:tr>
      <w:tr w14:paraId="53D810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95" w:hRule="atLeast"/>
          <w:jc w:val="center"/>
        </w:trPr>
        <w:tc>
          <w:tcPr>
            <w:tcW w:w="4009" w:type="pct"/>
            <w:gridSpan w:val="4"/>
            <w:tcBorders>
              <w:tl2br w:val="nil"/>
              <w:tr2bl w:val="nil"/>
            </w:tcBorders>
            <w:shd w:val="clear" w:color="auto" w:fill="auto"/>
            <w:noWrap/>
            <w:tcMar>
              <w:top w:w="15" w:type="dxa"/>
              <w:left w:w="15" w:type="dxa"/>
              <w:right w:w="15" w:type="dxa"/>
            </w:tcMar>
            <w:vAlign w:val="center"/>
          </w:tcPr>
          <w:p w14:paraId="6CA5C0E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最大值</w:t>
            </w:r>
          </w:p>
        </w:tc>
        <w:tc>
          <w:tcPr>
            <w:tcW w:w="990" w:type="pct"/>
            <w:tcBorders>
              <w:tl2br w:val="nil"/>
              <w:tr2bl w:val="nil"/>
            </w:tcBorders>
            <w:shd w:val="clear" w:color="auto" w:fill="auto"/>
            <w:noWrap/>
            <w:tcMar>
              <w:top w:w="15" w:type="dxa"/>
              <w:left w:w="15" w:type="dxa"/>
              <w:right w:w="15" w:type="dxa"/>
            </w:tcMar>
            <w:vAlign w:val="center"/>
          </w:tcPr>
          <w:p w14:paraId="40EC40EA">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33 </w:t>
            </w:r>
          </w:p>
        </w:tc>
      </w:tr>
      <w:tr w14:paraId="5D2B06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009" w:type="pct"/>
            <w:gridSpan w:val="4"/>
            <w:tcBorders>
              <w:tl2br w:val="nil"/>
              <w:tr2bl w:val="nil"/>
            </w:tcBorders>
            <w:shd w:val="clear" w:color="auto" w:fill="auto"/>
            <w:noWrap/>
            <w:tcMar>
              <w:top w:w="15" w:type="dxa"/>
              <w:left w:w="15" w:type="dxa"/>
              <w:right w:w="15" w:type="dxa"/>
            </w:tcMar>
            <w:vAlign w:val="center"/>
          </w:tcPr>
          <w:p w14:paraId="12C3696B">
            <w:pPr>
              <w:widowControl/>
              <w:spacing w:line="240" w:lineRule="auto"/>
              <w:jc w:val="center"/>
              <w:textAlignment w:val="center"/>
              <w:rPr>
                <w:rFonts w:hint="eastAsia"/>
                <w:color w:val="000000"/>
                <w:kern w:val="0"/>
                <w:sz w:val="21"/>
                <w:szCs w:val="21"/>
                <w:highlight w:val="none"/>
                <w:lang w:bidi="ar"/>
              </w:rPr>
            </w:pPr>
            <w:r>
              <w:rPr>
                <w:color w:val="000000"/>
                <w:kern w:val="0"/>
                <w:sz w:val="21"/>
                <w:szCs w:val="21"/>
                <w:highlight w:val="none"/>
                <w:lang w:bidi="ar"/>
              </w:rPr>
              <w:t>最小值</w:t>
            </w:r>
          </w:p>
        </w:tc>
        <w:tc>
          <w:tcPr>
            <w:tcW w:w="990" w:type="pct"/>
            <w:tcBorders>
              <w:tl2br w:val="nil"/>
              <w:tr2bl w:val="nil"/>
            </w:tcBorders>
            <w:shd w:val="clear" w:color="auto" w:fill="auto"/>
            <w:noWrap/>
            <w:tcMar>
              <w:top w:w="15" w:type="dxa"/>
              <w:left w:w="15" w:type="dxa"/>
              <w:right w:w="15" w:type="dxa"/>
            </w:tcMar>
            <w:vAlign w:val="center"/>
          </w:tcPr>
          <w:p w14:paraId="6B6D3D1A">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＜6</w:t>
            </w:r>
          </w:p>
        </w:tc>
      </w:tr>
      <w:tr w14:paraId="510BCE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4009" w:type="pct"/>
            <w:gridSpan w:val="4"/>
            <w:tcBorders>
              <w:tl2br w:val="nil"/>
              <w:tr2bl w:val="nil"/>
            </w:tcBorders>
            <w:shd w:val="clear" w:color="auto" w:fill="auto"/>
            <w:noWrap/>
            <w:tcMar>
              <w:top w:w="15" w:type="dxa"/>
              <w:left w:w="15" w:type="dxa"/>
              <w:right w:w="15" w:type="dxa"/>
            </w:tcMar>
            <w:vAlign w:val="center"/>
          </w:tcPr>
          <w:p w14:paraId="047BA41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平均值</w:t>
            </w:r>
          </w:p>
        </w:tc>
        <w:tc>
          <w:tcPr>
            <w:tcW w:w="990" w:type="pct"/>
            <w:tcBorders>
              <w:tl2br w:val="nil"/>
              <w:tr2bl w:val="nil"/>
            </w:tcBorders>
            <w:shd w:val="clear" w:color="auto" w:fill="auto"/>
            <w:noWrap/>
            <w:tcMar>
              <w:top w:w="15" w:type="dxa"/>
              <w:left w:w="15" w:type="dxa"/>
              <w:right w:w="15" w:type="dxa"/>
            </w:tcMar>
            <w:vAlign w:val="center"/>
          </w:tcPr>
          <w:p w14:paraId="787566D0">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 xml:space="preserve">15 </w:t>
            </w:r>
          </w:p>
        </w:tc>
      </w:tr>
      <w:tr w14:paraId="771F9D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009" w:type="pct"/>
            <w:gridSpan w:val="4"/>
            <w:tcBorders>
              <w:tl2br w:val="nil"/>
              <w:tr2bl w:val="nil"/>
            </w:tcBorders>
            <w:shd w:val="clear" w:color="auto" w:fill="auto"/>
            <w:noWrap/>
            <w:tcMar>
              <w:top w:w="15" w:type="dxa"/>
              <w:left w:w="15" w:type="dxa"/>
              <w:right w:w="15" w:type="dxa"/>
            </w:tcMar>
            <w:vAlign w:val="center"/>
          </w:tcPr>
          <w:p w14:paraId="6561F11F">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检出率</w:t>
            </w:r>
          </w:p>
        </w:tc>
        <w:tc>
          <w:tcPr>
            <w:tcW w:w="990" w:type="pct"/>
            <w:tcBorders>
              <w:tl2br w:val="nil"/>
              <w:tr2bl w:val="nil"/>
            </w:tcBorders>
            <w:shd w:val="clear" w:color="auto" w:fill="auto"/>
            <w:noWrap/>
            <w:tcMar>
              <w:top w:w="15" w:type="dxa"/>
              <w:left w:w="15" w:type="dxa"/>
              <w:right w:w="15" w:type="dxa"/>
            </w:tcMar>
            <w:vAlign w:val="bottom"/>
          </w:tcPr>
          <w:p w14:paraId="7937DE37">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91%</w:t>
            </w:r>
          </w:p>
        </w:tc>
      </w:tr>
      <w:tr w14:paraId="5A85AB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009" w:type="pct"/>
            <w:gridSpan w:val="4"/>
            <w:tcBorders>
              <w:tl2br w:val="nil"/>
              <w:tr2bl w:val="nil"/>
            </w:tcBorders>
            <w:shd w:val="clear" w:color="auto" w:fill="auto"/>
            <w:noWrap/>
            <w:tcMar>
              <w:top w:w="15" w:type="dxa"/>
              <w:left w:w="15" w:type="dxa"/>
              <w:right w:w="15" w:type="dxa"/>
            </w:tcMar>
            <w:vAlign w:val="center"/>
          </w:tcPr>
          <w:p w14:paraId="6537515E">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第一类用地筛选值</w:t>
            </w:r>
          </w:p>
        </w:tc>
        <w:tc>
          <w:tcPr>
            <w:tcW w:w="990" w:type="pct"/>
            <w:tcBorders>
              <w:tl2br w:val="nil"/>
              <w:tr2bl w:val="nil"/>
            </w:tcBorders>
            <w:shd w:val="clear" w:color="auto" w:fill="auto"/>
            <w:noWrap/>
            <w:tcMar>
              <w:top w:w="15" w:type="dxa"/>
              <w:left w:w="15" w:type="dxa"/>
              <w:right w:w="15" w:type="dxa"/>
            </w:tcMar>
            <w:vAlign w:val="center"/>
          </w:tcPr>
          <w:p w14:paraId="330939F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826</w:t>
            </w:r>
          </w:p>
        </w:tc>
      </w:tr>
      <w:tr w14:paraId="42E416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4009" w:type="pct"/>
            <w:gridSpan w:val="4"/>
            <w:tcBorders>
              <w:tl2br w:val="nil"/>
              <w:tr2bl w:val="nil"/>
            </w:tcBorders>
            <w:shd w:val="clear" w:color="auto" w:fill="auto"/>
            <w:noWrap/>
            <w:tcMar>
              <w:top w:w="15" w:type="dxa"/>
              <w:left w:w="15" w:type="dxa"/>
              <w:right w:w="15" w:type="dxa"/>
            </w:tcMar>
            <w:vAlign w:val="center"/>
          </w:tcPr>
          <w:p w14:paraId="53514E82">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第二类用地筛选值</w:t>
            </w:r>
          </w:p>
        </w:tc>
        <w:tc>
          <w:tcPr>
            <w:tcW w:w="990" w:type="pct"/>
            <w:tcBorders>
              <w:tl2br w:val="nil"/>
              <w:tr2bl w:val="nil"/>
            </w:tcBorders>
            <w:shd w:val="clear" w:color="auto" w:fill="auto"/>
            <w:noWrap/>
            <w:tcMar>
              <w:top w:w="15" w:type="dxa"/>
              <w:left w:w="15" w:type="dxa"/>
              <w:right w:w="15" w:type="dxa"/>
            </w:tcMar>
            <w:vAlign w:val="center"/>
          </w:tcPr>
          <w:p w14:paraId="7695AEDC">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4500</w:t>
            </w:r>
          </w:p>
        </w:tc>
      </w:tr>
      <w:tr w14:paraId="712D34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4009" w:type="pct"/>
            <w:gridSpan w:val="4"/>
            <w:tcBorders>
              <w:tl2br w:val="nil"/>
              <w:tr2bl w:val="nil"/>
            </w:tcBorders>
            <w:shd w:val="clear" w:color="auto" w:fill="auto"/>
            <w:noWrap/>
            <w:tcMar>
              <w:top w:w="15" w:type="dxa"/>
              <w:left w:w="15" w:type="dxa"/>
              <w:right w:w="15" w:type="dxa"/>
            </w:tcMar>
            <w:vAlign w:val="center"/>
          </w:tcPr>
          <w:p w14:paraId="5F61DE24">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达标情况</w:t>
            </w:r>
          </w:p>
        </w:tc>
        <w:tc>
          <w:tcPr>
            <w:tcW w:w="990" w:type="pct"/>
            <w:tcBorders>
              <w:tl2br w:val="nil"/>
              <w:tr2bl w:val="nil"/>
            </w:tcBorders>
            <w:shd w:val="clear" w:color="auto" w:fill="auto"/>
            <w:noWrap/>
            <w:tcMar>
              <w:top w:w="15" w:type="dxa"/>
              <w:left w:w="15" w:type="dxa"/>
              <w:right w:w="15" w:type="dxa"/>
            </w:tcMar>
            <w:vAlign w:val="center"/>
          </w:tcPr>
          <w:p w14:paraId="22235003">
            <w:pPr>
              <w:widowControl/>
              <w:spacing w:line="240" w:lineRule="auto"/>
              <w:jc w:val="center"/>
              <w:textAlignment w:val="center"/>
              <w:rPr>
                <w:color w:val="000000"/>
                <w:kern w:val="0"/>
                <w:sz w:val="21"/>
                <w:szCs w:val="21"/>
                <w:highlight w:val="none"/>
                <w:lang w:bidi="ar"/>
              </w:rPr>
            </w:pPr>
            <w:r>
              <w:rPr>
                <w:color w:val="000000"/>
                <w:kern w:val="0"/>
                <w:sz w:val="21"/>
                <w:szCs w:val="21"/>
                <w:highlight w:val="none"/>
                <w:lang w:bidi="ar"/>
              </w:rPr>
              <w:t>达标</w:t>
            </w:r>
          </w:p>
        </w:tc>
      </w:tr>
    </w:tbl>
    <w:p w14:paraId="6E6CC3EA">
      <w:pPr>
        <w:spacing w:line="240" w:lineRule="auto"/>
        <w:rPr>
          <w:b/>
          <w:bCs/>
          <w:sz w:val="18"/>
          <w:szCs w:val="18"/>
          <w:highlight w:val="none"/>
        </w:rPr>
      </w:pPr>
      <w:r>
        <w:rPr>
          <w:rFonts w:hint="eastAsia"/>
          <w:b/>
          <w:bCs/>
          <w:sz w:val="18"/>
          <w:szCs w:val="18"/>
          <w:highlight w:val="none"/>
          <w:lang w:val="en-US" w:eastAsia="zh-CN"/>
        </w:rPr>
        <w:t>注：①</w:t>
      </w:r>
      <w:r>
        <w:rPr>
          <w:b/>
          <w:bCs/>
          <w:sz w:val="18"/>
          <w:szCs w:val="18"/>
          <w:highlight w:val="none"/>
        </w:rPr>
        <w:t>根据《土壤环境监测技术规范（HJ/T 166-2004）》低于分析方法检出限的测定结果参加统计时按二分之一最低检出限计算，下同。</w:t>
      </w:r>
    </w:p>
    <w:p w14:paraId="44CA3AC5">
      <w:pPr>
        <w:pStyle w:val="5"/>
        <w:tabs>
          <w:tab w:val="left" w:pos="425"/>
        </w:tabs>
        <w:rPr>
          <w:highlight w:val="none"/>
        </w:rPr>
      </w:pPr>
      <w:r>
        <w:rPr>
          <w:highlight w:val="none"/>
        </w:rPr>
        <w:t>地下水样品检测结果分析</w:t>
      </w:r>
    </w:p>
    <w:p w14:paraId="723934DA">
      <w:pPr>
        <w:ind w:left="1" w:firstLine="480" w:firstLineChars="200"/>
        <w:rPr>
          <w:highlight w:val="none"/>
        </w:rPr>
      </w:pPr>
      <w:r>
        <w:rPr>
          <w:highlight w:val="none"/>
        </w:rPr>
        <w:t>本次调查园区内共采集地下水样品2个（不含现场平行样），所有样品全部送检。</w:t>
      </w:r>
      <w:r>
        <w:rPr>
          <w:color w:val="000000"/>
          <w:highlight w:val="none"/>
        </w:rPr>
        <w:t>测试项目中未检出项目包括：</w:t>
      </w:r>
      <w:r>
        <w:rPr>
          <w:rFonts w:hint="eastAsia"/>
          <w:color w:val="000000"/>
          <w:highlight w:val="none"/>
        </w:rPr>
        <w:t>挥发酚、硫化物、氰化物、铁、</w:t>
      </w:r>
      <w:r>
        <w:rPr>
          <w:color w:val="000000"/>
          <w:highlight w:val="none"/>
        </w:rPr>
        <w:t>铜、铝、铬（总）、汞、硒、</w:t>
      </w:r>
      <w:r>
        <w:rPr>
          <w:rFonts w:hint="eastAsia"/>
          <w:color w:val="000000"/>
          <w:highlight w:val="none"/>
        </w:rPr>
        <w:t>铅、</w:t>
      </w:r>
      <w:r>
        <w:rPr>
          <w:color w:val="000000"/>
          <w:highlight w:val="none"/>
        </w:rPr>
        <w:t>镉、铬（六价）、</w:t>
      </w:r>
      <w:r>
        <w:rPr>
          <w:rFonts w:hint="eastAsia"/>
          <w:color w:val="000000"/>
          <w:highlight w:val="none"/>
        </w:rPr>
        <w:t>氯仿</w:t>
      </w:r>
      <w:r>
        <w:rPr>
          <w:color w:val="000000"/>
          <w:highlight w:val="none"/>
        </w:rPr>
        <w:t>、四氯化碳、苯、甲苯。其余检出指标检测结果见表5-3-6。</w:t>
      </w:r>
    </w:p>
    <w:p w14:paraId="085FB417">
      <w:pPr>
        <w:jc w:val="center"/>
        <w:rPr>
          <w:highlight w:val="none"/>
        </w:rPr>
      </w:pPr>
      <w:r>
        <w:rPr>
          <w:rFonts w:eastAsia="黑体"/>
          <w:b/>
          <w:bCs/>
          <w:color w:val="000000"/>
          <w:highlight w:val="none"/>
        </w:rPr>
        <w:t>表5-3-6 地下水样品已检出指标监测结果</w:t>
      </w:r>
    </w:p>
    <w:tbl>
      <w:tblPr>
        <w:tblStyle w:val="21"/>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64"/>
        <w:gridCol w:w="2942"/>
        <w:gridCol w:w="1987"/>
        <w:gridCol w:w="959"/>
        <w:gridCol w:w="1095"/>
        <w:gridCol w:w="959"/>
        <w:gridCol w:w="1095"/>
      </w:tblGrid>
      <w:tr w14:paraId="7F07F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94" w:type="pct"/>
            <w:tcBorders>
              <w:bottom w:val="single" w:color="auto" w:sz="12" w:space="0"/>
            </w:tcBorders>
            <w:shd w:val="clear" w:color="auto" w:fill="auto"/>
            <w:noWrap/>
            <w:tcMar>
              <w:top w:w="15" w:type="dxa"/>
              <w:left w:w="15" w:type="dxa"/>
              <w:right w:w="15" w:type="dxa"/>
            </w:tcMar>
            <w:vAlign w:val="center"/>
          </w:tcPr>
          <w:p w14:paraId="5722BC30">
            <w:pPr>
              <w:widowControl/>
              <w:spacing w:line="240" w:lineRule="auto"/>
              <w:jc w:val="center"/>
              <w:textAlignment w:val="center"/>
              <w:rPr>
                <w:b/>
                <w:sz w:val="21"/>
                <w:szCs w:val="21"/>
                <w:highlight w:val="none"/>
              </w:rPr>
            </w:pPr>
            <w:r>
              <w:rPr>
                <w:b/>
                <w:kern w:val="0"/>
                <w:sz w:val="21"/>
                <w:szCs w:val="21"/>
                <w:highlight w:val="none"/>
                <w:lang w:bidi="ar"/>
              </w:rPr>
              <w:t>序号</w:t>
            </w:r>
          </w:p>
        </w:tc>
        <w:tc>
          <w:tcPr>
            <w:tcW w:w="1531" w:type="pct"/>
            <w:tcBorders>
              <w:bottom w:val="single" w:color="auto" w:sz="12" w:space="0"/>
            </w:tcBorders>
            <w:shd w:val="clear" w:color="auto" w:fill="auto"/>
            <w:noWrap/>
            <w:tcMar>
              <w:top w:w="15" w:type="dxa"/>
              <w:left w:w="15" w:type="dxa"/>
              <w:right w:w="15" w:type="dxa"/>
            </w:tcMar>
            <w:vAlign w:val="center"/>
          </w:tcPr>
          <w:p w14:paraId="72E7A2E6">
            <w:pPr>
              <w:widowControl/>
              <w:spacing w:line="240" w:lineRule="auto"/>
              <w:jc w:val="center"/>
              <w:textAlignment w:val="center"/>
              <w:rPr>
                <w:b/>
                <w:sz w:val="21"/>
                <w:szCs w:val="21"/>
                <w:highlight w:val="none"/>
              </w:rPr>
            </w:pPr>
            <w:r>
              <w:rPr>
                <w:b/>
                <w:kern w:val="0"/>
                <w:sz w:val="21"/>
                <w:szCs w:val="21"/>
                <w:highlight w:val="none"/>
                <w:lang w:bidi="ar"/>
              </w:rPr>
              <w:t>指标</w:t>
            </w:r>
          </w:p>
        </w:tc>
        <w:tc>
          <w:tcPr>
            <w:tcW w:w="1034" w:type="pct"/>
            <w:tcBorders>
              <w:bottom w:val="single" w:color="auto" w:sz="12" w:space="0"/>
            </w:tcBorders>
            <w:shd w:val="clear" w:color="auto" w:fill="auto"/>
            <w:noWrap/>
            <w:tcMar>
              <w:top w:w="15" w:type="dxa"/>
              <w:left w:w="15" w:type="dxa"/>
              <w:right w:w="15" w:type="dxa"/>
            </w:tcMar>
            <w:vAlign w:val="center"/>
          </w:tcPr>
          <w:p w14:paraId="3607F54E">
            <w:pPr>
              <w:widowControl/>
              <w:spacing w:line="240" w:lineRule="auto"/>
              <w:jc w:val="center"/>
              <w:textAlignment w:val="center"/>
              <w:rPr>
                <w:b/>
                <w:kern w:val="0"/>
                <w:sz w:val="21"/>
                <w:szCs w:val="21"/>
                <w:highlight w:val="none"/>
                <w:lang w:bidi="ar"/>
              </w:rPr>
            </w:pPr>
            <w:r>
              <w:rPr>
                <w:b/>
                <w:kern w:val="0"/>
                <w:sz w:val="21"/>
                <w:szCs w:val="21"/>
                <w:highlight w:val="none"/>
                <w:lang w:bidi="ar"/>
              </w:rPr>
              <w:t>标准值</w:t>
            </w:r>
            <w:r>
              <w:rPr>
                <w:rFonts w:hint="eastAsia"/>
                <w:b/>
                <w:kern w:val="0"/>
                <w:sz w:val="21"/>
                <w:szCs w:val="21"/>
                <w:highlight w:val="none"/>
                <w:lang w:bidi="ar"/>
              </w:rPr>
              <w:t>（IV类）</w:t>
            </w:r>
          </w:p>
        </w:tc>
        <w:tc>
          <w:tcPr>
            <w:tcW w:w="499" w:type="pct"/>
            <w:tcBorders>
              <w:bottom w:val="single" w:color="auto" w:sz="12" w:space="0"/>
            </w:tcBorders>
            <w:shd w:val="clear" w:color="auto" w:fill="auto"/>
            <w:noWrap/>
            <w:tcMar>
              <w:top w:w="15" w:type="dxa"/>
              <w:left w:w="15" w:type="dxa"/>
              <w:right w:w="15" w:type="dxa"/>
            </w:tcMar>
            <w:vAlign w:val="center"/>
          </w:tcPr>
          <w:p w14:paraId="30343779">
            <w:pPr>
              <w:widowControl/>
              <w:spacing w:line="240" w:lineRule="auto"/>
              <w:jc w:val="center"/>
              <w:textAlignment w:val="center"/>
              <w:rPr>
                <w:b/>
                <w:sz w:val="21"/>
                <w:szCs w:val="21"/>
                <w:highlight w:val="none"/>
              </w:rPr>
            </w:pPr>
            <w:r>
              <w:rPr>
                <w:rFonts w:hint="eastAsia"/>
                <w:b/>
                <w:kern w:val="0"/>
                <w:sz w:val="21"/>
                <w:szCs w:val="21"/>
                <w:highlight w:val="none"/>
                <w:lang w:bidi="ar"/>
              </w:rPr>
              <w:t>HH</w:t>
            </w:r>
            <w:r>
              <w:rPr>
                <w:b/>
                <w:kern w:val="0"/>
                <w:sz w:val="21"/>
                <w:szCs w:val="21"/>
                <w:highlight w:val="none"/>
                <w:lang w:bidi="ar"/>
              </w:rPr>
              <w:t>-W1</w:t>
            </w:r>
          </w:p>
        </w:tc>
        <w:tc>
          <w:tcPr>
            <w:tcW w:w="570" w:type="pct"/>
            <w:tcBorders>
              <w:bottom w:val="single" w:color="auto" w:sz="12" w:space="0"/>
            </w:tcBorders>
            <w:shd w:val="clear" w:color="auto" w:fill="auto"/>
            <w:noWrap/>
            <w:tcMar>
              <w:top w:w="15" w:type="dxa"/>
              <w:left w:w="15" w:type="dxa"/>
              <w:right w:w="15" w:type="dxa"/>
            </w:tcMar>
            <w:vAlign w:val="center"/>
          </w:tcPr>
          <w:p w14:paraId="77406115">
            <w:pPr>
              <w:widowControl/>
              <w:spacing w:line="240" w:lineRule="auto"/>
              <w:jc w:val="center"/>
              <w:textAlignment w:val="center"/>
              <w:rPr>
                <w:b/>
                <w:kern w:val="0"/>
                <w:sz w:val="21"/>
                <w:szCs w:val="21"/>
                <w:highlight w:val="none"/>
                <w:lang w:bidi="ar"/>
              </w:rPr>
            </w:pPr>
            <w:r>
              <w:rPr>
                <w:b/>
                <w:kern w:val="0"/>
                <w:sz w:val="21"/>
                <w:szCs w:val="21"/>
                <w:highlight w:val="none"/>
                <w:lang w:bidi="ar"/>
              </w:rPr>
              <w:t>达标情况</w:t>
            </w:r>
          </w:p>
        </w:tc>
        <w:tc>
          <w:tcPr>
            <w:tcW w:w="499" w:type="pct"/>
            <w:tcBorders>
              <w:bottom w:val="single" w:color="auto" w:sz="12" w:space="0"/>
            </w:tcBorders>
            <w:shd w:val="clear" w:color="auto" w:fill="auto"/>
            <w:noWrap/>
            <w:tcMar>
              <w:top w:w="15" w:type="dxa"/>
              <w:left w:w="15" w:type="dxa"/>
              <w:right w:w="15" w:type="dxa"/>
            </w:tcMar>
            <w:vAlign w:val="center"/>
          </w:tcPr>
          <w:p w14:paraId="0A05E5C1">
            <w:pPr>
              <w:widowControl/>
              <w:spacing w:line="240" w:lineRule="auto"/>
              <w:jc w:val="center"/>
              <w:textAlignment w:val="center"/>
              <w:rPr>
                <w:b/>
                <w:sz w:val="21"/>
                <w:szCs w:val="21"/>
                <w:highlight w:val="none"/>
              </w:rPr>
            </w:pPr>
            <w:r>
              <w:rPr>
                <w:rFonts w:hint="eastAsia"/>
                <w:b/>
                <w:kern w:val="0"/>
                <w:sz w:val="21"/>
                <w:szCs w:val="21"/>
                <w:highlight w:val="none"/>
                <w:lang w:bidi="ar"/>
              </w:rPr>
              <w:t>HH</w:t>
            </w:r>
            <w:r>
              <w:rPr>
                <w:b/>
                <w:kern w:val="0"/>
                <w:sz w:val="21"/>
                <w:szCs w:val="21"/>
                <w:highlight w:val="none"/>
                <w:lang w:bidi="ar"/>
              </w:rPr>
              <w:t>-W2</w:t>
            </w:r>
          </w:p>
        </w:tc>
        <w:tc>
          <w:tcPr>
            <w:tcW w:w="570" w:type="pct"/>
            <w:tcBorders>
              <w:bottom w:val="single" w:color="auto" w:sz="12" w:space="0"/>
            </w:tcBorders>
            <w:shd w:val="clear" w:color="auto" w:fill="auto"/>
            <w:noWrap/>
            <w:tcMar>
              <w:top w:w="15" w:type="dxa"/>
              <w:left w:w="15" w:type="dxa"/>
              <w:right w:w="15" w:type="dxa"/>
            </w:tcMar>
            <w:vAlign w:val="center"/>
          </w:tcPr>
          <w:p w14:paraId="3B7491CA">
            <w:pPr>
              <w:widowControl/>
              <w:spacing w:line="240" w:lineRule="auto"/>
              <w:jc w:val="center"/>
              <w:textAlignment w:val="center"/>
              <w:rPr>
                <w:b/>
                <w:kern w:val="0"/>
                <w:sz w:val="21"/>
                <w:szCs w:val="21"/>
                <w:highlight w:val="none"/>
                <w:lang w:bidi="ar"/>
              </w:rPr>
            </w:pPr>
            <w:r>
              <w:rPr>
                <w:b/>
                <w:kern w:val="0"/>
                <w:sz w:val="21"/>
                <w:szCs w:val="21"/>
                <w:highlight w:val="none"/>
                <w:lang w:bidi="ar"/>
              </w:rPr>
              <w:t>达标情况</w:t>
            </w:r>
          </w:p>
        </w:tc>
      </w:tr>
      <w:tr w14:paraId="4C3B0B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op w:val="single" w:color="auto" w:sz="12" w:space="0"/>
              <w:tl2br w:val="nil"/>
              <w:tr2bl w:val="nil"/>
            </w:tcBorders>
            <w:shd w:val="clear" w:color="auto" w:fill="auto"/>
            <w:noWrap/>
            <w:tcMar>
              <w:top w:w="15" w:type="dxa"/>
              <w:left w:w="15" w:type="dxa"/>
              <w:right w:w="15" w:type="dxa"/>
            </w:tcMar>
            <w:vAlign w:val="center"/>
          </w:tcPr>
          <w:p w14:paraId="1F331B5C">
            <w:pPr>
              <w:widowControl/>
              <w:spacing w:line="240" w:lineRule="auto"/>
              <w:jc w:val="center"/>
              <w:textAlignment w:val="center"/>
              <w:rPr>
                <w:sz w:val="21"/>
                <w:szCs w:val="21"/>
                <w:highlight w:val="none"/>
              </w:rPr>
            </w:pPr>
            <w:r>
              <w:rPr>
                <w:kern w:val="0"/>
                <w:sz w:val="21"/>
                <w:szCs w:val="21"/>
                <w:highlight w:val="none"/>
                <w:lang w:bidi="ar"/>
              </w:rPr>
              <w:t>1</w:t>
            </w:r>
          </w:p>
        </w:tc>
        <w:tc>
          <w:tcPr>
            <w:tcW w:w="1531" w:type="pct"/>
            <w:tcBorders>
              <w:top w:val="single" w:color="auto" w:sz="12" w:space="0"/>
              <w:tl2br w:val="nil"/>
              <w:tr2bl w:val="nil"/>
            </w:tcBorders>
            <w:shd w:val="clear" w:color="auto" w:fill="auto"/>
            <w:noWrap/>
            <w:tcMar>
              <w:top w:w="15" w:type="dxa"/>
              <w:left w:w="15" w:type="dxa"/>
              <w:right w:w="15" w:type="dxa"/>
            </w:tcMar>
            <w:vAlign w:val="center"/>
          </w:tcPr>
          <w:p w14:paraId="080C2C23">
            <w:pPr>
              <w:widowControl/>
              <w:spacing w:line="240" w:lineRule="auto"/>
              <w:jc w:val="center"/>
              <w:textAlignment w:val="center"/>
              <w:rPr>
                <w:sz w:val="21"/>
                <w:szCs w:val="21"/>
                <w:highlight w:val="none"/>
              </w:rPr>
            </w:pPr>
            <w:r>
              <w:rPr>
                <w:kern w:val="0"/>
                <w:sz w:val="21"/>
                <w:szCs w:val="21"/>
                <w:highlight w:val="none"/>
                <w:lang w:bidi="ar"/>
              </w:rPr>
              <w:t>pH 值</w:t>
            </w:r>
            <w:r>
              <w:rPr>
                <w:rFonts w:hint="eastAsia"/>
                <w:kern w:val="0"/>
                <w:sz w:val="21"/>
                <w:szCs w:val="21"/>
                <w:highlight w:val="none"/>
                <w:lang w:bidi="ar"/>
              </w:rPr>
              <w:t>（无量纲）</w:t>
            </w:r>
          </w:p>
        </w:tc>
        <w:tc>
          <w:tcPr>
            <w:tcW w:w="1034" w:type="pct"/>
            <w:tcBorders>
              <w:top w:val="single" w:color="auto" w:sz="12" w:space="0"/>
              <w:tl2br w:val="nil"/>
              <w:tr2bl w:val="nil"/>
            </w:tcBorders>
            <w:shd w:val="clear" w:color="auto" w:fill="auto"/>
            <w:noWrap/>
            <w:tcMar>
              <w:top w:w="15" w:type="dxa"/>
              <w:left w:w="15" w:type="dxa"/>
              <w:right w:w="15" w:type="dxa"/>
            </w:tcMar>
            <w:vAlign w:val="center"/>
          </w:tcPr>
          <w:p w14:paraId="75E475D2">
            <w:pPr>
              <w:widowControl/>
              <w:spacing w:line="240" w:lineRule="auto"/>
              <w:jc w:val="center"/>
              <w:textAlignment w:val="center"/>
              <w:rPr>
                <w:sz w:val="21"/>
                <w:szCs w:val="21"/>
                <w:highlight w:val="none"/>
              </w:rPr>
            </w:pPr>
            <w:r>
              <w:rPr>
                <w:rFonts w:hint="eastAsia"/>
                <w:sz w:val="21"/>
                <w:szCs w:val="21"/>
                <w:highlight w:val="none"/>
              </w:rPr>
              <w:t>5</w:t>
            </w:r>
            <w:r>
              <w:rPr>
                <w:sz w:val="21"/>
                <w:szCs w:val="21"/>
                <w:highlight w:val="none"/>
              </w:rPr>
              <w:t>.5≤pH</w:t>
            </w:r>
            <w:r>
              <w:rPr>
                <w:rFonts w:hint="eastAsia"/>
                <w:sz w:val="21"/>
                <w:szCs w:val="21"/>
                <w:highlight w:val="none"/>
              </w:rPr>
              <w:t>＜6</w:t>
            </w:r>
            <w:r>
              <w:rPr>
                <w:sz w:val="21"/>
                <w:szCs w:val="21"/>
                <w:highlight w:val="none"/>
              </w:rPr>
              <w:t>.5</w:t>
            </w:r>
          </w:p>
          <w:p w14:paraId="3C150107">
            <w:pPr>
              <w:widowControl/>
              <w:spacing w:line="240" w:lineRule="auto"/>
              <w:jc w:val="center"/>
              <w:textAlignment w:val="center"/>
              <w:rPr>
                <w:highlight w:val="none"/>
              </w:rPr>
            </w:pPr>
            <w:r>
              <w:rPr>
                <w:rFonts w:hint="eastAsia"/>
                <w:sz w:val="21"/>
                <w:szCs w:val="21"/>
                <w:highlight w:val="none"/>
              </w:rPr>
              <w:t>8</w:t>
            </w:r>
            <w:r>
              <w:rPr>
                <w:sz w:val="21"/>
                <w:szCs w:val="21"/>
                <w:highlight w:val="none"/>
              </w:rPr>
              <w:t>.5</w:t>
            </w:r>
            <w:r>
              <w:rPr>
                <w:rFonts w:hint="eastAsia"/>
                <w:sz w:val="21"/>
                <w:szCs w:val="21"/>
                <w:highlight w:val="none"/>
              </w:rPr>
              <w:t>＜</w:t>
            </w:r>
            <w:r>
              <w:rPr>
                <w:sz w:val="21"/>
                <w:szCs w:val="21"/>
                <w:highlight w:val="none"/>
              </w:rPr>
              <w:t>pH≤</w:t>
            </w:r>
            <w:r>
              <w:rPr>
                <w:rFonts w:hint="eastAsia"/>
                <w:sz w:val="21"/>
                <w:szCs w:val="21"/>
                <w:highlight w:val="none"/>
              </w:rPr>
              <w:t>9.0</w:t>
            </w:r>
          </w:p>
        </w:tc>
        <w:tc>
          <w:tcPr>
            <w:tcW w:w="499" w:type="pct"/>
            <w:tcBorders>
              <w:top w:val="single" w:color="auto" w:sz="12" w:space="0"/>
              <w:tl2br w:val="nil"/>
              <w:tr2bl w:val="nil"/>
            </w:tcBorders>
            <w:shd w:val="clear" w:color="auto" w:fill="auto"/>
            <w:noWrap/>
            <w:tcMar>
              <w:top w:w="15" w:type="dxa"/>
              <w:left w:w="15" w:type="dxa"/>
              <w:right w:w="15" w:type="dxa"/>
            </w:tcMar>
            <w:vAlign w:val="center"/>
          </w:tcPr>
          <w:p w14:paraId="6E03EF19">
            <w:pPr>
              <w:widowControl/>
              <w:spacing w:line="240" w:lineRule="auto"/>
              <w:jc w:val="center"/>
              <w:textAlignment w:val="center"/>
              <w:rPr>
                <w:sz w:val="21"/>
                <w:szCs w:val="21"/>
                <w:highlight w:val="none"/>
              </w:rPr>
            </w:pPr>
            <w:r>
              <w:rPr>
                <w:kern w:val="0"/>
                <w:sz w:val="21"/>
                <w:szCs w:val="21"/>
                <w:highlight w:val="none"/>
                <w:lang w:bidi="ar"/>
              </w:rPr>
              <w:t>7.</w:t>
            </w:r>
            <w:r>
              <w:rPr>
                <w:rFonts w:hint="eastAsia"/>
                <w:kern w:val="0"/>
                <w:sz w:val="21"/>
                <w:szCs w:val="21"/>
                <w:highlight w:val="none"/>
                <w:lang w:bidi="ar"/>
              </w:rPr>
              <w:t>21</w:t>
            </w:r>
          </w:p>
        </w:tc>
        <w:tc>
          <w:tcPr>
            <w:tcW w:w="570" w:type="pct"/>
            <w:tcBorders>
              <w:top w:val="single" w:color="auto" w:sz="12" w:space="0"/>
              <w:tl2br w:val="nil"/>
              <w:tr2bl w:val="nil"/>
            </w:tcBorders>
            <w:shd w:val="clear" w:color="auto" w:fill="auto"/>
            <w:noWrap/>
            <w:tcMar>
              <w:top w:w="15" w:type="dxa"/>
              <w:left w:w="15" w:type="dxa"/>
              <w:right w:w="15" w:type="dxa"/>
            </w:tcMar>
            <w:vAlign w:val="center"/>
          </w:tcPr>
          <w:p w14:paraId="476D228D">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op w:val="single" w:color="auto" w:sz="12" w:space="0"/>
              <w:tl2br w:val="nil"/>
              <w:tr2bl w:val="nil"/>
            </w:tcBorders>
            <w:shd w:val="clear" w:color="auto" w:fill="auto"/>
            <w:noWrap/>
            <w:tcMar>
              <w:top w:w="15" w:type="dxa"/>
              <w:left w:w="15" w:type="dxa"/>
              <w:right w:w="15" w:type="dxa"/>
            </w:tcMar>
            <w:vAlign w:val="center"/>
          </w:tcPr>
          <w:p w14:paraId="0A576A7C">
            <w:pPr>
              <w:widowControl/>
              <w:spacing w:line="240" w:lineRule="auto"/>
              <w:jc w:val="center"/>
              <w:textAlignment w:val="center"/>
              <w:rPr>
                <w:sz w:val="21"/>
                <w:szCs w:val="21"/>
                <w:highlight w:val="none"/>
              </w:rPr>
            </w:pPr>
            <w:r>
              <w:rPr>
                <w:rFonts w:hint="eastAsia"/>
                <w:kern w:val="0"/>
                <w:sz w:val="21"/>
                <w:szCs w:val="21"/>
                <w:highlight w:val="none"/>
                <w:lang w:bidi="ar"/>
              </w:rPr>
              <w:t>6.79</w:t>
            </w:r>
          </w:p>
        </w:tc>
        <w:tc>
          <w:tcPr>
            <w:tcW w:w="570" w:type="pct"/>
            <w:tcBorders>
              <w:top w:val="single" w:color="auto" w:sz="12" w:space="0"/>
              <w:tl2br w:val="nil"/>
              <w:tr2bl w:val="nil"/>
            </w:tcBorders>
            <w:shd w:val="clear" w:color="auto" w:fill="auto"/>
            <w:noWrap/>
            <w:tcMar>
              <w:top w:w="15" w:type="dxa"/>
              <w:left w:w="15" w:type="dxa"/>
              <w:right w:w="15" w:type="dxa"/>
            </w:tcMar>
            <w:vAlign w:val="center"/>
          </w:tcPr>
          <w:p w14:paraId="13999FC9">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190B4E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5759D25D">
            <w:pPr>
              <w:widowControl/>
              <w:spacing w:line="240" w:lineRule="auto"/>
              <w:jc w:val="center"/>
              <w:textAlignment w:val="center"/>
              <w:rPr>
                <w:sz w:val="21"/>
                <w:szCs w:val="21"/>
                <w:highlight w:val="none"/>
              </w:rPr>
            </w:pPr>
            <w:r>
              <w:rPr>
                <w:kern w:val="0"/>
                <w:sz w:val="21"/>
                <w:szCs w:val="21"/>
                <w:highlight w:val="none"/>
                <w:lang w:bidi="ar"/>
              </w:rPr>
              <w:t>2</w:t>
            </w:r>
          </w:p>
        </w:tc>
        <w:tc>
          <w:tcPr>
            <w:tcW w:w="1531" w:type="pct"/>
            <w:tcBorders>
              <w:tl2br w:val="nil"/>
              <w:tr2bl w:val="nil"/>
            </w:tcBorders>
            <w:shd w:val="clear" w:color="auto" w:fill="auto"/>
            <w:noWrap/>
            <w:tcMar>
              <w:top w:w="15" w:type="dxa"/>
              <w:left w:w="15" w:type="dxa"/>
              <w:right w:w="15" w:type="dxa"/>
            </w:tcMar>
            <w:vAlign w:val="center"/>
          </w:tcPr>
          <w:p w14:paraId="584B9072">
            <w:pPr>
              <w:widowControl/>
              <w:spacing w:line="240" w:lineRule="auto"/>
              <w:jc w:val="center"/>
              <w:textAlignment w:val="center"/>
              <w:rPr>
                <w:sz w:val="21"/>
                <w:szCs w:val="21"/>
                <w:highlight w:val="none"/>
              </w:rPr>
            </w:pPr>
            <w:r>
              <w:rPr>
                <w:kern w:val="0"/>
                <w:sz w:val="21"/>
                <w:szCs w:val="21"/>
                <w:highlight w:val="none"/>
                <w:lang w:bidi="ar"/>
              </w:rPr>
              <w:t>总硬度</w:t>
            </w:r>
          </w:p>
        </w:tc>
        <w:tc>
          <w:tcPr>
            <w:tcW w:w="1034" w:type="pct"/>
            <w:tcBorders>
              <w:tl2br w:val="nil"/>
              <w:tr2bl w:val="nil"/>
            </w:tcBorders>
            <w:shd w:val="clear" w:color="auto" w:fill="auto"/>
            <w:noWrap/>
            <w:tcMar>
              <w:top w:w="15" w:type="dxa"/>
              <w:left w:w="15" w:type="dxa"/>
              <w:right w:w="15" w:type="dxa"/>
            </w:tcMar>
            <w:vAlign w:val="center"/>
          </w:tcPr>
          <w:p w14:paraId="6D8308AB">
            <w:pPr>
              <w:widowControl/>
              <w:spacing w:line="240" w:lineRule="auto"/>
              <w:jc w:val="center"/>
              <w:textAlignment w:val="center"/>
              <w:rPr>
                <w:kern w:val="0"/>
                <w:sz w:val="21"/>
                <w:szCs w:val="21"/>
                <w:highlight w:val="none"/>
                <w:lang w:bidi="ar"/>
              </w:rPr>
            </w:pPr>
            <w:r>
              <w:rPr>
                <w:kern w:val="0"/>
                <w:sz w:val="21"/>
                <w:szCs w:val="21"/>
                <w:highlight w:val="none"/>
                <w:lang w:bidi="ar"/>
              </w:rPr>
              <w:t>≤</w:t>
            </w:r>
            <w:r>
              <w:rPr>
                <w:rFonts w:hint="eastAsia"/>
                <w:kern w:val="0"/>
                <w:sz w:val="21"/>
                <w:szCs w:val="21"/>
                <w:highlight w:val="none"/>
                <w:lang w:bidi="ar"/>
              </w:rPr>
              <w:t>650</w:t>
            </w:r>
          </w:p>
        </w:tc>
        <w:tc>
          <w:tcPr>
            <w:tcW w:w="499" w:type="pct"/>
            <w:tcBorders>
              <w:tl2br w:val="nil"/>
              <w:tr2bl w:val="nil"/>
            </w:tcBorders>
            <w:shd w:val="clear" w:color="auto" w:fill="BEBEBE" w:themeFill="background1" w:themeFillShade="BF"/>
            <w:noWrap/>
            <w:tcMar>
              <w:top w:w="15" w:type="dxa"/>
              <w:left w:w="15" w:type="dxa"/>
              <w:right w:w="15" w:type="dxa"/>
            </w:tcMar>
            <w:vAlign w:val="center"/>
          </w:tcPr>
          <w:p w14:paraId="12AD87F3">
            <w:pPr>
              <w:widowControl/>
              <w:spacing w:line="240" w:lineRule="auto"/>
              <w:jc w:val="center"/>
              <w:textAlignment w:val="center"/>
              <w:rPr>
                <w:b/>
                <w:bCs/>
                <w:sz w:val="21"/>
                <w:szCs w:val="21"/>
                <w:highlight w:val="none"/>
              </w:rPr>
            </w:pPr>
            <w:r>
              <w:rPr>
                <w:rFonts w:hint="eastAsia"/>
                <w:b/>
                <w:bCs/>
                <w:kern w:val="0"/>
                <w:sz w:val="21"/>
                <w:szCs w:val="21"/>
                <w:highlight w:val="none"/>
                <w:lang w:bidi="ar"/>
              </w:rPr>
              <w:t>1440</w:t>
            </w:r>
          </w:p>
        </w:tc>
        <w:tc>
          <w:tcPr>
            <w:tcW w:w="570" w:type="pct"/>
            <w:tcBorders>
              <w:tl2br w:val="nil"/>
              <w:tr2bl w:val="nil"/>
            </w:tcBorders>
            <w:shd w:val="clear" w:color="auto" w:fill="auto"/>
            <w:noWrap/>
            <w:tcMar>
              <w:top w:w="15" w:type="dxa"/>
              <w:left w:w="15" w:type="dxa"/>
              <w:right w:w="15" w:type="dxa"/>
            </w:tcMar>
            <w:vAlign w:val="center"/>
          </w:tcPr>
          <w:p w14:paraId="6F153049">
            <w:pPr>
              <w:widowControl/>
              <w:spacing w:line="240" w:lineRule="auto"/>
              <w:jc w:val="center"/>
              <w:textAlignment w:val="center"/>
              <w:rPr>
                <w:rFonts w:hint="eastAsia" w:eastAsia="宋体"/>
                <w:b/>
                <w:bCs/>
                <w:kern w:val="0"/>
                <w:sz w:val="21"/>
                <w:szCs w:val="21"/>
                <w:highlight w:val="none"/>
                <w:lang w:eastAsia="zh-CN" w:bidi="ar"/>
              </w:rPr>
            </w:pPr>
            <w:r>
              <w:rPr>
                <w:rFonts w:hint="eastAsia"/>
                <w:b/>
                <w:bCs/>
                <w:color w:val="000000"/>
                <w:kern w:val="0"/>
                <w:sz w:val="21"/>
                <w:szCs w:val="21"/>
                <w:highlight w:val="none"/>
                <w:lang w:val="en-US" w:eastAsia="zh-CN" w:bidi="ar"/>
              </w:rPr>
              <w:t>超标</w:t>
            </w:r>
          </w:p>
        </w:tc>
        <w:tc>
          <w:tcPr>
            <w:tcW w:w="499" w:type="pct"/>
            <w:tcBorders>
              <w:tl2br w:val="nil"/>
              <w:tr2bl w:val="nil"/>
            </w:tcBorders>
            <w:shd w:val="clear" w:color="auto" w:fill="auto"/>
            <w:noWrap/>
            <w:tcMar>
              <w:top w:w="15" w:type="dxa"/>
              <w:left w:w="15" w:type="dxa"/>
              <w:right w:w="15" w:type="dxa"/>
            </w:tcMar>
            <w:vAlign w:val="center"/>
          </w:tcPr>
          <w:p w14:paraId="05187E8C">
            <w:pPr>
              <w:widowControl/>
              <w:spacing w:line="240" w:lineRule="auto"/>
              <w:jc w:val="center"/>
              <w:textAlignment w:val="center"/>
              <w:rPr>
                <w:sz w:val="21"/>
                <w:szCs w:val="21"/>
                <w:highlight w:val="none"/>
              </w:rPr>
            </w:pPr>
            <w:r>
              <w:rPr>
                <w:rFonts w:hint="eastAsia"/>
                <w:kern w:val="0"/>
                <w:sz w:val="21"/>
                <w:szCs w:val="21"/>
                <w:highlight w:val="none"/>
                <w:lang w:bidi="ar"/>
              </w:rPr>
              <w:t>360</w:t>
            </w:r>
          </w:p>
        </w:tc>
        <w:tc>
          <w:tcPr>
            <w:tcW w:w="570" w:type="pct"/>
            <w:tcBorders>
              <w:tl2br w:val="nil"/>
              <w:tr2bl w:val="nil"/>
            </w:tcBorders>
            <w:shd w:val="clear" w:color="auto" w:fill="auto"/>
            <w:noWrap/>
            <w:tcMar>
              <w:top w:w="15" w:type="dxa"/>
              <w:left w:w="15" w:type="dxa"/>
              <w:right w:w="15" w:type="dxa"/>
            </w:tcMar>
            <w:vAlign w:val="center"/>
          </w:tcPr>
          <w:p w14:paraId="0ECF5189">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3CC3E5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4B7B2B48">
            <w:pPr>
              <w:widowControl/>
              <w:spacing w:line="240" w:lineRule="auto"/>
              <w:jc w:val="center"/>
              <w:textAlignment w:val="center"/>
              <w:rPr>
                <w:sz w:val="21"/>
                <w:szCs w:val="21"/>
                <w:highlight w:val="none"/>
              </w:rPr>
            </w:pPr>
            <w:r>
              <w:rPr>
                <w:kern w:val="0"/>
                <w:sz w:val="21"/>
                <w:szCs w:val="21"/>
                <w:highlight w:val="none"/>
                <w:lang w:bidi="ar"/>
              </w:rPr>
              <w:t>3</w:t>
            </w:r>
          </w:p>
        </w:tc>
        <w:tc>
          <w:tcPr>
            <w:tcW w:w="1531" w:type="pct"/>
            <w:tcBorders>
              <w:tl2br w:val="nil"/>
              <w:tr2bl w:val="nil"/>
            </w:tcBorders>
            <w:shd w:val="clear" w:color="auto" w:fill="auto"/>
            <w:noWrap/>
            <w:tcMar>
              <w:top w:w="15" w:type="dxa"/>
              <w:left w:w="15" w:type="dxa"/>
              <w:right w:w="15" w:type="dxa"/>
            </w:tcMar>
            <w:vAlign w:val="center"/>
          </w:tcPr>
          <w:p w14:paraId="56CD6C0D">
            <w:pPr>
              <w:widowControl/>
              <w:spacing w:line="240" w:lineRule="auto"/>
              <w:jc w:val="center"/>
              <w:textAlignment w:val="center"/>
              <w:rPr>
                <w:sz w:val="21"/>
                <w:szCs w:val="21"/>
                <w:highlight w:val="none"/>
              </w:rPr>
            </w:pPr>
            <w:r>
              <w:rPr>
                <w:kern w:val="0"/>
                <w:sz w:val="21"/>
                <w:szCs w:val="21"/>
                <w:highlight w:val="none"/>
                <w:lang w:bidi="ar"/>
              </w:rPr>
              <w:t>溶解性总固体</w:t>
            </w:r>
          </w:p>
        </w:tc>
        <w:tc>
          <w:tcPr>
            <w:tcW w:w="1034" w:type="pct"/>
            <w:tcBorders>
              <w:tl2br w:val="nil"/>
              <w:tr2bl w:val="nil"/>
            </w:tcBorders>
            <w:shd w:val="clear" w:color="auto" w:fill="auto"/>
            <w:noWrap/>
            <w:tcMar>
              <w:top w:w="15" w:type="dxa"/>
              <w:left w:w="15" w:type="dxa"/>
              <w:right w:w="15" w:type="dxa"/>
            </w:tcMar>
            <w:vAlign w:val="center"/>
          </w:tcPr>
          <w:p w14:paraId="7079DF64">
            <w:pPr>
              <w:widowControl/>
              <w:spacing w:line="240" w:lineRule="auto"/>
              <w:jc w:val="center"/>
              <w:textAlignment w:val="top"/>
              <w:rPr>
                <w:kern w:val="0"/>
                <w:sz w:val="21"/>
                <w:szCs w:val="21"/>
                <w:highlight w:val="none"/>
                <w:lang w:bidi="ar"/>
              </w:rPr>
            </w:pPr>
            <w:r>
              <w:rPr>
                <w:kern w:val="0"/>
                <w:sz w:val="21"/>
                <w:szCs w:val="21"/>
                <w:highlight w:val="none"/>
                <w:lang w:bidi="ar"/>
              </w:rPr>
              <w:t>≤</w:t>
            </w:r>
            <w:r>
              <w:rPr>
                <w:rFonts w:hint="eastAsia"/>
                <w:kern w:val="0"/>
                <w:sz w:val="21"/>
                <w:szCs w:val="21"/>
                <w:highlight w:val="none"/>
                <w:lang w:bidi="ar"/>
              </w:rPr>
              <w:t>2</w:t>
            </w:r>
            <w:r>
              <w:rPr>
                <w:kern w:val="0"/>
                <w:sz w:val="21"/>
                <w:szCs w:val="21"/>
                <w:highlight w:val="none"/>
                <w:lang w:bidi="ar"/>
              </w:rPr>
              <w:t>000</w:t>
            </w:r>
          </w:p>
        </w:tc>
        <w:tc>
          <w:tcPr>
            <w:tcW w:w="499" w:type="pct"/>
            <w:tcBorders>
              <w:tl2br w:val="nil"/>
              <w:tr2bl w:val="nil"/>
            </w:tcBorders>
            <w:shd w:val="clear" w:color="auto" w:fill="auto"/>
            <w:noWrap/>
            <w:tcMar>
              <w:top w:w="15" w:type="dxa"/>
              <w:left w:w="15" w:type="dxa"/>
              <w:right w:w="15" w:type="dxa"/>
            </w:tcMar>
            <w:vAlign w:val="center"/>
          </w:tcPr>
          <w:p w14:paraId="6509EB0A">
            <w:pPr>
              <w:widowControl/>
              <w:spacing w:line="240" w:lineRule="auto"/>
              <w:jc w:val="center"/>
              <w:textAlignment w:val="center"/>
              <w:rPr>
                <w:sz w:val="21"/>
                <w:szCs w:val="21"/>
                <w:highlight w:val="none"/>
              </w:rPr>
            </w:pPr>
            <w:r>
              <w:rPr>
                <w:rFonts w:hint="eastAsia"/>
                <w:kern w:val="0"/>
                <w:sz w:val="21"/>
                <w:szCs w:val="21"/>
                <w:highlight w:val="none"/>
                <w:lang w:bidi="ar"/>
              </w:rPr>
              <w:t>1480</w:t>
            </w:r>
          </w:p>
        </w:tc>
        <w:tc>
          <w:tcPr>
            <w:tcW w:w="570" w:type="pct"/>
            <w:tcBorders>
              <w:tl2br w:val="nil"/>
              <w:tr2bl w:val="nil"/>
            </w:tcBorders>
            <w:shd w:val="clear" w:color="auto" w:fill="auto"/>
            <w:noWrap/>
            <w:tcMar>
              <w:top w:w="15" w:type="dxa"/>
              <w:left w:w="15" w:type="dxa"/>
              <w:right w:w="15" w:type="dxa"/>
            </w:tcMar>
            <w:vAlign w:val="center"/>
          </w:tcPr>
          <w:p w14:paraId="19128AB1">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009EAA2F">
            <w:pPr>
              <w:widowControl/>
              <w:spacing w:line="240" w:lineRule="auto"/>
              <w:jc w:val="center"/>
              <w:textAlignment w:val="center"/>
              <w:rPr>
                <w:sz w:val="21"/>
                <w:szCs w:val="21"/>
                <w:highlight w:val="none"/>
              </w:rPr>
            </w:pPr>
            <w:r>
              <w:rPr>
                <w:rFonts w:hint="eastAsia"/>
                <w:kern w:val="0"/>
                <w:sz w:val="21"/>
                <w:szCs w:val="21"/>
                <w:highlight w:val="none"/>
                <w:lang w:bidi="ar"/>
              </w:rPr>
              <w:t>466</w:t>
            </w:r>
          </w:p>
        </w:tc>
        <w:tc>
          <w:tcPr>
            <w:tcW w:w="570" w:type="pct"/>
            <w:tcBorders>
              <w:tl2br w:val="nil"/>
              <w:tr2bl w:val="nil"/>
            </w:tcBorders>
            <w:shd w:val="clear" w:color="auto" w:fill="auto"/>
            <w:noWrap/>
            <w:tcMar>
              <w:top w:w="15" w:type="dxa"/>
              <w:left w:w="15" w:type="dxa"/>
              <w:right w:w="15" w:type="dxa"/>
            </w:tcMar>
            <w:vAlign w:val="center"/>
          </w:tcPr>
          <w:p w14:paraId="2CB9F092">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6BACFB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63201B98">
            <w:pPr>
              <w:widowControl/>
              <w:spacing w:line="240" w:lineRule="auto"/>
              <w:jc w:val="center"/>
              <w:textAlignment w:val="center"/>
              <w:rPr>
                <w:sz w:val="21"/>
                <w:szCs w:val="21"/>
                <w:highlight w:val="none"/>
              </w:rPr>
            </w:pPr>
            <w:r>
              <w:rPr>
                <w:kern w:val="0"/>
                <w:sz w:val="21"/>
                <w:szCs w:val="21"/>
                <w:highlight w:val="none"/>
                <w:lang w:bidi="ar"/>
              </w:rPr>
              <w:t>4</w:t>
            </w:r>
          </w:p>
        </w:tc>
        <w:tc>
          <w:tcPr>
            <w:tcW w:w="1531" w:type="pct"/>
            <w:tcBorders>
              <w:tl2br w:val="nil"/>
              <w:tr2bl w:val="nil"/>
            </w:tcBorders>
            <w:shd w:val="clear" w:color="auto" w:fill="auto"/>
            <w:noWrap/>
            <w:tcMar>
              <w:top w:w="15" w:type="dxa"/>
              <w:left w:w="15" w:type="dxa"/>
              <w:right w:w="15" w:type="dxa"/>
            </w:tcMar>
            <w:vAlign w:val="center"/>
          </w:tcPr>
          <w:p w14:paraId="11BA082F">
            <w:pPr>
              <w:widowControl/>
              <w:spacing w:line="240" w:lineRule="auto"/>
              <w:jc w:val="center"/>
              <w:textAlignment w:val="center"/>
              <w:rPr>
                <w:sz w:val="21"/>
                <w:szCs w:val="21"/>
                <w:highlight w:val="none"/>
              </w:rPr>
            </w:pPr>
            <w:r>
              <w:rPr>
                <w:kern w:val="0"/>
                <w:sz w:val="21"/>
                <w:szCs w:val="21"/>
                <w:highlight w:val="none"/>
                <w:lang w:bidi="ar"/>
              </w:rPr>
              <w:t>耗氧量</w:t>
            </w:r>
            <w:r>
              <w:rPr>
                <w:rFonts w:hint="eastAsia"/>
                <w:kern w:val="0"/>
                <w:sz w:val="21"/>
                <w:szCs w:val="21"/>
                <w:highlight w:val="none"/>
                <w:lang w:bidi="ar"/>
              </w:rPr>
              <w:t>（高锰酸盐指数）</w:t>
            </w:r>
          </w:p>
        </w:tc>
        <w:tc>
          <w:tcPr>
            <w:tcW w:w="1034" w:type="pct"/>
            <w:tcBorders>
              <w:tl2br w:val="nil"/>
              <w:tr2bl w:val="nil"/>
            </w:tcBorders>
            <w:shd w:val="clear" w:color="auto" w:fill="auto"/>
            <w:noWrap/>
            <w:tcMar>
              <w:top w:w="15" w:type="dxa"/>
              <w:left w:w="15" w:type="dxa"/>
              <w:right w:w="15" w:type="dxa"/>
            </w:tcMar>
            <w:vAlign w:val="center"/>
          </w:tcPr>
          <w:p w14:paraId="30C09AA3">
            <w:pPr>
              <w:widowControl/>
              <w:spacing w:line="240" w:lineRule="auto"/>
              <w:jc w:val="center"/>
              <w:textAlignment w:val="top"/>
              <w:rPr>
                <w:kern w:val="0"/>
                <w:sz w:val="21"/>
                <w:szCs w:val="21"/>
                <w:highlight w:val="none"/>
                <w:lang w:bidi="ar"/>
              </w:rPr>
            </w:pPr>
            <w:r>
              <w:rPr>
                <w:kern w:val="0"/>
                <w:sz w:val="21"/>
                <w:szCs w:val="21"/>
                <w:highlight w:val="none"/>
                <w:lang w:bidi="ar"/>
              </w:rPr>
              <w:t>≤</w:t>
            </w:r>
            <w:r>
              <w:rPr>
                <w:rFonts w:hint="eastAsia"/>
                <w:kern w:val="0"/>
                <w:sz w:val="21"/>
                <w:szCs w:val="21"/>
                <w:highlight w:val="none"/>
                <w:lang w:bidi="ar"/>
              </w:rPr>
              <w:t>10</w:t>
            </w:r>
          </w:p>
        </w:tc>
        <w:tc>
          <w:tcPr>
            <w:tcW w:w="499" w:type="pct"/>
            <w:tcBorders>
              <w:tl2br w:val="nil"/>
              <w:tr2bl w:val="nil"/>
            </w:tcBorders>
            <w:shd w:val="clear" w:color="auto" w:fill="auto"/>
            <w:noWrap/>
            <w:tcMar>
              <w:top w:w="15" w:type="dxa"/>
              <w:left w:w="15" w:type="dxa"/>
              <w:right w:w="15" w:type="dxa"/>
            </w:tcMar>
            <w:vAlign w:val="center"/>
          </w:tcPr>
          <w:p w14:paraId="24D451F8">
            <w:pPr>
              <w:widowControl/>
              <w:spacing w:line="240" w:lineRule="auto"/>
              <w:jc w:val="center"/>
              <w:textAlignment w:val="center"/>
              <w:rPr>
                <w:sz w:val="21"/>
                <w:szCs w:val="21"/>
                <w:highlight w:val="none"/>
              </w:rPr>
            </w:pPr>
            <w:r>
              <w:rPr>
                <w:rFonts w:hint="eastAsia"/>
                <w:sz w:val="21"/>
                <w:szCs w:val="21"/>
                <w:highlight w:val="none"/>
              </w:rPr>
              <w:t>6.13</w:t>
            </w:r>
          </w:p>
        </w:tc>
        <w:tc>
          <w:tcPr>
            <w:tcW w:w="570" w:type="pct"/>
            <w:tcBorders>
              <w:tl2br w:val="nil"/>
              <w:tr2bl w:val="nil"/>
            </w:tcBorders>
            <w:shd w:val="clear" w:color="auto" w:fill="auto"/>
            <w:noWrap/>
            <w:tcMar>
              <w:top w:w="15" w:type="dxa"/>
              <w:left w:w="15" w:type="dxa"/>
              <w:right w:w="15" w:type="dxa"/>
            </w:tcMar>
            <w:vAlign w:val="center"/>
          </w:tcPr>
          <w:p w14:paraId="2078C089">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172098D2">
            <w:pPr>
              <w:widowControl/>
              <w:spacing w:line="240" w:lineRule="auto"/>
              <w:jc w:val="center"/>
              <w:textAlignment w:val="center"/>
              <w:rPr>
                <w:sz w:val="21"/>
                <w:szCs w:val="21"/>
                <w:highlight w:val="none"/>
              </w:rPr>
            </w:pPr>
            <w:r>
              <w:rPr>
                <w:rFonts w:hint="eastAsia"/>
                <w:sz w:val="21"/>
                <w:szCs w:val="21"/>
                <w:highlight w:val="none"/>
              </w:rPr>
              <w:t>2.32</w:t>
            </w:r>
          </w:p>
        </w:tc>
        <w:tc>
          <w:tcPr>
            <w:tcW w:w="570" w:type="pct"/>
            <w:tcBorders>
              <w:tl2br w:val="nil"/>
              <w:tr2bl w:val="nil"/>
            </w:tcBorders>
            <w:shd w:val="clear" w:color="auto" w:fill="auto"/>
            <w:noWrap/>
            <w:tcMar>
              <w:top w:w="15" w:type="dxa"/>
              <w:left w:w="15" w:type="dxa"/>
              <w:right w:w="15" w:type="dxa"/>
            </w:tcMar>
            <w:vAlign w:val="center"/>
          </w:tcPr>
          <w:p w14:paraId="7B048934">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6D5CC1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716245DA">
            <w:pPr>
              <w:widowControl/>
              <w:spacing w:line="240" w:lineRule="auto"/>
              <w:jc w:val="center"/>
              <w:textAlignment w:val="center"/>
              <w:rPr>
                <w:sz w:val="21"/>
                <w:szCs w:val="21"/>
                <w:highlight w:val="none"/>
              </w:rPr>
            </w:pPr>
            <w:r>
              <w:rPr>
                <w:kern w:val="0"/>
                <w:sz w:val="21"/>
                <w:szCs w:val="21"/>
                <w:highlight w:val="none"/>
                <w:lang w:bidi="ar"/>
              </w:rPr>
              <w:t>5</w:t>
            </w:r>
          </w:p>
        </w:tc>
        <w:tc>
          <w:tcPr>
            <w:tcW w:w="1531" w:type="pct"/>
            <w:tcBorders>
              <w:tl2br w:val="nil"/>
              <w:tr2bl w:val="nil"/>
            </w:tcBorders>
            <w:shd w:val="clear" w:color="auto" w:fill="auto"/>
            <w:noWrap/>
            <w:tcMar>
              <w:top w:w="15" w:type="dxa"/>
              <w:left w:w="15" w:type="dxa"/>
              <w:right w:w="15" w:type="dxa"/>
            </w:tcMar>
            <w:vAlign w:val="center"/>
          </w:tcPr>
          <w:p w14:paraId="57A541CB">
            <w:pPr>
              <w:widowControl/>
              <w:spacing w:line="240" w:lineRule="auto"/>
              <w:jc w:val="center"/>
              <w:textAlignment w:val="center"/>
              <w:rPr>
                <w:sz w:val="21"/>
                <w:szCs w:val="21"/>
                <w:highlight w:val="none"/>
              </w:rPr>
            </w:pPr>
            <w:r>
              <w:rPr>
                <w:kern w:val="0"/>
                <w:sz w:val="21"/>
                <w:szCs w:val="21"/>
                <w:highlight w:val="none"/>
                <w:lang w:bidi="ar"/>
              </w:rPr>
              <w:t>硫酸盐</w:t>
            </w:r>
          </w:p>
        </w:tc>
        <w:tc>
          <w:tcPr>
            <w:tcW w:w="1034" w:type="pct"/>
            <w:tcBorders>
              <w:tl2br w:val="nil"/>
              <w:tr2bl w:val="nil"/>
            </w:tcBorders>
            <w:shd w:val="clear" w:color="auto" w:fill="auto"/>
            <w:noWrap/>
            <w:tcMar>
              <w:top w:w="15" w:type="dxa"/>
              <w:left w:w="15" w:type="dxa"/>
              <w:right w:w="15" w:type="dxa"/>
            </w:tcMar>
            <w:vAlign w:val="center"/>
          </w:tcPr>
          <w:p w14:paraId="45B3864D">
            <w:pPr>
              <w:widowControl/>
              <w:spacing w:line="240" w:lineRule="auto"/>
              <w:jc w:val="center"/>
              <w:textAlignment w:val="top"/>
              <w:rPr>
                <w:kern w:val="0"/>
                <w:sz w:val="21"/>
                <w:szCs w:val="21"/>
                <w:highlight w:val="none"/>
                <w:lang w:bidi="ar"/>
              </w:rPr>
            </w:pPr>
            <w:r>
              <w:rPr>
                <w:kern w:val="0"/>
                <w:sz w:val="21"/>
                <w:szCs w:val="21"/>
                <w:highlight w:val="none"/>
                <w:lang w:bidi="ar"/>
              </w:rPr>
              <w:t>≤</w:t>
            </w:r>
            <w:r>
              <w:rPr>
                <w:rFonts w:hint="eastAsia"/>
                <w:kern w:val="0"/>
                <w:sz w:val="21"/>
                <w:szCs w:val="21"/>
                <w:highlight w:val="none"/>
                <w:lang w:bidi="ar"/>
              </w:rPr>
              <w:t>3</w:t>
            </w:r>
            <w:r>
              <w:rPr>
                <w:kern w:val="0"/>
                <w:sz w:val="21"/>
                <w:szCs w:val="21"/>
                <w:highlight w:val="none"/>
                <w:lang w:bidi="ar"/>
              </w:rPr>
              <w:t>50</w:t>
            </w:r>
          </w:p>
        </w:tc>
        <w:tc>
          <w:tcPr>
            <w:tcW w:w="499" w:type="pct"/>
            <w:tcBorders>
              <w:tl2br w:val="nil"/>
              <w:tr2bl w:val="nil"/>
            </w:tcBorders>
            <w:shd w:val="clear" w:color="auto" w:fill="BEBEBE" w:themeFill="background1" w:themeFillShade="BF"/>
            <w:noWrap/>
            <w:tcMar>
              <w:top w:w="15" w:type="dxa"/>
              <w:left w:w="15" w:type="dxa"/>
              <w:right w:w="15" w:type="dxa"/>
            </w:tcMar>
            <w:vAlign w:val="center"/>
          </w:tcPr>
          <w:p w14:paraId="5121D799">
            <w:pPr>
              <w:widowControl/>
              <w:spacing w:line="240" w:lineRule="auto"/>
              <w:jc w:val="center"/>
              <w:textAlignment w:val="center"/>
              <w:rPr>
                <w:b/>
                <w:bCs/>
                <w:sz w:val="21"/>
                <w:szCs w:val="21"/>
                <w:highlight w:val="none"/>
              </w:rPr>
            </w:pPr>
            <w:r>
              <w:rPr>
                <w:rFonts w:hint="eastAsia"/>
                <w:b/>
                <w:bCs/>
                <w:sz w:val="21"/>
                <w:szCs w:val="21"/>
                <w:highlight w:val="none"/>
              </w:rPr>
              <w:t>1080</w:t>
            </w:r>
          </w:p>
        </w:tc>
        <w:tc>
          <w:tcPr>
            <w:tcW w:w="570" w:type="pct"/>
            <w:tcBorders>
              <w:tl2br w:val="nil"/>
              <w:tr2bl w:val="nil"/>
            </w:tcBorders>
            <w:shd w:val="clear" w:color="auto" w:fill="auto"/>
            <w:noWrap/>
            <w:tcMar>
              <w:top w:w="15" w:type="dxa"/>
              <w:left w:w="15" w:type="dxa"/>
              <w:right w:w="15" w:type="dxa"/>
            </w:tcMar>
            <w:vAlign w:val="center"/>
          </w:tcPr>
          <w:p w14:paraId="4D7F3C8B">
            <w:pPr>
              <w:widowControl/>
              <w:spacing w:line="240" w:lineRule="auto"/>
              <w:jc w:val="center"/>
              <w:textAlignment w:val="center"/>
              <w:rPr>
                <w:b/>
                <w:bCs/>
                <w:kern w:val="0"/>
                <w:sz w:val="21"/>
                <w:szCs w:val="21"/>
                <w:highlight w:val="none"/>
                <w:lang w:bidi="ar"/>
              </w:rPr>
            </w:pPr>
            <w:r>
              <w:rPr>
                <w:rFonts w:hint="eastAsia"/>
                <w:b/>
                <w:bCs/>
                <w:color w:val="000000"/>
                <w:kern w:val="0"/>
                <w:sz w:val="21"/>
                <w:szCs w:val="21"/>
                <w:highlight w:val="none"/>
                <w:lang w:val="en-US" w:eastAsia="zh-CN" w:bidi="ar"/>
              </w:rPr>
              <w:t>超标</w:t>
            </w:r>
          </w:p>
        </w:tc>
        <w:tc>
          <w:tcPr>
            <w:tcW w:w="499" w:type="pct"/>
            <w:tcBorders>
              <w:tl2br w:val="nil"/>
              <w:tr2bl w:val="nil"/>
            </w:tcBorders>
            <w:shd w:val="clear" w:color="auto" w:fill="auto"/>
            <w:noWrap/>
            <w:tcMar>
              <w:top w:w="15" w:type="dxa"/>
              <w:left w:w="15" w:type="dxa"/>
              <w:right w:w="15" w:type="dxa"/>
            </w:tcMar>
            <w:vAlign w:val="center"/>
          </w:tcPr>
          <w:p w14:paraId="3E5A2DF3">
            <w:pPr>
              <w:widowControl/>
              <w:spacing w:line="240" w:lineRule="auto"/>
              <w:jc w:val="center"/>
              <w:textAlignment w:val="center"/>
              <w:rPr>
                <w:sz w:val="21"/>
                <w:szCs w:val="21"/>
                <w:highlight w:val="none"/>
              </w:rPr>
            </w:pPr>
            <w:r>
              <w:rPr>
                <w:rFonts w:hint="eastAsia"/>
                <w:sz w:val="21"/>
                <w:szCs w:val="21"/>
                <w:highlight w:val="none"/>
              </w:rPr>
              <w:t>112</w:t>
            </w:r>
          </w:p>
        </w:tc>
        <w:tc>
          <w:tcPr>
            <w:tcW w:w="570" w:type="pct"/>
            <w:tcBorders>
              <w:tl2br w:val="nil"/>
              <w:tr2bl w:val="nil"/>
            </w:tcBorders>
            <w:shd w:val="clear" w:color="auto" w:fill="auto"/>
            <w:noWrap/>
            <w:tcMar>
              <w:top w:w="15" w:type="dxa"/>
              <w:left w:w="15" w:type="dxa"/>
              <w:right w:w="15" w:type="dxa"/>
            </w:tcMar>
            <w:vAlign w:val="center"/>
          </w:tcPr>
          <w:p w14:paraId="346A1053">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0B5519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778675D7">
            <w:pPr>
              <w:widowControl/>
              <w:spacing w:line="240" w:lineRule="auto"/>
              <w:jc w:val="center"/>
              <w:textAlignment w:val="center"/>
              <w:rPr>
                <w:sz w:val="21"/>
                <w:szCs w:val="21"/>
                <w:highlight w:val="none"/>
              </w:rPr>
            </w:pPr>
            <w:r>
              <w:rPr>
                <w:kern w:val="0"/>
                <w:sz w:val="21"/>
                <w:szCs w:val="21"/>
                <w:highlight w:val="none"/>
                <w:lang w:bidi="ar"/>
              </w:rPr>
              <w:t>6</w:t>
            </w:r>
          </w:p>
        </w:tc>
        <w:tc>
          <w:tcPr>
            <w:tcW w:w="1531" w:type="pct"/>
            <w:tcBorders>
              <w:tl2br w:val="nil"/>
              <w:tr2bl w:val="nil"/>
            </w:tcBorders>
            <w:shd w:val="clear" w:color="auto" w:fill="auto"/>
            <w:noWrap/>
            <w:tcMar>
              <w:top w:w="15" w:type="dxa"/>
              <w:left w:w="15" w:type="dxa"/>
              <w:right w:w="15" w:type="dxa"/>
            </w:tcMar>
            <w:vAlign w:val="center"/>
          </w:tcPr>
          <w:p w14:paraId="2CC710DB">
            <w:pPr>
              <w:widowControl/>
              <w:spacing w:line="240" w:lineRule="auto"/>
              <w:jc w:val="center"/>
              <w:textAlignment w:val="center"/>
              <w:rPr>
                <w:sz w:val="21"/>
                <w:szCs w:val="21"/>
                <w:highlight w:val="none"/>
              </w:rPr>
            </w:pPr>
            <w:r>
              <w:rPr>
                <w:kern w:val="0"/>
                <w:sz w:val="21"/>
                <w:szCs w:val="21"/>
                <w:highlight w:val="none"/>
                <w:lang w:bidi="ar"/>
              </w:rPr>
              <w:t>硝酸盐(以氮计)</w:t>
            </w:r>
          </w:p>
        </w:tc>
        <w:tc>
          <w:tcPr>
            <w:tcW w:w="1034" w:type="pct"/>
            <w:tcBorders>
              <w:tl2br w:val="nil"/>
              <w:tr2bl w:val="nil"/>
            </w:tcBorders>
            <w:shd w:val="clear" w:color="auto" w:fill="auto"/>
            <w:noWrap/>
            <w:tcMar>
              <w:top w:w="15" w:type="dxa"/>
              <w:left w:w="15" w:type="dxa"/>
              <w:right w:w="15" w:type="dxa"/>
            </w:tcMar>
            <w:vAlign w:val="center"/>
          </w:tcPr>
          <w:p w14:paraId="30B4CDBA">
            <w:pPr>
              <w:widowControl/>
              <w:spacing w:line="240" w:lineRule="auto"/>
              <w:jc w:val="center"/>
              <w:textAlignment w:val="top"/>
              <w:rPr>
                <w:kern w:val="0"/>
                <w:sz w:val="21"/>
                <w:szCs w:val="21"/>
                <w:highlight w:val="none"/>
                <w:lang w:bidi="ar"/>
              </w:rPr>
            </w:pPr>
            <w:r>
              <w:rPr>
                <w:kern w:val="0"/>
                <w:sz w:val="21"/>
                <w:szCs w:val="21"/>
                <w:highlight w:val="none"/>
                <w:lang w:bidi="ar"/>
              </w:rPr>
              <w:t>≤</w:t>
            </w:r>
            <w:r>
              <w:rPr>
                <w:rFonts w:hint="eastAsia"/>
                <w:kern w:val="0"/>
                <w:sz w:val="21"/>
                <w:szCs w:val="21"/>
                <w:highlight w:val="none"/>
                <w:lang w:bidi="ar"/>
              </w:rPr>
              <w:t>3</w:t>
            </w:r>
            <w:r>
              <w:rPr>
                <w:kern w:val="0"/>
                <w:sz w:val="21"/>
                <w:szCs w:val="21"/>
                <w:highlight w:val="none"/>
                <w:lang w:bidi="ar"/>
              </w:rPr>
              <w:t>0</w:t>
            </w:r>
          </w:p>
        </w:tc>
        <w:tc>
          <w:tcPr>
            <w:tcW w:w="499" w:type="pct"/>
            <w:tcBorders>
              <w:tl2br w:val="nil"/>
              <w:tr2bl w:val="nil"/>
            </w:tcBorders>
            <w:shd w:val="clear" w:color="auto" w:fill="auto"/>
            <w:noWrap/>
            <w:tcMar>
              <w:top w:w="15" w:type="dxa"/>
              <w:left w:w="15" w:type="dxa"/>
              <w:right w:w="15" w:type="dxa"/>
            </w:tcMar>
            <w:vAlign w:val="center"/>
          </w:tcPr>
          <w:p w14:paraId="25C75DC0">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w:t>
            </w:r>
            <w:r>
              <w:rPr>
                <w:rFonts w:hint="eastAsia"/>
                <w:sz w:val="21"/>
                <w:szCs w:val="21"/>
                <w:highlight w:val="none"/>
              </w:rPr>
              <w:t>394</w:t>
            </w:r>
          </w:p>
        </w:tc>
        <w:tc>
          <w:tcPr>
            <w:tcW w:w="570" w:type="pct"/>
            <w:tcBorders>
              <w:tl2br w:val="nil"/>
              <w:tr2bl w:val="nil"/>
            </w:tcBorders>
            <w:shd w:val="clear" w:color="auto" w:fill="auto"/>
            <w:noWrap/>
            <w:tcMar>
              <w:top w:w="15" w:type="dxa"/>
              <w:left w:w="15" w:type="dxa"/>
              <w:right w:w="15" w:type="dxa"/>
            </w:tcMar>
            <w:vAlign w:val="center"/>
          </w:tcPr>
          <w:p w14:paraId="5B569DDE">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0F55C31C">
            <w:pPr>
              <w:widowControl/>
              <w:spacing w:line="240" w:lineRule="auto"/>
              <w:jc w:val="center"/>
              <w:textAlignment w:val="center"/>
              <w:rPr>
                <w:sz w:val="21"/>
                <w:szCs w:val="21"/>
                <w:highlight w:val="none"/>
              </w:rPr>
            </w:pPr>
            <w:r>
              <w:rPr>
                <w:rFonts w:hint="eastAsia"/>
                <w:sz w:val="21"/>
                <w:szCs w:val="21"/>
                <w:highlight w:val="none"/>
              </w:rPr>
              <w:t>0.332</w:t>
            </w:r>
          </w:p>
        </w:tc>
        <w:tc>
          <w:tcPr>
            <w:tcW w:w="570" w:type="pct"/>
            <w:tcBorders>
              <w:tl2br w:val="nil"/>
              <w:tr2bl w:val="nil"/>
            </w:tcBorders>
            <w:shd w:val="clear" w:color="auto" w:fill="auto"/>
            <w:noWrap/>
            <w:tcMar>
              <w:top w:w="15" w:type="dxa"/>
              <w:left w:w="15" w:type="dxa"/>
              <w:right w:w="15" w:type="dxa"/>
            </w:tcMar>
            <w:vAlign w:val="center"/>
          </w:tcPr>
          <w:p w14:paraId="08C861A5">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1DDD74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62822756">
            <w:pPr>
              <w:widowControl/>
              <w:spacing w:line="240" w:lineRule="auto"/>
              <w:jc w:val="center"/>
              <w:textAlignment w:val="center"/>
              <w:rPr>
                <w:sz w:val="21"/>
                <w:szCs w:val="21"/>
                <w:highlight w:val="none"/>
              </w:rPr>
            </w:pPr>
            <w:r>
              <w:rPr>
                <w:kern w:val="0"/>
                <w:sz w:val="21"/>
                <w:szCs w:val="21"/>
                <w:highlight w:val="none"/>
                <w:lang w:bidi="ar"/>
              </w:rPr>
              <w:t>7</w:t>
            </w:r>
          </w:p>
        </w:tc>
        <w:tc>
          <w:tcPr>
            <w:tcW w:w="1531" w:type="pct"/>
            <w:tcBorders>
              <w:tl2br w:val="nil"/>
              <w:tr2bl w:val="nil"/>
            </w:tcBorders>
            <w:shd w:val="clear" w:color="auto" w:fill="auto"/>
            <w:noWrap/>
            <w:tcMar>
              <w:top w:w="15" w:type="dxa"/>
              <w:left w:w="15" w:type="dxa"/>
              <w:right w:w="15" w:type="dxa"/>
            </w:tcMar>
            <w:vAlign w:val="center"/>
          </w:tcPr>
          <w:p w14:paraId="32E06DC4">
            <w:pPr>
              <w:widowControl/>
              <w:spacing w:line="240" w:lineRule="auto"/>
              <w:jc w:val="center"/>
              <w:textAlignment w:val="center"/>
              <w:rPr>
                <w:sz w:val="21"/>
                <w:szCs w:val="21"/>
                <w:highlight w:val="none"/>
              </w:rPr>
            </w:pPr>
            <w:r>
              <w:rPr>
                <w:kern w:val="0"/>
                <w:sz w:val="21"/>
                <w:szCs w:val="21"/>
                <w:highlight w:val="none"/>
                <w:lang w:bidi="ar"/>
              </w:rPr>
              <w:t>氯化物</w:t>
            </w:r>
          </w:p>
        </w:tc>
        <w:tc>
          <w:tcPr>
            <w:tcW w:w="1034" w:type="pct"/>
            <w:tcBorders>
              <w:tl2br w:val="nil"/>
              <w:tr2bl w:val="nil"/>
            </w:tcBorders>
            <w:shd w:val="clear" w:color="auto" w:fill="auto"/>
            <w:noWrap/>
            <w:tcMar>
              <w:top w:w="15" w:type="dxa"/>
              <w:left w:w="15" w:type="dxa"/>
              <w:right w:w="15" w:type="dxa"/>
            </w:tcMar>
            <w:vAlign w:val="center"/>
          </w:tcPr>
          <w:p w14:paraId="42725FA2">
            <w:pPr>
              <w:widowControl/>
              <w:spacing w:line="240" w:lineRule="auto"/>
              <w:jc w:val="center"/>
              <w:textAlignment w:val="top"/>
              <w:rPr>
                <w:kern w:val="0"/>
                <w:sz w:val="21"/>
                <w:szCs w:val="21"/>
                <w:highlight w:val="none"/>
                <w:lang w:bidi="ar"/>
              </w:rPr>
            </w:pPr>
            <w:r>
              <w:rPr>
                <w:color w:val="000000"/>
                <w:kern w:val="0"/>
                <w:sz w:val="21"/>
                <w:szCs w:val="21"/>
                <w:highlight w:val="none"/>
                <w:lang w:bidi="ar"/>
              </w:rPr>
              <w:t>≤350</w:t>
            </w:r>
          </w:p>
        </w:tc>
        <w:tc>
          <w:tcPr>
            <w:tcW w:w="499" w:type="pct"/>
            <w:tcBorders>
              <w:tl2br w:val="nil"/>
              <w:tr2bl w:val="nil"/>
            </w:tcBorders>
            <w:shd w:val="clear" w:color="auto" w:fill="auto"/>
            <w:noWrap/>
            <w:tcMar>
              <w:top w:w="15" w:type="dxa"/>
              <w:left w:w="15" w:type="dxa"/>
              <w:right w:w="15" w:type="dxa"/>
            </w:tcMar>
            <w:vAlign w:val="center"/>
          </w:tcPr>
          <w:p w14:paraId="3A8DBE9F">
            <w:pPr>
              <w:widowControl/>
              <w:spacing w:line="240" w:lineRule="auto"/>
              <w:jc w:val="center"/>
              <w:textAlignment w:val="center"/>
              <w:rPr>
                <w:sz w:val="21"/>
                <w:szCs w:val="21"/>
                <w:highlight w:val="none"/>
              </w:rPr>
            </w:pPr>
            <w:r>
              <w:rPr>
                <w:rFonts w:hint="eastAsia"/>
                <w:sz w:val="21"/>
                <w:szCs w:val="21"/>
                <w:highlight w:val="none"/>
              </w:rPr>
              <w:t>49.9</w:t>
            </w:r>
          </w:p>
        </w:tc>
        <w:tc>
          <w:tcPr>
            <w:tcW w:w="570" w:type="pct"/>
            <w:tcBorders>
              <w:tl2br w:val="nil"/>
              <w:tr2bl w:val="nil"/>
            </w:tcBorders>
            <w:shd w:val="clear" w:color="auto" w:fill="auto"/>
            <w:noWrap/>
            <w:tcMar>
              <w:top w:w="15" w:type="dxa"/>
              <w:left w:w="15" w:type="dxa"/>
              <w:right w:w="15" w:type="dxa"/>
            </w:tcMar>
            <w:vAlign w:val="center"/>
          </w:tcPr>
          <w:p w14:paraId="38373090">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43B4C228">
            <w:pPr>
              <w:widowControl/>
              <w:spacing w:line="240" w:lineRule="auto"/>
              <w:jc w:val="center"/>
              <w:textAlignment w:val="center"/>
              <w:rPr>
                <w:sz w:val="21"/>
                <w:szCs w:val="21"/>
                <w:highlight w:val="none"/>
              </w:rPr>
            </w:pPr>
            <w:r>
              <w:rPr>
                <w:rFonts w:hint="eastAsia"/>
                <w:sz w:val="21"/>
                <w:szCs w:val="21"/>
                <w:highlight w:val="none"/>
              </w:rPr>
              <w:t>21.7</w:t>
            </w:r>
          </w:p>
        </w:tc>
        <w:tc>
          <w:tcPr>
            <w:tcW w:w="570" w:type="pct"/>
            <w:tcBorders>
              <w:tl2br w:val="nil"/>
              <w:tr2bl w:val="nil"/>
            </w:tcBorders>
            <w:shd w:val="clear" w:color="auto" w:fill="auto"/>
            <w:noWrap/>
            <w:tcMar>
              <w:top w:w="15" w:type="dxa"/>
              <w:left w:w="15" w:type="dxa"/>
              <w:right w:w="15" w:type="dxa"/>
            </w:tcMar>
            <w:vAlign w:val="center"/>
          </w:tcPr>
          <w:p w14:paraId="260CACB1">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6E2D5F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3C0A7EFE">
            <w:pPr>
              <w:widowControl/>
              <w:spacing w:line="240" w:lineRule="auto"/>
              <w:jc w:val="center"/>
              <w:textAlignment w:val="center"/>
              <w:rPr>
                <w:sz w:val="21"/>
                <w:szCs w:val="21"/>
                <w:highlight w:val="none"/>
              </w:rPr>
            </w:pPr>
            <w:r>
              <w:rPr>
                <w:kern w:val="0"/>
                <w:sz w:val="21"/>
                <w:szCs w:val="21"/>
                <w:highlight w:val="none"/>
                <w:lang w:bidi="ar"/>
              </w:rPr>
              <w:t>8</w:t>
            </w:r>
          </w:p>
        </w:tc>
        <w:tc>
          <w:tcPr>
            <w:tcW w:w="1531" w:type="pct"/>
            <w:tcBorders>
              <w:tl2br w:val="nil"/>
              <w:tr2bl w:val="nil"/>
            </w:tcBorders>
            <w:shd w:val="clear" w:color="auto" w:fill="auto"/>
            <w:noWrap/>
            <w:tcMar>
              <w:top w:w="15" w:type="dxa"/>
              <w:left w:w="15" w:type="dxa"/>
              <w:right w:w="15" w:type="dxa"/>
            </w:tcMar>
            <w:vAlign w:val="center"/>
          </w:tcPr>
          <w:p w14:paraId="1ABAB9D1">
            <w:pPr>
              <w:widowControl/>
              <w:spacing w:line="240" w:lineRule="auto"/>
              <w:jc w:val="center"/>
              <w:textAlignment w:val="center"/>
              <w:rPr>
                <w:sz w:val="21"/>
                <w:szCs w:val="21"/>
                <w:highlight w:val="none"/>
              </w:rPr>
            </w:pPr>
            <w:r>
              <w:rPr>
                <w:rFonts w:hint="eastAsia"/>
                <w:kern w:val="0"/>
                <w:sz w:val="21"/>
                <w:szCs w:val="21"/>
                <w:highlight w:val="none"/>
                <w:lang w:bidi="ar"/>
              </w:rPr>
              <w:t>总氟化物</w:t>
            </w:r>
          </w:p>
        </w:tc>
        <w:tc>
          <w:tcPr>
            <w:tcW w:w="1034" w:type="pct"/>
            <w:tcBorders>
              <w:tl2br w:val="nil"/>
              <w:tr2bl w:val="nil"/>
            </w:tcBorders>
            <w:shd w:val="clear" w:color="auto" w:fill="auto"/>
            <w:noWrap/>
            <w:tcMar>
              <w:top w:w="15" w:type="dxa"/>
              <w:left w:w="15" w:type="dxa"/>
              <w:right w:w="15" w:type="dxa"/>
            </w:tcMar>
            <w:vAlign w:val="center"/>
          </w:tcPr>
          <w:p w14:paraId="57E47BC1">
            <w:pPr>
              <w:widowControl/>
              <w:spacing w:line="240" w:lineRule="auto"/>
              <w:jc w:val="center"/>
              <w:textAlignment w:val="top"/>
              <w:rPr>
                <w:kern w:val="0"/>
                <w:sz w:val="21"/>
                <w:szCs w:val="21"/>
                <w:highlight w:val="none"/>
                <w:lang w:bidi="ar"/>
              </w:rPr>
            </w:pPr>
            <w:r>
              <w:rPr>
                <w:color w:val="000000"/>
                <w:kern w:val="0"/>
                <w:sz w:val="21"/>
                <w:szCs w:val="21"/>
                <w:highlight w:val="none"/>
                <w:lang w:bidi="ar"/>
              </w:rPr>
              <w:t>≤2</w:t>
            </w:r>
            <w:r>
              <w:rPr>
                <w:rFonts w:hint="eastAsia"/>
                <w:color w:val="000000"/>
                <w:kern w:val="0"/>
                <w:sz w:val="21"/>
                <w:szCs w:val="21"/>
                <w:highlight w:val="none"/>
                <w:lang w:bidi="ar"/>
              </w:rPr>
              <w:t>.0</w:t>
            </w:r>
          </w:p>
        </w:tc>
        <w:tc>
          <w:tcPr>
            <w:tcW w:w="499" w:type="pct"/>
            <w:tcBorders>
              <w:tl2br w:val="nil"/>
              <w:tr2bl w:val="nil"/>
            </w:tcBorders>
            <w:shd w:val="clear" w:color="auto" w:fill="auto"/>
            <w:noWrap/>
            <w:tcMar>
              <w:top w:w="15" w:type="dxa"/>
              <w:left w:w="15" w:type="dxa"/>
              <w:right w:w="15" w:type="dxa"/>
            </w:tcMar>
            <w:vAlign w:val="center"/>
          </w:tcPr>
          <w:p w14:paraId="7EA75F7E">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w:t>
            </w:r>
            <w:r>
              <w:rPr>
                <w:rFonts w:hint="eastAsia"/>
                <w:sz w:val="21"/>
                <w:szCs w:val="21"/>
                <w:highlight w:val="none"/>
              </w:rPr>
              <w:t>879</w:t>
            </w:r>
          </w:p>
        </w:tc>
        <w:tc>
          <w:tcPr>
            <w:tcW w:w="570" w:type="pct"/>
            <w:tcBorders>
              <w:tl2br w:val="nil"/>
              <w:tr2bl w:val="nil"/>
            </w:tcBorders>
            <w:shd w:val="clear" w:color="auto" w:fill="auto"/>
            <w:noWrap/>
            <w:tcMar>
              <w:top w:w="15" w:type="dxa"/>
              <w:left w:w="15" w:type="dxa"/>
              <w:right w:w="15" w:type="dxa"/>
            </w:tcMar>
            <w:vAlign w:val="center"/>
          </w:tcPr>
          <w:p w14:paraId="674067EE">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169CB7FA">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w:t>
            </w:r>
            <w:r>
              <w:rPr>
                <w:rFonts w:hint="eastAsia"/>
                <w:sz w:val="21"/>
                <w:szCs w:val="21"/>
                <w:highlight w:val="none"/>
              </w:rPr>
              <w:t>27</w:t>
            </w:r>
            <w:r>
              <w:rPr>
                <w:sz w:val="21"/>
                <w:szCs w:val="21"/>
                <w:highlight w:val="none"/>
              </w:rPr>
              <w:t>2</w:t>
            </w:r>
          </w:p>
        </w:tc>
        <w:tc>
          <w:tcPr>
            <w:tcW w:w="570" w:type="pct"/>
            <w:tcBorders>
              <w:tl2br w:val="nil"/>
              <w:tr2bl w:val="nil"/>
            </w:tcBorders>
            <w:shd w:val="clear" w:color="auto" w:fill="auto"/>
            <w:noWrap/>
            <w:tcMar>
              <w:top w:w="15" w:type="dxa"/>
              <w:left w:w="15" w:type="dxa"/>
              <w:right w:w="15" w:type="dxa"/>
            </w:tcMar>
            <w:vAlign w:val="center"/>
          </w:tcPr>
          <w:p w14:paraId="356AE6F1">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58003D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16AD8C3D">
            <w:pPr>
              <w:widowControl/>
              <w:spacing w:line="240" w:lineRule="auto"/>
              <w:jc w:val="center"/>
              <w:textAlignment w:val="center"/>
              <w:rPr>
                <w:sz w:val="21"/>
                <w:szCs w:val="21"/>
                <w:highlight w:val="none"/>
              </w:rPr>
            </w:pPr>
            <w:r>
              <w:rPr>
                <w:rFonts w:hint="eastAsia"/>
                <w:sz w:val="21"/>
                <w:szCs w:val="21"/>
                <w:highlight w:val="none"/>
              </w:rPr>
              <w:t>9</w:t>
            </w:r>
          </w:p>
        </w:tc>
        <w:tc>
          <w:tcPr>
            <w:tcW w:w="1531" w:type="pct"/>
            <w:tcBorders>
              <w:tl2br w:val="nil"/>
              <w:tr2bl w:val="nil"/>
            </w:tcBorders>
            <w:shd w:val="clear" w:color="auto" w:fill="auto"/>
            <w:noWrap/>
            <w:tcMar>
              <w:top w:w="15" w:type="dxa"/>
              <w:left w:w="15" w:type="dxa"/>
              <w:right w:w="15" w:type="dxa"/>
            </w:tcMar>
            <w:vAlign w:val="center"/>
          </w:tcPr>
          <w:p w14:paraId="4E429954">
            <w:pPr>
              <w:widowControl/>
              <w:spacing w:line="240" w:lineRule="auto"/>
              <w:jc w:val="center"/>
              <w:textAlignment w:val="center"/>
              <w:rPr>
                <w:kern w:val="0"/>
                <w:sz w:val="21"/>
                <w:szCs w:val="21"/>
                <w:highlight w:val="none"/>
                <w:lang w:bidi="ar"/>
              </w:rPr>
            </w:pPr>
            <w:r>
              <w:rPr>
                <w:rFonts w:hint="eastAsia"/>
                <w:kern w:val="0"/>
                <w:sz w:val="21"/>
                <w:szCs w:val="21"/>
                <w:highlight w:val="none"/>
                <w:lang w:bidi="ar"/>
              </w:rPr>
              <w:t>阴离子表面活性剂</w:t>
            </w:r>
          </w:p>
        </w:tc>
        <w:tc>
          <w:tcPr>
            <w:tcW w:w="1034" w:type="pct"/>
            <w:tcBorders>
              <w:tl2br w:val="nil"/>
              <w:tr2bl w:val="nil"/>
            </w:tcBorders>
            <w:shd w:val="clear" w:color="auto" w:fill="auto"/>
            <w:noWrap/>
            <w:tcMar>
              <w:top w:w="15" w:type="dxa"/>
              <w:left w:w="15" w:type="dxa"/>
              <w:right w:w="15" w:type="dxa"/>
            </w:tcMar>
            <w:vAlign w:val="center"/>
          </w:tcPr>
          <w:p w14:paraId="11B3C5B1">
            <w:pPr>
              <w:widowControl/>
              <w:spacing w:line="240" w:lineRule="auto"/>
              <w:jc w:val="center"/>
              <w:textAlignment w:val="top"/>
              <w:rPr>
                <w:color w:val="000000"/>
                <w:kern w:val="0"/>
                <w:sz w:val="21"/>
                <w:szCs w:val="21"/>
                <w:highlight w:val="none"/>
                <w:lang w:bidi="ar"/>
              </w:rPr>
            </w:pPr>
            <w:r>
              <w:rPr>
                <w:color w:val="000000"/>
                <w:kern w:val="0"/>
                <w:sz w:val="21"/>
                <w:szCs w:val="21"/>
                <w:highlight w:val="none"/>
                <w:lang w:bidi="ar"/>
              </w:rPr>
              <w:t>≤</w:t>
            </w:r>
            <w:r>
              <w:rPr>
                <w:rFonts w:hint="eastAsia"/>
                <w:color w:val="000000"/>
                <w:kern w:val="0"/>
                <w:sz w:val="21"/>
                <w:szCs w:val="21"/>
                <w:highlight w:val="none"/>
                <w:lang w:bidi="ar"/>
              </w:rPr>
              <w:t>0.3</w:t>
            </w:r>
          </w:p>
        </w:tc>
        <w:tc>
          <w:tcPr>
            <w:tcW w:w="499" w:type="pct"/>
            <w:tcBorders>
              <w:tl2br w:val="nil"/>
              <w:tr2bl w:val="nil"/>
            </w:tcBorders>
            <w:shd w:val="clear" w:color="auto" w:fill="auto"/>
            <w:noWrap/>
            <w:tcMar>
              <w:top w:w="15" w:type="dxa"/>
              <w:left w:w="15" w:type="dxa"/>
              <w:right w:w="15" w:type="dxa"/>
            </w:tcMar>
            <w:vAlign w:val="center"/>
          </w:tcPr>
          <w:p w14:paraId="3A361396">
            <w:pPr>
              <w:widowControl/>
              <w:spacing w:line="240" w:lineRule="auto"/>
              <w:jc w:val="center"/>
              <w:textAlignment w:val="center"/>
              <w:rPr>
                <w:sz w:val="21"/>
                <w:szCs w:val="21"/>
                <w:highlight w:val="none"/>
              </w:rPr>
            </w:pPr>
            <w:r>
              <w:rPr>
                <w:rFonts w:hint="eastAsia"/>
                <w:sz w:val="21"/>
                <w:szCs w:val="21"/>
                <w:highlight w:val="none"/>
              </w:rPr>
              <w:t>0.073</w:t>
            </w:r>
          </w:p>
        </w:tc>
        <w:tc>
          <w:tcPr>
            <w:tcW w:w="570" w:type="pct"/>
            <w:tcBorders>
              <w:tl2br w:val="nil"/>
              <w:tr2bl w:val="nil"/>
            </w:tcBorders>
            <w:shd w:val="clear" w:color="auto" w:fill="auto"/>
            <w:noWrap/>
            <w:tcMar>
              <w:top w:w="15" w:type="dxa"/>
              <w:left w:w="15" w:type="dxa"/>
              <w:right w:w="15" w:type="dxa"/>
            </w:tcMar>
            <w:vAlign w:val="center"/>
          </w:tcPr>
          <w:p w14:paraId="6B85C7E0">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2C2CF0FC">
            <w:pPr>
              <w:widowControl/>
              <w:spacing w:line="240" w:lineRule="auto"/>
              <w:jc w:val="center"/>
              <w:textAlignment w:val="center"/>
              <w:rPr>
                <w:sz w:val="21"/>
                <w:szCs w:val="21"/>
                <w:highlight w:val="none"/>
              </w:rPr>
            </w:pPr>
            <w:r>
              <w:rPr>
                <w:rFonts w:hint="eastAsia"/>
                <w:sz w:val="21"/>
                <w:szCs w:val="21"/>
                <w:highlight w:val="none"/>
              </w:rPr>
              <w:t>/</w:t>
            </w:r>
          </w:p>
        </w:tc>
        <w:tc>
          <w:tcPr>
            <w:tcW w:w="570" w:type="pct"/>
            <w:tcBorders>
              <w:tl2br w:val="nil"/>
              <w:tr2bl w:val="nil"/>
            </w:tcBorders>
            <w:shd w:val="clear" w:color="auto" w:fill="auto"/>
            <w:noWrap/>
            <w:tcMar>
              <w:top w:w="15" w:type="dxa"/>
              <w:left w:w="15" w:type="dxa"/>
              <w:right w:w="15" w:type="dxa"/>
            </w:tcMar>
            <w:vAlign w:val="center"/>
          </w:tcPr>
          <w:p w14:paraId="65403BB9">
            <w:pPr>
              <w:widowControl/>
              <w:spacing w:line="240" w:lineRule="auto"/>
              <w:jc w:val="center"/>
              <w:textAlignment w:val="center"/>
              <w:rPr>
                <w:color w:val="000000"/>
                <w:kern w:val="0"/>
                <w:sz w:val="21"/>
                <w:szCs w:val="21"/>
                <w:highlight w:val="none"/>
                <w:lang w:bidi="ar"/>
              </w:rPr>
            </w:pPr>
            <w:r>
              <w:rPr>
                <w:rFonts w:hint="eastAsia"/>
                <w:color w:val="000000"/>
                <w:kern w:val="0"/>
                <w:sz w:val="21"/>
                <w:szCs w:val="21"/>
                <w:highlight w:val="none"/>
                <w:lang w:bidi="ar"/>
              </w:rPr>
              <w:t>达标</w:t>
            </w:r>
          </w:p>
        </w:tc>
      </w:tr>
      <w:tr w14:paraId="017FDA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057013B2">
            <w:pPr>
              <w:widowControl/>
              <w:spacing w:line="240" w:lineRule="auto"/>
              <w:jc w:val="center"/>
              <w:textAlignment w:val="center"/>
              <w:rPr>
                <w:sz w:val="21"/>
                <w:szCs w:val="21"/>
                <w:highlight w:val="none"/>
              </w:rPr>
            </w:pPr>
            <w:r>
              <w:rPr>
                <w:kern w:val="0"/>
                <w:sz w:val="21"/>
                <w:szCs w:val="21"/>
                <w:highlight w:val="none"/>
                <w:lang w:bidi="ar"/>
              </w:rPr>
              <w:t>10</w:t>
            </w:r>
          </w:p>
        </w:tc>
        <w:tc>
          <w:tcPr>
            <w:tcW w:w="1531" w:type="pct"/>
            <w:tcBorders>
              <w:tl2br w:val="nil"/>
              <w:tr2bl w:val="nil"/>
            </w:tcBorders>
            <w:shd w:val="clear" w:color="auto" w:fill="auto"/>
            <w:noWrap/>
            <w:tcMar>
              <w:top w:w="15" w:type="dxa"/>
              <w:left w:w="15" w:type="dxa"/>
              <w:right w:w="15" w:type="dxa"/>
            </w:tcMar>
            <w:vAlign w:val="center"/>
          </w:tcPr>
          <w:p w14:paraId="1C871599">
            <w:pPr>
              <w:widowControl/>
              <w:spacing w:line="240" w:lineRule="auto"/>
              <w:jc w:val="center"/>
              <w:textAlignment w:val="center"/>
              <w:rPr>
                <w:sz w:val="21"/>
                <w:szCs w:val="21"/>
                <w:highlight w:val="none"/>
              </w:rPr>
            </w:pPr>
            <w:r>
              <w:rPr>
                <w:kern w:val="0"/>
                <w:sz w:val="21"/>
                <w:szCs w:val="21"/>
                <w:highlight w:val="none"/>
                <w:lang w:bidi="ar"/>
              </w:rPr>
              <w:t>氨氮</w:t>
            </w:r>
          </w:p>
        </w:tc>
        <w:tc>
          <w:tcPr>
            <w:tcW w:w="1034" w:type="pct"/>
            <w:tcBorders>
              <w:tl2br w:val="nil"/>
              <w:tr2bl w:val="nil"/>
            </w:tcBorders>
            <w:shd w:val="clear" w:color="auto" w:fill="auto"/>
            <w:noWrap/>
            <w:tcMar>
              <w:top w:w="15" w:type="dxa"/>
              <w:left w:w="15" w:type="dxa"/>
              <w:right w:w="15" w:type="dxa"/>
            </w:tcMar>
            <w:vAlign w:val="center"/>
          </w:tcPr>
          <w:p w14:paraId="1A5A77E0">
            <w:pPr>
              <w:widowControl/>
              <w:spacing w:line="240" w:lineRule="auto"/>
              <w:jc w:val="center"/>
              <w:textAlignment w:val="top"/>
              <w:rPr>
                <w:kern w:val="0"/>
                <w:sz w:val="21"/>
                <w:szCs w:val="21"/>
                <w:highlight w:val="none"/>
                <w:lang w:bidi="ar"/>
              </w:rPr>
            </w:pPr>
            <w:r>
              <w:rPr>
                <w:color w:val="000000"/>
                <w:kern w:val="0"/>
                <w:sz w:val="21"/>
                <w:szCs w:val="21"/>
                <w:highlight w:val="none"/>
                <w:lang w:bidi="ar"/>
              </w:rPr>
              <w:t>≤1.5</w:t>
            </w:r>
            <w:r>
              <w:rPr>
                <w:rFonts w:hint="eastAsia"/>
                <w:color w:val="000000"/>
                <w:kern w:val="0"/>
                <w:sz w:val="21"/>
                <w:szCs w:val="21"/>
                <w:highlight w:val="none"/>
                <w:lang w:bidi="ar"/>
              </w:rPr>
              <w:t>0</w:t>
            </w:r>
          </w:p>
        </w:tc>
        <w:tc>
          <w:tcPr>
            <w:tcW w:w="499" w:type="pct"/>
            <w:tcBorders>
              <w:tl2br w:val="nil"/>
              <w:tr2bl w:val="nil"/>
            </w:tcBorders>
            <w:shd w:val="clear" w:color="auto" w:fill="auto"/>
            <w:noWrap/>
            <w:tcMar>
              <w:top w:w="15" w:type="dxa"/>
              <w:left w:w="15" w:type="dxa"/>
              <w:right w:w="15" w:type="dxa"/>
            </w:tcMar>
            <w:vAlign w:val="center"/>
          </w:tcPr>
          <w:p w14:paraId="520AF280">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w:t>
            </w:r>
            <w:r>
              <w:rPr>
                <w:rFonts w:hint="eastAsia"/>
                <w:sz w:val="21"/>
                <w:szCs w:val="21"/>
                <w:highlight w:val="none"/>
              </w:rPr>
              <w:t>10</w:t>
            </w:r>
          </w:p>
        </w:tc>
        <w:tc>
          <w:tcPr>
            <w:tcW w:w="570" w:type="pct"/>
            <w:tcBorders>
              <w:tl2br w:val="nil"/>
              <w:tr2bl w:val="nil"/>
            </w:tcBorders>
            <w:shd w:val="clear" w:color="auto" w:fill="auto"/>
            <w:noWrap/>
            <w:tcMar>
              <w:top w:w="15" w:type="dxa"/>
              <w:left w:w="15" w:type="dxa"/>
              <w:right w:w="15" w:type="dxa"/>
            </w:tcMar>
            <w:vAlign w:val="center"/>
          </w:tcPr>
          <w:p w14:paraId="194B4142">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758AC49F">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.1</w:t>
            </w:r>
            <w:r>
              <w:rPr>
                <w:rFonts w:hint="eastAsia"/>
                <w:sz w:val="21"/>
                <w:szCs w:val="21"/>
                <w:highlight w:val="none"/>
              </w:rPr>
              <w:t>8</w:t>
            </w:r>
          </w:p>
        </w:tc>
        <w:tc>
          <w:tcPr>
            <w:tcW w:w="570" w:type="pct"/>
            <w:tcBorders>
              <w:tl2br w:val="nil"/>
              <w:tr2bl w:val="nil"/>
            </w:tcBorders>
            <w:shd w:val="clear" w:color="auto" w:fill="auto"/>
            <w:noWrap/>
            <w:tcMar>
              <w:top w:w="15" w:type="dxa"/>
              <w:left w:w="15" w:type="dxa"/>
              <w:right w:w="15" w:type="dxa"/>
            </w:tcMar>
            <w:vAlign w:val="center"/>
          </w:tcPr>
          <w:p w14:paraId="57117523">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287E78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33BEEA9B">
            <w:pPr>
              <w:widowControl/>
              <w:spacing w:line="240" w:lineRule="auto"/>
              <w:jc w:val="center"/>
              <w:textAlignment w:val="center"/>
              <w:rPr>
                <w:sz w:val="21"/>
                <w:szCs w:val="21"/>
                <w:highlight w:val="none"/>
              </w:rPr>
            </w:pPr>
            <w:r>
              <w:rPr>
                <w:kern w:val="0"/>
                <w:sz w:val="21"/>
                <w:szCs w:val="21"/>
                <w:highlight w:val="none"/>
                <w:lang w:bidi="ar"/>
              </w:rPr>
              <w:t>11</w:t>
            </w:r>
          </w:p>
        </w:tc>
        <w:tc>
          <w:tcPr>
            <w:tcW w:w="1531" w:type="pct"/>
            <w:tcBorders>
              <w:tl2br w:val="nil"/>
              <w:tr2bl w:val="nil"/>
            </w:tcBorders>
            <w:shd w:val="clear" w:color="auto" w:fill="auto"/>
            <w:noWrap/>
            <w:tcMar>
              <w:top w:w="15" w:type="dxa"/>
              <w:left w:w="15" w:type="dxa"/>
              <w:right w:w="15" w:type="dxa"/>
            </w:tcMar>
            <w:vAlign w:val="center"/>
          </w:tcPr>
          <w:p w14:paraId="33F6B24E">
            <w:pPr>
              <w:widowControl/>
              <w:spacing w:line="240" w:lineRule="auto"/>
              <w:jc w:val="center"/>
              <w:textAlignment w:val="center"/>
              <w:rPr>
                <w:sz w:val="21"/>
                <w:szCs w:val="21"/>
                <w:highlight w:val="none"/>
              </w:rPr>
            </w:pPr>
            <w:r>
              <w:rPr>
                <w:kern w:val="0"/>
                <w:sz w:val="21"/>
                <w:szCs w:val="21"/>
                <w:highlight w:val="none"/>
                <w:lang w:bidi="ar"/>
              </w:rPr>
              <w:t>亚硝酸盐氮</w:t>
            </w:r>
          </w:p>
        </w:tc>
        <w:tc>
          <w:tcPr>
            <w:tcW w:w="1034" w:type="pct"/>
            <w:tcBorders>
              <w:tl2br w:val="nil"/>
              <w:tr2bl w:val="nil"/>
            </w:tcBorders>
            <w:shd w:val="clear" w:color="auto" w:fill="auto"/>
            <w:noWrap/>
            <w:tcMar>
              <w:top w:w="15" w:type="dxa"/>
              <w:left w:w="15" w:type="dxa"/>
              <w:right w:w="15" w:type="dxa"/>
            </w:tcMar>
            <w:vAlign w:val="center"/>
          </w:tcPr>
          <w:p w14:paraId="1825DE3F">
            <w:pPr>
              <w:widowControl/>
              <w:spacing w:line="240" w:lineRule="auto"/>
              <w:jc w:val="center"/>
              <w:textAlignment w:val="top"/>
              <w:rPr>
                <w:sz w:val="21"/>
                <w:szCs w:val="21"/>
                <w:highlight w:val="none"/>
              </w:rPr>
            </w:pPr>
            <w:r>
              <w:rPr>
                <w:color w:val="000000"/>
                <w:kern w:val="0"/>
                <w:sz w:val="21"/>
                <w:szCs w:val="21"/>
                <w:highlight w:val="none"/>
                <w:lang w:bidi="ar"/>
              </w:rPr>
              <w:t>≤4.8</w:t>
            </w:r>
            <w:r>
              <w:rPr>
                <w:rFonts w:hint="eastAsia"/>
                <w:color w:val="000000"/>
                <w:kern w:val="0"/>
                <w:sz w:val="21"/>
                <w:szCs w:val="21"/>
                <w:highlight w:val="none"/>
                <w:lang w:bidi="ar"/>
              </w:rPr>
              <w:t>0</w:t>
            </w:r>
          </w:p>
        </w:tc>
        <w:tc>
          <w:tcPr>
            <w:tcW w:w="499" w:type="pct"/>
            <w:tcBorders>
              <w:tl2br w:val="nil"/>
              <w:tr2bl w:val="nil"/>
            </w:tcBorders>
            <w:shd w:val="clear" w:color="auto" w:fill="auto"/>
            <w:noWrap/>
            <w:tcMar>
              <w:top w:w="15" w:type="dxa"/>
              <w:left w:w="15" w:type="dxa"/>
              <w:right w:w="15" w:type="dxa"/>
            </w:tcMar>
            <w:vAlign w:val="center"/>
          </w:tcPr>
          <w:p w14:paraId="512D3884">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.0</w:t>
            </w:r>
            <w:r>
              <w:rPr>
                <w:rFonts w:hint="eastAsia"/>
                <w:sz w:val="21"/>
                <w:szCs w:val="21"/>
                <w:highlight w:val="none"/>
              </w:rPr>
              <w:t>70</w:t>
            </w:r>
          </w:p>
        </w:tc>
        <w:tc>
          <w:tcPr>
            <w:tcW w:w="570" w:type="pct"/>
            <w:tcBorders>
              <w:tl2br w:val="nil"/>
              <w:tr2bl w:val="nil"/>
            </w:tcBorders>
            <w:shd w:val="clear" w:color="auto" w:fill="auto"/>
            <w:noWrap/>
            <w:tcMar>
              <w:top w:w="15" w:type="dxa"/>
              <w:left w:w="15" w:type="dxa"/>
              <w:right w:w="15" w:type="dxa"/>
            </w:tcMar>
            <w:vAlign w:val="center"/>
          </w:tcPr>
          <w:p w14:paraId="40A859A5">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6317F5DB">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.0</w:t>
            </w:r>
            <w:r>
              <w:rPr>
                <w:rFonts w:hint="eastAsia"/>
                <w:sz w:val="21"/>
                <w:szCs w:val="21"/>
                <w:highlight w:val="none"/>
              </w:rPr>
              <w:t>10</w:t>
            </w:r>
          </w:p>
        </w:tc>
        <w:tc>
          <w:tcPr>
            <w:tcW w:w="570" w:type="pct"/>
            <w:tcBorders>
              <w:tl2br w:val="nil"/>
              <w:tr2bl w:val="nil"/>
            </w:tcBorders>
            <w:shd w:val="clear" w:color="auto" w:fill="auto"/>
            <w:noWrap/>
            <w:tcMar>
              <w:top w:w="15" w:type="dxa"/>
              <w:left w:w="15" w:type="dxa"/>
              <w:right w:w="15" w:type="dxa"/>
            </w:tcMar>
            <w:vAlign w:val="center"/>
          </w:tcPr>
          <w:p w14:paraId="18278A3C">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0BFFDA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723CA4D9">
            <w:pPr>
              <w:widowControl/>
              <w:spacing w:line="240" w:lineRule="auto"/>
              <w:jc w:val="center"/>
              <w:textAlignment w:val="center"/>
              <w:rPr>
                <w:sz w:val="21"/>
                <w:szCs w:val="21"/>
                <w:highlight w:val="none"/>
              </w:rPr>
            </w:pPr>
            <w:r>
              <w:rPr>
                <w:kern w:val="0"/>
                <w:sz w:val="21"/>
                <w:szCs w:val="21"/>
                <w:highlight w:val="none"/>
                <w:lang w:bidi="ar"/>
              </w:rPr>
              <w:t>12</w:t>
            </w:r>
          </w:p>
        </w:tc>
        <w:tc>
          <w:tcPr>
            <w:tcW w:w="1531" w:type="pct"/>
            <w:tcBorders>
              <w:tl2br w:val="nil"/>
              <w:tr2bl w:val="nil"/>
            </w:tcBorders>
            <w:shd w:val="clear" w:color="auto" w:fill="auto"/>
            <w:noWrap/>
            <w:tcMar>
              <w:top w:w="15" w:type="dxa"/>
              <w:left w:w="15" w:type="dxa"/>
              <w:right w:w="15" w:type="dxa"/>
            </w:tcMar>
            <w:vAlign w:val="center"/>
          </w:tcPr>
          <w:p w14:paraId="1800E9E1">
            <w:pPr>
              <w:widowControl/>
              <w:spacing w:line="240" w:lineRule="auto"/>
              <w:jc w:val="center"/>
              <w:textAlignment w:val="center"/>
              <w:rPr>
                <w:sz w:val="21"/>
                <w:szCs w:val="21"/>
                <w:highlight w:val="none"/>
              </w:rPr>
            </w:pPr>
            <w:r>
              <w:rPr>
                <w:kern w:val="0"/>
                <w:sz w:val="21"/>
                <w:szCs w:val="21"/>
                <w:highlight w:val="none"/>
                <w:lang w:bidi="ar"/>
              </w:rPr>
              <w:t>锰</w:t>
            </w:r>
          </w:p>
        </w:tc>
        <w:tc>
          <w:tcPr>
            <w:tcW w:w="1034" w:type="pct"/>
            <w:tcBorders>
              <w:tl2br w:val="nil"/>
              <w:tr2bl w:val="nil"/>
            </w:tcBorders>
            <w:shd w:val="clear" w:color="auto" w:fill="auto"/>
            <w:noWrap/>
            <w:tcMar>
              <w:top w:w="15" w:type="dxa"/>
              <w:left w:w="15" w:type="dxa"/>
              <w:right w:w="15" w:type="dxa"/>
            </w:tcMar>
            <w:vAlign w:val="center"/>
          </w:tcPr>
          <w:p w14:paraId="773DF592">
            <w:pPr>
              <w:widowControl/>
              <w:spacing w:line="240" w:lineRule="auto"/>
              <w:jc w:val="center"/>
              <w:textAlignment w:val="top"/>
              <w:rPr>
                <w:sz w:val="21"/>
                <w:szCs w:val="21"/>
                <w:highlight w:val="none"/>
              </w:rPr>
            </w:pPr>
            <w:r>
              <w:rPr>
                <w:color w:val="000000"/>
                <w:kern w:val="0"/>
                <w:sz w:val="21"/>
                <w:szCs w:val="21"/>
                <w:highlight w:val="none"/>
                <w:lang w:bidi="ar"/>
              </w:rPr>
              <w:t>≤</w:t>
            </w:r>
            <w:r>
              <w:rPr>
                <w:rFonts w:hint="eastAsia"/>
                <w:color w:val="000000"/>
                <w:kern w:val="0"/>
                <w:sz w:val="22"/>
                <w:szCs w:val="22"/>
                <w:highlight w:val="none"/>
                <w:lang w:bidi="ar"/>
              </w:rPr>
              <w:t>1.50</w:t>
            </w:r>
          </w:p>
        </w:tc>
        <w:tc>
          <w:tcPr>
            <w:tcW w:w="499" w:type="pct"/>
            <w:tcBorders>
              <w:tl2br w:val="nil"/>
              <w:tr2bl w:val="nil"/>
            </w:tcBorders>
            <w:shd w:val="clear" w:color="auto" w:fill="auto"/>
            <w:noWrap/>
            <w:tcMar>
              <w:top w:w="15" w:type="dxa"/>
              <w:left w:w="15" w:type="dxa"/>
              <w:right w:w="15" w:type="dxa"/>
            </w:tcMar>
            <w:vAlign w:val="center"/>
          </w:tcPr>
          <w:p w14:paraId="414C7998">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w:t>
            </w:r>
            <w:r>
              <w:rPr>
                <w:rFonts w:hint="eastAsia"/>
                <w:sz w:val="21"/>
                <w:szCs w:val="21"/>
                <w:highlight w:val="none"/>
              </w:rPr>
              <w:t>836</w:t>
            </w:r>
          </w:p>
        </w:tc>
        <w:tc>
          <w:tcPr>
            <w:tcW w:w="570" w:type="pct"/>
            <w:tcBorders>
              <w:tl2br w:val="nil"/>
              <w:tr2bl w:val="nil"/>
            </w:tcBorders>
            <w:shd w:val="clear" w:color="auto" w:fill="auto"/>
            <w:noWrap/>
            <w:tcMar>
              <w:top w:w="15" w:type="dxa"/>
              <w:left w:w="15" w:type="dxa"/>
              <w:right w:w="15" w:type="dxa"/>
            </w:tcMar>
            <w:vAlign w:val="center"/>
          </w:tcPr>
          <w:p w14:paraId="5B3F296B">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BEBEBE" w:themeFill="background1" w:themeFillShade="BF"/>
            <w:noWrap/>
            <w:tcMar>
              <w:top w:w="15" w:type="dxa"/>
              <w:left w:w="15" w:type="dxa"/>
              <w:right w:w="15" w:type="dxa"/>
            </w:tcMar>
            <w:vAlign w:val="center"/>
          </w:tcPr>
          <w:p w14:paraId="17E9E304">
            <w:pPr>
              <w:widowControl/>
              <w:spacing w:line="240" w:lineRule="auto"/>
              <w:jc w:val="center"/>
              <w:textAlignment w:val="center"/>
              <w:rPr>
                <w:b/>
                <w:bCs/>
                <w:sz w:val="21"/>
                <w:szCs w:val="21"/>
                <w:highlight w:val="none"/>
              </w:rPr>
            </w:pPr>
            <w:r>
              <w:rPr>
                <w:rFonts w:hint="eastAsia"/>
                <w:b/>
                <w:bCs/>
                <w:sz w:val="21"/>
                <w:szCs w:val="21"/>
                <w:highlight w:val="none"/>
              </w:rPr>
              <w:t>2.89</w:t>
            </w:r>
          </w:p>
        </w:tc>
        <w:tc>
          <w:tcPr>
            <w:tcW w:w="570" w:type="pct"/>
            <w:tcBorders>
              <w:tl2br w:val="nil"/>
              <w:tr2bl w:val="nil"/>
            </w:tcBorders>
            <w:shd w:val="clear" w:color="auto" w:fill="auto"/>
            <w:noWrap/>
            <w:tcMar>
              <w:top w:w="15" w:type="dxa"/>
              <w:left w:w="15" w:type="dxa"/>
              <w:right w:w="15" w:type="dxa"/>
            </w:tcMar>
            <w:vAlign w:val="center"/>
          </w:tcPr>
          <w:p w14:paraId="51EA5BEF">
            <w:pPr>
              <w:widowControl/>
              <w:spacing w:line="240" w:lineRule="auto"/>
              <w:jc w:val="center"/>
              <w:textAlignment w:val="center"/>
              <w:rPr>
                <w:b/>
                <w:bCs/>
                <w:kern w:val="0"/>
                <w:sz w:val="21"/>
                <w:szCs w:val="21"/>
                <w:highlight w:val="none"/>
                <w:lang w:bidi="ar"/>
              </w:rPr>
            </w:pPr>
            <w:r>
              <w:rPr>
                <w:rFonts w:hint="eastAsia"/>
                <w:b/>
                <w:bCs/>
                <w:color w:val="000000"/>
                <w:kern w:val="0"/>
                <w:sz w:val="21"/>
                <w:szCs w:val="21"/>
                <w:highlight w:val="none"/>
                <w:lang w:val="en-US" w:eastAsia="zh-CN" w:bidi="ar"/>
              </w:rPr>
              <w:t>超标</w:t>
            </w:r>
          </w:p>
        </w:tc>
      </w:tr>
      <w:tr w14:paraId="7CDB99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493DA18F">
            <w:pPr>
              <w:widowControl/>
              <w:spacing w:line="240" w:lineRule="auto"/>
              <w:jc w:val="center"/>
              <w:textAlignment w:val="center"/>
              <w:rPr>
                <w:sz w:val="21"/>
                <w:szCs w:val="21"/>
                <w:highlight w:val="none"/>
              </w:rPr>
            </w:pPr>
            <w:r>
              <w:rPr>
                <w:kern w:val="0"/>
                <w:sz w:val="21"/>
                <w:szCs w:val="21"/>
                <w:highlight w:val="none"/>
                <w:lang w:bidi="ar"/>
              </w:rPr>
              <w:t>13</w:t>
            </w:r>
          </w:p>
        </w:tc>
        <w:tc>
          <w:tcPr>
            <w:tcW w:w="1531" w:type="pct"/>
            <w:tcBorders>
              <w:tl2br w:val="nil"/>
              <w:tr2bl w:val="nil"/>
            </w:tcBorders>
            <w:shd w:val="clear" w:color="auto" w:fill="auto"/>
            <w:noWrap/>
            <w:tcMar>
              <w:top w:w="15" w:type="dxa"/>
              <w:left w:w="15" w:type="dxa"/>
              <w:right w:w="15" w:type="dxa"/>
            </w:tcMar>
            <w:vAlign w:val="center"/>
          </w:tcPr>
          <w:p w14:paraId="0EAFA12B">
            <w:pPr>
              <w:widowControl/>
              <w:spacing w:line="240" w:lineRule="auto"/>
              <w:jc w:val="center"/>
              <w:textAlignment w:val="center"/>
              <w:rPr>
                <w:sz w:val="21"/>
                <w:szCs w:val="21"/>
                <w:highlight w:val="none"/>
              </w:rPr>
            </w:pPr>
            <w:r>
              <w:rPr>
                <w:kern w:val="0"/>
                <w:sz w:val="21"/>
                <w:szCs w:val="21"/>
                <w:highlight w:val="none"/>
                <w:lang w:bidi="ar"/>
              </w:rPr>
              <w:t>钠</w:t>
            </w:r>
          </w:p>
        </w:tc>
        <w:tc>
          <w:tcPr>
            <w:tcW w:w="1034" w:type="pct"/>
            <w:tcBorders>
              <w:tl2br w:val="nil"/>
              <w:tr2bl w:val="nil"/>
            </w:tcBorders>
            <w:shd w:val="clear" w:color="auto" w:fill="auto"/>
            <w:noWrap/>
            <w:tcMar>
              <w:top w:w="15" w:type="dxa"/>
              <w:left w:w="15" w:type="dxa"/>
              <w:right w:w="15" w:type="dxa"/>
            </w:tcMar>
            <w:vAlign w:val="center"/>
          </w:tcPr>
          <w:p w14:paraId="24181C4E">
            <w:pPr>
              <w:widowControl/>
              <w:spacing w:line="240" w:lineRule="auto"/>
              <w:jc w:val="center"/>
              <w:textAlignment w:val="top"/>
              <w:rPr>
                <w:kern w:val="0"/>
                <w:sz w:val="21"/>
                <w:szCs w:val="21"/>
                <w:highlight w:val="none"/>
                <w:lang w:bidi="ar"/>
              </w:rPr>
            </w:pPr>
            <w:r>
              <w:rPr>
                <w:kern w:val="0"/>
                <w:sz w:val="21"/>
                <w:szCs w:val="21"/>
                <w:highlight w:val="none"/>
                <w:lang w:bidi="ar"/>
              </w:rPr>
              <w:t>≤200</w:t>
            </w:r>
          </w:p>
        </w:tc>
        <w:tc>
          <w:tcPr>
            <w:tcW w:w="499" w:type="pct"/>
            <w:tcBorders>
              <w:tl2br w:val="nil"/>
              <w:tr2bl w:val="nil"/>
            </w:tcBorders>
            <w:shd w:val="clear" w:color="auto" w:fill="auto"/>
            <w:noWrap/>
            <w:tcMar>
              <w:top w:w="15" w:type="dxa"/>
              <w:left w:w="15" w:type="dxa"/>
              <w:right w:w="15" w:type="dxa"/>
            </w:tcMar>
            <w:vAlign w:val="center"/>
          </w:tcPr>
          <w:p w14:paraId="286E9EDB">
            <w:pPr>
              <w:widowControl/>
              <w:spacing w:line="240" w:lineRule="auto"/>
              <w:jc w:val="center"/>
              <w:textAlignment w:val="center"/>
              <w:rPr>
                <w:sz w:val="21"/>
                <w:szCs w:val="21"/>
                <w:highlight w:val="none"/>
              </w:rPr>
            </w:pPr>
            <w:r>
              <w:rPr>
                <w:rFonts w:hint="eastAsia"/>
                <w:sz w:val="21"/>
                <w:szCs w:val="21"/>
                <w:highlight w:val="none"/>
              </w:rPr>
              <w:t>53.0</w:t>
            </w:r>
          </w:p>
        </w:tc>
        <w:tc>
          <w:tcPr>
            <w:tcW w:w="570" w:type="pct"/>
            <w:tcBorders>
              <w:tl2br w:val="nil"/>
              <w:tr2bl w:val="nil"/>
            </w:tcBorders>
            <w:shd w:val="clear" w:color="auto" w:fill="auto"/>
            <w:noWrap/>
            <w:tcMar>
              <w:top w:w="15" w:type="dxa"/>
              <w:left w:w="15" w:type="dxa"/>
              <w:right w:w="15" w:type="dxa"/>
            </w:tcMar>
            <w:vAlign w:val="center"/>
          </w:tcPr>
          <w:p w14:paraId="4F54E2D9">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30FB53BF">
            <w:pPr>
              <w:widowControl/>
              <w:spacing w:line="240" w:lineRule="auto"/>
              <w:jc w:val="center"/>
              <w:textAlignment w:val="center"/>
              <w:rPr>
                <w:sz w:val="21"/>
                <w:szCs w:val="21"/>
                <w:highlight w:val="none"/>
              </w:rPr>
            </w:pPr>
            <w:r>
              <w:rPr>
                <w:rFonts w:hint="eastAsia"/>
                <w:sz w:val="21"/>
                <w:szCs w:val="21"/>
                <w:highlight w:val="none"/>
              </w:rPr>
              <w:t>25</w:t>
            </w:r>
            <w:r>
              <w:rPr>
                <w:sz w:val="21"/>
                <w:szCs w:val="21"/>
                <w:highlight w:val="none"/>
              </w:rPr>
              <w:t>.8</w:t>
            </w:r>
          </w:p>
        </w:tc>
        <w:tc>
          <w:tcPr>
            <w:tcW w:w="570" w:type="pct"/>
            <w:tcBorders>
              <w:tl2br w:val="nil"/>
              <w:tr2bl w:val="nil"/>
            </w:tcBorders>
            <w:shd w:val="clear" w:color="auto" w:fill="auto"/>
            <w:noWrap/>
            <w:tcMar>
              <w:top w:w="15" w:type="dxa"/>
              <w:left w:w="15" w:type="dxa"/>
              <w:right w:w="15" w:type="dxa"/>
            </w:tcMar>
            <w:vAlign w:val="center"/>
          </w:tcPr>
          <w:p w14:paraId="6B3EFEF1">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78D5B3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5FC3BCB8">
            <w:pPr>
              <w:widowControl/>
              <w:spacing w:line="240" w:lineRule="auto"/>
              <w:jc w:val="center"/>
              <w:textAlignment w:val="center"/>
              <w:rPr>
                <w:sz w:val="21"/>
                <w:szCs w:val="21"/>
                <w:highlight w:val="none"/>
              </w:rPr>
            </w:pPr>
            <w:r>
              <w:rPr>
                <w:sz w:val="21"/>
                <w:szCs w:val="21"/>
                <w:highlight w:val="none"/>
              </w:rPr>
              <w:t>14</w:t>
            </w:r>
          </w:p>
        </w:tc>
        <w:tc>
          <w:tcPr>
            <w:tcW w:w="1531" w:type="pct"/>
            <w:tcBorders>
              <w:tl2br w:val="nil"/>
              <w:tr2bl w:val="nil"/>
            </w:tcBorders>
            <w:shd w:val="clear" w:color="auto" w:fill="auto"/>
            <w:noWrap/>
            <w:tcMar>
              <w:top w:w="15" w:type="dxa"/>
              <w:left w:w="15" w:type="dxa"/>
              <w:right w:w="15" w:type="dxa"/>
            </w:tcMar>
            <w:vAlign w:val="center"/>
          </w:tcPr>
          <w:p w14:paraId="0C980C20">
            <w:pPr>
              <w:widowControl/>
              <w:spacing w:line="240" w:lineRule="auto"/>
              <w:jc w:val="center"/>
              <w:textAlignment w:val="center"/>
              <w:rPr>
                <w:sz w:val="21"/>
                <w:szCs w:val="21"/>
                <w:highlight w:val="none"/>
              </w:rPr>
            </w:pPr>
            <w:r>
              <w:rPr>
                <w:kern w:val="0"/>
                <w:sz w:val="21"/>
                <w:szCs w:val="21"/>
                <w:highlight w:val="none"/>
                <w:lang w:bidi="ar"/>
              </w:rPr>
              <w:t>锌</w:t>
            </w:r>
          </w:p>
        </w:tc>
        <w:tc>
          <w:tcPr>
            <w:tcW w:w="1034" w:type="pct"/>
            <w:tcBorders>
              <w:tl2br w:val="nil"/>
              <w:tr2bl w:val="nil"/>
            </w:tcBorders>
            <w:shd w:val="clear" w:color="auto" w:fill="auto"/>
            <w:noWrap/>
            <w:tcMar>
              <w:top w:w="15" w:type="dxa"/>
              <w:left w:w="15" w:type="dxa"/>
              <w:right w:w="15" w:type="dxa"/>
            </w:tcMar>
            <w:vAlign w:val="center"/>
          </w:tcPr>
          <w:p w14:paraId="60E998DA">
            <w:pPr>
              <w:widowControl/>
              <w:spacing w:line="240" w:lineRule="auto"/>
              <w:jc w:val="center"/>
              <w:textAlignment w:val="top"/>
              <w:rPr>
                <w:kern w:val="0"/>
                <w:sz w:val="21"/>
                <w:szCs w:val="21"/>
                <w:highlight w:val="none"/>
                <w:lang w:bidi="ar"/>
              </w:rPr>
            </w:pPr>
            <w:r>
              <w:rPr>
                <w:color w:val="000000"/>
                <w:kern w:val="0"/>
                <w:sz w:val="21"/>
                <w:szCs w:val="21"/>
                <w:highlight w:val="none"/>
                <w:lang w:bidi="ar"/>
              </w:rPr>
              <w:t>≤</w:t>
            </w:r>
            <w:r>
              <w:rPr>
                <w:rFonts w:hint="eastAsia"/>
                <w:color w:val="000000"/>
                <w:kern w:val="0"/>
                <w:sz w:val="21"/>
                <w:szCs w:val="21"/>
                <w:highlight w:val="none"/>
                <w:lang w:bidi="ar"/>
              </w:rPr>
              <w:t>5.00</w:t>
            </w:r>
          </w:p>
        </w:tc>
        <w:tc>
          <w:tcPr>
            <w:tcW w:w="499" w:type="pct"/>
            <w:tcBorders>
              <w:tl2br w:val="nil"/>
              <w:tr2bl w:val="nil"/>
            </w:tcBorders>
            <w:shd w:val="clear" w:color="auto" w:fill="auto"/>
            <w:noWrap/>
            <w:tcMar>
              <w:top w:w="15" w:type="dxa"/>
              <w:left w:w="15" w:type="dxa"/>
              <w:right w:w="15" w:type="dxa"/>
            </w:tcMar>
            <w:vAlign w:val="center"/>
          </w:tcPr>
          <w:p w14:paraId="31E1632E">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.00</w:t>
            </w:r>
            <w:r>
              <w:rPr>
                <w:rFonts w:hint="eastAsia"/>
                <w:sz w:val="21"/>
                <w:szCs w:val="21"/>
                <w:highlight w:val="none"/>
              </w:rPr>
              <w:t>5</w:t>
            </w:r>
          </w:p>
        </w:tc>
        <w:tc>
          <w:tcPr>
            <w:tcW w:w="570" w:type="pct"/>
            <w:tcBorders>
              <w:tl2br w:val="nil"/>
              <w:tr2bl w:val="nil"/>
            </w:tcBorders>
            <w:shd w:val="clear" w:color="auto" w:fill="auto"/>
            <w:noWrap/>
            <w:tcMar>
              <w:top w:w="15" w:type="dxa"/>
              <w:left w:w="15" w:type="dxa"/>
              <w:right w:w="15" w:type="dxa"/>
            </w:tcMar>
            <w:vAlign w:val="center"/>
          </w:tcPr>
          <w:p w14:paraId="5637558D">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7DF32E9E">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.00</w:t>
            </w:r>
            <w:r>
              <w:rPr>
                <w:rFonts w:hint="eastAsia"/>
                <w:sz w:val="21"/>
                <w:szCs w:val="21"/>
                <w:highlight w:val="none"/>
              </w:rPr>
              <w:t>8</w:t>
            </w:r>
          </w:p>
        </w:tc>
        <w:tc>
          <w:tcPr>
            <w:tcW w:w="570" w:type="pct"/>
            <w:tcBorders>
              <w:tl2br w:val="nil"/>
              <w:tr2bl w:val="nil"/>
            </w:tcBorders>
            <w:shd w:val="clear" w:color="auto" w:fill="auto"/>
            <w:noWrap/>
            <w:tcMar>
              <w:top w:w="15" w:type="dxa"/>
              <w:left w:w="15" w:type="dxa"/>
              <w:right w:w="15" w:type="dxa"/>
            </w:tcMar>
            <w:vAlign w:val="center"/>
          </w:tcPr>
          <w:p w14:paraId="17F6D0B6">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6DD176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401855A9">
            <w:pPr>
              <w:widowControl/>
              <w:spacing w:line="240" w:lineRule="auto"/>
              <w:jc w:val="center"/>
              <w:textAlignment w:val="center"/>
              <w:rPr>
                <w:sz w:val="21"/>
                <w:szCs w:val="21"/>
                <w:highlight w:val="none"/>
              </w:rPr>
            </w:pPr>
            <w:r>
              <w:rPr>
                <w:sz w:val="21"/>
                <w:szCs w:val="21"/>
                <w:highlight w:val="none"/>
              </w:rPr>
              <w:t>15</w:t>
            </w:r>
          </w:p>
        </w:tc>
        <w:tc>
          <w:tcPr>
            <w:tcW w:w="1531" w:type="pct"/>
            <w:tcBorders>
              <w:tl2br w:val="nil"/>
              <w:tr2bl w:val="nil"/>
            </w:tcBorders>
            <w:shd w:val="clear" w:color="auto" w:fill="auto"/>
            <w:noWrap/>
            <w:tcMar>
              <w:top w:w="15" w:type="dxa"/>
              <w:left w:w="15" w:type="dxa"/>
              <w:right w:w="15" w:type="dxa"/>
            </w:tcMar>
            <w:vAlign w:val="center"/>
          </w:tcPr>
          <w:p w14:paraId="698BB248">
            <w:pPr>
              <w:widowControl/>
              <w:spacing w:line="240" w:lineRule="auto"/>
              <w:jc w:val="center"/>
              <w:textAlignment w:val="center"/>
              <w:rPr>
                <w:sz w:val="21"/>
                <w:szCs w:val="21"/>
                <w:highlight w:val="none"/>
              </w:rPr>
            </w:pPr>
            <w:r>
              <w:rPr>
                <w:kern w:val="0"/>
                <w:sz w:val="21"/>
                <w:szCs w:val="21"/>
                <w:highlight w:val="none"/>
                <w:lang w:bidi="ar"/>
              </w:rPr>
              <w:t>砷</w:t>
            </w:r>
          </w:p>
        </w:tc>
        <w:tc>
          <w:tcPr>
            <w:tcW w:w="1034" w:type="pct"/>
            <w:tcBorders>
              <w:tl2br w:val="nil"/>
              <w:tr2bl w:val="nil"/>
            </w:tcBorders>
            <w:shd w:val="clear" w:color="auto" w:fill="auto"/>
            <w:noWrap/>
            <w:tcMar>
              <w:top w:w="15" w:type="dxa"/>
              <w:left w:w="15" w:type="dxa"/>
              <w:right w:w="15" w:type="dxa"/>
            </w:tcMar>
            <w:vAlign w:val="center"/>
          </w:tcPr>
          <w:p w14:paraId="36061EDB">
            <w:pPr>
              <w:widowControl/>
              <w:spacing w:line="240" w:lineRule="auto"/>
              <w:jc w:val="center"/>
              <w:textAlignment w:val="top"/>
              <w:rPr>
                <w:sz w:val="21"/>
                <w:szCs w:val="21"/>
                <w:highlight w:val="none"/>
              </w:rPr>
            </w:pPr>
            <w:r>
              <w:rPr>
                <w:color w:val="000000"/>
                <w:kern w:val="0"/>
                <w:sz w:val="21"/>
                <w:szCs w:val="21"/>
                <w:highlight w:val="none"/>
                <w:lang w:bidi="ar"/>
              </w:rPr>
              <w:t>≤</w:t>
            </w:r>
            <w:r>
              <w:rPr>
                <w:color w:val="000000"/>
                <w:kern w:val="0"/>
                <w:sz w:val="22"/>
                <w:szCs w:val="22"/>
                <w:highlight w:val="none"/>
                <w:lang w:bidi="ar"/>
              </w:rPr>
              <w:t>0.05</w:t>
            </w:r>
          </w:p>
        </w:tc>
        <w:tc>
          <w:tcPr>
            <w:tcW w:w="499" w:type="pct"/>
            <w:tcBorders>
              <w:tl2br w:val="nil"/>
              <w:tr2bl w:val="nil"/>
            </w:tcBorders>
            <w:shd w:val="clear" w:color="auto" w:fill="auto"/>
            <w:noWrap/>
            <w:tcMar>
              <w:top w:w="15" w:type="dxa"/>
              <w:left w:w="15" w:type="dxa"/>
              <w:right w:w="15" w:type="dxa"/>
            </w:tcMar>
            <w:vAlign w:val="center"/>
          </w:tcPr>
          <w:p w14:paraId="73705479">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.00</w:t>
            </w:r>
            <w:r>
              <w:rPr>
                <w:rFonts w:hint="eastAsia"/>
                <w:sz w:val="21"/>
                <w:szCs w:val="21"/>
                <w:highlight w:val="none"/>
              </w:rPr>
              <w:t>32</w:t>
            </w:r>
          </w:p>
        </w:tc>
        <w:tc>
          <w:tcPr>
            <w:tcW w:w="570" w:type="pct"/>
            <w:tcBorders>
              <w:tl2br w:val="nil"/>
              <w:tr2bl w:val="nil"/>
            </w:tcBorders>
            <w:shd w:val="clear" w:color="auto" w:fill="auto"/>
            <w:noWrap/>
            <w:tcMar>
              <w:top w:w="15" w:type="dxa"/>
              <w:left w:w="15" w:type="dxa"/>
              <w:right w:w="15" w:type="dxa"/>
            </w:tcMar>
            <w:vAlign w:val="center"/>
          </w:tcPr>
          <w:p w14:paraId="2C174917">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1B338425">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.00</w:t>
            </w:r>
            <w:r>
              <w:rPr>
                <w:rFonts w:hint="eastAsia"/>
                <w:sz w:val="21"/>
                <w:szCs w:val="21"/>
                <w:highlight w:val="none"/>
              </w:rPr>
              <w:t>1</w:t>
            </w:r>
            <w:r>
              <w:rPr>
                <w:sz w:val="21"/>
                <w:szCs w:val="21"/>
                <w:highlight w:val="none"/>
              </w:rPr>
              <w:t>3</w:t>
            </w:r>
          </w:p>
        </w:tc>
        <w:tc>
          <w:tcPr>
            <w:tcW w:w="570" w:type="pct"/>
            <w:tcBorders>
              <w:tl2br w:val="nil"/>
              <w:tr2bl w:val="nil"/>
            </w:tcBorders>
            <w:shd w:val="clear" w:color="auto" w:fill="auto"/>
            <w:noWrap/>
            <w:tcMar>
              <w:top w:w="15" w:type="dxa"/>
              <w:left w:w="15" w:type="dxa"/>
              <w:right w:w="15" w:type="dxa"/>
            </w:tcMar>
            <w:vAlign w:val="center"/>
          </w:tcPr>
          <w:p w14:paraId="5E0AA5F0">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r w14:paraId="55B7D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94" w:type="pct"/>
            <w:tcBorders>
              <w:tl2br w:val="nil"/>
              <w:tr2bl w:val="nil"/>
            </w:tcBorders>
            <w:shd w:val="clear" w:color="auto" w:fill="auto"/>
            <w:noWrap/>
            <w:tcMar>
              <w:top w:w="15" w:type="dxa"/>
              <w:left w:w="15" w:type="dxa"/>
              <w:right w:w="15" w:type="dxa"/>
            </w:tcMar>
            <w:vAlign w:val="center"/>
          </w:tcPr>
          <w:p w14:paraId="71329097">
            <w:pPr>
              <w:widowControl/>
              <w:spacing w:line="240" w:lineRule="auto"/>
              <w:jc w:val="center"/>
              <w:textAlignment w:val="center"/>
              <w:rPr>
                <w:sz w:val="21"/>
                <w:szCs w:val="21"/>
                <w:highlight w:val="none"/>
              </w:rPr>
            </w:pPr>
            <w:r>
              <w:rPr>
                <w:rFonts w:hint="eastAsia"/>
                <w:sz w:val="21"/>
                <w:szCs w:val="21"/>
                <w:highlight w:val="none"/>
              </w:rPr>
              <w:t>16</w:t>
            </w:r>
          </w:p>
        </w:tc>
        <w:tc>
          <w:tcPr>
            <w:tcW w:w="1531" w:type="pct"/>
            <w:tcBorders>
              <w:tl2br w:val="nil"/>
              <w:tr2bl w:val="nil"/>
            </w:tcBorders>
            <w:shd w:val="clear" w:color="auto" w:fill="auto"/>
            <w:noWrap/>
            <w:tcMar>
              <w:top w:w="15" w:type="dxa"/>
              <w:left w:w="15" w:type="dxa"/>
              <w:right w:w="15" w:type="dxa"/>
            </w:tcMar>
            <w:vAlign w:val="center"/>
          </w:tcPr>
          <w:p w14:paraId="422DD578">
            <w:pPr>
              <w:widowControl/>
              <w:spacing w:line="240" w:lineRule="auto"/>
              <w:jc w:val="center"/>
              <w:textAlignment w:val="center"/>
              <w:rPr>
                <w:sz w:val="21"/>
                <w:szCs w:val="21"/>
                <w:highlight w:val="none"/>
              </w:rPr>
            </w:pPr>
            <w:r>
              <w:rPr>
                <w:sz w:val="21"/>
                <w:szCs w:val="21"/>
                <w:highlight w:val="none"/>
              </w:rPr>
              <w:t>石油类</w:t>
            </w:r>
          </w:p>
        </w:tc>
        <w:tc>
          <w:tcPr>
            <w:tcW w:w="1034" w:type="pct"/>
            <w:tcBorders>
              <w:tl2br w:val="nil"/>
              <w:tr2bl w:val="nil"/>
            </w:tcBorders>
            <w:shd w:val="clear" w:color="auto" w:fill="auto"/>
            <w:noWrap/>
            <w:tcMar>
              <w:top w:w="15" w:type="dxa"/>
              <w:left w:w="15" w:type="dxa"/>
              <w:right w:w="15" w:type="dxa"/>
            </w:tcMar>
            <w:vAlign w:val="center"/>
          </w:tcPr>
          <w:p w14:paraId="56690055">
            <w:pPr>
              <w:widowControl/>
              <w:spacing w:line="240" w:lineRule="auto"/>
              <w:jc w:val="center"/>
              <w:textAlignment w:val="top"/>
              <w:rPr>
                <w:sz w:val="21"/>
                <w:szCs w:val="21"/>
                <w:highlight w:val="none"/>
              </w:rPr>
            </w:pPr>
            <w:r>
              <w:rPr>
                <w:color w:val="000000"/>
                <w:kern w:val="0"/>
                <w:sz w:val="21"/>
                <w:szCs w:val="21"/>
                <w:highlight w:val="none"/>
                <w:lang w:bidi="ar"/>
              </w:rPr>
              <w:t>≤0.5</w:t>
            </w:r>
          </w:p>
        </w:tc>
        <w:tc>
          <w:tcPr>
            <w:tcW w:w="499" w:type="pct"/>
            <w:tcBorders>
              <w:tl2br w:val="nil"/>
              <w:tr2bl w:val="nil"/>
            </w:tcBorders>
            <w:shd w:val="clear" w:color="auto" w:fill="auto"/>
            <w:noWrap/>
            <w:tcMar>
              <w:top w:w="15" w:type="dxa"/>
              <w:left w:w="15" w:type="dxa"/>
              <w:right w:w="15" w:type="dxa"/>
            </w:tcMar>
            <w:vAlign w:val="center"/>
          </w:tcPr>
          <w:p w14:paraId="09E5D1C7">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.0</w:t>
            </w:r>
            <w:r>
              <w:rPr>
                <w:rFonts w:hint="eastAsia"/>
                <w:sz w:val="21"/>
                <w:szCs w:val="21"/>
                <w:highlight w:val="none"/>
              </w:rPr>
              <w:t>5</w:t>
            </w:r>
          </w:p>
        </w:tc>
        <w:tc>
          <w:tcPr>
            <w:tcW w:w="570" w:type="pct"/>
            <w:tcBorders>
              <w:tl2br w:val="nil"/>
              <w:tr2bl w:val="nil"/>
            </w:tcBorders>
            <w:shd w:val="clear" w:color="auto" w:fill="auto"/>
            <w:noWrap/>
            <w:tcMar>
              <w:top w:w="15" w:type="dxa"/>
              <w:left w:w="15" w:type="dxa"/>
              <w:right w:w="15" w:type="dxa"/>
            </w:tcMar>
            <w:vAlign w:val="center"/>
          </w:tcPr>
          <w:p w14:paraId="3A216F11">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c>
          <w:tcPr>
            <w:tcW w:w="499" w:type="pct"/>
            <w:tcBorders>
              <w:tl2br w:val="nil"/>
              <w:tr2bl w:val="nil"/>
            </w:tcBorders>
            <w:shd w:val="clear" w:color="auto" w:fill="auto"/>
            <w:noWrap/>
            <w:tcMar>
              <w:top w:w="15" w:type="dxa"/>
              <w:left w:w="15" w:type="dxa"/>
              <w:right w:w="15" w:type="dxa"/>
            </w:tcMar>
            <w:vAlign w:val="center"/>
          </w:tcPr>
          <w:p w14:paraId="10B53FC9">
            <w:pPr>
              <w:widowControl/>
              <w:spacing w:line="240" w:lineRule="auto"/>
              <w:jc w:val="center"/>
              <w:textAlignment w:val="center"/>
              <w:rPr>
                <w:sz w:val="21"/>
                <w:szCs w:val="21"/>
                <w:highlight w:val="none"/>
              </w:rPr>
            </w:pPr>
            <w:r>
              <w:rPr>
                <w:rFonts w:hint="eastAsia"/>
                <w:sz w:val="21"/>
                <w:szCs w:val="21"/>
                <w:highlight w:val="none"/>
              </w:rPr>
              <w:t>0</w:t>
            </w:r>
            <w:r>
              <w:rPr>
                <w:sz w:val="21"/>
                <w:szCs w:val="21"/>
                <w:highlight w:val="none"/>
              </w:rPr>
              <w:t>.0</w:t>
            </w:r>
            <w:r>
              <w:rPr>
                <w:rFonts w:hint="eastAsia"/>
                <w:sz w:val="21"/>
                <w:szCs w:val="21"/>
                <w:highlight w:val="none"/>
              </w:rPr>
              <w:t>5</w:t>
            </w:r>
          </w:p>
        </w:tc>
        <w:tc>
          <w:tcPr>
            <w:tcW w:w="570" w:type="pct"/>
            <w:tcBorders>
              <w:tl2br w:val="nil"/>
              <w:tr2bl w:val="nil"/>
            </w:tcBorders>
            <w:shd w:val="clear" w:color="auto" w:fill="auto"/>
            <w:noWrap/>
            <w:tcMar>
              <w:top w:w="15" w:type="dxa"/>
              <w:left w:w="15" w:type="dxa"/>
              <w:right w:w="15" w:type="dxa"/>
            </w:tcMar>
            <w:vAlign w:val="center"/>
          </w:tcPr>
          <w:p w14:paraId="63F1593A">
            <w:pPr>
              <w:widowControl/>
              <w:spacing w:line="240" w:lineRule="auto"/>
              <w:jc w:val="center"/>
              <w:textAlignment w:val="center"/>
              <w:rPr>
                <w:kern w:val="0"/>
                <w:sz w:val="21"/>
                <w:szCs w:val="21"/>
                <w:highlight w:val="none"/>
                <w:lang w:bidi="ar"/>
              </w:rPr>
            </w:pPr>
            <w:r>
              <w:rPr>
                <w:color w:val="000000"/>
                <w:kern w:val="0"/>
                <w:sz w:val="21"/>
                <w:szCs w:val="21"/>
                <w:highlight w:val="none"/>
                <w:lang w:bidi="ar"/>
              </w:rPr>
              <w:t>达标</w:t>
            </w:r>
          </w:p>
        </w:tc>
      </w:tr>
    </w:tbl>
    <w:p w14:paraId="7C1CE61F">
      <w:pPr>
        <w:spacing w:line="240" w:lineRule="auto"/>
        <w:rPr>
          <w:rFonts w:hint="default"/>
          <w:b/>
          <w:bCs/>
          <w:sz w:val="18"/>
          <w:szCs w:val="18"/>
          <w:highlight w:val="none"/>
          <w:lang w:val="en-US" w:eastAsia="zh-CN"/>
        </w:rPr>
      </w:pPr>
      <w:bookmarkStart w:id="47" w:name="_Toc55399883"/>
      <w:r>
        <w:rPr>
          <w:rFonts w:hint="eastAsia"/>
          <w:b/>
          <w:bCs/>
          <w:sz w:val="18"/>
          <w:szCs w:val="18"/>
          <w:highlight w:val="none"/>
          <w:lang w:val="en-US" w:eastAsia="zh-CN"/>
        </w:rPr>
        <w:t>注：表格中阴影数值表示超标因子检测数据</w:t>
      </w:r>
    </w:p>
    <w:p w14:paraId="18B784AF">
      <w:pPr>
        <w:ind w:firstLine="482"/>
        <w:rPr>
          <w:rFonts w:hint="eastAsia" w:eastAsiaTheme="minorEastAsia"/>
          <w:highlight w:val="none"/>
          <w:lang w:eastAsia="zh-CN"/>
        </w:rPr>
      </w:pPr>
      <w:r>
        <w:rPr>
          <w:rFonts w:hint="eastAsia" w:eastAsiaTheme="minorEastAsia"/>
          <w:highlight w:val="none"/>
        </w:rPr>
        <w:t>由表可知，</w:t>
      </w:r>
      <w:r>
        <w:rPr>
          <w:rFonts w:hint="eastAsia"/>
          <w:highlight w:val="none"/>
        </w:rPr>
        <w:t>地下水监测点位中HH-W1样品总硬度和硫酸盐监测值不能满足</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14:textFill>
            <w14:solidFill>
              <w14:schemeClr w14:val="tx1"/>
            </w14:solidFill>
          </w14:textFill>
        </w:rPr>
        <w:t>，</w:t>
      </w:r>
      <w:r>
        <w:rPr>
          <w:rFonts w:hint="eastAsia"/>
          <w:highlight w:val="none"/>
        </w:rPr>
        <w:t>HH-W2样品锰监测值不能</w:t>
      </w:r>
      <w:r>
        <w:rPr>
          <w:rFonts w:hint="eastAsia"/>
          <w:highlight w:val="none"/>
          <w:lang w:val="en-US" w:eastAsia="zh-CN"/>
        </w:rPr>
        <w:t>满足</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14:textFill>
            <w14:solidFill>
              <w14:schemeClr w14:val="tx1"/>
            </w14:solidFill>
          </w14:textFill>
        </w:rPr>
        <w:t>要求，其它</w:t>
      </w:r>
      <w:r>
        <w:rPr>
          <w:highlight w:val="none"/>
        </w:rPr>
        <w:t>已检出污染物均满足</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14:textFill>
            <w14:solidFill>
              <w14:schemeClr w14:val="tx1"/>
            </w14:solidFill>
          </w14:textFill>
        </w:rPr>
        <w:t>和《地表水环境质量标准》（GB3838-2002）IV类标准限值要求</w:t>
      </w:r>
      <w:r>
        <w:rPr>
          <w:rFonts w:eastAsiaTheme="minorEastAsia"/>
          <w:highlight w:val="none"/>
        </w:rPr>
        <w:t>。</w:t>
      </w:r>
    </w:p>
    <w:p w14:paraId="2A3DEBE7">
      <w:pPr>
        <w:ind w:firstLine="482"/>
        <w:rPr>
          <w:rFonts w:eastAsiaTheme="minorEastAsia"/>
          <w:highlight w:val="none"/>
        </w:rPr>
      </w:pPr>
      <w:r>
        <w:rPr>
          <w:rFonts w:hint="eastAsia"/>
          <w:highlight w:val="none"/>
          <w:lang w:val="en-US" w:eastAsia="zh-CN"/>
        </w:rPr>
        <w:t>园区</w:t>
      </w:r>
      <w:r>
        <w:rPr>
          <w:highlight w:val="none"/>
        </w:rPr>
        <w:t>范围内水样超标因子主要为</w:t>
      </w:r>
      <w:r>
        <w:rPr>
          <w:rFonts w:hint="eastAsia"/>
          <w:highlight w:val="none"/>
        </w:rPr>
        <w:t>常规检测指标中的总硬度、硫酸盐、锰</w:t>
      </w:r>
      <w:r>
        <w:rPr>
          <w:highlight w:val="none"/>
        </w:rPr>
        <w:t>。结合全国地下水水质调查分析结果，湖北省第四系中、上更新统松散岩类孔隙含水层地下水受地质背景条件影响，铁、锰、总硬度含量较高，因此</w:t>
      </w:r>
      <w:r>
        <w:rPr>
          <w:rFonts w:hint="eastAsia"/>
          <w:highlight w:val="none"/>
          <w:lang w:eastAsia="zh-CN"/>
        </w:rPr>
        <w:t>园区调查范围</w:t>
      </w:r>
      <w:r>
        <w:rPr>
          <w:highlight w:val="none"/>
        </w:rPr>
        <w:t>地下水总硬度、</w:t>
      </w:r>
      <w:r>
        <w:rPr>
          <w:rFonts w:hint="eastAsia"/>
          <w:highlight w:val="none"/>
        </w:rPr>
        <w:t>锰</w:t>
      </w:r>
      <w:r>
        <w:rPr>
          <w:highlight w:val="none"/>
        </w:rPr>
        <w:t>超标可能与</w:t>
      </w:r>
      <w:r>
        <w:rPr>
          <w:rFonts w:hint="eastAsia"/>
          <w:highlight w:val="none"/>
          <w:lang w:eastAsia="zh-CN"/>
        </w:rPr>
        <w:t>园区所在区域</w:t>
      </w:r>
      <w:r>
        <w:rPr>
          <w:highlight w:val="none"/>
        </w:rPr>
        <w:t>地质背景条件相关。</w:t>
      </w:r>
      <w:r>
        <w:rPr>
          <w:rFonts w:hint="eastAsia"/>
          <w:highlight w:val="none"/>
        </w:rPr>
        <w:t>送检样品的硫酸盐监测值超标倍数为2.0，</w:t>
      </w:r>
      <w:r>
        <w:rPr>
          <w:rFonts w:hint="eastAsia"/>
          <w:highlight w:val="none"/>
          <w:lang w:val="en-US" w:eastAsia="zh-CN"/>
        </w:rPr>
        <w:t>由于</w:t>
      </w:r>
      <w:r>
        <w:rPr>
          <w:rFonts w:hint="eastAsia"/>
          <w:highlight w:val="none"/>
        </w:rPr>
        <w:t>自然界中硫酸盐主要为Ca</w:t>
      </w:r>
      <w:r>
        <w:rPr>
          <w:rFonts w:hint="eastAsia"/>
          <w:highlight w:val="none"/>
          <w:vertAlign w:val="superscript"/>
        </w:rPr>
        <w:t>2+</w:t>
      </w:r>
      <w:r>
        <w:rPr>
          <w:rFonts w:hint="eastAsia"/>
          <w:highlight w:val="none"/>
        </w:rPr>
        <w:t>、Cu</w:t>
      </w:r>
      <w:r>
        <w:rPr>
          <w:rFonts w:hint="eastAsia"/>
          <w:highlight w:val="none"/>
          <w:vertAlign w:val="superscript"/>
        </w:rPr>
        <w:t>2+</w:t>
      </w:r>
      <w:r>
        <w:rPr>
          <w:rFonts w:hint="eastAsia"/>
          <w:highlight w:val="none"/>
        </w:rPr>
        <w:t>、Ba</w:t>
      </w:r>
      <w:r>
        <w:rPr>
          <w:rFonts w:hint="eastAsia"/>
          <w:highlight w:val="none"/>
          <w:vertAlign w:val="superscript"/>
        </w:rPr>
        <w:t>2+</w:t>
      </w:r>
      <w:r>
        <w:rPr>
          <w:rFonts w:hint="eastAsia"/>
          <w:highlight w:val="none"/>
        </w:rPr>
        <w:t>、Mg</w:t>
      </w:r>
      <w:r>
        <w:rPr>
          <w:rFonts w:hint="eastAsia"/>
          <w:highlight w:val="none"/>
          <w:vertAlign w:val="superscript"/>
        </w:rPr>
        <w:t>2+</w:t>
      </w:r>
      <w:r>
        <w:rPr>
          <w:rFonts w:hint="eastAsia"/>
          <w:highlight w:val="none"/>
        </w:rPr>
        <w:t>、Fe</w:t>
      </w:r>
      <w:r>
        <w:rPr>
          <w:rFonts w:hint="eastAsia"/>
          <w:highlight w:val="none"/>
          <w:vertAlign w:val="superscript"/>
        </w:rPr>
        <w:t>3+</w:t>
      </w:r>
      <w:r>
        <w:rPr>
          <w:rFonts w:hint="eastAsia"/>
          <w:highlight w:val="none"/>
        </w:rPr>
        <w:t>、Al</w:t>
      </w:r>
      <w:r>
        <w:rPr>
          <w:rFonts w:hint="eastAsia"/>
          <w:highlight w:val="none"/>
          <w:vertAlign w:val="superscript"/>
        </w:rPr>
        <w:t>3+</w:t>
      </w:r>
      <w:r>
        <w:rPr>
          <w:rFonts w:hint="eastAsia"/>
          <w:highlight w:val="none"/>
        </w:rPr>
        <w:t>、Sr</w:t>
      </w:r>
      <w:r>
        <w:rPr>
          <w:rFonts w:hint="eastAsia"/>
          <w:highlight w:val="none"/>
          <w:vertAlign w:val="superscript"/>
        </w:rPr>
        <w:t>2+</w:t>
      </w:r>
      <w:r>
        <w:rPr>
          <w:rFonts w:hint="eastAsia"/>
          <w:highlight w:val="none"/>
        </w:rPr>
        <w:t>、Pb</w:t>
      </w:r>
      <w:r>
        <w:rPr>
          <w:rFonts w:hint="eastAsia"/>
          <w:highlight w:val="none"/>
          <w:vertAlign w:val="superscript"/>
        </w:rPr>
        <w:t>2+</w:t>
      </w:r>
      <w:r>
        <w:rPr>
          <w:rFonts w:hint="eastAsia"/>
          <w:highlight w:val="none"/>
        </w:rPr>
        <w:t>、Na</w:t>
      </w:r>
      <w:r>
        <w:rPr>
          <w:rFonts w:hint="eastAsia"/>
          <w:highlight w:val="none"/>
          <w:vertAlign w:val="superscript"/>
        </w:rPr>
        <w:t>+</w:t>
      </w:r>
      <w:r>
        <w:rPr>
          <w:rFonts w:hint="eastAsia"/>
          <w:highlight w:val="none"/>
        </w:rPr>
        <w:t>、Ba</w:t>
      </w:r>
      <w:r>
        <w:rPr>
          <w:rFonts w:hint="eastAsia"/>
          <w:highlight w:val="none"/>
          <w:vertAlign w:val="superscript"/>
        </w:rPr>
        <w:t>2+</w:t>
      </w:r>
      <w:r>
        <w:rPr>
          <w:rFonts w:hint="eastAsia"/>
          <w:highlight w:val="none"/>
        </w:rPr>
        <w:t>、K</w:t>
      </w:r>
      <w:r>
        <w:rPr>
          <w:rFonts w:hint="eastAsia"/>
          <w:highlight w:val="none"/>
          <w:vertAlign w:val="superscript"/>
        </w:rPr>
        <w:t>+</w:t>
      </w:r>
      <w:r>
        <w:rPr>
          <w:rFonts w:hint="eastAsia"/>
          <w:highlight w:val="none"/>
        </w:rPr>
        <w:t>等</w:t>
      </w:r>
      <w:r>
        <w:rPr>
          <w:rFonts w:hint="eastAsia"/>
          <w:highlight w:val="none"/>
          <w:lang w:val="en-US" w:eastAsia="zh-CN"/>
        </w:rPr>
        <w:t>盐类</w:t>
      </w:r>
      <w:r>
        <w:rPr>
          <w:rFonts w:hint="eastAsia"/>
          <w:highlight w:val="none"/>
        </w:rPr>
        <w:t>，根据重金属监测结果，区域硫酸盐可能多为Ca</w:t>
      </w:r>
      <w:r>
        <w:rPr>
          <w:rFonts w:hint="eastAsia"/>
          <w:highlight w:val="none"/>
          <w:vertAlign w:val="superscript"/>
        </w:rPr>
        <w:t>2+</w:t>
      </w:r>
      <w:r>
        <w:rPr>
          <w:rFonts w:hint="eastAsia"/>
          <w:highlight w:val="none"/>
        </w:rPr>
        <w:t>、Mg</w:t>
      </w:r>
      <w:r>
        <w:rPr>
          <w:rFonts w:hint="eastAsia"/>
          <w:highlight w:val="none"/>
          <w:vertAlign w:val="superscript"/>
        </w:rPr>
        <w:t>2+</w:t>
      </w:r>
      <w:r>
        <w:rPr>
          <w:rFonts w:hint="eastAsia"/>
          <w:highlight w:val="none"/>
        </w:rPr>
        <w:t>、K</w:t>
      </w:r>
      <w:r>
        <w:rPr>
          <w:rFonts w:hint="eastAsia"/>
          <w:highlight w:val="none"/>
          <w:vertAlign w:val="superscript"/>
        </w:rPr>
        <w:t>+</w:t>
      </w:r>
      <w:r>
        <w:rPr>
          <w:rFonts w:hint="eastAsia"/>
          <w:highlight w:val="none"/>
        </w:rPr>
        <w:t>、Na</w:t>
      </w:r>
      <w:r>
        <w:rPr>
          <w:rFonts w:hint="eastAsia"/>
          <w:highlight w:val="none"/>
          <w:vertAlign w:val="superscript"/>
        </w:rPr>
        <w:t>+</w:t>
      </w:r>
      <w:r>
        <w:rPr>
          <w:rFonts w:hint="eastAsia"/>
          <w:highlight w:val="none"/>
        </w:rPr>
        <w:t>等</w:t>
      </w:r>
      <w:r>
        <w:rPr>
          <w:rFonts w:hint="eastAsia"/>
          <w:highlight w:val="none"/>
          <w:lang w:val="en-US" w:eastAsia="zh-CN"/>
        </w:rPr>
        <w:t>盐类</w:t>
      </w:r>
      <w:r>
        <w:rPr>
          <w:rFonts w:hint="eastAsia"/>
          <w:highlight w:val="none"/>
        </w:rPr>
        <w:t>，较为常见，对人体健康风险影响较小</w:t>
      </w:r>
      <w:r>
        <w:rPr>
          <w:rFonts w:hint="eastAsia"/>
          <w:highlight w:val="none"/>
          <w:lang w:eastAsia="zh-CN"/>
        </w:rPr>
        <w:t>，</w:t>
      </w:r>
      <w:r>
        <w:rPr>
          <w:rFonts w:hint="eastAsia"/>
          <w:highlight w:val="none"/>
          <w:lang w:val="en-US" w:eastAsia="zh-CN"/>
        </w:rPr>
        <w:t>但考虑到本次调查的地下水样品部分指标检测值已超过了</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因此不建议作为生活饮用水使用</w:t>
      </w:r>
      <w:r>
        <w:rPr>
          <w:rFonts w:hint="eastAsia"/>
          <w:highlight w:val="none"/>
        </w:rPr>
        <w:t>。</w:t>
      </w:r>
    </w:p>
    <w:p w14:paraId="786A1744">
      <w:pPr>
        <w:pStyle w:val="4"/>
        <w:tabs>
          <w:tab w:val="clear" w:pos="425"/>
        </w:tabs>
        <w:rPr>
          <w:highlight w:val="none"/>
        </w:rPr>
      </w:pPr>
      <w:bookmarkStart w:id="48" w:name="_Toc18799"/>
      <w:r>
        <w:rPr>
          <w:highlight w:val="none"/>
        </w:rPr>
        <w:t>土壤环境质量评价</w:t>
      </w:r>
      <w:bookmarkEnd w:id="48"/>
    </w:p>
    <w:p w14:paraId="109AF6A1">
      <w:pPr>
        <w:pStyle w:val="5"/>
        <w:tabs>
          <w:tab w:val="left" w:pos="425"/>
        </w:tabs>
        <w:rPr>
          <w:highlight w:val="none"/>
        </w:rPr>
      </w:pPr>
      <w:r>
        <w:rPr>
          <w:highlight w:val="none"/>
        </w:rPr>
        <w:t>污染指数</w:t>
      </w:r>
    </w:p>
    <w:p w14:paraId="5AEC7645">
      <w:pPr>
        <w:pStyle w:val="2"/>
        <w:tabs>
          <w:tab w:val="center" w:pos="4855"/>
          <w:tab w:val="left" w:pos="7572"/>
        </w:tabs>
        <w:spacing w:after="0"/>
        <w:ind w:firstLine="480" w:firstLineChars="200"/>
        <w:jc w:val="left"/>
        <w:rPr>
          <w:highlight w:val="none"/>
        </w:rPr>
      </w:pPr>
      <w:r>
        <w:rPr>
          <w:highlight w:val="none"/>
        </w:rPr>
        <w:t>由于本次工业园周边调查</w:t>
      </w:r>
      <w:r>
        <w:rPr>
          <w:rFonts w:hint="eastAsia"/>
          <w:highlight w:val="none"/>
        </w:rPr>
        <w:t>土壤</w:t>
      </w:r>
      <w:r>
        <w:rPr>
          <w:highlight w:val="none"/>
        </w:rPr>
        <w:t>未出现超标情况，故只对已检出的污染项目进行土壤单项污染指数分析。各项污染物项目单项污染指数见表5-4-1。</w:t>
      </w:r>
    </w:p>
    <w:p w14:paraId="6574DD42">
      <w:pPr>
        <w:pStyle w:val="2"/>
        <w:tabs>
          <w:tab w:val="center" w:pos="4855"/>
          <w:tab w:val="left" w:pos="7572"/>
        </w:tabs>
        <w:spacing w:after="0"/>
        <w:ind w:firstLine="480" w:firstLineChars="200"/>
        <w:jc w:val="left"/>
        <w:rPr>
          <w:highlight w:val="none"/>
        </w:rPr>
      </w:pPr>
    </w:p>
    <w:p w14:paraId="2997EDC8">
      <w:pPr>
        <w:pStyle w:val="2"/>
        <w:spacing w:after="0"/>
        <w:ind w:firstLine="420"/>
        <w:rPr>
          <w:highlight w:val="none"/>
        </w:rPr>
        <w:sectPr>
          <w:headerReference r:id="rId20"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p>
    <w:p w14:paraId="1E475EED">
      <w:pPr>
        <w:pStyle w:val="2"/>
        <w:spacing w:before="165" w:beforeLines="50" w:after="0" w:line="240" w:lineRule="auto"/>
        <w:jc w:val="center"/>
        <w:rPr>
          <w:highlight w:val="none"/>
        </w:rPr>
      </w:pPr>
      <w:r>
        <w:rPr>
          <w:rFonts w:eastAsia="黑体"/>
          <w:b/>
          <w:bCs/>
          <w:highlight w:val="none"/>
        </w:rPr>
        <w:t>表5-4-1 土壤单项污染指数表</w:t>
      </w:r>
    </w:p>
    <w:tbl>
      <w:tblPr>
        <w:tblStyle w:val="2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23"/>
        <w:gridCol w:w="1526"/>
        <w:gridCol w:w="1425"/>
        <w:gridCol w:w="993"/>
        <w:gridCol w:w="993"/>
        <w:gridCol w:w="993"/>
        <w:gridCol w:w="993"/>
        <w:gridCol w:w="993"/>
        <w:gridCol w:w="993"/>
        <w:gridCol w:w="993"/>
        <w:gridCol w:w="993"/>
        <w:gridCol w:w="955"/>
        <w:gridCol w:w="2015"/>
      </w:tblGrid>
      <w:tr w14:paraId="21B1D1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8" w:hRule="atLeast"/>
          <w:tblHeader/>
          <w:jc w:val="center"/>
        </w:trPr>
        <w:tc>
          <w:tcPr>
            <w:tcW w:w="248" w:type="pct"/>
            <w:tcBorders>
              <w:bottom w:val="single" w:color="auto" w:sz="12" w:space="0"/>
            </w:tcBorders>
            <w:shd w:val="clear" w:color="auto" w:fill="auto"/>
            <w:noWrap/>
            <w:tcMar>
              <w:top w:w="15" w:type="dxa"/>
              <w:left w:w="15" w:type="dxa"/>
              <w:right w:w="15" w:type="dxa"/>
            </w:tcMar>
            <w:vAlign w:val="center"/>
          </w:tcPr>
          <w:p w14:paraId="7F610FDC">
            <w:pPr>
              <w:widowControl/>
              <w:spacing w:line="240" w:lineRule="auto"/>
              <w:jc w:val="center"/>
              <w:textAlignment w:val="center"/>
              <w:rPr>
                <w:b/>
                <w:color w:val="000000"/>
                <w:sz w:val="21"/>
                <w:szCs w:val="21"/>
                <w:highlight w:val="none"/>
              </w:rPr>
            </w:pPr>
            <w:r>
              <w:rPr>
                <w:b/>
                <w:color w:val="000000"/>
                <w:kern w:val="0"/>
                <w:sz w:val="21"/>
                <w:szCs w:val="21"/>
                <w:highlight w:val="none"/>
                <w:lang w:bidi="ar"/>
              </w:rPr>
              <w:t>序号</w:t>
            </w:r>
          </w:p>
        </w:tc>
        <w:tc>
          <w:tcPr>
            <w:tcW w:w="522" w:type="pct"/>
            <w:tcBorders>
              <w:bottom w:val="single" w:color="auto" w:sz="12" w:space="0"/>
            </w:tcBorders>
            <w:shd w:val="clear" w:color="auto" w:fill="auto"/>
            <w:noWrap/>
            <w:tcMar>
              <w:top w:w="15" w:type="dxa"/>
              <w:left w:w="15" w:type="dxa"/>
              <w:right w:w="15" w:type="dxa"/>
            </w:tcMar>
            <w:vAlign w:val="center"/>
          </w:tcPr>
          <w:p w14:paraId="3FA014C0">
            <w:pPr>
              <w:widowControl/>
              <w:spacing w:line="240" w:lineRule="auto"/>
              <w:jc w:val="center"/>
              <w:textAlignment w:val="center"/>
              <w:rPr>
                <w:b/>
                <w:color w:val="000000"/>
                <w:sz w:val="21"/>
                <w:szCs w:val="21"/>
                <w:highlight w:val="none"/>
              </w:rPr>
            </w:pPr>
            <w:r>
              <w:rPr>
                <w:b/>
                <w:color w:val="000000"/>
                <w:kern w:val="0"/>
                <w:sz w:val="21"/>
                <w:szCs w:val="21"/>
                <w:highlight w:val="none"/>
                <w:lang w:bidi="ar"/>
              </w:rPr>
              <w:t>样品编号</w:t>
            </w:r>
          </w:p>
        </w:tc>
        <w:tc>
          <w:tcPr>
            <w:tcW w:w="488" w:type="pct"/>
            <w:tcBorders>
              <w:bottom w:val="single" w:color="auto" w:sz="12" w:space="0"/>
            </w:tcBorders>
            <w:shd w:val="clear" w:color="auto" w:fill="auto"/>
            <w:noWrap/>
            <w:tcMar>
              <w:top w:w="15" w:type="dxa"/>
              <w:left w:w="15" w:type="dxa"/>
              <w:right w:w="15" w:type="dxa"/>
            </w:tcMar>
            <w:vAlign w:val="center"/>
          </w:tcPr>
          <w:p w14:paraId="4723ACD4">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总氟化物</w:t>
            </w:r>
          </w:p>
        </w:tc>
        <w:tc>
          <w:tcPr>
            <w:tcW w:w="340" w:type="pct"/>
            <w:tcBorders>
              <w:bottom w:val="single" w:color="auto" w:sz="12" w:space="0"/>
            </w:tcBorders>
            <w:shd w:val="clear" w:color="auto" w:fill="auto"/>
            <w:noWrap/>
            <w:tcMar>
              <w:top w:w="15" w:type="dxa"/>
              <w:left w:w="15" w:type="dxa"/>
              <w:right w:w="15" w:type="dxa"/>
            </w:tcMar>
            <w:vAlign w:val="center"/>
          </w:tcPr>
          <w:p w14:paraId="6C25474A">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铅</w:t>
            </w:r>
          </w:p>
        </w:tc>
        <w:tc>
          <w:tcPr>
            <w:tcW w:w="340" w:type="pct"/>
            <w:tcBorders>
              <w:bottom w:val="single" w:color="auto" w:sz="12" w:space="0"/>
            </w:tcBorders>
            <w:shd w:val="clear" w:color="auto" w:fill="auto"/>
            <w:noWrap/>
            <w:tcMar>
              <w:top w:w="15" w:type="dxa"/>
              <w:left w:w="15" w:type="dxa"/>
              <w:right w:w="15" w:type="dxa"/>
            </w:tcMar>
            <w:vAlign w:val="center"/>
          </w:tcPr>
          <w:p w14:paraId="78978A5E">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汞</w:t>
            </w:r>
          </w:p>
        </w:tc>
        <w:tc>
          <w:tcPr>
            <w:tcW w:w="340" w:type="pct"/>
            <w:tcBorders>
              <w:bottom w:val="single" w:color="auto" w:sz="12" w:space="0"/>
            </w:tcBorders>
            <w:shd w:val="clear" w:color="auto" w:fill="auto"/>
            <w:noWrap/>
            <w:tcMar>
              <w:top w:w="15" w:type="dxa"/>
              <w:left w:w="15" w:type="dxa"/>
              <w:right w:w="15" w:type="dxa"/>
            </w:tcMar>
            <w:vAlign w:val="center"/>
          </w:tcPr>
          <w:p w14:paraId="67BB848C">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镉</w:t>
            </w:r>
          </w:p>
        </w:tc>
        <w:tc>
          <w:tcPr>
            <w:tcW w:w="340" w:type="pct"/>
            <w:tcBorders>
              <w:bottom w:val="single" w:color="auto" w:sz="12" w:space="0"/>
            </w:tcBorders>
            <w:shd w:val="clear" w:color="auto" w:fill="auto"/>
            <w:noWrap/>
            <w:tcMar>
              <w:top w:w="15" w:type="dxa"/>
              <w:left w:w="15" w:type="dxa"/>
              <w:right w:w="15" w:type="dxa"/>
            </w:tcMar>
            <w:vAlign w:val="center"/>
          </w:tcPr>
          <w:p w14:paraId="1910BE3F">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铜</w:t>
            </w:r>
          </w:p>
        </w:tc>
        <w:tc>
          <w:tcPr>
            <w:tcW w:w="340" w:type="pct"/>
            <w:tcBorders>
              <w:bottom w:val="single" w:color="auto" w:sz="12" w:space="0"/>
            </w:tcBorders>
            <w:shd w:val="clear" w:color="auto" w:fill="auto"/>
            <w:noWrap/>
            <w:tcMar>
              <w:top w:w="15" w:type="dxa"/>
              <w:left w:w="15" w:type="dxa"/>
              <w:right w:w="15" w:type="dxa"/>
            </w:tcMar>
            <w:vAlign w:val="center"/>
          </w:tcPr>
          <w:p w14:paraId="4A046FA4">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镍</w:t>
            </w:r>
          </w:p>
        </w:tc>
        <w:tc>
          <w:tcPr>
            <w:tcW w:w="340" w:type="pct"/>
            <w:tcBorders>
              <w:bottom w:val="single" w:color="auto" w:sz="12" w:space="0"/>
            </w:tcBorders>
            <w:shd w:val="clear" w:color="auto" w:fill="auto"/>
            <w:noWrap/>
            <w:tcMar>
              <w:top w:w="15" w:type="dxa"/>
              <w:left w:w="15" w:type="dxa"/>
              <w:right w:w="15" w:type="dxa"/>
            </w:tcMar>
            <w:vAlign w:val="center"/>
          </w:tcPr>
          <w:p w14:paraId="2B36EE02">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铬</w:t>
            </w:r>
          </w:p>
        </w:tc>
        <w:tc>
          <w:tcPr>
            <w:tcW w:w="340" w:type="pct"/>
            <w:tcBorders>
              <w:bottom w:val="single" w:color="auto" w:sz="12" w:space="0"/>
            </w:tcBorders>
            <w:shd w:val="clear" w:color="auto" w:fill="auto"/>
            <w:noWrap/>
            <w:tcMar>
              <w:top w:w="15" w:type="dxa"/>
              <w:left w:w="15" w:type="dxa"/>
              <w:right w:w="15" w:type="dxa"/>
            </w:tcMar>
            <w:vAlign w:val="center"/>
          </w:tcPr>
          <w:p w14:paraId="065D9B5B">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锌</w:t>
            </w:r>
          </w:p>
        </w:tc>
        <w:tc>
          <w:tcPr>
            <w:tcW w:w="340" w:type="pct"/>
            <w:tcBorders>
              <w:bottom w:val="single" w:color="auto" w:sz="12" w:space="0"/>
            </w:tcBorders>
            <w:shd w:val="clear" w:color="auto" w:fill="auto"/>
            <w:noWrap/>
            <w:tcMar>
              <w:top w:w="15" w:type="dxa"/>
              <w:left w:w="15" w:type="dxa"/>
              <w:right w:w="15" w:type="dxa"/>
            </w:tcMar>
            <w:vAlign w:val="center"/>
          </w:tcPr>
          <w:p w14:paraId="505DF71A">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砷</w:t>
            </w:r>
          </w:p>
        </w:tc>
        <w:tc>
          <w:tcPr>
            <w:tcW w:w="327" w:type="pct"/>
            <w:tcBorders>
              <w:bottom w:val="single" w:color="auto" w:sz="12" w:space="0"/>
            </w:tcBorders>
            <w:vAlign w:val="center"/>
          </w:tcPr>
          <w:p w14:paraId="0C0A89ED">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锑</w:t>
            </w:r>
          </w:p>
        </w:tc>
        <w:tc>
          <w:tcPr>
            <w:tcW w:w="690" w:type="pct"/>
            <w:tcBorders>
              <w:bottom w:val="single" w:color="auto" w:sz="12" w:space="0"/>
            </w:tcBorders>
            <w:shd w:val="clear" w:color="auto" w:fill="auto"/>
            <w:noWrap/>
            <w:tcMar>
              <w:top w:w="15" w:type="dxa"/>
              <w:left w:w="15" w:type="dxa"/>
              <w:right w:w="15" w:type="dxa"/>
            </w:tcMar>
            <w:vAlign w:val="center"/>
          </w:tcPr>
          <w:p w14:paraId="573759E4">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石油烃（C</w:t>
            </w:r>
            <w:r>
              <w:rPr>
                <w:rFonts w:hint="eastAsia"/>
                <w:b/>
                <w:color w:val="000000"/>
                <w:kern w:val="0"/>
                <w:sz w:val="21"/>
                <w:szCs w:val="21"/>
                <w:highlight w:val="none"/>
                <w:vertAlign w:val="subscript"/>
                <w:lang w:bidi="ar"/>
              </w:rPr>
              <w:t>10</w:t>
            </w:r>
            <w:r>
              <w:rPr>
                <w:rFonts w:hint="eastAsia"/>
                <w:b/>
                <w:color w:val="000000"/>
                <w:kern w:val="0"/>
                <w:sz w:val="21"/>
                <w:szCs w:val="21"/>
                <w:highlight w:val="none"/>
                <w:lang w:bidi="ar"/>
              </w:rPr>
              <w:t>-C</w:t>
            </w:r>
            <w:r>
              <w:rPr>
                <w:rFonts w:hint="eastAsia"/>
                <w:b/>
                <w:color w:val="000000"/>
                <w:kern w:val="0"/>
                <w:sz w:val="21"/>
                <w:szCs w:val="21"/>
                <w:highlight w:val="none"/>
                <w:vertAlign w:val="subscript"/>
                <w:lang w:bidi="ar"/>
              </w:rPr>
              <w:t>40</w:t>
            </w:r>
            <w:r>
              <w:rPr>
                <w:rFonts w:hint="eastAsia"/>
                <w:b/>
                <w:color w:val="000000"/>
                <w:kern w:val="0"/>
                <w:sz w:val="21"/>
                <w:szCs w:val="21"/>
                <w:highlight w:val="none"/>
                <w:lang w:bidi="ar"/>
              </w:rPr>
              <w:t>）</w:t>
            </w:r>
          </w:p>
        </w:tc>
      </w:tr>
      <w:tr w14:paraId="29C187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48" w:type="pct"/>
            <w:tcBorders>
              <w:top w:val="single" w:color="auto" w:sz="12" w:space="0"/>
              <w:tl2br w:val="nil"/>
              <w:tr2bl w:val="nil"/>
            </w:tcBorders>
            <w:shd w:val="clear" w:color="auto" w:fill="auto"/>
            <w:noWrap/>
            <w:tcMar>
              <w:top w:w="15" w:type="dxa"/>
              <w:left w:w="15" w:type="dxa"/>
              <w:right w:w="15" w:type="dxa"/>
            </w:tcMar>
            <w:vAlign w:val="center"/>
          </w:tcPr>
          <w:p w14:paraId="4EAAE7FC">
            <w:pPr>
              <w:widowControl/>
              <w:spacing w:line="240" w:lineRule="auto"/>
              <w:jc w:val="center"/>
              <w:textAlignment w:val="center"/>
              <w:rPr>
                <w:color w:val="000000"/>
                <w:sz w:val="21"/>
                <w:szCs w:val="21"/>
                <w:highlight w:val="none"/>
              </w:rPr>
            </w:pPr>
            <w:r>
              <w:rPr>
                <w:color w:val="000000"/>
                <w:kern w:val="0"/>
                <w:sz w:val="21"/>
                <w:szCs w:val="21"/>
                <w:highlight w:val="none"/>
                <w:lang w:bidi="ar"/>
              </w:rPr>
              <w:t>1</w:t>
            </w:r>
          </w:p>
        </w:tc>
        <w:tc>
          <w:tcPr>
            <w:tcW w:w="522" w:type="pct"/>
            <w:tcBorders>
              <w:top w:val="single" w:color="auto" w:sz="12" w:space="0"/>
              <w:tl2br w:val="nil"/>
              <w:tr2bl w:val="nil"/>
            </w:tcBorders>
            <w:shd w:val="clear" w:color="auto" w:fill="auto"/>
            <w:noWrap/>
            <w:tcMar>
              <w:top w:w="15" w:type="dxa"/>
              <w:left w:w="15" w:type="dxa"/>
              <w:right w:w="15" w:type="dxa"/>
            </w:tcMar>
            <w:vAlign w:val="bottom"/>
          </w:tcPr>
          <w:p w14:paraId="416DECB9">
            <w:pPr>
              <w:widowControl/>
              <w:spacing w:line="240" w:lineRule="auto"/>
              <w:jc w:val="center"/>
              <w:textAlignment w:val="center"/>
              <w:rPr>
                <w:color w:val="000000"/>
                <w:sz w:val="21"/>
                <w:szCs w:val="21"/>
                <w:highlight w:val="none"/>
              </w:rPr>
            </w:pPr>
            <w:r>
              <w:rPr>
                <w:color w:val="000000"/>
                <w:kern w:val="0"/>
                <w:sz w:val="21"/>
                <w:szCs w:val="21"/>
                <w:highlight w:val="none"/>
                <w:lang w:bidi="ar"/>
              </w:rPr>
              <w:t>HH-1-75</w:t>
            </w:r>
          </w:p>
        </w:tc>
        <w:tc>
          <w:tcPr>
            <w:tcW w:w="488" w:type="pct"/>
            <w:tcBorders>
              <w:top w:val="single" w:color="auto" w:sz="12" w:space="0"/>
              <w:tl2br w:val="nil"/>
              <w:tr2bl w:val="nil"/>
            </w:tcBorders>
            <w:shd w:val="clear" w:color="auto" w:fill="auto"/>
            <w:noWrap/>
            <w:tcMar>
              <w:top w:w="15" w:type="dxa"/>
              <w:left w:w="15" w:type="dxa"/>
              <w:right w:w="15" w:type="dxa"/>
            </w:tcMar>
            <w:vAlign w:val="center"/>
          </w:tcPr>
          <w:p w14:paraId="49DF6071">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0.3306 </w:t>
            </w:r>
          </w:p>
        </w:tc>
        <w:tc>
          <w:tcPr>
            <w:tcW w:w="340" w:type="pct"/>
            <w:tcBorders>
              <w:top w:val="single" w:color="auto" w:sz="12" w:space="0"/>
              <w:tl2br w:val="nil"/>
              <w:tr2bl w:val="nil"/>
            </w:tcBorders>
            <w:shd w:val="clear" w:color="auto" w:fill="auto"/>
            <w:noWrap/>
            <w:tcMar>
              <w:top w:w="15" w:type="dxa"/>
              <w:left w:w="15" w:type="dxa"/>
              <w:right w:w="15" w:type="dxa"/>
            </w:tcMar>
            <w:vAlign w:val="center"/>
          </w:tcPr>
          <w:p w14:paraId="47346D24">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0.1035 </w:t>
            </w:r>
          </w:p>
        </w:tc>
        <w:tc>
          <w:tcPr>
            <w:tcW w:w="340" w:type="pct"/>
            <w:tcBorders>
              <w:top w:val="single" w:color="auto" w:sz="12" w:space="0"/>
              <w:tl2br w:val="nil"/>
              <w:tr2bl w:val="nil"/>
            </w:tcBorders>
            <w:shd w:val="clear" w:color="auto" w:fill="auto"/>
            <w:noWrap/>
            <w:tcMar>
              <w:top w:w="15" w:type="dxa"/>
              <w:left w:w="15" w:type="dxa"/>
              <w:right w:w="15" w:type="dxa"/>
            </w:tcMar>
            <w:vAlign w:val="center"/>
          </w:tcPr>
          <w:p w14:paraId="28CCEE57">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0.0113 </w:t>
            </w:r>
          </w:p>
        </w:tc>
        <w:tc>
          <w:tcPr>
            <w:tcW w:w="340" w:type="pct"/>
            <w:tcBorders>
              <w:top w:val="single" w:color="auto" w:sz="12" w:space="0"/>
              <w:tl2br w:val="nil"/>
              <w:tr2bl w:val="nil"/>
            </w:tcBorders>
            <w:shd w:val="clear" w:color="auto" w:fill="auto"/>
            <w:noWrap/>
            <w:tcMar>
              <w:top w:w="15" w:type="dxa"/>
              <w:left w:w="15" w:type="dxa"/>
              <w:right w:w="15" w:type="dxa"/>
            </w:tcMar>
            <w:vAlign w:val="center"/>
          </w:tcPr>
          <w:p w14:paraId="2921C858">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0.0015 </w:t>
            </w:r>
          </w:p>
        </w:tc>
        <w:tc>
          <w:tcPr>
            <w:tcW w:w="340" w:type="pct"/>
            <w:tcBorders>
              <w:top w:val="single" w:color="auto" w:sz="12" w:space="0"/>
              <w:tl2br w:val="nil"/>
              <w:tr2bl w:val="nil"/>
            </w:tcBorders>
            <w:shd w:val="clear" w:color="auto" w:fill="auto"/>
            <w:noWrap/>
            <w:tcMar>
              <w:top w:w="15" w:type="dxa"/>
              <w:left w:w="15" w:type="dxa"/>
              <w:right w:w="15" w:type="dxa"/>
            </w:tcMar>
            <w:vAlign w:val="center"/>
          </w:tcPr>
          <w:p w14:paraId="5CDEE937">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0.0140 </w:t>
            </w:r>
          </w:p>
        </w:tc>
        <w:tc>
          <w:tcPr>
            <w:tcW w:w="340" w:type="pct"/>
            <w:tcBorders>
              <w:top w:val="single" w:color="auto" w:sz="12" w:space="0"/>
              <w:tl2br w:val="nil"/>
              <w:tr2bl w:val="nil"/>
            </w:tcBorders>
            <w:shd w:val="clear" w:color="auto" w:fill="auto"/>
            <w:noWrap/>
            <w:tcMar>
              <w:top w:w="15" w:type="dxa"/>
              <w:left w:w="15" w:type="dxa"/>
              <w:right w:w="15" w:type="dxa"/>
            </w:tcMar>
            <w:vAlign w:val="center"/>
          </w:tcPr>
          <w:p w14:paraId="77BFB1D9">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0.2067 </w:t>
            </w:r>
          </w:p>
        </w:tc>
        <w:tc>
          <w:tcPr>
            <w:tcW w:w="340" w:type="pct"/>
            <w:tcBorders>
              <w:top w:val="single" w:color="auto" w:sz="12" w:space="0"/>
              <w:tl2br w:val="nil"/>
              <w:tr2bl w:val="nil"/>
            </w:tcBorders>
            <w:shd w:val="clear" w:color="auto" w:fill="auto"/>
            <w:noWrap/>
            <w:tcMar>
              <w:top w:w="15" w:type="dxa"/>
              <w:left w:w="15" w:type="dxa"/>
              <w:right w:w="15" w:type="dxa"/>
            </w:tcMar>
            <w:vAlign w:val="center"/>
          </w:tcPr>
          <w:p w14:paraId="3D7D32D1">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op w:val="single" w:color="auto" w:sz="12" w:space="0"/>
              <w:tl2br w:val="nil"/>
              <w:tr2bl w:val="nil"/>
            </w:tcBorders>
            <w:shd w:val="clear" w:color="auto" w:fill="auto"/>
            <w:noWrap/>
            <w:tcMar>
              <w:top w:w="15" w:type="dxa"/>
              <w:left w:w="15" w:type="dxa"/>
              <w:right w:w="15" w:type="dxa"/>
            </w:tcMar>
            <w:vAlign w:val="center"/>
          </w:tcPr>
          <w:p w14:paraId="0164BBB2">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op w:val="single" w:color="auto" w:sz="12" w:space="0"/>
              <w:tl2br w:val="nil"/>
              <w:tr2bl w:val="nil"/>
            </w:tcBorders>
            <w:shd w:val="clear" w:color="auto" w:fill="auto"/>
            <w:noWrap/>
            <w:tcMar>
              <w:top w:w="15" w:type="dxa"/>
              <w:left w:w="15" w:type="dxa"/>
              <w:right w:w="15" w:type="dxa"/>
            </w:tcMar>
            <w:vAlign w:val="center"/>
          </w:tcPr>
          <w:p w14:paraId="055A911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0.7000 </w:t>
            </w:r>
          </w:p>
        </w:tc>
        <w:tc>
          <w:tcPr>
            <w:tcW w:w="327" w:type="pct"/>
            <w:tcBorders>
              <w:top w:val="single" w:color="auto" w:sz="12" w:space="0"/>
              <w:tl2br w:val="nil"/>
              <w:tr2bl w:val="nil"/>
            </w:tcBorders>
            <w:vAlign w:val="center"/>
          </w:tcPr>
          <w:p w14:paraId="26EB1F9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0.0350 </w:t>
            </w:r>
          </w:p>
        </w:tc>
        <w:tc>
          <w:tcPr>
            <w:tcW w:w="690" w:type="pct"/>
            <w:tcBorders>
              <w:top w:val="single" w:color="auto" w:sz="12" w:space="0"/>
              <w:tl2br w:val="nil"/>
              <w:tr2bl w:val="nil"/>
            </w:tcBorders>
            <w:shd w:val="clear" w:color="auto" w:fill="auto"/>
            <w:noWrap/>
            <w:tcMar>
              <w:top w:w="15" w:type="dxa"/>
              <w:left w:w="15" w:type="dxa"/>
              <w:right w:w="15" w:type="dxa"/>
            </w:tcMar>
            <w:vAlign w:val="center"/>
          </w:tcPr>
          <w:p w14:paraId="03D5FD3C">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0.0157 </w:t>
            </w:r>
          </w:p>
        </w:tc>
      </w:tr>
      <w:tr w14:paraId="25BECF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48" w:type="pct"/>
            <w:tcBorders>
              <w:tl2br w:val="nil"/>
              <w:tr2bl w:val="nil"/>
            </w:tcBorders>
            <w:shd w:val="clear" w:color="auto" w:fill="auto"/>
            <w:noWrap/>
            <w:tcMar>
              <w:top w:w="15" w:type="dxa"/>
              <w:left w:w="15" w:type="dxa"/>
              <w:right w:w="15" w:type="dxa"/>
            </w:tcMar>
            <w:vAlign w:val="center"/>
          </w:tcPr>
          <w:p w14:paraId="08BAF7F6">
            <w:pPr>
              <w:widowControl/>
              <w:spacing w:line="240" w:lineRule="auto"/>
              <w:jc w:val="center"/>
              <w:textAlignment w:val="center"/>
              <w:rPr>
                <w:color w:val="000000"/>
                <w:sz w:val="21"/>
                <w:szCs w:val="21"/>
                <w:highlight w:val="none"/>
              </w:rPr>
            </w:pPr>
            <w:r>
              <w:rPr>
                <w:color w:val="000000"/>
                <w:kern w:val="0"/>
                <w:sz w:val="21"/>
                <w:szCs w:val="21"/>
                <w:highlight w:val="none"/>
                <w:lang w:bidi="ar"/>
              </w:rPr>
              <w:t>2</w:t>
            </w:r>
          </w:p>
        </w:tc>
        <w:tc>
          <w:tcPr>
            <w:tcW w:w="522" w:type="pct"/>
            <w:tcBorders>
              <w:tl2br w:val="nil"/>
              <w:tr2bl w:val="nil"/>
            </w:tcBorders>
            <w:shd w:val="clear" w:color="auto" w:fill="auto"/>
            <w:noWrap/>
            <w:tcMar>
              <w:top w:w="15" w:type="dxa"/>
              <w:left w:w="15" w:type="dxa"/>
              <w:right w:w="15" w:type="dxa"/>
            </w:tcMar>
            <w:vAlign w:val="bottom"/>
          </w:tcPr>
          <w:p w14:paraId="5C946D75">
            <w:pPr>
              <w:widowControl/>
              <w:spacing w:line="240" w:lineRule="auto"/>
              <w:jc w:val="center"/>
              <w:textAlignment w:val="center"/>
              <w:rPr>
                <w:color w:val="000000"/>
                <w:sz w:val="21"/>
                <w:szCs w:val="21"/>
                <w:highlight w:val="none"/>
              </w:rPr>
            </w:pPr>
            <w:r>
              <w:rPr>
                <w:color w:val="000000"/>
                <w:kern w:val="0"/>
                <w:sz w:val="21"/>
                <w:szCs w:val="21"/>
                <w:highlight w:val="none"/>
                <w:lang w:bidi="ar"/>
              </w:rPr>
              <w:t>HH-1-200</w:t>
            </w:r>
          </w:p>
        </w:tc>
        <w:tc>
          <w:tcPr>
            <w:tcW w:w="488" w:type="pct"/>
            <w:tcBorders>
              <w:tl2br w:val="nil"/>
              <w:tr2bl w:val="nil"/>
            </w:tcBorders>
            <w:shd w:val="clear" w:color="auto" w:fill="auto"/>
            <w:noWrap/>
            <w:tcMar>
              <w:top w:w="15" w:type="dxa"/>
              <w:left w:w="15" w:type="dxa"/>
              <w:right w:w="15" w:type="dxa"/>
            </w:tcMar>
            <w:vAlign w:val="center"/>
          </w:tcPr>
          <w:p w14:paraId="6049BEB1">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0.3587 </w:t>
            </w:r>
          </w:p>
        </w:tc>
        <w:tc>
          <w:tcPr>
            <w:tcW w:w="340" w:type="pct"/>
            <w:tcBorders>
              <w:tl2br w:val="nil"/>
              <w:tr2bl w:val="nil"/>
            </w:tcBorders>
            <w:shd w:val="clear" w:color="auto" w:fill="auto"/>
            <w:noWrap/>
            <w:tcMar>
              <w:top w:w="15" w:type="dxa"/>
              <w:left w:w="15" w:type="dxa"/>
              <w:right w:w="15" w:type="dxa"/>
            </w:tcMar>
            <w:vAlign w:val="center"/>
          </w:tcPr>
          <w:p w14:paraId="50742FE5">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0.0708 </w:t>
            </w:r>
          </w:p>
        </w:tc>
        <w:tc>
          <w:tcPr>
            <w:tcW w:w="340" w:type="pct"/>
            <w:tcBorders>
              <w:tl2br w:val="nil"/>
              <w:tr2bl w:val="nil"/>
            </w:tcBorders>
            <w:shd w:val="clear" w:color="auto" w:fill="auto"/>
            <w:noWrap/>
            <w:tcMar>
              <w:top w:w="15" w:type="dxa"/>
              <w:left w:w="15" w:type="dxa"/>
              <w:right w:w="15" w:type="dxa"/>
            </w:tcMar>
            <w:vAlign w:val="center"/>
          </w:tcPr>
          <w:p w14:paraId="12DB515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0.0113 </w:t>
            </w:r>
          </w:p>
        </w:tc>
        <w:tc>
          <w:tcPr>
            <w:tcW w:w="340" w:type="pct"/>
            <w:tcBorders>
              <w:tl2br w:val="nil"/>
              <w:tr2bl w:val="nil"/>
            </w:tcBorders>
            <w:shd w:val="clear" w:color="auto" w:fill="auto"/>
            <w:noWrap/>
            <w:tcMar>
              <w:top w:w="15" w:type="dxa"/>
              <w:left w:w="15" w:type="dxa"/>
              <w:right w:w="15" w:type="dxa"/>
            </w:tcMar>
            <w:vAlign w:val="center"/>
          </w:tcPr>
          <w:p w14:paraId="2D94919F">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0.0035 </w:t>
            </w:r>
          </w:p>
        </w:tc>
        <w:tc>
          <w:tcPr>
            <w:tcW w:w="340" w:type="pct"/>
            <w:tcBorders>
              <w:tl2br w:val="nil"/>
              <w:tr2bl w:val="nil"/>
            </w:tcBorders>
            <w:shd w:val="clear" w:color="auto" w:fill="auto"/>
            <w:noWrap/>
            <w:tcMar>
              <w:top w:w="15" w:type="dxa"/>
              <w:left w:w="15" w:type="dxa"/>
              <w:right w:w="15" w:type="dxa"/>
            </w:tcMar>
            <w:vAlign w:val="center"/>
          </w:tcPr>
          <w:p w14:paraId="6DB3E6E3">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0.0150 </w:t>
            </w:r>
          </w:p>
        </w:tc>
        <w:tc>
          <w:tcPr>
            <w:tcW w:w="340" w:type="pct"/>
            <w:tcBorders>
              <w:tl2br w:val="nil"/>
              <w:tr2bl w:val="nil"/>
            </w:tcBorders>
            <w:shd w:val="clear" w:color="auto" w:fill="auto"/>
            <w:noWrap/>
            <w:tcMar>
              <w:top w:w="15" w:type="dxa"/>
              <w:left w:w="15" w:type="dxa"/>
              <w:right w:w="15" w:type="dxa"/>
            </w:tcMar>
            <w:vAlign w:val="center"/>
          </w:tcPr>
          <w:p w14:paraId="3A4A0E14">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0.3000 </w:t>
            </w:r>
          </w:p>
        </w:tc>
        <w:tc>
          <w:tcPr>
            <w:tcW w:w="340" w:type="pct"/>
            <w:tcBorders>
              <w:tl2br w:val="nil"/>
              <w:tr2bl w:val="nil"/>
            </w:tcBorders>
            <w:shd w:val="clear" w:color="auto" w:fill="auto"/>
            <w:noWrap/>
            <w:tcMar>
              <w:top w:w="15" w:type="dxa"/>
              <w:left w:w="15" w:type="dxa"/>
              <w:right w:w="15" w:type="dxa"/>
            </w:tcMar>
            <w:vAlign w:val="center"/>
          </w:tcPr>
          <w:p w14:paraId="3E06CEFD">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7F9E8696">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4D871E89">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0.5650 </w:t>
            </w:r>
          </w:p>
        </w:tc>
        <w:tc>
          <w:tcPr>
            <w:tcW w:w="327" w:type="pct"/>
            <w:tcBorders>
              <w:tl2br w:val="nil"/>
              <w:tr2bl w:val="nil"/>
            </w:tcBorders>
            <w:vAlign w:val="center"/>
          </w:tcPr>
          <w:p w14:paraId="1955FB4D">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0.0250 </w:t>
            </w:r>
          </w:p>
        </w:tc>
        <w:tc>
          <w:tcPr>
            <w:tcW w:w="690" w:type="pct"/>
            <w:tcBorders>
              <w:tl2br w:val="nil"/>
              <w:tr2bl w:val="nil"/>
            </w:tcBorders>
            <w:shd w:val="clear" w:color="auto" w:fill="auto"/>
            <w:noWrap/>
            <w:tcMar>
              <w:top w:w="15" w:type="dxa"/>
              <w:left w:w="15" w:type="dxa"/>
              <w:right w:w="15" w:type="dxa"/>
            </w:tcMar>
            <w:vAlign w:val="center"/>
          </w:tcPr>
          <w:p w14:paraId="284F8B2D">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0.0121 </w:t>
            </w:r>
          </w:p>
        </w:tc>
      </w:tr>
      <w:tr w14:paraId="03BA3B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48" w:type="pct"/>
            <w:tcBorders>
              <w:tl2br w:val="nil"/>
              <w:tr2bl w:val="nil"/>
            </w:tcBorders>
            <w:shd w:val="clear" w:color="auto" w:fill="auto"/>
            <w:noWrap/>
            <w:tcMar>
              <w:top w:w="15" w:type="dxa"/>
              <w:left w:w="15" w:type="dxa"/>
              <w:right w:w="15" w:type="dxa"/>
            </w:tcMar>
            <w:vAlign w:val="center"/>
          </w:tcPr>
          <w:p w14:paraId="1FD85B59">
            <w:pPr>
              <w:widowControl/>
              <w:spacing w:line="240" w:lineRule="auto"/>
              <w:jc w:val="center"/>
              <w:textAlignment w:val="center"/>
              <w:rPr>
                <w:color w:val="000000"/>
                <w:sz w:val="21"/>
                <w:szCs w:val="21"/>
                <w:highlight w:val="none"/>
              </w:rPr>
            </w:pPr>
            <w:r>
              <w:rPr>
                <w:color w:val="000000"/>
                <w:kern w:val="0"/>
                <w:sz w:val="21"/>
                <w:szCs w:val="21"/>
                <w:highlight w:val="none"/>
                <w:lang w:bidi="ar"/>
              </w:rPr>
              <w:t>3</w:t>
            </w:r>
          </w:p>
        </w:tc>
        <w:tc>
          <w:tcPr>
            <w:tcW w:w="522" w:type="pct"/>
            <w:tcBorders>
              <w:tl2br w:val="nil"/>
              <w:tr2bl w:val="nil"/>
            </w:tcBorders>
            <w:shd w:val="clear" w:color="auto" w:fill="auto"/>
            <w:noWrap/>
            <w:tcMar>
              <w:top w:w="15" w:type="dxa"/>
              <w:left w:w="15" w:type="dxa"/>
              <w:right w:w="15" w:type="dxa"/>
            </w:tcMar>
            <w:vAlign w:val="bottom"/>
          </w:tcPr>
          <w:p w14:paraId="2FB65CA2">
            <w:pPr>
              <w:widowControl/>
              <w:spacing w:line="240" w:lineRule="auto"/>
              <w:jc w:val="center"/>
              <w:textAlignment w:val="center"/>
              <w:rPr>
                <w:color w:val="000000"/>
                <w:sz w:val="21"/>
                <w:szCs w:val="21"/>
                <w:highlight w:val="none"/>
              </w:rPr>
            </w:pPr>
            <w:r>
              <w:rPr>
                <w:color w:val="000000"/>
                <w:kern w:val="0"/>
                <w:sz w:val="21"/>
                <w:szCs w:val="21"/>
                <w:highlight w:val="none"/>
                <w:lang w:bidi="ar"/>
              </w:rPr>
              <w:t>HH-1-400</w:t>
            </w:r>
          </w:p>
        </w:tc>
        <w:tc>
          <w:tcPr>
            <w:tcW w:w="488" w:type="pct"/>
            <w:tcBorders>
              <w:tl2br w:val="nil"/>
              <w:tr2bl w:val="nil"/>
            </w:tcBorders>
            <w:shd w:val="clear" w:color="auto" w:fill="auto"/>
            <w:noWrap/>
            <w:tcMar>
              <w:top w:w="15" w:type="dxa"/>
              <w:left w:w="15" w:type="dxa"/>
              <w:right w:w="15" w:type="dxa"/>
            </w:tcMar>
            <w:vAlign w:val="center"/>
          </w:tcPr>
          <w:p w14:paraId="7CBC62CF">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0.4765 </w:t>
            </w:r>
          </w:p>
        </w:tc>
        <w:tc>
          <w:tcPr>
            <w:tcW w:w="340" w:type="pct"/>
            <w:tcBorders>
              <w:tl2br w:val="nil"/>
              <w:tr2bl w:val="nil"/>
            </w:tcBorders>
            <w:shd w:val="clear" w:color="auto" w:fill="auto"/>
            <w:noWrap/>
            <w:tcMar>
              <w:top w:w="15" w:type="dxa"/>
              <w:left w:w="15" w:type="dxa"/>
              <w:right w:w="15" w:type="dxa"/>
            </w:tcMar>
            <w:vAlign w:val="center"/>
          </w:tcPr>
          <w:p w14:paraId="16E2B47A">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0.0688 </w:t>
            </w:r>
          </w:p>
        </w:tc>
        <w:tc>
          <w:tcPr>
            <w:tcW w:w="340" w:type="pct"/>
            <w:tcBorders>
              <w:tl2br w:val="nil"/>
              <w:tr2bl w:val="nil"/>
            </w:tcBorders>
            <w:shd w:val="clear" w:color="auto" w:fill="auto"/>
            <w:noWrap/>
            <w:tcMar>
              <w:top w:w="15" w:type="dxa"/>
              <w:left w:w="15" w:type="dxa"/>
              <w:right w:w="15" w:type="dxa"/>
            </w:tcMar>
            <w:vAlign w:val="center"/>
          </w:tcPr>
          <w:p w14:paraId="07B76A52">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0.0075 </w:t>
            </w:r>
          </w:p>
        </w:tc>
        <w:tc>
          <w:tcPr>
            <w:tcW w:w="340" w:type="pct"/>
            <w:tcBorders>
              <w:tl2br w:val="nil"/>
              <w:tr2bl w:val="nil"/>
            </w:tcBorders>
            <w:shd w:val="clear" w:color="auto" w:fill="auto"/>
            <w:noWrap/>
            <w:tcMar>
              <w:top w:w="15" w:type="dxa"/>
              <w:left w:w="15" w:type="dxa"/>
              <w:right w:w="15" w:type="dxa"/>
            </w:tcMar>
            <w:vAlign w:val="center"/>
          </w:tcPr>
          <w:p w14:paraId="6254298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0.0030 </w:t>
            </w:r>
          </w:p>
        </w:tc>
        <w:tc>
          <w:tcPr>
            <w:tcW w:w="340" w:type="pct"/>
            <w:tcBorders>
              <w:tl2br w:val="nil"/>
              <w:tr2bl w:val="nil"/>
            </w:tcBorders>
            <w:shd w:val="clear" w:color="auto" w:fill="auto"/>
            <w:noWrap/>
            <w:tcMar>
              <w:top w:w="15" w:type="dxa"/>
              <w:left w:w="15" w:type="dxa"/>
              <w:right w:w="15" w:type="dxa"/>
            </w:tcMar>
            <w:vAlign w:val="center"/>
          </w:tcPr>
          <w:p w14:paraId="158671A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0.0245 </w:t>
            </w:r>
          </w:p>
        </w:tc>
        <w:tc>
          <w:tcPr>
            <w:tcW w:w="340" w:type="pct"/>
            <w:tcBorders>
              <w:tl2br w:val="nil"/>
              <w:tr2bl w:val="nil"/>
            </w:tcBorders>
            <w:shd w:val="clear" w:color="auto" w:fill="auto"/>
            <w:noWrap/>
            <w:tcMar>
              <w:top w:w="15" w:type="dxa"/>
              <w:left w:w="15" w:type="dxa"/>
              <w:right w:w="15" w:type="dxa"/>
            </w:tcMar>
            <w:vAlign w:val="center"/>
          </w:tcPr>
          <w:p w14:paraId="456DF271">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0.3600 </w:t>
            </w:r>
          </w:p>
        </w:tc>
        <w:tc>
          <w:tcPr>
            <w:tcW w:w="340" w:type="pct"/>
            <w:tcBorders>
              <w:tl2br w:val="nil"/>
              <w:tr2bl w:val="nil"/>
            </w:tcBorders>
            <w:shd w:val="clear" w:color="auto" w:fill="auto"/>
            <w:noWrap/>
            <w:tcMar>
              <w:top w:w="15" w:type="dxa"/>
              <w:left w:w="15" w:type="dxa"/>
              <w:right w:w="15" w:type="dxa"/>
            </w:tcMar>
            <w:vAlign w:val="center"/>
          </w:tcPr>
          <w:p w14:paraId="141B7ED9">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4E8EC09C">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74DA7D9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0.2700 </w:t>
            </w:r>
          </w:p>
        </w:tc>
        <w:tc>
          <w:tcPr>
            <w:tcW w:w="327" w:type="pct"/>
            <w:tcBorders>
              <w:tl2br w:val="nil"/>
              <w:tr2bl w:val="nil"/>
            </w:tcBorders>
            <w:vAlign w:val="center"/>
          </w:tcPr>
          <w:p w14:paraId="72C9DE47">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0.0300 </w:t>
            </w:r>
          </w:p>
        </w:tc>
        <w:tc>
          <w:tcPr>
            <w:tcW w:w="690" w:type="pct"/>
            <w:tcBorders>
              <w:tl2br w:val="nil"/>
              <w:tr2bl w:val="nil"/>
            </w:tcBorders>
            <w:shd w:val="clear" w:color="auto" w:fill="auto"/>
            <w:noWrap/>
            <w:tcMar>
              <w:top w:w="15" w:type="dxa"/>
              <w:left w:w="15" w:type="dxa"/>
              <w:right w:w="15" w:type="dxa"/>
            </w:tcMar>
            <w:vAlign w:val="center"/>
          </w:tcPr>
          <w:p w14:paraId="4B6C904F">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0.0400 </w:t>
            </w:r>
          </w:p>
        </w:tc>
      </w:tr>
      <w:tr w14:paraId="2F7540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48" w:type="pct"/>
            <w:tcBorders>
              <w:tl2br w:val="nil"/>
              <w:tr2bl w:val="nil"/>
            </w:tcBorders>
            <w:shd w:val="clear" w:color="auto" w:fill="auto"/>
            <w:noWrap/>
            <w:tcMar>
              <w:top w:w="15" w:type="dxa"/>
              <w:left w:w="15" w:type="dxa"/>
              <w:right w:w="15" w:type="dxa"/>
            </w:tcMar>
            <w:vAlign w:val="center"/>
          </w:tcPr>
          <w:p w14:paraId="1C530CA5">
            <w:pPr>
              <w:widowControl/>
              <w:spacing w:line="240" w:lineRule="auto"/>
              <w:jc w:val="center"/>
              <w:textAlignment w:val="center"/>
              <w:rPr>
                <w:color w:val="000000"/>
                <w:sz w:val="21"/>
                <w:szCs w:val="21"/>
                <w:highlight w:val="none"/>
              </w:rPr>
            </w:pPr>
            <w:r>
              <w:rPr>
                <w:color w:val="000000"/>
                <w:kern w:val="0"/>
                <w:sz w:val="21"/>
                <w:szCs w:val="21"/>
                <w:highlight w:val="none"/>
                <w:lang w:bidi="ar"/>
              </w:rPr>
              <w:t>4</w:t>
            </w:r>
          </w:p>
        </w:tc>
        <w:tc>
          <w:tcPr>
            <w:tcW w:w="522" w:type="pct"/>
            <w:tcBorders>
              <w:tl2br w:val="nil"/>
              <w:tr2bl w:val="nil"/>
            </w:tcBorders>
            <w:shd w:val="clear" w:color="auto" w:fill="auto"/>
            <w:noWrap/>
            <w:tcMar>
              <w:top w:w="15" w:type="dxa"/>
              <w:left w:w="15" w:type="dxa"/>
              <w:right w:w="15" w:type="dxa"/>
            </w:tcMar>
            <w:vAlign w:val="bottom"/>
          </w:tcPr>
          <w:p w14:paraId="410A6C36">
            <w:pPr>
              <w:widowControl/>
              <w:spacing w:line="240" w:lineRule="auto"/>
              <w:jc w:val="center"/>
              <w:textAlignment w:val="center"/>
              <w:rPr>
                <w:color w:val="000000"/>
                <w:sz w:val="21"/>
                <w:szCs w:val="21"/>
                <w:highlight w:val="none"/>
              </w:rPr>
            </w:pPr>
            <w:r>
              <w:rPr>
                <w:color w:val="000000"/>
                <w:kern w:val="0"/>
                <w:sz w:val="21"/>
                <w:szCs w:val="21"/>
                <w:highlight w:val="none"/>
                <w:lang w:bidi="ar"/>
              </w:rPr>
              <w:t>HH-2</w:t>
            </w:r>
          </w:p>
        </w:tc>
        <w:tc>
          <w:tcPr>
            <w:tcW w:w="488" w:type="pct"/>
            <w:tcBorders>
              <w:tl2br w:val="nil"/>
              <w:tr2bl w:val="nil"/>
            </w:tcBorders>
            <w:shd w:val="clear" w:color="auto" w:fill="auto"/>
            <w:noWrap/>
            <w:tcMar>
              <w:top w:w="15" w:type="dxa"/>
              <w:left w:w="15" w:type="dxa"/>
              <w:right w:w="15" w:type="dxa"/>
            </w:tcMar>
            <w:vAlign w:val="center"/>
          </w:tcPr>
          <w:p w14:paraId="3CA47FAD">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049EA14E">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0.0345 </w:t>
            </w:r>
          </w:p>
        </w:tc>
        <w:tc>
          <w:tcPr>
            <w:tcW w:w="340" w:type="pct"/>
            <w:tcBorders>
              <w:tl2br w:val="nil"/>
              <w:tr2bl w:val="nil"/>
            </w:tcBorders>
            <w:shd w:val="clear" w:color="auto" w:fill="auto"/>
            <w:noWrap/>
            <w:tcMar>
              <w:top w:w="15" w:type="dxa"/>
              <w:left w:w="15" w:type="dxa"/>
              <w:right w:w="15" w:type="dxa"/>
            </w:tcMar>
            <w:vAlign w:val="center"/>
          </w:tcPr>
          <w:p w14:paraId="372601FF">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0.0016 </w:t>
            </w:r>
          </w:p>
        </w:tc>
        <w:tc>
          <w:tcPr>
            <w:tcW w:w="340" w:type="pct"/>
            <w:tcBorders>
              <w:tl2br w:val="nil"/>
              <w:tr2bl w:val="nil"/>
            </w:tcBorders>
            <w:shd w:val="clear" w:color="auto" w:fill="auto"/>
            <w:noWrap/>
            <w:tcMar>
              <w:top w:w="15" w:type="dxa"/>
              <w:left w:w="15" w:type="dxa"/>
              <w:right w:w="15" w:type="dxa"/>
            </w:tcMar>
            <w:vAlign w:val="center"/>
          </w:tcPr>
          <w:p w14:paraId="199ACE65">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0.0005 </w:t>
            </w:r>
          </w:p>
        </w:tc>
        <w:tc>
          <w:tcPr>
            <w:tcW w:w="340" w:type="pct"/>
            <w:tcBorders>
              <w:tl2br w:val="nil"/>
              <w:tr2bl w:val="nil"/>
            </w:tcBorders>
            <w:shd w:val="clear" w:color="auto" w:fill="auto"/>
            <w:noWrap/>
            <w:tcMar>
              <w:top w:w="15" w:type="dxa"/>
              <w:left w:w="15" w:type="dxa"/>
              <w:right w:w="15" w:type="dxa"/>
            </w:tcMar>
            <w:vAlign w:val="center"/>
          </w:tcPr>
          <w:p w14:paraId="4642CA9A">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0.0018 </w:t>
            </w:r>
          </w:p>
        </w:tc>
        <w:tc>
          <w:tcPr>
            <w:tcW w:w="340" w:type="pct"/>
            <w:tcBorders>
              <w:tl2br w:val="nil"/>
              <w:tr2bl w:val="nil"/>
            </w:tcBorders>
            <w:shd w:val="clear" w:color="auto" w:fill="auto"/>
            <w:noWrap/>
            <w:tcMar>
              <w:top w:w="15" w:type="dxa"/>
              <w:left w:w="15" w:type="dxa"/>
              <w:right w:w="15" w:type="dxa"/>
            </w:tcMar>
            <w:vAlign w:val="center"/>
          </w:tcPr>
          <w:p w14:paraId="7F7E1467">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0.0411 </w:t>
            </w:r>
          </w:p>
        </w:tc>
        <w:tc>
          <w:tcPr>
            <w:tcW w:w="340" w:type="pct"/>
            <w:tcBorders>
              <w:tl2br w:val="nil"/>
              <w:tr2bl w:val="nil"/>
            </w:tcBorders>
            <w:shd w:val="clear" w:color="auto" w:fill="auto"/>
            <w:noWrap/>
            <w:tcMar>
              <w:top w:w="15" w:type="dxa"/>
              <w:left w:w="15" w:type="dxa"/>
              <w:right w:w="15" w:type="dxa"/>
            </w:tcMar>
            <w:vAlign w:val="center"/>
          </w:tcPr>
          <w:p w14:paraId="6A5576ED">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50C18147">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2208D3A1">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0.2117 </w:t>
            </w:r>
          </w:p>
        </w:tc>
        <w:tc>
          <w:tcPr>
            <w:tcW w:w="327" w:type="pct"/>
            <w:tcBorders>
              <w:tl2br w:val="nil"/>
              <w:tr2bl w:val="nil"/>
            </w:tcBorders>
            <w:vAlign w:val="center"/>
          </w:tcPr>
          <w:p w14:paraId="5EDD0BF2">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0.0033 </w:t>
            </w:r>
          </w:p>
        </w:tc>
        <w:tc>
          <w:tcPr>
            <w:tcW w:w="690" w:type="pct"/>
            <w:tcBorders>
              <w:tl2br w:val="nil"/>
              <w:tr2bl w:val="nil"/>
            </w:tcBorders>
            <w:shd w:val="clear" w:color="auto" w:fill="auto"/>
            <w:noWrap/>
            <w:tcMar>
              <w:top w:w="15" w:type="dxa"/>
              <w:left w:w="15" w:type="dxa"/>
              <w:right w:w="15" w:type="dxa"/>
            </w:tcMar>
            <w:vAlign w:val="center"/>
          </w:tcPr>
          <w:p w14:paraId="53A9A45A">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0.0018 </w:t>
            </w:r>
          </w:p>
        </w:tc>
      </w:tr>
      <w:tr w14:paraId="78F421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48" w:type="pct"/>
            <w:tcBorders>
              <w:tl2br w:val="nil"/>
              <w:tr2bl w:val="nil"/>
            </w:tcBorders>
            <w:shd w:val="clear" w:color="auto" w:fill="auto"/>
            <w:noWrap/>
            <w:tcMar>
              <w:top w:w="15" w:type="dxa"/>
              <w:left w:w="15" w:type="dxa"/>
              <w:right w:w="15" w:type="dxa"/>
            </w:tcMar>
            <w:vAlign w:val="center"/>
          </w:tcPr>
          <w:p w14:paraId="4EF25FFB">
            <w:pPr>
              <w:widowControl/>
              <w:spacing w:line="240" w:lineRule="auto"/>
              <w:jc w:val="center"/>
              <w:textAlignment w:val="center"/>
              <w:rPr>
                <w:color w:val="000000"/>
                <w:sz w:val="21"/>
                <w:szCs w:val="21"/>
                <w:highlight w:val="none"/>
              </w:rPr>
            </w:pPr>
            <w:r>
              <w:rPr>
                <w:color w:val="000000"/>
                <w:kern w:val="0"/>
                <w:sz w:val="21"/>
                <w:szCs w:val="21"/>
                <w:highlight w:val="none"/>
                <w:lang w:bidi="ar"/>
              </w:rPr>
              <w:t>5</w:t>
            </w:r>
          </w:p>
        </w:tc>
        <w:tc>
          <w:tcPr>
            <w:tcW w:w="522" w:type="pct"/>
            <w:tcBorders>
              <w:tl2br w:val="nil"/>
              <w:tr2bl w:val="nil"/>
            </w:tcBorders>
            <w:shd w:val="clear" w:color="auto" w:fill="auto"/>
            <w:noWrap/>
            <w:tcMar>
              <w:top w:w="15" w:type="dxa"/>
              <w:left w:w="15" w:type="dxa"/>
              <w:right w:w="15" w:type="dxa"/>
            </w:tcMar>
            <w:vAlign w:val="bottom"/>
          </w:tcPr>
          <w:p w14:paraId="608AABD2">
            <w:pPr>
              <w:widowControl/>
              <w:spacing w:line="240" w:lineRule="auto"/>
              <w:jc w:val="center"/>
              <w:textAlignment w:val="center"/>
              <w:rPr>
                <w:color w:val="000000"/>
                <w:sz w:val="21"/>
                <w:szCs w:val="21"/>
                <w:highlight w:val="none"/>
              </w:rPr>
            </w:pPr>
            <w:r>
              <w:rPr>
                <w:color w:val="000000"/>
                <w:kern w:val="0"/>
                <w:sz w:val="21"/>
                <w:szCs w:val="21"/>
                <w:highlight w:val="none"/>
                <w:lang w:bidi="ar"/>
              </w:rPr>
              <w:t>HH-3-75</w:t>
            </w:r>
          </w:p>
        </w:tc>
        <w:tc>
          <w:tcPr>
            <w:tcW w:w="488" w:type="pct"/>
            <w:tcBorders>
              <w:tl2br w:val="nil"/>
              <w:tr2bl w:val="nil"/>
            </w:tcBorders>
            <w:shd w:val="clear" w:color="auto" w:fill="auto"/>
            <w:noWrap/>
            <w:tcMar>
              <w:top w:w="15" w:type="dxa"/>
              <w:left w:w="15" w:type="dxa"/>
              <w:right w:w="15" w:type="dxa"/>
            </w:tcMar>
            <w:vAlign w:val="center"/>
          </w:tcPr>
          <w:p w14:paraId="3B824F41">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55A0215C">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0.0495 </w:t>
            </w:r>
          </w:p>
        </w:tc>
        <w:tc>
          <w:tcPr>
            <w:tcW w:w="340" w:type="pct"/>
            <w:tcBorders>
              <w:tl2br w:val="nil"/>
              <w:tr2bl w:val="nil"/>
            </w:tcBorders>
            <w:shd w:val="clear" w:color="auto" w:fill="auto"/>
            <w:noWrap/>
            <w:tcMar>
              <w:top w:w="15" w:type="dxa"/>
              <w:left w:w="15" w:type="dxa"/>
              <w:right w:w="15" w:type="dxa"/>
            </w:tcMar>
            <w:vAlign w:val="center"/>
          </w:tcPr>
          <w:p w14:paraId="2481E131">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0.0029 </w:t>
            </w:r>
          </w:p>
        </w:tc>
        <w:tc>
          <w:tcPr>
            <w:tcW w:w="340" w:type="pct"/>
            <w:tcBorders>
              <w:tl2br w:val="nil"/>
              <w:tr2bl w:val="nil"/>
            </w:tcBorders>
            <w:shd w:val="clear" w:color="auto" w:fill="auto"/>
            <w:noWrap/>
            <w:tcMar>
              <w:top w:w="15" w:type="dxa"/>
              <w:left w:w="15" w:type="dxa"/>
              <w:right w:w="15" w:type="dxa"/>
            </w:tcMar>
            <w:vAlign w:val="center"/>
          </w:tcPr>
          <w:p w14:paraId="0362071E">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0.0011 </w:t>
            </w:r>
          </w:p>
        </w:tc>
        <w:tc>
          <w:tcPr>
            <w:tcW w:w="340" w:type="pct"/>
            <w:tcBorders>
              <w:tl2br w:val="nil"/>
              <w:tr2bl w:val="nil"/>
            </w:tcBorders>
            <w:shd w:val="clear" w:color="auto" w:fill="auto"/>
            <w:noWrap/>
            <w:tcMar>
              <w:top w:w="15" w:type="dxa"/>
              <w:left w:w="15" w:type="dxa"/>
              <w:right w:w="15" w:type="dxa"/>
            </w:tcMar>
            <w:vAlign w:val="center"/>
          </w:tcPr>
          <w:p w14:paraId="1B21DAE9">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0.0023 </w:t>
            </w:r>
          </w:p>
        </w:tc>
        <w:tc>
          <w:tcPr>
            <w:tcW w:w="340" w:type="pct"/>
            <w:tcBorders>
              <w:tl2br w:val="nil"/>
              <w:tr2bl w:val="nil"/>
            </w:tcBorders>
            <w:shd w:val="clear" w:color="auto" w:fill="auto"/>
            <w:noWrap/>
            <w:tcMar>
              <w:top w:w="15" w:type="dxa"/>
              <w:left w:w="15" w:type="dxa"/>
              <w:right w:w="15" w:type="dxa"/>
            </w:tcMar>
            <w:vAlign w:val="center"/>
          </w:tcPr>
          <w:p w14:paraId="36A1150B">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0.0433 </w:t>
            </w:r>
          </w:p>
        </w:tc>
        <w:tc>
          <w:tcPr>
            <w:tcW w:w="340" w:type="pct"/>
            <w:tcBorders>
              <w:tl2br w:val="nil"/>
              <w:tr2bl w:val="nil"/>
            </w:tcBorders>
            <w:shd w:val="clear" w:color="auto" w:fill="auto"/>
            <w:noWrap/>
            <w:tcMar>
              <w:top w:w="15" w:type="dxa"/>
              <w:left w:w="15" w:type="dxa"/>
              <w:right w:w="15" w:type="dxa"/>
            </w:tcMar>
            <w:vAlign w:val="center"/>
          </w:tcPr>
          <w:p w14:paraId="5C5084BC">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05318541">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6EA85501">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0.2733 </w:t>
            </w:r>
          </w:p>
        </w:tc>
        <w:tc>
          <w:tcPr>
            <w:tcW w:w="327" w:type="pct"/>
            <w:tcBorders>
              <w:tl2br w:val="nil"/>
              <w:tr2bl w:val="nil"/>
            </w:tcBorders>
            <w:vAlign w:val="center"/>
          </w:tcPr>
          <w:p w14:paraId="5CF6AA21">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0.0044 </w:t>
            </w:r>
          </w:p>
        </w:tc>
        <w:tc>
          <w:tcPr>
            <w:tcW w:w="690" w:type="pct"/>
            <w:tcBorders>
              <w:tl2br w:val="nil"/>
              <w:tr2bl w:val="nil"/>
            </w:tcBorders>
            <w:shd w:val="clear" w:color="auto" w:fill="auto"/>
            <w:noWrap/>
            <w:tcMar>
              <w:top w:w="15" w:type="dxa"/>
              <w:left w:w="15" w:type="dxa"/>
              <w:right w:w="15" w:type="dxa"/>
            </w:tcMar>
            <w:vAlign w:val="center"/>
          </w:tcPr>
          <w:p w14:paraId="0AA9D737">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0.0027 </w:t>
            </w:r>
          </w:p>
        </w:tc>
      </w:tr>
      <w:tr w14:paraId="60EDA2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48" w:type="pct"/>
            <w:tcBorders>
              <w:tl2br w:val="nil"/>
              <w:tr2bl w:val="nil"/>
            </w:tcBorders>
            <w:shd w:val="clear" w:color="auto" w:fill="auto"/>
            <w:noWrap/>
            <w:tcMar>
              <w:top w:w="15" w:type="dxa"/>
              <w:left w:w="15" w:type="dxa"/>
              <w:right w:w="15" w:type="dxa"/>
            </w:tcMar>
            <w:vAlign w:val="center"/>
          </w:tcPr>
          <w:p w14:paraId="5987DE67">
            <w:pPr>
              <w:widowControl/>
              <w:spacing w:line="240" w:lineRule="auto"/>
              <w:jc w:val="center"/>
              <w:textAlignment w:val="center"/>
              <w:rPr>
                <w:color w:val="000000"/>
                <w:sz w:val="21"/>
                <w:szCs w:val="21"/>
                <w:highlight w:val="none"/>
              </w:rPr>
            </w:pPr>
            <w:r>
              <w:rPr>
                <w:color w:val="000000"/>
                <w:kern w:val="0"/>
                <w:sz w:val="21"/>
                <w:szCs w:val="21"/>
                <w:highlight w:val="none"/>
                <w:lang w:bidi="ar"/>
              </w:rPr>
              <w:t>6</w:t>
            </w:r>
          </w:p>
        </w:tc>
        <w:tc>
          <w:tcPr>
            <w:tcW w:w="522" w:type="pct"/>
            <w:tcBorders>
              <w:tl2br w:val="nil"/>
              <w:tr2bl w:val="nil"/>
            </w:tcBorders>
            <w:shd w:val="clear" w:color="auto" w:fill="auto"/>
            <w:noWrap/>
            <w:tcMar>
              <w:top w:w="15" w:type="dxa"/>
              <w:left w:w="15" w:type="dxa"/>
              <w:right w:w="15" w:type="dxa"/>
            </w:tcMar>
            <w:vAlign w:val="bottom"/>
          </w:tcPr>
          <w:p w14:paraId="744F9C78">
            <w:pPr>
              <w:widowControl/>
              <w:spacing w:line="240" w:lineRule="auto"/>
              <w:jc w:val="center"/>
              <w:textAlignment w:val="center"/>
              <w:rPr>
                <w:color w:val="000000"/>
                <w:sz w:val="21"/>
                <w:szCs w:val="21"/>
                <w:highlight w:val="none"/>
              </w:rPr>
            </w:pPr>
            <w:r>
              <w:rPr>
                <w:color w:val="000000"/>
                <w:kern w:val="0"/>
                <w:sz w:val="21"/>
                <w:szCs w:val="21"/>
                <w:highlight w:val="none"/>
                <w:lang w:bidi="ar"/>
              </w:rPr>
              <w:t>HH-4</w:t>
            </w:r>
          </w:p>
        </w:tc>
        <w:tc>
          <w:tcPr>
            <w:tcW w:w="488" w:type="pct"/>
            <w:tcBorders>
              <w:tl2br w:val="nil"/>
              <w:tr2bl w:val="nil"/>
            </w:tcBorders>
            <w:shd w:val="clear" w:color="auto" w:fill="auto"/>
            <w:noWrap/>
            <w:tcMar>
              <w:top w:w="15" w:type="dxa"/>
              <w:left w:w="15" w:type="dxa"/>
              <w:right w:w="15" w:type="dxa"/>
            </w:tcMar>
            <w:vAlign w:val="center"/>
          </w:tcPr>
          <w:p w14:paraId="349B108D">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6A2801E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0.2453 </w:t>
            </w:r>
          </w:p>
        </w:tc>
        <w:tc>
          <w:tcPr>
            <w:tcW w:w="340" w:type="pct"/>
            <w:tcBorders>
              <w:tl2br w:val="nil"/>
              <w:tr2bl w:val="nil"/>
            </w:tcBorders>
            <w:shd w:val="clear" w:color="auto" w:fill="auto"/>
            <w:noWrap/>
            <w:tcMar>
              <w:top w:w="15" w:type="dxa"/>
              <w:left w:w="15" w:type="dxa"/>
              <w:right w:w="15" w:type="dxa"/>
            </w:tcMar>
            <w:vAlign w:val="center"/>
          </w:tcPr>
          <w:p w14:paraId="72EE2D4D">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0.0412 </w:t>
            </w:r>
          </w:p>
        </w:tc>
        <w:tc>
          <w:tcPr>
            <w:tcW w:w="340" w:type="pct"/>
            <w:tcBorders>
              <w:tl2br w:val="nil"/>
              <w:tr2bl w:val="nil"/>
            </w:tcBorders>
            <w:shd w:val="clear" w:color="auto" w:fill="auto"/>
            <w:noWrap/>
            <w:tcMar>
              <w:top w:w="15" w:type="dxa"/>
              <w:left w:w="15" w:type="dxa"/>
              <w:right w:w="15" w:type="dxa"/>
            </w:tcMar>
            <w:vAlign w:val="center"/>
          </w:tcPr>
          <w:p w14:paraId="194B139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0.0667 </w:t>
            </w:r>
          </w:p>
        </w:tc>
        <w:tc>
          <w:tcPr>
            <w:tcW w:w="340" w:type="pct"/>
            <w:tcBorders>
              <w:tl2br w:val="nil"/>
              <w:tr2bl w:val="nil"/>
            </w:tcBorders>
            <w:shd w:val="clear" w:color="auto" w:fill="auto"/>
            <w:noWrap/>
            <w:tcMar>
              <w:top w:w="15" w:type="dxa"/>
              <w:left w:w="15" w:type="dxa"/>
              <w:right w:w="15" w:type="dxa"/>
            </w:tcMar>
            <w:vAlign w:val="center"/>
          </w:tcPr>
          <w:p w14:paraId="526E04FD">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0.2300 </w:t>
            </w:r>
          </w:p>
        </w:tc>
        <w:tc>
          <w:tcPr>
            <w:tcW w:w="340" w:type="pct"/>
            <w:tcBorders>
              <w:tl2br w:val="nil"/>
              <w:tr2bl w:val="nil"/>
            </w:tcBorders>
            <w:shd w:val="clear" w:color="auto" w:fill="auto"/>
            <w:noWrap/>
            <w:tcMar>
              <w:top w:w="15" w:type="dxa"/>
              <w:left w:w="15" w:type="dxa"/>
              <w:right w:w="15" w:type="dxa"/>
            </w:tcMar>
            <w:vAlign w:val="center"/>
          </w:tcPr>
          <w:p w14:paraId="1477615C">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0.0947 </w:t>
            </w:r>
          </w:p>
        </w:tc>
        <w:tc>
          <w:tcPr>
            <w:tcW w:w="340" w:type="pct"/>
            <w:tcBorders>
              <w:tl2br w:val="nil"/>
              <w:tr2bl w:val="nil"/>
            </w:tcBorders>
            <w:shd w:val="clear" w:color="auto" w:fill="auto"/>
            <w:noWrap/>
            <w:tcMar>
              <w:top w:w="15" w:type="dxa"/>
              <w:left w:w="15" w:type="dxa"/>
              <w:right w:w="15" w:type="dxa"/>
            </w:tcMar>
            <w:vAlign w:val="center"/>
          </w:tcPr>
          <w:p w14:paraId="5B24CD95">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0.2400 </w:t>
            </w:r>
          </w:p>
        </w:tc>
        <w:tc>
          <w:tcPr>
            <w:tcW w:w="340" w:type="pct"/>
            <w:tcBorders>
              <w:tl2br w:val="nil"/>
              <w:tr2bl w:val="nil"/>
            </w:tcBorders>
            <w:shd w:val="clear" w:color="auto" w:fill="auto"/>
            <w:noWrap/>
            <w:tcMar>
              <w:top w:w="15" w:type="dxa"/>
              <w:left w:w="15" w:type="dxa"/>
              <w:right w:w="15" w:type="dxa"/>
            </w:tcMar>
            <w:vAlign w:val="center"/>
          </w:tcPr>
          <w:p w14:paraId="212FC555">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0.3167 </w:t>
            </w:r>
          </w:p>
        </w:tc>
        <w:tc>
          <w:tcPr>
            <w:tcW w:w="340" w:type="pct"/>
            <w:tcBorders>
              <w:tl2br w:val="nil"/>
              <w:tr2bl w:val="nil"/>
            </w:tcBorders>
            <w:shd w:val="clear" w:color="auto" w:fill="auto"/>
            <w:noWrap/>
            <w:tcMar>
              <w:top w:w="15" w:type="dxa"/>
              <w:left w:w="15" w:type="dxa"/>
              <w:right w:w="15" w:type="dxa"/>
            </w:tcMar>
            <w:vAlign w:val="center"/>
          </w:tcPr>
          <w:p w14:paraId="414BA4A7">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0.4440 </w:t>
            </w:r>
          </w:p>
        </w:tc>
        <w:tc>
          <w:tcPr>
            <w:tcW w:w="327" w:type="pct"/>
            <w:tcBorders>
              <w:tl2br w:val="nil"/>
              <w:tr2bl w:val="nil"/>
            </w:tcBorders>
            <w:vAlign w:val="center"/>
          </w:tcPr>
          <w:p w14:paraId="475BCD4A">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0.0350 </w:t>
            </w:r>
          </w:p>
        </w:tc>
        <w:tc>
          <w:tcPr>
            <w:tcW w:w="690" w:type="pct"/>
            <w:tcBorders>
              <w:tl2br w:val="nil"/>
              <w:tr2bl w:val="nil"/>
            </w:tcBorders>
            <w:shd w:val="clear" w:color="auto" w:fill="auto"/>
            <w:noWrap/>
            <w:tcMar>
              <w:top w:w="15" w:type="dxa"/>
              <w:left w:w="15" w:type="dxa"/>
              <w:right w:w="15" w:type="dxa"/>
            </w:tcMar>
            <w:vAlign w:val="center"/>
          </w:tcPr>
          <w:p w14:paraId="2605933B">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0.0036 </w:t>
            </w:r>
          </w:p>
        </w:tc>
      </w:tr>
      <w:tr w14:paraId="04F887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48" w:type="pct"/>
            <w:tcBorders>
              <w:tl2br w:val="nil"/>
              <w:tr2bl w:val="nil"/>
            </w:tcBorders>
            <w:shd w:val="clear" w:color="auto" w:fill="auto"/>
            <w:noWrap/>
            <w:tcMar>
              <w:top w:w="15" w:type="dxa"/>
              <w:left w:w="15" w:type="dxa"/>
              <w:right w:w="15" w:type="dxa"/>
            </w:tcMar>
            <w:vAlign w:val="center"/>
          </w:tcPr>
          <w:p w14:paraId="04CE2AA1">
            <w:pPr>
              <w:widowControl/>
              <w:spacing w:line="240" w:lineRule="auto"/>
              <w:jc w:val="center"/>
              <w:textAlignment w:val="center"/>
              <w:rPr>
                <w:color w:val="000000"/>
                <w:sz w:val="21"/>
                <w:szCs w:val="21"/>
                <w:highlight w:val="none"/>
              </w:rPr>
            </w:pPr>
            <w:r>
              <w:rPr>
                <w:color w:val="000000"/>
                <w:kern w:val="0"/>
                <w:sz w:val="21"/>
                <w:szCs w:val="21"/>
                <w:highlight w:val="none"/>
                <w:lang w:bidi="ar"/>
              </w:rPr>
              <w:t>7</w:t>
            </w:r>
          </w:p>
        </w:tc>
        <w:tc>
          <w:tcPr>
            <w:tcW w:w="522" w:type="pct"/>
            <w:tcBorders>
              <w:tl2br w:val="nil"/>
              <w:tr2bl w:val="nil"/>
            </w:tcBorders>
            <w:shd w:val="clear" w:color="auto" w:fill="auto"/>
            <w:noWrap/>
            <w:tcMar>
              <w:top w:w="15" w:type="dxa"/>
              <w:left w:w="15" w:type="dxa"/>
              <w:right w:w="15" w:type="dxa"/>
            </w:tcMar>
            <w:vAlign w:val="bottom"/>
          </w:tcPr>
          <w:p w14:paraId="71301C7F">
            <w:pPr>
              <w:widowControl/>
              <w:spacing w:line="240" w:lineRule="auto"/>
              <w:jc w:val="center"/>
              <w:textAlignment w:val="center"/>
              <w:rPr>
                <w:color w:val="000000"/>
                <w:sz w:val="21"/>
                <w:szCs w:val="21"/>
                <w:highlight w:val="none"/>
              </w:rPr>
            </w:pPr>
            <w:r>
              <w:rPr>
                <w:color w:val="000000"/>
                <w:kern w:val="0"/>
                <w:sz w:val="21"/>
                <w:szCs w:val="21"/>
                <w:highlight w:val="none"/>
                <w:lang w:bidi="ar"/>
              </w:rPr>
              <w:t>HH-JJ-1</w:t>
            </w:r>
          </w:p>
        </w:tc>
        <w:tc>
          <w:tcPr>
            <w:tcW w:w="488" w:type="pct"/>
            <w:tcBorders>
              <w:tl2br w:val="nil"/>
              <w:tr2bl w:val="nil"/>
            </w:tcBorders>
            <w:shd w:val="clear" w:color="auto" w:fill="auto"/>
            <w:noWrap/>
            <w:tcMar>
              <w:top w:w="15" w:type="dxa"/>
              <w:left w:w="15" w:type="dxa"/>
              <w:right w:w="15" w:type="dxa"/>
            </w:tcMar>
            <w:vAlign w:val="center"/>
          </w:tcPr>
          <w:p w14:paraId="7F557B7A">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7D58A2AC">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0.1158 </w:t>
            </w:r>
          </w:p>
        </w:tc>
        <w:tc>
          <w:tcPr>
            <w:tcW w:w="340" w:type="pct"/>
            <w:tcBorders>
              <w:tl2br w:val="nil"/>
              <w:tr2bl w:val="nil"/>
            </w:tcBorders>
            <w:shd w:val="clear" w:color="auto" w:fill="auto"/>
            <w:noWrap/>
            <w:tcMar>
              <w:top w:w="15" w:type="dxa"/>
              <w:left w:w="15" w:type="dxa"/>
              <w:right w:w="15" w:type="dxa"/>
            </w:tcMar>
            <w:vAlign w:val="center"/>
          </w:tcPr>
          <w:p w14:paraId="7E45FCCE">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0.0325 </w:t>
            </w:r>
          </w:p>
        </w:tc>
        <w:tc>
          <w:tcPr>
            <w:tcW w:w="340" w:type="pct"/>
            <w:tcBorders>
              <w:tl2br w:val="nil"/>
              <w:tr2bl w:val="nil"/>
            </w:tcBorders>
            <w:shd w:val="clear" w:color="auto" w:fill="auto"/>
            <w:noWrap/>
            <w:tcMar>
              <w:top w:w="15" w:type="dxa"/>
              <w:left w:w="15" w:type="dxa"/>
              <w:right w:w="15" w:type="dxa"/>
            </w:tcMar>
            <w:vAlign w:val="center"/>
          </w:tcPr>
          <w:p w14:paraId="57215CA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0.0050 </w:t>
            </w:r>
          </w:p>
        </w:tc>
        <w:tc>
          <w:tcPr>
            <w:tcW w:w="340" w:type="pct"/>
            <w:tcBorders>
              <w:tl2br w:val="nil"/>
              <w:tr2bl w:val="nil"/>
            </w:tcBorders>
            <w:shd w:val="clear" w:color="auto" w:fill="auto"/>
            <w:noWrap/>
            <w:tcMar>
              <w:top w:w="15" w:type="dxa"/>
              <w:left w:w="15" w:type="dxa"/>
              <w:right w:w="15" w:type="dxa"/>
            </w:tcMar>
            <w:vAlign w:val="center"/>
          </w:tcPr>
          <w:p w14:paraId="0B03D75A">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0.0200 </w:t>
            </w:r>
          </w:p>
        </w:tc>
        <w:tc>
          <w:tcPr>
            <w:tcW w:w="340" w:type="pct"/>
            <w:tcBorders>
              <w:tl2br w:val="nil"/>
              <w:tr2bl w:val="nil"/>
            </w:tcBorders>
            <w:shd w:val="clear" w:color="auto" w:fill="auto"/>
            <w:noWrap/>
            <w:tcMar>
              <w:top w:w="15" w:type="dxa"/>
              <w:left w:w="15" w:type="dxa"/>
              <w:right w:w="15" w:type="dxa"/>
            </w:tcMar>
            <w:vAlign w:val="center"/>
          </w:tcPr>
          <w:p w14:paraId="036866F7">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0.2067 </w:t>
            </w:r>
          </w:p>
        </w:tc>
        <w:tc>
          <w:tcPr>
            <w:tcW w:w="340" w:type="pct"/>
            <w:tcBorders>
              <w:tl2br w:val="nil"/>
              <w:tr2bl w:val="nil"/>
            </w:tcBorders>
            <w:shd w:val="clear" w:color="auto" w:fill="auto"/>
            <w:noWrap/>
            <w:tcMar>
              <w:top w:w="15" w:type="dxa"/>
              <w:left w:w="15" w:type="dxa"/>
              <w:right w:w="15" w:type="dxa"/>
            </w:tcMar>
            <w:vAlign w:val="center"/>
          </w:tcPr>
          <w:p w14:paraId="037493F2">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38717287">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47956E20">
            <w:pPr>
              <w:widowControl/>
              <w:spacing w:line="240" w:lineRule="auto"/>
              <w:jc w:val="center"/>
              <w:textAlignment w:val="center"/>
              <w:rPr>
                <w:color w:val="000000"/>
                <w:sz w:val="21"/>
                <w:szCs w:val="21"/>
                <w:highlight w:val="none"/>
              </w:rPr>
            </w:pPr>
            <w:r>
              <w:rPr>
                <w:rFonts w:hint="eastAsia"/>
                <w:b/>
                <w:bCs/>
                <w:color w:val="000000"/>
                <w:sz w:val="21"/>
                <w:szCs w:val="21"/>
                <w:highlight w:val="none"/>
              </w:rPr>
              <w:t xml:space="preserve">0.7800 </w:t>
            </w:r>
          </w:p>
        </w:tc>
        <w:tc>
          <w:tcPr>
            <w:tcW w:w="327" w:type="pct"/>
            <w:tcBorders>
              <w:tl2br w:val="nil"/>
              <w:tr2bl w:val="nil"/>
            </w:tcBorders>
            <w:vAlign w:val="center"/>
          </w:tcPr>
          <w:p w14:paraId="3D5E4C5A">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0.0500 </w:t>
            </w:r>
          </w:p>
        </w:tc>
        <w:tc>
          <w:tcPr>
            <w:tcW w:w="690" w:type="pct"/>
            <w:tcBorders>
              <w:tl2br w:val="nil"/>
              <w:tr2bl w:val="nil"/>
            </w:tcBorders>
            <w:shd w:val="clear" w:color="auto" w:fill="auto"/>
            <w:noWrap/>
            <w:tcMar>
              <w:top w:w="15" w:type="dxa"/>
              <w:left w:w="15" w:type="dxa"/>
              <w:right w:w="15" w:type="dxa"/>
            </w:tcMar>
            <w:vAlign w:val="center"/>
          </w:tcPr>
          <w:p w14:paraId="710AEB19">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0.0157 </w:t>
            </w:r>
          </w:p>
        </w:tc>
      </w:tr>
      <w:tr w14:paraId="76C75A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48" w:type="pct"/>
            <w:tcBorders>
              <w:tl2br w:val="nil"/>
              <w:tr2bl w:val="nil"/>
            </w:tcBorders>
            <w:shd w:val="clear" w:color="auto" w:fill="auto"/>
            <w:noWrap/>
            <w:tcMar>
              <w:top w:w="15" w:type="dxa"/>
              <w:left w:w="15" w:type="dxa"/>
              <w:right w:w="15" w:type="dxa"/>
            </w:tcMar>
            <w:vAlign w:val="center"/>
          </w:tcPr>
          <w:p w14:paraId="798A7F76">
            <w:pPr>
              <w:widowControl/>
              <w:spacing w:line="240" w:lineRule="auto"/>
              <w:jc w:val="center"/>
              <w:textAlignment w:val="center"/>
              <w:rPr>
                <w:color w:val="000000"/>
                <w:sz w:val="21"/>
                <w:szCs w:val="21"/>
                <w:highlight w:val="none"/>
              </w:rPr>
            </w:pPr>
            <w:r>
              <w:rPr>
                <w:color w:val="000000"/>
                <w:kern w:val="0"/>
                <w:sz w:val="21"/>
                <w:szCs w:val="21"/>
                <w:highlight w:val="none"/>
                <w:lang w:bidi="ar"/>
              </w:rPr>
              <w:t>8</w:t>
            </w:r>
          </w:p>
        </w:tc>
        <w:tc>
          <w:tcPr>
            <w:tcW w:w="522" w:type="pct"/>
            <w:tcBorders>
              <w:tl2br w:val="nil"/>
              <w:tr2bl w:val="nil"/>
            </w:tcBorders>
            <w:shd w:val="clear" w:color="auto" w:fill="auto"/>
            <w:noWrap/>
            <w:tcMar>
              <w:top w:w="15" w:type="dxa"/>
              <w:left w:w="15" w:type="dxa"/>
              <w:right w:w="15" w:type="dxa"/>
            </w:tcMar>
            <w:vAlign w:val="bottom"/>
          </w:tcPr>
          <w:p w14:paraId="3CAB9CAD">
            <w:pPr>
              <w:widowControl/>
              <w:spacing w:line="240" w:lineRule="auto"/>
              <w:jc w:val="center"/>
              <w:textAlignment w:val="center"/>
              <w:rPr>
                <w:color w:val="000000"/>
                <w:sz w:val="21"/>
                <w:szCs w:val="21"/>
                <w:highlight w:val="none"/>
              </w:rPr>
            </w:pPr>
            <w:r>
              <w:rPr>
                <w:color w:val="000000"/>
                <w:kern w:val="0"/>
                <w:sz w:val="21"/>
                <w:szCs w:val="21"/>
                <w:highlight w:val="none"/>
                <w:lang w:bidi="ar"/>
              </w:rPr>
              <w:t>HH-JJ-2</w:t>
            </w:r>
          </w:p>
        </w:tc>
        <w:tc>
          <w:tcPr>
            <w:tcW w:w="488" w:type="pct"/>
            <w:tcBorders>
              <w:tl2br w:val="nil"/>
              <w:tr2bl w:val="nil"/>
            </w:tcBorders>
            <w:shd w:val="clear" w:color="auto" w:fill="auto"/>
            <w:noWrap/>
            <w:tcMar>
              <w:top w:w="15" w:type="dxa"/>
              <w:left w:w="15" w:type="dxa"/>
              <w:right w:w="15" w:type="dxa"/>
            </w:tcMar>
            <w:vAlign w:val="center"/>
          </w:tcPr>
          <w:p w14:paraId="5022B04D">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4AC2EECC">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0.0874 </w:t>
            </w:r>
          </w:p>
        </w:tc>
        <w:tc>
          <w:tcPr>
            <w:tcW w:w="340" w:type="pct"/>
            <w:tcBorders>
              <w:tl2br w:val="nil"/>
              <w:tr2bl w:val="nil"/>
            </w:tcBorders>
            <w:shd w:val="clear" w:color="auto" w:fill="auto"/>
            <w:noWrap/>
            <w:tcMar>
              <w:top w:w="15" w:type="dxa"/>
              <w:left w:w="15" w:type="dxa"/>
              <w:right w:w="15" w:type="dxa"/>
            </w:tcMar>
            <w:vAlign w:val="center"/>
          </w:tcPr>
          <w:p w14:paraId="27D91C3F">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0.0045 </w:t>
            </w:r>
          </w:p>
        </w:tc>
        <w:tc>
          <w:tcPr>
            <w:tcW w:w="340" w:type="pct"/>
            <w:tcBorders>
              <w:tl2br w:val="nil"/>
              <w:tr2bl w:val="nil"/>
            </w:tcBorders>
            <w:shd w:val="clear" w:color="auto" w:fill="auto"/>
            <w:noWrap/>
            <w:tcMar>
              <w:top w:w="15" w:type="dxa"/>
              <w:left w:w="15" w:type="dxa"/>
              <w:right w:w="15" w:type="dxa"/>
            </w:tcMar>
            <w:vAlign w:val="center"/>
          </w:tcPr>
          <w:p w14:paraId="164D8B4D">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0.0009 </w:t>
            </w:r>
          </w:p>
        </w:tc>
        <w:tc>
          <w:tcPr>
            <w:tcW w:w="340" w:type="pct"/>
            <w:tcBorders>
              <w:tl2br w:val="nil"/>
              <w:tr2bl w:val="nil"/>
            </w:tcBorders>
            <w:shd w:val="clear" w:color="auto" w:fill="auto"/>
            <w:noWrap/>
            <w:tcMar>
              <w:top w:w="15" w:type="dxa"/>
              <w:left w:w="15" w:type="dxa"/>
              <w:right w:w="15" w:type="dxa"/>
            </w:tcMar>
            <w:vAlign w:val="center"/>
          </w:tcPr>
          <w:p w14:paraId="0702F388">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0.0026 </w:t>
            </w:r>
          </w:p>
        </w:tc>
        <w:tc>
          <w:tcPr>
            <w:tcW w:w="340" w:type="pct"/>
            <w:tcBorders>
              <w:tl2br w:val="nil"/>
              <w:tr2bl w:val="nil"/>
            </w:tcBorders>
            <w:shd w:val="clear" w:color="auto" w:fill="auto"/>
            <w:noWrap/>
            <w:tcMar>
              <w:top w:w="15" w:type="dxa"/>
              <w:left w:w="15" w:type="dxa"/>
              <w:right w:w="15" w:type="dxa"/>
            </w:tcMar>
            <w:vAlign w:val="center"/>
          </w:tcPr>
          <w:p w14:paraId="2D2471F7">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0.0533 </w:t>
            </w:r>
          </w:p>
        </w:tc>
        <w:tc>
          <w:tcPr>
            <w:tcW w:w="340" w:type="pct"/>
            <w:tcBorders>
              <w:tl2br w:val="nil"/>
              <w:tr2bl w:val="nil"/>
            </w:tcBorders>
            <w:shd w:val="clear" w:color="auto" w:fill="auto"/>
            <w:noWrap/>
            <w:tcMar>
              <w:top w:w="15" w:type="dxa"/>
              <w:left w:w="15" w:type="dxa"/>
              <w:right w:w="15" w:type="dxa"/>
            </w:tcMar>
            <w:vAlign w:val="center"/>
          </w:tcPr>
          <w:p w14:paraId="7D5ACF5C">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7CFFC82C">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261553A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0.2717 </w:t>
            </w:r>
          </w:p>
        </w:tc>
        <w:tc>
          <w:tcPr>
            <w:tcW w:w="327" w:type="pct"/>
            <w:tcBorders>
              <w:tl2br w:val="nil"/>
              <w:tr2bl w:val="nil"/>
            </w:tcBorders>
            <w:vAlign w:val="center"/>
          </w:tcPr>
          <w:p w14:paraId="683DE87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0.0072 </w:t>
            </w:r>
          </w:p>
        </w:tc>
        <w:tc>
          <w:tcPr>
            <w:tcW w:w="690" w:type="pct"/>
            <w:tcBorders>
              <w:tl2br w:val="nil"/>
              <w:tr2bl w:val="nil"/>
            </w:tcBorders>
            <w:shd w:val="clear" w:color="auto" w:fill="auto"/>
            <w:noWrap/>
            <w:tcMar>
              <w:top w:w="15" w:type="dxa"/>
              <w:left w:w="15" w:type="dxa"/>
              <w:right w:w="15" w:type="dxa"/>
            </w:tcMar>
            <w:vAlign w:val="center"/>
          </w:tcPr>
          <w:p w14:paraId="3D118523">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0.0049 </w:t>
            </w:r>
          </w:p>
        </w:tc>
      </w:tr>
      <w:tr w14:paraId="4ED647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48" w:type="pct"/>
            <w:tcBorders>
              <w:tl2br w:val="nil"/>
              <w:tr2bl w:val="nil"/>
            </w:tcBorders>
            <w:shd w:val="clear" w:color="auto" w:fill="auto"/>
            <w:noWrap/>
            <w:tcMar>
              <w:top w:w="15" w:type="dxa"/>
              <w:left w:w="15" w:type="dxa"/>
              <w:right w:w="15" w:type="dxa"/>
            </w:tcMar>
            <w:vAlign w:val="center"/>
          </w:tcPr>
          <w:p w14:paraId="349F3A69">
            <w:pPr>
              <w:widowControl/>
              <w:spacing w:line="240" w:lineRule="auto"/>
              <w:jc w:val="center"/>
              <w:textAlignment w:val="center"/>
              <w:rPr>
                <w:color w:val="000000"/>
                <w:sz w:val="21"/>
                <w:szCs w:val="21"/>
                <w:highlight w:val="none"/>
              </w:rPr>
            </w:pPr>
            <w:r>
              <w:rPr>
                <w:color w:val="000000"/>
                <w:kern w:val="0"/>
                <w:sz w:val="21"/>
                <w:szCs w:val="21"/>
                <w:highlight w:val="none"/>
                <w:lang w:bidi="ar"/>
              </w:rPr>
              <w:t>9</w:t>
            </w:r>
          </w:p>
        </w:tc>
        <w:tc>
          <w:tcPr>
            <w:tcW w:w="522" w:type="pct"/>
            <w:tcBorders>
              <w:tl2br w:val="nil"/>
              <w:tr2bl w:val="nil"/>
            </w:tcBorders>
            <w:shd w:val="clear" w:color="auto" w:fill="auto"/>
            <w:noWrap/>
            <w:tcMar>
              <w:top w:w="15" w:type="dxa"/>
              <w:left w:w="15" w:type="dxa"/>
              <w:right w:w="15" w:type="dxa"/>
            </w:tcMar>
            <w:vAlign w:val="bottom"/>
          </w:tcPr>
          <w:p w14:paraId="7CFA6641">
            <w:pPr>
              <w:keepNext w:val="0"/>
              <w:keepLines w:val="0"/>
              <w:widowControl/>
              <w:suppressLineNumbers w:val="0"/>
              <w:spacing w:line="240" w:lineRule="auto"/>
              <w:jc w:val="center"/>
              <w:textAlignment w:val="center"/>
              <w:rPr>
                <w:rFonts w:hint="eastAsia"/>
                <w:color w:val="000000"/>
                <w:sz w:val="21"/>
                <w:szCs w:val="21"/>
                <w:highlight w:val="none"/>
                <w:lang w:val="en-US" w:eastAsia="zh-CN"/>
              </w:rPr>
            </w:pPr>
            <w:r>
              <w:rPr>
                <w:rFonts w:hint="eastAsia"/>
                <w:color w:val="000000"/>
                <w:sz w:val="21"/>
                <w:szCs w:val="21"/>
                <w:highlight w:val="none"/>
                <w:lang w:val="en-US" w:eastAsia="zh-CN"/>
              </w:rPr>
              <w:t>HH-JJ-3</w:t>
            </w:r>
          </w:p>
        </w:tc>
        <w:tc>
          <w:tcPr>
            <w:tcW w:w="488" w:type="pct"/>
            <w:tcBorders>
              <w:tl2br w:val="nil"/>
              <w:tr2bl w:val="nil"/>
            </w:tcBorders>
            <w:shd w:val="clear" w:color="auto" w:fill="auto"/>
            <w:noWrap/>
            <w:tcMar>
              <w:top w:w="15" w:type="dxa"/>
              <w:left w:w="15" w:type="dxa"/>
              <w:right w:w="15" w:type="dxa"/>
            </w:tcMar>
            <w:vAlign w:val="center"/>
          </w:tcPr>
          <w:p w14:paraId="0F6BD4B3">
            <w:pPr>
              <w:keepNext w:val="0"/>
              <w:keepLines w:val="0"/>
              <w:widowControl/>
              <w:suppressLineNumbers w:val="0"/>
              <w:spacing w:line="240" w:lineRule="auto"/>
              <w:jc w:val="center"/>
              <w:textAlignment w:val="center"/>
              <w:rPr>
                <w:rFonts w:hint="eastAsia"/>
                <w:color w:val="000000"/>
                <w:sz w:val="21"/>
                <w:szCs w:val="21"/>
                <w:highlight w:val="none"/>
                <w:lang w:val="en-US" w:eastAsia="zh-CN"/>
              </w:rPr>
            </w:pPr>
            <w:r>
              <w:rPr>
                <w:rFonts w:hint="eastAsia"/>
                <w:color w:val="000000"/>
                <w:sz w:val="21"/>
                <w:szCs w:val="21"/>
                <w:highlight w:val="none"/>
                <w:lang w:val="en-US" w:eastAsia="zh-CN"/>
              </w:rPr>
              <w:t xml:space="preserve">0.3633 </w:t>
            </w:r>
          </w:p>
        </w:tc>
        <w:tc>
          <w:tcPr>
            <w:tcW w:w="340" w:type="pct"/>
            <w:tcBorders>
              <w:tl2br w:val="nil"/>
              <w:tr2bl w:val="nil"/>
            </w:tcBorders>
            <w:shd w:val="clear" w:color="auto" w:fill="auto"/>
            <w:noWrap/>
            <w:tcMar>
              <w:top w:w="15" w:type="dxa"/>
              <w:left w:w="15" w:type="dxa"/>
              <w:right w:w="15" w:type="dxa"/>
            </w:tcMar>
            <w:vAlign w:val="center"/>
          </w:tcPr>
          <w:p w14:paraId="5FED7B39">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0.0653 </w:t>
            </w:r>
          </w:p>
        </w:tc>
        <w:tc>
          <w:tcPr>
            <w:tcW w:w="340" w:type="pct"/>
            <w:tcBorders>
              <w:tl2br w:val="nil"/>
              <w:tr2bl w:val="nil"/>
            </w:tcBorders>
            <w:shd w:val="clear" w:color="auto" w:fill="auto"/>
            <w:noWrap/>
            <w:tcMar>
              <w:top w:w="15" w:type="dxa"/>
              <w:left w:w="15" w:type="dxa"/>
              <w:right w:w="15" w:type="dxa"/>
            </w:tcMar>
            <w:vAlign w:val="center"/>
          </w:tcPr>
          <w:p w14:paraId="4F4BD1EA">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0.0138 </w:t>
            </w:r>
          </w:p>
        </w:tc>
        <w:tc>
          <w:tcPr>
            <w:tcW w:w="340" w:type="pct"/>
            <w:tcBorders>
              <w:tl2br w:val="nil"/>
              <w:tr2bl w:val="nil"/>
            </w:tcBorders>
            <w:shd w:val="clear" w:color="auto" w:fill="auto"/>
            <w:noWrap/>
            <w:tcMar>
              <w:top w:w="15" w:type="dxa"/>
              <w:left w:w="15" w:type="dxa"/>
              <w:right w:w="15" w:type="dxa"/>
            </w:tcMar>
            <w:vAlign w:val="center"/>
          </w:tcPr>
          <w:p w14:paraId="02339B6B">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0.0020 </w:t>
            </w:r>
          </w:p>
        </w:tc>
        <w:tc>
          <w:tcPr>
            <w:tcW w:w="340" w:type="pct"/>
            <w:tcBorders>
              <w:tl2br w:val="nil"/>
              <w:tr2bl w:val="nil"/>
            </w:tcBorders>
            <w:shd w:val="clear" w:color="auto" w:fill="auto"/>
            <w:noWrap/>
            <w:tcMar>
              <w:top w:w="15" w:type="dxa"/>
              <w:left w:w="15" w:type="dxa"/>
              <w:right w:w="15" w:type="dxa"/>
            </w:tcMar>
            <w:vAlign w:val="center"/>
          </w:tcPr>
          <w:p w14:paraId="6B456F02">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0.0135 </w:t>
            </w:r>
          </w:p>
        </w:tc>
        <w:tc>
          <w:tcPr>
            <w:tcW w:w="340" w:type="pct"/>
            <w:tcBorders>
              <w:tl2br w:val="nil"/>
              <w:tr2bl w:val="nil"/>
            </w:tcBorders>
            <w:shd w:val="clear" w:color="auto" w:fill="auto"/>
            <w:noWrap/>
            <w:tcMar>
              <w:top w:w="15" w:type="dxa"/>
              <w:left w:w="15" w:type="dxa"/>
              <w:right w:w="15" w:type="dxa"/>
            </w:tcMar>
            <w:vAlign w:val="center"/>
          </w:tcPr>
          <w:p w14:paraId="5950610B">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0.1867 </w:t>
            </w:r>
          </w:p>
        </w:tc>
        <w:tc>
          <w:tcPr>
            <w:tcW w:w="340" w:type="pct"/>
            <w:tcBorders>
              <w:tl2br w:val="nil"/>
              <w:tr2bl w:val="nil"/>
            </w:tcBorders>
            <w:shd w:val="clear" w:color="auto" w:fill="auto"/>
            <w:noWrap/>
            <w:tcMar>
              <w:top w:w="15" w:type="dxa"/>
              <w:left w:w="15" w:type="dxa"/>
              <w:right w:w="15" w:type="dxa"/>
            </w:tcMar>
            <w:vAlign w:val="center"/>
          </w:tcPr>
          <w:p w14:paraId="731D353B">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142F327F">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6686833E">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0.6700 </w:t>
            </w:r>
          </w:p>
        </w:tc>
        <w:tc>
          <w:tcPr>
            <w:tcW w:w="327" w:type="pct"/>
            <w:tcBorders>
              <w:tl2br w:val="nil"/>
              <w:tr2bl w:val="nil"/>
            </w:tcBorders>
            <w:vAlign w:val="center"/>
          </w:tcPr>
          <w:p w14:paraId="19F643E9">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0.0450 </w:t>
            </w:r>
          </w:p>
        </w:tc>
        <w:tc>
          <w:tcPr>
            <w:tcW w:w="690" w:type="pct"/>
            <w:tcBorders>
              <w:tl2br w:val="nil"/>
              <w:tr2bl w:val="nil"/>
            </w:tcBorders>
            <w:shd w:val="clear" w:color="auto" w:fill="auto"/>
            <w:noWrap/>
            <w:tcMar>
              <w:top w:w="15" w:type="dxa"/>
              <w:left w:w="15" w:type="dxa"/>
              <w:right w:w="15" w:type="dxa"/>
            </w:tcMar>
            <w:vAlign w:val="center"/>
          </w:tcPr>
          <w:p w14:paraId="6AFB699F">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0.0085 </w:t>
            </w:r>
          </w:p>
        </w:tc>
      </w:tr>
      <w:tr w14:paraId="42DCBE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48" w:type="pct"/>
            <w:tcBorders>
              <w:tl2br w:val="nil"/>
              <w:tr2bl w:val="nil"/>
            </w:tcBorders>
            <w:shd w:val="clear" w:color="auto" w:fill="auto"/>
            <w:noWrap/>
            <w:tcMar>
              <w:top w:w="15" w:type="dxa"/>
              <w:left w:w="15" w:type="dxa"/>
              <w:right w:w="15" w:type="dxa"/>
            </w:tcMar>
            <w:vAlign w:val="center"/>
          </w:tcPr>
          <w:p w14:paraId="4747987D">
            <w:pPr>
              <w:widowControl/>
              <w:spacing w:line="240" w:lineRule="auto"/>
              <w:jc w:val="center"/>
              <w:textAlignment w:val="center"/>
              <w:rPr>
                <w:color w:val="000000"/>
                <w:sz w:val="21"/>
                <w:szCs w:val="21"/>
                <w:highlight w:val="none"/>
              </w:rPr>
            </w:pPr>
            <w:r>
              <w:rPr>
                <w:color w:val="000000"/>
                <w:kern w:val="0"/>
                <w:sz w:val="21"/>
                <w:szCs w:val="21"/>
                <w:highlight w:val="none"/>
                <w:lang w:bidi="ar"/>
              </w:rPr>
              <w:t>10</w:t>
            </w:r>
          </w:p>
        </w:tc>
        <w:tc>
          <w:tcPr>
            <w:tcW w:w="522" w:type="pct"/>
            <w:tcBorders>
              <w:tl2br w:val="nil"/>
              <w:tr2bl w:val="nil"/>
            </w:tcBorders>
            <w:shd w:val="clear" w:color="auto" w:fill="auto"/>
            <w:noWrap/>
            <w:tcMar>
              <w:top w:w="15" w:type="dxa"/>
              <w:left w:w="15" w:type="dxa"/>
              <w:right w:w="15" w:type="dxa"/>
            </w:tcMar>
            <w:vAlign w:val="bottom"/>
          </w:tcPr>
          <w:p w14:paraId="616BED7F">
            <w:pPr>
              <w:widowControl/>
              <w:spacing w:line="240" w:lineRule="auto"/>
              <w:jc w:val="center"/>
              <w:textAlignment w:val="center"/>
              <w:rPr>
                <w:color w:val="000000"/>
                <w:sz w:val="21"/>
                <w:szCs w:val="21"/>
                <w:highlight w:val="none"/>
              </w:rPr>
            </w:pPr>
            <w:r>
              <w:rPr>
                <w:color w:val="000000"/>
                <w:kern w:val="0"/>
                <w:sz w:val="21"/>
                <w:szCs w:val="21"/>
                <w:highlight w:val="none"/>
                <w:lang w:bidi="ar"/>
              </w:rPr>
              <w:t>HH-JJ-4</w:t>
            </w:r>
          </w:p>
        </w:tc>
        <w:tc>
          <w:tcPr>
            <w:tcW w:w="488" w:type="pct"/>
            <w:tcBorders>
              <w:tl2br w:val="nil"/>
              <w:tr2bl w:val="nil"/>
            </w:tcBorders>
            <w:shd w:val="clear" w:color="auto" w:fill="auto"/>
            <w:noWrap/>
            <w:tcMar>
              <w:top w:w="15" w:type="dxa"/>
              <w:left w:w="15" w:type="dxa"/>
              <w:right w:w="15" w:type="dxa"/>
            </w:tcMar>
            <w:vAlign w:val="center"/>
          </w:tcPr>
          <w:p w14:paraId="2215C96C">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5940270C">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0.0633 </w:t>
            </w:r>
          </w:p>
        </w:tc>
        <w:tc>
          <w:tcPr>
            <w:tcW w:w="340" w:type="pct"/>
            <w:tcBorders>
              <w:tl2br w:val="nil"/>
              <w:tr2bl w:val="nil"/>
            </w:tcBorders>
            <w:shd w:val="clear" w:color="auto" w:fill="auto"/>
            <w:noWrap/>
            <w:tcMar>
              <w:top w:w="15" w:type="dxa"/>
              <w:left w:w="15" w:type="dxa"/>
              <w:right w:w="15" w:type="dxa"/>
            </w:tcMar>
            <w:vAlign w:val="center"/>
          </w:tcPr>
          <w:p w14:paraId="10419CA1">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0.0138 </w:t>
            </w:r>
          </w:p>
        </w:tc>
        <w:tc>
          <w:tcPr>
            <w:tcW w:w="340" w:type="pct"/>
            <w:tcBorders>
              <w:tl2br w:val="nil"/>
              <w:tr2bl w:val="nil"/>
            </w:tcBorders>
            <w:shd w:val="clear" w:color="auto" w:fill="auto"/>
            <w:noWrap/>
            <w:tcMar>
              <w:top w:w="15" w:type="dxa"/>
              <w:left w:w="15" w:type="dxa"/>
              <w:right w:w="15" w:type="dxa"/>
            </w:tcMar>
            <w:vAlign w:val="center"/>
          </w:tcPr>
          <w:p w14:paraId="632DEFC5">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0.0025 </w:t>
            </w:r>
          </w:p>
        </w:tc>
        <w:tc>
          <w:tcPr>
            <w:tcW w:w="340" w:type="pct"/>
            <w:tcBorders>
              <w:tl2br w:val="nil"/>
              <w:tr2bl w:val="nil"/>
            </w:tcBorders>
            <w:shd w:val="clear" w:color="auto" w:fill="auto"/>
            <w:noWrap/>
            <w:tcMar>
              <w:top w:w="15" w:type="dxa"/>
              <w:left w:w="15" w:type="dxa"/>
              <w:right w:w="15" w:type="dxa"/>
            </w:tcMar>
            <w:vAlign w:val="center"/>
          </w:tcPr>
          <w:p w14:paraId="5F5A7F1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0.0195 </w:t>
            </w:r>
          </w:p>
        </w:tc>
        <w:tc>
          <w:tcPr>
            <w:tcW w:w="340" w:type="pct"/>
            <w:tcBorders>
              <w:tl2br w:val="nil"/>
              <w:tr2bl w:val="nil"/>
            </w:tcBorders>
            <w:shd w:val="clear" w:color="auto" w:fill="auto"/>
            <w:noWrap/>
            <w:tcMar>
              <w:top w:w="15" w:type="dxa"/>
              <w:left w:w="15" w:type="dxa"/>
              <w:right w:w="15" w:type="dxa"/>
            </w:tcMar>
            <w:vAlign w:val="center"/>
          </w:tcPr>
          <w:p w14:paraId="39CB6B8E">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0.2133 </w:t>
            </w:r>
          </w:p>
        </w:tc>
        <w:tc>
          <w:tcPr>
            <w:tcW w:w="340" w:type="pct"/>
            <w:tcBorders>
              <w:tl2br w:val="nil"/>
              <w:tr2bl w:val="nil"/>
            </w:tcBorders>
            <w:shd w:val="clear" w:color="auto" w:fill="auto"/>
            <w:noWrap/>
            <w:tcMar>
              <w:top w:w="15" w:type="dxa"/>
              <w:left w:w="15" w:type="dxa"/>
              <w:right w:w="15" w:type="dxa"/>
            </w:tcMar>
            <w:vAlign w:val="center"/>
          </w:tcPr>
          <w:p w14:paraId="4482E44A">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401BAC6B">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622FBC5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0.5750 </w:t>
            </w:r>
          </w:p>
        </w:tc>
        <w:tc>
          <w:tcPr>
            <w:tcW w:w="327" w:type="pct"/>
            <w:tcBorders>
              <w:tl2br w:val="nil"/>
              <w:tr2bl w:val="nil"/>
            </w:tcBorders>
            <w:vAlign w:val="center"/>
          </w:tcPr>
          <w:p w14:paraId="405BA66E">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0.0400 </w:t>
            </w:r>
          </w:p>
        </w:tc>
        <w:tc>
          <w:tcPr>
            <w:tcW w:w="690" w:type="pct"/>
            <w:tcBorders>
              <w:tl2br w:val="nil"/>
              <w:tr2bl w:val="nil"/>
            </w:tcBorders>
            <w:shd w:val="clear" w:color="auto" w:fill="auto"/>
            <w:noWrap/>
            <w:tcMar>
              <w:top w:w="15" w:type="dxa"/>
              <w:left w:w="15" w:type="dxa"/>
              <w:right w:w="15" w:type="dxa"/>
            </w:tcMar>
            <w:vAlign w:val="center"/>
          </w:tcPr>
          <w:p w14:paraId="454C507C">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0.0097 </w:t>
            </w:r>
          </w:p>
        </w:tc>
      </w:tr>
      <w:tr w14:paraId="3F2A3A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48" w:type="pct"/>
            <w:tcBorders>
              <w:tl2br w:val="nil"/>
              <w:tr2bl w:val="nil"/>
            </w:tcBorders>
            <w:shd w:val="clear" w:color="auto" w:fill="auto"/>
            <w:noWrap/>
            <w:tcMar>
              <w:top w:w="15" w:type="dxa"/>
              <w:left w:w="15" w:type="dxa"/>
              <w:right w:w="15" w:type="dxa"/>
            </w:tcMar>
            <w:vAlign w:val="center"/>
          </w:tcPr>
          <w:p w14:paraId="6E357293">
            <w:pPr>
              <w:widowControl/>
              <w:spacing w:line="240" w:lineRule="auto"/>
              <w:jc w:val="center"/>
              <w:textAlignment w:val="center"/>
              <w:rPr>
                <w:color w:val="000000"/>
                <w:sz w:val="21"/>
                <w:szCs w:val="21"/>
                <w:highlight w:val="none"/>
              </w:rPr>
            </w:pPr>
            <w:r>
              <w:rPr>
                <w:color w:val="000000"/>
                <w:kern w:val="0"/>
                <w:sz w:val="21"/>
                <w:szCs w:val="21"/>
                <w:highlight w:val="none"/>
                <w:lang w:bidi="ar"/>
              </w:rPr>
              <w:t>11</w:t>
            </w:r>
          </w:p>
        </w:tc>
        <w:tc>
          <w:tcPr>
            <w:tcW w:w="522" w:type="pct"/>
            <w:tcBorders>
              <w:tl2br w:val="nil"/>
              <w:tr2bl w:val="nil"/>
            </w:tcBorders>
            <w:shd w:val="clear" w:color="auto" w:fill="auto"/>
            <w:noWrap/>
            <w:tcMar>
              <w:top w:w="15" w:type="dxa"/>
              <w:left w:w="15" w:type="dxa"/>
              <w:right w:w="15" w:type="dxa"/>
            </w:tcMar>
            <w:vAlign w:val="bottom"/>
          </w:tcPr>
          <w:p w14:paraId="1951EFAB">
            <w:pPr>
              <w:widowControl/>
              <w:spacing w:line="240" w:lineRule="auto"/>
              <w:jc w:val="center"/>
              <w:textAlignment w:val="center"/>
              <w:rPr>
                <w:color w:val="000000"/>
                <w:sz w:val="21"/>
                <w:szCs w:val="21"/>
                <w:highlight w:val="none"/>
              </w:rPr>
            </w:pPr>
            <w:r>
              <w:rPr>
                <w:color w:val="000000"/>
                <w:kern w:val="0"/>
                <w:sz w:val="21"/>
                <w:szCs w:val="21"/>
                <w:highlight w:val="none"/>
                <w:lang w:bidi="ar"/>
              </w:rPr>
              <w:t>HH-JJ-5</w:t>
            </w:r>
          </w:p>
        </w:tc>
        <w:tc>
          <w:tcPr>
            <w:tcW w:w="488" w:type="pct"/>
            <w:tcBorders>
              <w:tl2br w:val="nil"/>
              <w:tr2bl w:val="nil"/>
            </w:tcBorders>
            <w:shd w:val="clear" w:color="auto" w:fill="auto"/>
            <w:noWrap/>
            <w:tcMar>
              <w:top w:w="15" w:type="dxa"/>
              <w:left w:w="15" w:type="dxa"/>
              <w:right w:w="15" w:type="dxa"/>
            </w:tcMar>
            <w:vAlign w:val="center"/>
          </w:tcPr>
          <w:p w14:paraId="333C2A5A">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0BCB80F8">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0.0323 </w:t>
            </w:r>
          </w:p>
        </w:tc>
        <w:tc>
          <w:tcPr>
            <w:tcW w:w="340" w:type="pct"/>
            <w:tcBorders>
              <w:tl2br w:val="nil"/>
              <w:tr2bl w:val="nil"/>
            </w:tcBorders>
            <w:shd w:val="clear" w:color="auto" w:fill="auto"/>
            <w:noWrap/>
            <w:tcMar>
              <w:top w:w="15" w:type="dxa"/>
              <w:left w:w="15" w:type="dxa"/>
              <w:right w:w="15" w:type="dxa"/>
            </w:tcMar>
            <w:vAlign w:val="center"/>
          </w:tcPr>
          <w:p w14:paraId="10125EC5">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0.0039 </w:t>
            </w:r>
          </w:p>
        </w:tc>
        <w:tc>
          <w:tcPr>
            <w:tcW w:w="340" w:type="pct"/>
            <w:tcBorders>
              <w:tl2br w:val="nil"/>
              <w:tr2bl w:val="nil"/>
            </w:tcBorders>
            <w:shd w:val="clear" w:color="auto" w:fill="auto"/>
            <w:noWrap/>
            <w:tcMar>
              <w:top w:w="15" w:type="dxa"/>
              <w:left w:w="15" w:type="dxa"/>
              <w:right w:w="15" w:type="dxa"/>
            </w:tcMar>
            <w:vAlign w:val="center"/>
          </w:tcPr>
          <w:p w14:paraId="379ACF19">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0.0003 </w:t>
            </w:r>
          </w:p>
        </w:tc>
        <w:tc>
          <w:tcPr>
            <w:tcW w:w="340" w:type="pct"/>
            <w:tcBorders>
              <w:tl2br w:val="nil"/>
              <w:tr2bl w:val="nil"/>
            </w:tcBorders>
            <w:shd w:val="clear" w:color="auto" w:fill="auto"/>
            <w:noWrap/>
            <w:tcMar>
              <w:top w:w="15" w:type="dxa"/>
              <w:left w:w="15" w:type="dxa"/>
              <w:right w:w="15" w:type="dxa"/>
            </w:tcMar>
            <w:vAlign w:val="center"/>
          </w:tcPr>
          <w:p w14:paraId="53058BB5">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0.0026 </w:t>
            </w:r>
          </w:p>
        </w:tc>
        <w:tc>
          <w:tcPr>
            <w:tcW w:w="340" w:type="pct"/>
            <w:tcBorders>
              <w:tl2br w:val="nil"/>
              <w:tr2bl w:val="nil"/>
            </w:tcBorders>
            <w:shd w:val="clear" w:color="auto" w:fill="auto"/>
            <w:noWrap/>
            <w:tcMar>
              <w:top w:w="15" w:type="dxa"/>
              <w:left w:w="15" w:type="dxa"/>
              <w:right w:w="15" w:type="dxa"/>
            </w:tcMar>
            <w:vAlign w:val="center"/>
          </w:tcPr>
          <w:p w14:paraId="2C7F3A4D">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0.0533 </w:t>
            </w:r>
          </w:p>
        </w:tc>
        <w:tc>
          <w:tcPr>
            <w:tcW w:w="340" w:type="pct"/>
            <w:tcBorders>
              <w:tl2br w:val="nil"/>
              <w:tr2bl w:val="nil"/>
            </w:tcBorders>
            <w:shd w:val="clear" w:color="auto" w:fill="auto"/>
            <w:noWrap/>
            <w:tcMar>
              <w:top w:w="15" w:type="dxa"/>
              <w:left w:w="15" w:type="dxa"/>
              <w:right w:w="15" w:type="dxa"/>
            </w:tcMar>
            <w:vAlign w:val="center"/>
          </w:tcPr>
          <w:p w14:paraId="7D1642A5">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6DD39159">
            <w:pPr>
              <w:widowControl/>
              <w:spacing w:line="240" w:lineRule="auto"/>
              <w:jc w:val="center"/>
              <w:textAlignment w:val="center"/>
              <w:rPr>
                <w:color w:val="000000"/>
                <w:sz w:val="21"/>
                <w:szCs w:val="21"/>
                <w:highlight w:val="none"/>
              </w:rPr>
            </w:pPr>
            <w:r>
              <w:rPr>
                <w:rFonts w:hint="eastAsia"/>
                <w:color w:val="000000"/>
                <w:sz w:val="21"/>
                <w:szCs w:val="21"/>
                <w:highlight w:val="none"/>
              </w:rPr>
              <w:t>/</w:t>
            </w:r>
          </w:p>
        </w:tc>
        <w:tc>
          <w:tcPr>
            <w:tcW w:w="340" w:type="pct"/>
            <w:tcBorders>
              <w:tl2br w:val="nil"/>
              <w:tr2bl w:val="nil"/>
            </w:tcBorders>
            <w:shd w:val="clear" w:color="auto" w:fill="auto"/>
            <w:noWrap/>
            <w:tcMar>
              <w:top w:w="15" w:type="dxa"/>
              <w:left w:w="15" w:type="dxa"/>
              <w:right w:w="15" w:type="dxa"/>
            </w:tcMar>
            <w:vAlign w:val="center"/>
          </w:tcPr>
          <w:p w14:paraId="09FE1BBB">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0.2133 </w:t>
            </w:r>
          </w:p>
        </w:tc>
        <w:tc>
          <w:tcPr>
            <w:tcW w:w="327" w:type="pct"/>
            <w:tcBorders>
              <w:tl2br w:val="nil"/>
              <w:tr2bl w:val="nil"/>
            </w:tcBorders>
            <w:vAlign w:val="center"/>
          </w:tcPr>
          <w:p w14:paraId="2B6804CB">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0.0044 </w:t>
            </w:r>
          </w:p>
        </w:tc>
        <w:tc>
          <w:tcPr>
            <w:tcW w:w="690" w:type="pct"/>
            <w:tcBorders>
              <w:tl2br w:val="nil"/>
              <w:tr2bl w:val="nil"/>
            </w:tcBorders>
            <w:shd w:val="clear" w:color="auto" w:fill="auto"/>
            <w:noWrap/>
            <w:tcMar>
              <w:top w:w="15" w:type="dxa"/>
              <w:left w:w="15" w:type="dxa"/>
              <w:right w:w="15" w:type="dxa"/>
            </w:tcMar>
            <w:vAlign w:val="center"/>
          </w:tcPr>
          <w:p w14:paraId="669F09B3">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0.0049 </w:t>
            </w:r>
          </w:p>
        </w:tc>
      </w:tr>
      <w:tr w14:paraId="12B45D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71" w:type="pct"/>
            <w:gridSpan w:val="2"/>
            <w:tcBorders>
              <w:tl2br w:val="nil"/>
              <w:tr2bl w:val="nil"/>
            </w:tcBorders>
            <w:shd w:val="clear" w:color="auto" w:fill="auto"/>
            <w:noWrap/>
            <w:tcMar>
              <w:top w:w="15" w:type="dxa"/>
              <w:left w:w="15" w:type="dxa"/>
              <w:right w:w="15" w:type="dxa"/>
            </w:tcMar>
            <w:vAlign w:val="center"/>
          </w:tcPr>
          <w:p w14:paraId="368AC7EB">
            <w:pPr>
              <w:widowControl/>
              <w:spacing w:line="240" w:lineRule="auto"/>
              <w:jc w:val="center"/>
              <w:textAlignment w:val="center"/>
              <w:rPr>
                <w:color w:val="000000"/>
                <w:sz w:val="21"/>
                <w:szCs w:val="21"/>
                <w:highlight w:val="none"/>
              </w:rPr>
            </w:pPr>
            <w:r>
              <w:rPr>
                <w:color w:val="000000"/>
                <w:sz w:val="21"/>
                <w:szCs w:val="21"/>
                <w:highlight w:val="none"/>
              </w:rPr>
              <w:t>最大值</w:t>
            </w:r>
          </w:p>
        </w:tc>
        <w:tc>
          <w:tcPr>
            <w:tcW w:w="488" w:type="pct"/>
            <w:tcBorders>
              <w:tl2br w:val="nil"/>
              <w:tr2bl w:val="nil"/>
            </w:tcBorders>
            <w:shd w:val="clear" w:color="auto" w:fill="auto"/>
            <w:noWrap/>
            <w:tcMar>
              <w:top w:w="15" w:type="dxa"/>
              <w:left w:w="15" w:type="dxa"/>
              <w:right w:w="15" w:type="dxa"/>
            </w:tcMar>
            <w:vAlign w:val="center"/>
          </w:tcPr>
          <w:p w14:paraId="5A3718E5">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0.4765 </w:t>
            </w:r>
          </w:p>
        </w:tc>
        <w:tc>
          <w:tcPr>
            <w:tcW w:w="340" w:type="pct"/>
            <w:tcBorders>
              <w:tl2br w:val="nil"/>
              <w:tr2bl w:val="nil"/>
            </w:tcBorders>
            <w:shd w:val="clear" w:color="auto" w:fill="auto"/>
            <w:noWrap/>
            <w:tcMar>
              <w:top w:w="15" w:type="dxa"/>
              <w:left w:w="15" w:type="dxa"/>
              <w:right w:w="15" w:type="dxa"/>
            </w:tcMar>
            <w:vAlign w:val="center"/>
          </w:tcPr>
          <w:p w14:paraId="0DDB06B9">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0.2453 </w:t>
            </w:r>
          </w:p>
        </w:tc>
        <w:tc>
          <w:tcPr>
            <w:tcW w:w="340" w:type="pct"/>
            <w:tcBorders>
              <w:tl2br w:val="nil"/>
              <w:tr2bl w:val="nil"/>
            </w:tcBorders>
            <w:shd w:val="clear" w:color="auto" w:fill="auto"/>
            <w:noWrap/>
            <w:tcMar>
              <w:top w:w="15" w:type="dxa"/>
              <w:left w:w="15" w:type="dxa"/>
              <w:right w:w="15" w:type="dxa"/>
            </w:tcMar>
            <w:vAlign w:val="center"/>
          </w:tcPr>
          <w:p w14:paraId="24AB78D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0.0412 </w:t>
            </w:r>
          </w:p>
        </w:tc>
        <w:tc>
          <w:tcPr>
            <w:tcW w:w="340" w:type="pct"/>
            <w:tcBorders>
              <w:tl2br w:val="nil"/>
              <w:tr2bl w:val="nil"/>
            </w:tcBorders>
            <w:shd w:val="clear" w:color="auto" w:fill="auto"/>
            <w:noWrap/>
            <w:tcMar>
              <w:top w:w="15" w:type="dxa"/>
              <w:left w:w="15" w:type="dxa"/>
              <w:right w:w="15" w:type="dxa"/>
            </w:tcMar>
            <w:vAlign w:val="center"/>
          </w:tcPr>
          <w:p w14:paraId="049D8CA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0.0667 </w:t>
            </w:r>
          </w:p>
        </w:tc>
        <w:tc>
          <w:tcPr>
            <w:tcW w:w="340" w:type="pct"/>
            <w:tcBorders>
              <w:tl2br w:val="nil"/>
              <w:tr2bl w:val="nil"/>
            </w:tcBorders>
            <w:shd w:val="clear" w:color="auto" w:fill="auto"/>
            <w:noWrap/>
            <w:tcMar>
              <w:top w:w="15" w:type="dxa"/>
              <w:left w:w="15" w:type="dxa"/>
              <w:right w:w="15" w:type="dxa"/>
            </w:tcMar>
            <w:vAlign w:val="center"/>
          </w:tcPr>
          <w:p w14:paraId="13A1EF54">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0.2300 </w:t>
            </w:r>
          </w:p>
        </w:tc>
        <w:tc>
          <w:tcPr>
            <w:tcW w:w="340" w:type="pct"/>
            <w:tcBorders>
              <w:tl2br w:val="nil"/>
              <w:tr2bl w:val="nil"/>
            </w:tcBorders>
            <w:shd w:val="clear" w:color="auto" w:fill="auto"/>
            <w:noWrap/>
            <w:tcMar>
              <w:top w:w="15" w:type="dxa"/>
              <w:left w:w="15" w:type="dxa"/>
              <w:right w:w="15" w:type="dxa"/>
            </w:tcMar>
            <w:vAlign w:val="center"/>
          </w:tcPr>
          <w:p w14:paraId="5CD4C777">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0.3600 </w:t>
            </w:r>
          </w:p>
        </w:tc>
        <w:tc>
          <w:tcPr>
            <w:tcW w:w="340" w:type="pct"/>
            <w:tcBorders>
              <w:tl2br w:val="nil"/>
              <w:tr2bl w:val="nil"/>
            </w:tcBorders>
            <w:shd w:val="clear" w:color="auto" w:fill="auto"/>
            <w:noWrap/>
            <w:tcMar>
              <w:top w:w="15" w:type="dxa"/>
              <w:left w:w="15" w:type="dxa"/>
              <w:right w:w="15" w:type="dxa"/>
            </w:tcMar>
            <w:vAlign w:val="center"/>
          </w:tcPr>
          <w:p w14:paraId="40963B73">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0.2400 </w:t>
            </w:r>
          </w:p>
        </w:tc>
        <w:tc>
          <w:tcPr>
            <w:tcW w:w="340" w:type="pct"/>
            <w:tcBorders>
              <w:tl2br w:val="nil"/>
              <w:tr2bl w:val="nil"/>
            </w:tcBorders>
            <w:shd w:val="clear" w:color="auto" w:fill="auto"/>
            <w:noWrap/>
            <w:tcMar>
              <w:top w:w="15" w:type="dxa"/>
              <w:left w:w="15" w:type="dxa"/>
              <w:right w:w="15" w:type="dxa"/>
            </w:tcMar>
            <w:vAlign w:val="center"/>
          </w:tcPr>
          <w:p w14:paraId="44F00B8B">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0.3167 </w:t>
            </w:r>
          </w:p>
        </w:tc>
        <w:tc>
          <w:tcPr>
            <w:tcW w:w="340" w:type="pct"/>
            <w:tcBorders>
              <w:tl2br w:val="nil"/>
              <w:tr2bl w:val="nil"/>
            </w:tcBorders>
            <w:shd w:val="clear" w:color="auto" w:fill="auto"/>
            <w:noWrap/>
            <w:tcMar>
              <w:top w:w="15" w:type="dxa"/>
              <w:left w:w="15" w:type="dxa"/>
              <w:right w:w="15" w:type="dxa"/>
            </w:tcMar>
            <w:vAlign w:val="center"/>
          </w:tcPr>
          <w:p w14:paraId="1104DE8B">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0.7800 </w:t>
            </w:r>
          </w:p>
        </w:tc>
        <w:tc>
          <w:tcPr>
            <w:tcW w:w="327" w:type="pct"/>
            <w:tcBorders>
              <w:tl2br w:val="nil"/>
              <w:tr2bl w:val="nil"/>
            </w:tcBorders>
            <w:vAlign w:val="center"/>
          </w:tcPr>
          <w:p w14:paraId="6057472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0.0500 </w:t>
            </w:r>
          </w:p>
        </w:tc>
        <w:tc>
          <w:tcPr>
            <w:tcW w:w="690" w:type="pct"/>
            <w:tcBorders>
              <w:tl2br w:val="nil"/>
              <w:tr2bl w:val="nil"/>
            </w:tcBorders>
            <w:shd w:val="clear" w:color="auto" w:fill="auto"/>
            <w:noWrap/>
            <w:tcMar>
              <w:top w:w="15" w:type="dxa"/>
              <w:left w:w="15" w:type="dxa"/>
              <w:right w:w="15" w:type="dxa"/>
            </w:tcMar>
            <w:vAlign w:val="center"/>
          </w:tcPr>
          <w:p w14:paraId="1DFEEE84">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0.0400 </w:t>
            </w:r>
          </w:p>
        </w:tc>
      </w:tr>
      <w:tr w14:paraId="3B390F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71" w:type="pct"/>
            <w:gridSpan w:val="2"/>
            <w:tcBorders>
              <w:tl2br w:val="nil"/>
              <w:tr2bl w:val="nil"/>
            </w:tcBorders>
            <w:shd w:val="clear" w:color="auto" w:fill="auto"/>
            <w:noWrap/>
            <w:tcMar>
              <w:top w:w="15" w:type="dxa"/>
              <w:left w:w="15" w:type="dxa"/>
              <w:right w:w="15" w:type="dxa"/>
            </w:tcMar>
            <w:vAlign w:val="center"/>
          </w:tcPr>
          <w:p w14:paraId="4BDA7D78">
            <w:pPr>
              <w:widowControl/>
              <w:spacing w:line="240" w:lineRule="auto"/>
              <w:jc w:val="center"/>
              <w:textAlignment w:val="center"/>
              <w:rPr>
                <w:color w:val="000000"/>
                <w:sz w:val="21"/>
                <w:szCs w:val="21"/>
                <w:highlight w:val="none"/>
              </w:rPr>
            </w:pPr>
            <w:r>
              <w:rPr>
                <w:color w:val="000000"/>
                <w:sz w:val="21"/>
                <w:szCs w:val="21"/>
                <w:highlight w:val="none"/>
              </w:rPr>
              <w:t>最小值</w:t>
            </w:r>
          </w:p>
        </w:tc>
        <w:tc>
          <w:tcPr>
            <w:tcW w:w="488" w:type="pct"/>
            <w:tcBorders>
              <w:tl2br w:val="nil"/>
              <w:tr2bl w:val="nil"/>
            </w:tcBorders>
            <w:shd w:val="clear" w:color="auto" w:fill="auto"/>
            <w:noWrap/>
            <w:tcMar>
              <w:top w:w="15" w:type="dxa"/>
              <w:left w:w="15" w:type="dxa"/>
              <w:right w:w="15" w:type="dxa"/>
            </w:tcMar>
            <w:vAlign w:val="center"/>
          </w:tcPr>
          <w:p w14:paraId="6D15935D">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0.3306 </w:t>
            </w:r>
          </w:p>
        </w:tc>
        <w:tc>
          <w:tcPr>
            <w:tcW w:w="340" w:type="pct"/>
            <w:tcBorders>
              <w:tl2br w:val="nil"/>
              <w:tr2bl w:val="nil"/>
            </w:tcBorders>
            <w:shd w:val="clear" w:color="auto" w:fill="auto"/>
            <w:noWrap/>
            <w:tcMar>
              <w:top w:w="15" w:type="dxa"/>
              <w:left w:w="15" w:type="dxa"/>
              <w:right w:w="15" w:type="dxa"/>
            </w:tcMar>
            <w:vAlign w:val="center"/>
          </w:tcPr>
          <w:p w14:paraId="31DCEB45">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0.0323 </w:t>
            </w:r>
          </w:p>
        </w:tc>
        <w:tc>
          <w:tcPr>
            <w:tcW w:w="340" w:type="pct"/>
            <w:tcBorders>
              <w:tl2br w:val="nil"/>
              <w:tr2bl w:val="nil"/>
            </w:tcBorders>
            <w:shd w:val="clear" w:color="auto" w:fill="auto"/>
            <w:noWrap/>
            <w:tcMar>
              <w:top w:w="15" w:type="dxa"/>
              <w:left w:w="15" w:type="dxa"/>
              <w:right w:w="15" w:type="dxa"/>
            </w:tcMar>
            <w:vAlign w:val="center"/>
          </w:tcPr>
          <w:p w14:paraId="47E3CE3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0.0016 </w:t>
            </w:r>
          </w:p>
        </w:tc>
        <w:tc>
          <w:tcPr>
            <w:tcW w:w="340" w:type="pct"/>
            <w:tcBorders>
              <w:tl2br w:val="nil"/>
              <w:tr2bl w:val="nil"/>
            </w:tcBorders>
            <w:shd w:val="clear" w:color="auto" w:fill="auto"/>
            <w:noWrap/>
            <w:tcMar>
              <w:top w:w="15" w:type="dxa"/>
              <w:left w:w="15" w:type="dxa"/>
              <w:right w:w="15" w:type="dxa"/>
            </w:tcMar>
            <w:vAlign w:val="center"/>
          </w:tcPr>
          <w:p w14:paraId="65C6B03A">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0.0003 </w:t>
            </w:r>
          </w:p>
        </w:tc>
        <w:tc>
          <w:tcPr>
            <w:tcW w:w="340" w:type="pct"/>
            <w:tcBorders>
              <w:tl2br w:val="nil"/>
              <w:tr2bl w:val="nil"/>
            </w:tcBorders>
            <w:shd w:val="clear" w:color="auto" w:fill="auto"/>
            <w:noWrap/>
            <w:tcMar>
              <w:top w:w="15" w:type="dxa"/>
              <w:left w:w="15" w:type="dxa"/>
              <w:right w:w="15" w:type="dxa"/>
            </w:tcMar>
            <w:vAlign w:val="center"/>
          </w:tcPr>
          <w:p w14:paraId="33FE7F0C">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0.0018 </w:t>
            </w:r>
          </w:p>
        </w:tc>
        <w:tc>
          <w:tcPr>
            <w:tcW w:w="340" w:type="pct"/>
            <w:tcBorders>
              <w:tl2br w:val="nil"/>
              <w:tr2bl w:val="nil"/>
            </w:tcBorders>
            <w:shd w:val="clear" w:color="auto" w:fill="auto"/>
            <w:noWrap/>
            <w:tcMar>
              <w:top w:w="15" w:type="dxa"/>
              <w:left w:w="15" w:type="dxa"/>
              <w:right w:w="15" w:type="dxa"/>
            </w:tcMar>
            <w:vAlign w:val="center"/>
          </w:tcPr>
          <w:p w14:paraId="74BB9A5F">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0.0411 </w:t>
            </w:r>
          </w:p>
        </w:tc>
        <w:tc>
          <w:tcPr>
            <w:tcW w:w="340" w:type="pct"/>
            <w:tcBorders>
              <w:tl2br w:val="nil"/>
              <w:tr2bl w:val="nil"/>
            </w:tcBorders>
            <w:shd w:val="clear" w:color="auto" w:fill="auto"/>
            <w:noWrap/>
            <w:tcMar>
              <w:top w:w="15" w:type="dxa"/>
              <w:left w:w="15" w:type="dxa"/>
              <w:right w:w="15" w:type="dxa"/>
            </w:tcMar>
            <w:vAlign w:val="center"/>
          </w:tcPr>
          <w:p w14:paraId="1E66FB7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0.2400 </w:t>
            </w:r>
          </w:p>
        </w:tc>
        <w:tc>
          <w:tcPr>
            <w:tcW w:w="340" w:type="pct"/>
            <w:tcBorders>
              <w:tl2br w:val="nil"/>
              <w:tr2bl w:val="nil"/>
            </w:tcBorders>
            <w:shd w:val="clear" w:color="auto" w:fill="auto"/>
            <w:noWrap/>
            <w:tcMar>
              <w:top w:w="15" w:type="dxa"/>
              <w:left w:w="15" w:type="dxa"/>
              <w:right w:w="15" w:type="dxa"/>
            </w:tcMar>
            <w:vAlign w:val="center"/>
          </w:tcPr>
          <w:p w14:paraId="3B24C96C">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0.3167 </w:t>
            </w:r>
          </w:p>
        </w:tc>
        <w:tc>
          <w:tcPr>
            <w:tcW w:w="340" w:type="pct"/>
            <w:tcBorders>
              <w:tl2br w:val="nil"/>
              <w:tr2bl w:val="nil"/>
            </w:tcBorders>
            <w:shd w:val="clear" w:color="auto" w:fill="auto"/>
            <w:noWrap/>
            <w:tcMar>
              <w:top w:w="15" w:type="dxa"/>
              <w:left w:w="15" w:type="dxa"/>
              <w:right w:w="15" w:type="dxa"/>
            </w:tcMar>
            <w:vAlign w:val="center"/>
          </w:tcPr>
          <w:p w14:paraId="182956CC">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0.2117 </w:t>
            </w:r>
          </w:p>
        </w:tc>
        <w:tc>
          <w:tcPr>
            <w:tcW w:w="327" w:type="pct"/>
            <w:tcBorders>
              <w:tl2br w:val="nil"/>
              <w:tr2bl w:val="nil"/>
            </w:tcBorders>
            <w:vAlign w:val="center"/>
          </w:tcPr>
          <w:p w14:paraId="2F3FF58E">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0.0033 </w:t>
            </w:r>
          </w:p>
        </w:tc>
        <w:tc>
          <w:tcPr>
            <w:tcW w:w="690" w:type="pct"/>
            <w:tcBorders>
              <w:tl2br w:val="nil"/>
              <w:tr2bl w:val="nil"/>
            </w:tcBorders>
            <w:shd w:val="clear" w:color="auto" w:fill="auto"/>
            <w:noWrap/>
            <w:tcMar>
              <w:top w:w="15" w:type="dxa"/>
              <w:left w:w="15" w:type="dxa"/>
              <w:right w:w="15" w:type="dxa"/>
            </w:tcMar>
            <w:vAlign w:val="center"/>
          </w:tcPr>
          <w:p w14:paraId="29FBD91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0.0018 </w:t>
            </w:r>
          </w:p>
        </w:tc>
      </w:tr>
      <w:tr w14:paraId="5AC99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71" w:type="pct"/>
            <w:gridSpan w:val="2"/>
            <w:tcBorders>
              <w:tl2br w:val="nil"/>
              <w:tr2bl w:val="nil"/>
            </w:tcBorders>
            <w:shd w:val="clear" w:color="auto" w:fill="auto"/>
            <w:noWrap/>
            <w:tcMar>
              <w:top w:w="15" w:type="dxa"/>
              <w:left w:w="15" w:type="dxa"/>
              <w:right w:w="15" w:type="dxa"/>
            </w:tcMar>
            <w:vAlign w:val="center"/>
          </w:tcPr>
          <w:p w14:paraId="1E49C8E3">
            <w:pPr>
              <w:widowControl/>
              <w:spacing w:line="240" w:lineRule="auto"/>
              <w:jc w:val="center"/>
              <w:textAlignment w:val="center"/>
              <w:rPr>
                <w:color w:val="000000"/>
                <w:sz w:val="21"/>
                <w:szCs w:val="21"/>
                <w:highlight w:val="none"/>
              </w:rPr>
            </w:pPr>
            <w:r>
              <w:rPr>
                <w:color w:val="000000"/>
                <w:sz w:val="21"/>
                <w:szCs w:val="21"/>
                <w:highlight w:val="none"/>
              </w:rPr>
              <w:t>平均值</w:t>
            </w:r>
          </w:p>
        </w:tc>
        <w:tc>
          <w:tcPr>
            <w:tcW w:w="488" w:type="pct"/>
            <w:tcBorders>
              <w:tl2br w:val="nil"/>
              <w:tr2bl w:val="nil"/>
            </w:tcBorders>
            <w:shd w:val="clear" w:color="auto" w:fill="auto"/>
            <w:noWrap/>
            <w:tcMar>
              <w:top w:w="15" w:type="dxa"/>
              <w:left w:w="15" w:type="dxa"/>
              <w:right w:w="15" w:type="dxa"/>
            </w:tcMar>
            <w:vAlign w:val="center"/>
          </w:tcPr>
          <w:p w14:paraId="6664C66F">
            <w:pPr>
              <w:widowControl/>
              <w:spacing w:line="240" w:lineRule="auto"/>
              <w:jc w:val="center"/>
              <w:textAlignment w:val="center"/>
              <w:rPr>
                <w:color w:val="000000"/>
                <w:sz w:val="21"/>
                <w:szCs w:val="21"/>
                <w:highlight w:val="none"/>
              </w:rPr>
            </w:pPr>
            <w:r>
              <w:rPr>
                <w:rFonts w:hint="eastAsia"/>
                <w:color w:val="000000"/>
                <w:sz w:val="21"/>
                <w:szCs w:val="21"/>
                <w:highlight w:val="none"/>
              </w:rPr>
              <w:t>0.38</w:t>
            </w:r>
            <w:r>
              <w:rPr>
                <w:rFonts w:hint="eastAsia"/>
                <w:color w:val="000000"/>
                <w:sz w:val="21"/>
                <w:szCs w:val="21"/>
                <w:highlight w:val="none"/>
                <w:lang w:val="en-US" w:eastAsia="zh-CN"/>
              </w:rPr>
              <w:t>23</w:t>
            </w:r>
            <w:r>
              <w:rPr>
                <w:rFonts w:hint="eastAsia"/>
                <w:color w:val="000000"/>
                <w:sz w:val="21"/>
                <w:szCs w:val="21"/>
                <w:highlight w:val="none"/>
              </w:rPr>
              <w:t xml:space="preserve"> </w:t>
            </w:r>
          </w:p>
        </w:tc>
        <w:tc>
          <w:tcPr>
            <w:tcW w:w="340" w:type="pct"/>
            <w:tcBorders>
              <w:tl2br w:val="nil"/>
              <w:tr2bl w:val="nil"/>
            </w:tcBorders>
            <w:shd w:val="clear" w:color="auto" w:fill="auto"/>
            <w:noWrap/>
            <w:tcMar>
              <w:top w:w="15" w:type="dxa"/>
              <w:left w:w="15" w:type="dxa"/>
              <w:right w:w="15" w:type="dxa"/>
            </w:tcMar>
            <w:vAlign w:val="center"/>
          </w:tcPr>
          <w:p w14:paraId="424B0401">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0.0851 </w:t>
            </w:r>
          </w:p>
        </w:tc>
        <w:tc>
          <w:tcPr>
            <w:tcW w:w="340" w:type="pct"/>
            <w:tcBorders>
              <w:tl2br w:val="nil"/>
              <w:tr2bl w:val="nil"/>
            </w:tcBorders>
            <w:shd w:val="clear" w:color="auto" w:fill="auto"/>
            <w:noWrap/>
            <w:tcMar>
              <w:top w:w="15" w:type="dxa"/>
              <w:left w:w="15" w:type="dxa"/>
              <w:right w:w="15" w:type="dxa"/>
            </w:tcMar>
            <w:vAlign w:val="center"/>
          </w:tcPr>
          <w:p w14:paraId="17AFF77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0.0131 </w:t>
            </w:r>
          </w:p>
        </w:tc>
        <w:tc>
          <w:tcPr>
            <w:tcW w:w="340" w:type="pct"/>
            <w:tcBorders>
              <w:tl2br w:val="nil"/>
              <w:tr2bl w:val="nil"/>
            </w:tcBorders>
            <w:shd w:val="clear" w:color="auto" w:fill="auto"/>
            <w:noWrap/>
            <w:tcMar>
              <w:top w:w="15" w:type="dxa"/>
              <w:left w:w="15" w:type="dxa"/>
              <w:right w:w="15" w:type="dxa"/>
            </w:tcMar>
            <w:vAlign w:val="center"/>
          </w:tcPr>
          <w:p w14:paraId="1463C733">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0.0079 </w:t>
            </w:r>
          </w:p>
        </w:tc>
        <w:tc>
          <w:tcPr>
            <w:tcW w:w="340" w:type="pct"/>
            <w:tcBorders>
              <w:tl2br w:val="nil"/>
              <w:tr2bl w:val="nil"/>
            </w:tcBorders>
            <w:shd w:val="clear" w:color="auto" w:fill="auto"/>
            <w:noWrap/>
            <w:tcMar>
              <w:top w:w="15" w:type="dxa"/>
              <w:left w:w="15" w:type="dxa"/>
              <w:right w:w="15" w:type="dxa"/>
            </w:tcMar>
            <w:vAlign w:val="center"/>
          </w:tcPr>
          <w:p w14:paraId="20437298">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0.0314 </w:t>
            </w:r>
          </w:p>
        </w:tc>
        <w:tc>
          <w:tcPr>
            <w:tcW w:w="340" w:type="pct"/>
            <w:tcBorders>
              <w:tl2br w:val="nil"/>
              <w:tr2bl w:val="nil"/>
            </w:tcBorders>
            <w:shd w:val="clear" w:color="auto" w:fill="auto"/>
            <w:noWrap/>
            <w:tcMar>
              <w:top w:w="15" w:type="dxa"/>
              <w:left w:w="15" w:type="dxa"/>
              <w:right w:w="15" w:type="dxa"/>
            </w:tcMar>
            <w:vAlign w:val="center"/>
          </w:tcPr>
          <w:p w14:paraId="37F543AE">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0.1599 </w:t>
            </w:r>
          </w:p>
        </w:tc>
        <w:tc>
          <w:tcPr>
            <w:tcW w:w="340" w:type="pct"/>
            <w:tcBorders>
              <w:tl2br w:val="nil"/>
              <w:tr2bl w:val="nil"/>
            </w:tcBorders>
            <w:shd w:val="clear" w:color="auto" w:fill="auto"/>
            <w:noWrap/>
            <w:tcMar>
              <w:top w:w="15" w:type="dxa"/>
              <w:left w:w="15" w:type="dxa"/>
              <w:right w:w="15" w:type="dxa"/>
            </w:tcMar>
            <w:vAlign w:val="center"/>
          </w:tcPr>
          <w:p w14:paraId="2E6DC9F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0.2400 </w:t>
            </w:r>
          </w:p>
        </w:tc>
        <w:tc>
          <w:tcPr>
            <w:tcW w:w="340" w:type="pct"/>
            <w:tcBorders>
              <w:tl2br w:val="nil"/>
              <w:tr2bl w:val="nil"/>
            </w:tcBorders>
            <w:shd w:val="clear" w:color="auto" w:fill="auto"/>
            <w:noWrap/>
            <w:tcMar>
              <w:top w:w="15" w:type="dxa"/>
              <w:left w:w="15" w:type="dxa"/>
              <w:right w:w="15" w:type="dxa"/>
            </w:tcMar>
            <w:vAlign w:val="center"/>
          </w:tcPr>
          <w:p w14:paraId="6205EE51">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0.3167 </w:t>
            </w:r>
          </w:p>
        </w:tc>
        <w:tc>
          <w:tcPr>
            <w:tcW w:w="340" w:type="pct"/>
            <w:tcBorders>
              <w:tl2br w:val="nil"/>
              <w:tr2bl w:val="nil"/>
            </w:tcBorders>
            <w:shd w:val="clear" w:color="auto" w:fill="auto"/>
            <w:noWrap/>
            <w:tcMar>
              <w:top w:w="15" w:type="dxa"/>
              <w:left w:w="15" w:type="dxa"/>
              <w:right w:w="15" w:type="dxa"/>
            </w:tcMar>
            <w:vAlign w:val="center"/>
          </w:tcPr>
          <w:p w14:paraId="5D476A4F">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0.4522 </w:t>
            </w:r>
          </w:p>
        </w:tc>
        <w:tc>
          <w:tcPr>
            <w:tcW w:w="327" w:type="pct"/>
            <w:tcBorders>
              <w:tl2br w:val="nil"/>
              <w:tr2bl w:val="nil"/>
            </w:tcBorders>
            <w:vAlign w:val="center"/>
          </w:tcPr>
          <w:p w14:paraId="2F3543D7">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0.0254 </w:t>
            </w:r>
          </w:p>
        </w:tc>
        <w:tc>
          <w:tcPr>
            <w:tcW w:w="690" w:type="pct"/>
            <w:tcBorders>
              <w:tl2br w:val="nil"/>
              <w:tr2bl w:val="nil"/>
            </w:tcBorders>
            <w:shd w:val="clear" w:color="auto" w:fill="auto"/>
            <w:noWrap/>
            <w:tcMar>
              <w:top w:w="15" w:type="dxa"/>
              <w:left w:w="15" w:type="dxa"/>
              <w:right w:w="15" w:type="dxa"/>
            </w:tcMar>
            <w:vAlign w:val="center"/>
          </w:tcPr>
          <w:p w14:paraId="130F914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0.0109 </w:t>
            </w:r>
          </w:p>
        </w:tc>
      </w:tr>
    </w:tbl>
    <w:p w14:paraId="24AC3B3D">
      <w:pPr>
        <w:pStyle w:val="2"/>
        <w:tabs>
          <w:tab w:val="center" w:pos="4855"/>
          <w:tab w:val="left" w:pos="7572"/>
        </w:tabs>
        <w:spacing w:after="0"/>
        <w:ind w:firstLine="480" w:firstLineChars="200"/>
        <w:jc w:val="left"/>
        <w:rPr>
          <w:highlight w:val="none"/>
        </w:rPr>
        <w:sectPr>
          <w:headerReference r:id="rId21" w:type="default"/>
          <w:pgSz w:w="16838" w:h="11906" w:orient="landscape"/>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r>
        <w:rPr>
          <w:rFonts w:hint="eastAsia"/>
          <w:highlight w:val="none"/>
        </w:rPr>
        <w:t>经统计</w:t>
      </w:r>
      <w:r>
        <w:rPr>
          <w:highlight w:val="none"/>
        </w:rPr>
        <w:t>，土壤单项污染指数Pi</w:t>
      </w:r>
      <w:r>
        <w:rPr>
          <w:highlight w:val="none"/>
          <w:vertAlign w:val="subscript"/>
        </w:rPr>
        <w:t>max</w:t>
      </w:r>
      <w:r>
        <w:rPr>
          <w:highlight w:val="none"/>
        </w:rPr>
        <w:t>=0.</w:t>
      </w:r>
      <w:r>
        <w:rPr>
          <w:rFonts w:hint="eastAsia"/>
          <w:highlight w:val="none"/>
        </w:rPr>
        <w:t>78</w:t>
      </w:r>
      <w:r>
        <w:rPr>
          <w:highlight w:val="none"/>
        </w:rPr>
        <w:t>00＜1，</w:t>
      </w:r>
      <w:r>
        <w:rPr>
          <w:rFonts w:hint="eastAsia"/>
          <w:highlight w:val="none"/>
        </w:rPr>
        <w:t>可以判断本</w:t>
      </w:r>
      <w:r>
        <w:rPr>
          <w:highlight w:val="none"/>
        </w:rPr>
        <w:t>工业园区</w:t>
      </w:r>
      <w:r>
        <w:rPr>
          <w:rFonts w:hint="eastAsia"/>
          <w:highlight w:val="none"/>
        </w:rPr>
        <w:t>周边</w:t>
      </w:r>
      <w:r>
        <w:rPr>
          <w:highlight w:val="none"/>
        </w:rPr>
        <w:t>所有</w:t>
      </w:r>
      <w:r>
        <w:rPr>
          <w:rFonts w:hint="eastAsia"/>
          <w:highlight w:val="none"/>
        </w:rPr>
        <w:t>检出因子的</w:t>
      </w:r>
      <w:r>
        <w:rPr>
          <w:highlight w:val="none"/>
        </w:rPr>
        <w:t>单项污染指数</w:t>
      </w:r>
      <w:r>
        <w:rPr>
          <w:rFonts w:hint="eastAsia"/>
          <w:highlight w:val="none"/>
        </w:rPr>
        <w:t>对应的污染程度</w:t>
      </w:r>
      <w:r>
        <w:rPr>
          <w:highlight w:val="none"/>
        </w:rPr>
        <w:t>均</w:t>
      </w:r>
      <w:r>
        <w:rPr>
          <w:rFonts w:hint="eastAsia"/>
          <w:highlight w:val="none"/>
        </w:rPr>
        <w:t>为</w:t>
      </w:r>
      <w:r>
        <w:rPr>
          <w:highlight w:val="none"/>
        </w:rPr>
        <w:t>无污染。</w:t>
      </w:r>
    </w:p>
    <w:p w14:paraId="0914F052">
      <w:pPr>
        <w:pStyle w:val="5"/>
        <w:tabs>
          <w:tab w:val="left" w:pos="425"/>
        </w:tabs>
        <w:rPr>
          <w:highlight w:val="none"/>
        </w:rPr>
      </w:pPr>
      <w:r>
        <w:rPr>
          <w:highlight w:val="none"/>
        </w:rPr>
        <w:t>内梅罗污染指数评价</w:t>
      </w:r>
    </w:p>
    <w:p w14:paraId="432CAABD">
      <w:pPr>
        <w:pStyle w:val="2"/>
        <w:spacing w:after="0"/>
        <w:ind w:firstLine="420"/>
        <w:rPr>
          <w:szCs w:val="32"/>
          <w:highlight w:val="none"/>
        </w:rPr>
      </w:pPr>
      <w:r>
        <w:rPr>
          <w:highlight w:val="none"/>
        </w:rPr>
        <w:t>根据公式：内梅罗污染指数（P</w:t>
      </w:r>
      <w:r>
        <w:rPr>
          <w:highlight w:val="none"/>
          <w:vertAlign w:val="subscript"/>
        </w:rPr>
        <w:t>N</w:t>
      </w:r>
      <w:r>
        <w:rPr>
          <w:highlight w:val="none"/>
        </w:rPr>
        <w:t xml:space="preserve">）= {[(PI </w:t>
      </w:r>
      <w:r>
        <w:rPr>
          <w:highlight w:val="none"/>
          <w:vertAlign w:val="subscript"/>
        </w:rPr>
        <w:t>均</w:t>
      </w:r>
      <w:r>
        <w:rPr>
          <w:highlight w:val="none"/>
          <w:vertAlign w:val="superscript"/>
        </w:rPr>
        <w:t>2</w:t>
      </w:r>
      <w:r>
        <w:rPr>
          <w:highlight w:val="none"/>
        </w:rPr>
        <w:t xml:space="preserve">)+ (PI </w:t>
      </w:r>
      <w:r>
        <w:rPr>
          <w:highlight w:val="none"/>
          <w:vertAlign w:val="subscript"/>
        </w:rPr>
        <w:t>最大</w:t>
      </w:r>
      <w:r>
        <w:rPr>
          <w:highlight w:val="none"/>
          <w:vertAlign w:val="superscript"/>
        </w:rPr>
        <w:t xml:space="preserve">2 </w:t>
      </w:r>
      <w:r>
        <w:rPr>
          <w:highlight w:val="none"/>
        </w:rPr>
        <w:t>)]/2｝</w:t>
      </w:r>
      <w:r>
        <w:rPr>
          <w:highlight w:val="none"/>
          <w:vertAlign w:val="superscript"/>
        </w:rPr>
        <w:t>1/2</w:t>
      </w:r>
      <w:r>
        <w:rPr>
          <w:highlight w:val="none"/>
        </w:rPr>
        <w:t xml:space="preserve">（式中 PI </w:t>
      </w:r>
      <w:r>
        <w:rPr>
          <w:highlight w:val="none"/>
          <w:vertAlign w:val="subscript"/>
        </w:rPr>
        <w:t>均</w:t>
      </w:r>
      <w:r>
        <w:rPr>
          <w:highlight w:val="none"/>
        </w:rPr>
        <w:t xml:space="preserve">和 PI </w:t>
      </w:r>
      <w:r>
        <w:rPr>
          <w:highlight w:val="none"/>
          <w:vertAlign w:val="subscript"/>
        </w:rPr>
        <w:t>最大</w:t>
      </w:r>
      <w:r>
        <w:rPr>
          <w:highlight w:val="none"/>
        </w:rPr>
        <w:t>分别是平均单项污染指数和最大单项污染指数），引用</w:t>
      </w:r>
      <w:r>
        <w:rPr>
          <w:rFonts w:hint="eastAsia"/>
          <w:highlight w:val="none"/>
        </w:rPr>
        <w:t>表5-4-1</w:t>
      </w:r>
      <w:r>
        <w:rPr>
          <w:highlight w:val="none"/>
        </w:rPr>
        <w:t>中污染指数的结果可得到内梅罗污染指数</w:t>
      </w:r>
      <w:r>
        <w:rPr>
          <w:rFonts w:hint="eastAsia"/>
          <w:highlight w:val="none"/>
        </w:rPr>
        <w:t>，具体如下：</w:t>
      </w:r>
    </w:p>
    <w:p w14:paraId="2ED8FC6B">
      <w:pPr>
        <w:pStyle w:val="2"/>
        <w:spacing w:before="165" w:beforeLines="50" w:after="0" w:line="240" w:lineRule="auto"/>
        <w:ind w:firstLine="420"/>
        <w:jc w:val="center"/>
        <w:rPr>
          <w:szCs w:val="32"/>
          <w:highlight w:val="none"/>
        </w:rPr>
      </w:pPr>
      <w:r>
        <w:rPr>
          <w:rFonts w:eastAsia="黑体"/>
          <w:b/>
          <w:bCs/>
          <w:szCs w:val="32"/>
          <w:highlight w:val="none"/>
        </w:rPr>
        <w:t>表</w:t>
      </w:r>
      <w:r>
        <w:rPr>
          <w:b/>
          <w:bCs/>
          <w:szCs w:val="32"/>
          <w:highlight w:val="none"/>
        </w:rPr>
        <w:t>5-4-2</w:t>
      </w:r>
      <w:r>
        <w:rPr>
          <w:rFonts w:eastAsia="黑体"/>
          <w:b/>
          <w:bCs/>
          <w:szCs w:val="32"/>
          <w:highlight w:val="none"/>
        </w:rPr>
        <w:t xml:space="preserve"> 内梅罗污染指数表</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865"/>
        <w:gridCol w:w="1388"/>
        <w:gridCol w:w="963"/>
        <w:gridCol w:w="966"/>
        <w:gridCol w:w="966"/>
        <w:gridCol w:w="966"/>
        <w:gridCol w:w="966"/>
        <w:gridCol w:w="966"/>
        <w:gridCol w:w="966"/>
        <w:gridCol w:w="967"/>
        <w:gridCol w:w="848"/>
        <w:gridCol w:w="2707"/>
      </w:tblGrid>
      <w:tr w14:paraId="7EF502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8" w:hRule="atLeast"/>
          <w:tblHeader/>
          <w:jc w:val="center"/>
        </w:trPr>
        <w:tc>
          <w:tcPr>
            <w:tcW w:w="641" w:type="pct"/>
            <w:tcBorders>
              <w:bottom w:val="single" w:color="auto" w:sz="12" w:space="0"/>
            </w:tcBorders>
            <w:shd w:val="clear" w:color="auto" w:fill="auto"/>
            <w:noWrap/>
            <w:tcMar>
              <w:top w:w="15" w:type="dxa"/>
              <w:left w:w="15" w:type="dxa"/>
              <w:right w:w="15" w:type="dxa"/>
            </w:tcMar>
            <w:vAlign w:val="center"/>
          </w:tcPr>
          <w:p w14:paraId="50872001">
            <w:pPr>
              <w:widowControl/>
              <w:spacing w:line="240" w:lineRule="auto"/>
              <w:jc w:val="center"/>
              <w:textAlignment w:val="center"/>
              <w:rPr>
                <w:b/>
                <w:color w:val="000000"/>
                <w:sz w:val="21"/>
                <w:szCs w:val="21"/>
                <w:highlight w:val="none"/>
              </w:rPr>
            </w:pPr>
            <w:r>
              <w:rPr>
                <w:rFonts w:hint="eastAsia"/>
                <w:b/>
                <w:color w:val="000000"/>
                <w:kern w:val="0"/>
                <w:sz w:val="21"/>
                <w:szCs w:val="21"/>
                <w:highlight w:val="none"/>
                <w:lang w:bidi="ar"/>
              </w:rPr>
              <w:t>单项污染指数</w:t>
            </w:r>
          </w:p>
        </w:tc>
        <w:tc>
          <w:tcPr>
            <w:tcW w:w="477" w:type="pct"/>
            <w:tcBorders>
              <w:bottom w:val="single" w:color="auto" w:sz="12" w:space="0"/>
            </w:tcBorders>
            <w:shd w:val="clear" w:color="auto" w:fill="auto"/>
            <w:noWrap/>
            <w:tcMar>
              <w:top w:w="15" w:type="dxa"/>
              <w:left w:w="15" w:type="dxa"/>
              <w:right w:w="15" w:type="dxa"/>
            </w:tcMar>
            <w:vAlign w:val="center"/>
          </w:tcPr>
          <w:p w14:paraId="6E685D3E">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总氟化物</w:t>
            </w:r>
          </w:p>
        </w:tc>
        <w:tc>
          <w:tcPr>
            <w:tcW w:w="331" w:type="pct"/>
            <w:tcBorders>
              <w:bottom w:val="single" w:color="auto" w:sz="12" w:space="0"/>
            </w:tcBorders>
            <w:shd w:val="clear" w:color="auto" w:fill="auto"/>
            <w:noWrap/>
            <w:tcMar>
              <w:top w:w="15" w:type="dxa"/>
              <w:left w:w="15" w:type="dxa"/>
              <w:right w:w="15" w:type="dxa"/>
            </w:tcMar>
            <w:vAlign w:val="center"/>
          </w:tcPr>
          <w:p w14:paraId="1B96CFF4">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铅</w:t>
            </w:r>
          </w:p>
        </w:tc>
        <w:tc>
          <w:tcPr>
            <w:tcW w:w="332" w:type="pct"/>
            <w:tcBorders>
              <w:bottom w:val="single" w:color="auto" w:sz="12" w:space="0"/>
            </w:tcBorders>
            <w:shd w:val="clear" w:color="auto" w:fill="auto"/>
            <w:noWrap/>
            <w:tcMar>
              <w:top w:w="15" w:type="dxa"/>
              <w:left w:w="15" w:type="dxa"/>
              <w:right w:w="15" w:type="dxa"/>
            </w:tcMar>
            <w:vAlign w:val="center"/>
          </w:tcPr>
          <w:p w14:paraId="0A4D20A3">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汞</w:t>
            </w:r>
          </w:p>
        </w:tc>
        <w:tc>
          <w:tcPr>
            <w:tcW w:w="332" w:type="pct"/>
            <w:tcBorders>
              <w:bottom w:val="single" w:color="auto" w:sz="12" w:space="0"/>
            </w:tcBorders>
            <w:shd w:val="clear" w:color="auto" w:fill="auto"/>
            <w:noWrap/>
            <w:tcMar>
              <w:top w:w="15" w:type="dxa"/>
              <w:left w:w="15" w:type="dxa"/>
              <w:right w:w="15" w:type="dxa"/>
            </w:tcMar>
            <w:vAlign w:val="center"/>
          </w:tcPr>
          <w:p w14:paraId="1CF45643">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镉</w:t>
            </w:r>
          </w:p>
        </w:tc>
        <w:tc>
          <w:tcPr>
            <w:tcW w:w="332" w:type="pct"/>
            <w:tcBorders>
              <w:bottom w:val="single" w:color="auto" w:sz="12" w:space="0"/>
            </w:tcBorders>
            <w:shd w:val="clear" w:color="auto" w:fill="auto"/>
            <w:noWrap/>
            <w:tcMar>
              <w:top w:w="15" w:type="dxa"/>
              <w:left w:w="15" w:type="dxa"/>
              <w:right w:w="15" w:type="dxa"/>
            </w:tcMar>
            <w:vAlign w:val="center"/>
          </w:tcPr>
          <w:p w14:paraId="56592CCE">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铜</w:t>
            </w:r>
          </w:p>
        </w:tc>
        <w:tc>
          <w:tcPr>
            <w:tcW w:w="332" w:type="pct"/>
            <w:tcBorders>
              <w:bottom w:val="single" w:color="auto" w:sz="12" w:space="0"/>
            </w:tcBorders>
            <w:shd w:val="clear" w:color="auto" w:fill="auto"/>
            <w:noWrap/>
            <w:tcMar>
              <w:top w:w="15" w:type="dxa"/>
              <w:left w:w="15" w:type="dxa"/>
              <w:right w:w="15" w:type="dxa"/>
            </w:tcMar>
            <w:vAlign w:val="center"/>
          </w:tcPr>
          <w:p w14:paraId="1EE2D6A3">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镍</w:t>
            </w:r>
          </w:p>
        </w:tc>
        <w:tc>
          <w:tcPr>
            <w:tcW w:w="332" w:type="pct"/>
            <w:tcBorders>
              <w:bottom w:val="single" w:color="auto" w:sz="12" w:space="0"/>
            </w:tcBorders>
            <w:shd w:val="clear" w:color="auto" w:fill="auto"/>
            <w:noWrap/>
            <w:tcMar>
              <w:top w:w="15" w:type="dxa"/>
              <w:left w:w="15" w:type="dxa"/>
              <w:right w:w="15" w:type="dxa"/>
            </w:tcMar>
            <w:vAlign w:val="center"/>
          </w:tcPr>
          <w:p w14:paraId="41946392">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铬</w:t>
            </w:r>
          </w:p>
        </w:tc>
        <w:tc>
          <w:tcPr>
            <w:tcW w:w="332" w:type="pct"/>
            <w:tcBorders>
              <w:bottom w:val="single" w:color="auto" w:sz="12" w:space="0"/>
            </w:tcBorders>
            <w:shd w:val="clear" w:color="auto" w:fill="auto"/>
            <w:noWrap/>
            <w:tcMar>
              <w:top w:w="15" w:type="dxa"/>
              <w:left w:w="15" w:type="dxa"/>
              <w:right w:w="15" w:type="dxa"/>
            </w:tcMar>
            <w:vAlign w:val="center"/>
          </w:tcPr>
          <w:p w14:paraId="6FC0D470">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锌</w:t>
            </w:r>
          </w:p>
        </w:tc>
        <w:tc>
          <w:tcPr>
            <w:tcW w:w="332" w:type="pct"/>
            <w:tcBorders>
              <w:bottom w:val="single" w:color="auto" w:sz="12" w:space="0"/>
            </w:tcBorders>
            <w:shd w:val="clear" w:color="auto" w:fill="auto"/>
            <w:noWrap/>
            <w:tcMar>
              <w:top w:w="15" w:type="dxa"/>
              <w:left w:w="15" w:type="dxa"/>
              <w:right w:w="15" w:type="dxa"/>
            </w:tcMar>
            <w:vAlign w:val="center"/>
          </w:tcPr>
          <w:p w14:paraId="5EB2804D">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砷</w:t>
            </w:r>
          </w:p>
        </w:tc>
        <w:tc>
          <w:tcPr>
            <w:tcW w:w="291" w:type="pct"/>
            <w:tcBorders>
              <w:bottom w:val="single" w:color="auto" w:sz="12" w:space="0"/>
            </w:tcBorders>
            <w:vAlign w:val="center"/>
          </w:tcPr>
          <w:p w14:paraId="33ED0ED4">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锑</w:t>
            </w:r>
          </w:p>
        </w:tc>
        <w:tc>
          <w:tcPr>
            <w:tcW w:w="930" w:type="pct"/>
            <w:tcBorders>
              <w:bottom w:val="single" w:color="auto" w:sz="12" w:space="0"/>
            </w:tcBorders>
            <w:shd w:val="clear" w:color="auto" w:fill="auto"/>
            <w:noWrap/>
            <w:tcMar>
              <w:top w:w="15" w:type="dxa"/>
              <w:left w:w="15" w:type="dxa"/>
              <w:right w:w="15" w:type="dxa"/>
            </w:tcMar>
            <w:vAlign w:val="center"/>
          </w:tcPr>
          <w:p w14:paraId="3AF5B104">
            <w:pPr>
              <w:widowControl/>
              <w:spacing w:line="240" w:lineRule="auto"/>
              <w:jc w:val="center"/>
              <w:textAlignment w:val="center"/>
              <w:rPr>
                <w:b/>
                <w:color w:val="000000"/>
                <w:kern w:val="0"/>
                <w:sz w:val="21"/>
                <w:szCs w:val="21"/>
                <w:highlight w:val="none"/>
                <w:lang w:bidi="ar"/>
              </w:rPr>
            </w:pPr>
            <w:r>
              <w:rPr>
                <w:rFonts w:hint="eastAsia"/>
                <w:b/>
                <w:color w:val="000000"/>
                <w:kern w:val="0"/>
                <w:sz w:val="21"/>
                <w:szCs w:val="21"/>
                <w:highlight w:val="none"/>
                <w:lang w:bidi="ar"/>
              </w:rPr>
              <w:t>石油烃（C</w:t>
            </w:r>
            <w:r>
              <w:rPr>
                <w:rFonts w:hint="eastAsia"/>
                <w:b/>
                <w:color w:val="000000"/>
                <w:kern w:val="0"/>
                <w:sz w:val="21"/>
                <w:szCs w:val="21"/>
                <w:highlight w:val="none"/>
                <w:vertAlign w:val="subscript"/>
                <w:lang w:bidi="ar"/>
              </w:rPr>
              <w:t>10</w:t>
            </w:r>
            <w:r>
              <w:rPr>
                <w:rFonts w:hint="eastAsia"/>
                <w:b/>
                <w:color w:val="000000"/>
                <w:kern w:val="0"/>
                <w:sz w:val="21"/>
                <w:szCs w:val="21"/>
                <w:highlight w:val="none"/>
                <w:lang w:bidi="ar"/>
              </w:rPr>
              <w:t>-C</w:t>
            </w:r>
            <w:r>
              <w:rPr>
                <w:rFonts w:hint="eastAsia"/>
                <w:b/>
                <w:color w:val="000000"/>
                <w:kern w:val="0"/>
                <w:sz w:val="21"/>
                <w:szCs w:val="21"/>
                <w:highlight w:val="none"/>
                <w:vertAlign w:val="subscript"/>
                <w:lang w:bidi="ar"/>
              </w:rPr>
              <w:t>40</w:t>
            </w:r>
            <w:r>
              <w:rPr>
                <w:rFonts w:hint="eastAsia"/>
                <w:b/>
                <w:color w:val="000000"/>
                <w:kern w:val="0"/>
                <w:sz w:val="21"/>
                <w:szCs w:val="21"/>
                <w:highlight w:val="none"/>
                <w:lang w:bidi="ar"/>
              </w:rPr>
              <w:t>）</w:t>
            </w:r>
          </w:p>
        </w:tc>
      </w:tr>
      <w:tr w14:paraId="7A8AA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41" w:type="pct"/>
            <w:tcBorders>
              <w:tl2br w:val="nil"/>
              <w:tr2bl w:val="nil"/>
            </w:tcBorders>
            <w:shd w:val="clear" w:color="auto" w:fill="auto"/>
            <w:noWrap/>
            <w:tcMar>
              <w:top w:w="15" w:type="dxa"/>
              <w:left w:w="15" w:type="dxa"/>
              <w:right w:w="15" w:type="dxa"/>
            </w:tcMar>
            <w:vAlign w:val="center"/>
          </w:tcPr>
          <w:p w14:paraId="50121C7F">
            <w:pPr>
              <w:widowControl/>
              <w:spacing w:line="240" w:lineRule="auto"/>
              <w:jc w:val="center"/>
              <w:textAlignment w:val="center"/>
              <w:rPr>
                <w:color w:val="000000"/>
                <w:sz w:val="21"/>
                <w:szCs w:val="21"/>
                <w:highlight w:val="none"/>
              </w:rPr>
            </w:pPr>
            <w:r>
              <w:rPr>
                <w:color w:val="000000"/>
                <w:kern w:val="0"/>
                <w:sz w:val="21"/>
                <w:szCs w:val="21"/>
                <w:highlight w:val="none"/>
                <w:lang w:bidi="ar"/>
              </w:rPr>
              <w:t xml:space="preserve">PI </w:t>
            </w:r>
            <w:r>
              <w:rPr>
                <w:color w:val="000000"/>
                <w:kern w:val="0"/>
                <w:sz w:val="21"/>
                <w:szCs w:val="21"/>
                <w:highlight w:val="none"/>
                <w:vertAlign w:val="subscript"/>
                <w:lang w:bidi="ar"/>
              </w:rPr>
              <w:t>均</w:t>
            </w:r>
          </w:p>
        </w:tc>
        <w:tc>
          <w:tcPr>
            <w:tcW w:w="477" w:type="pct"/>
            <w:tcBorders>
              <w:tl2br w:val="nil"/>
              <w:tr2bl w:val="nil"/>
            </w:tcBorders>
            <w:shd w:val="clear" w:color="auto" w:fill="auto"/>
            <w:noWrap/>
            <w:tcMar>
              <w:top w:w="15" w:type="dxa"/>
              <w:left w:w="15" w:type="dxa"/>
              <w:right w:w="15" w:type="dxa"/>
            </w:tcMar>
            <w:vAlign w:val="center"/>
          </w:tcPr>
          <w:p w14:paraId="4FE5331C">
            <w:pPr>
              <w:widowControl/>
              <w:spacing w:line="240" w:lineRule="auto"/>
              <w:jc w:val="center"/>
              <w:textAlignment w:val="center"/>
              <w:rPr>
                <w:color w:val="000000"/>
                <w:sz w:val="21"/>
                <w:szCs w:val="21"/>
                <w:highlight w:val="none"/>
              </w:rPr>
            </w:pPr>
            <w:r>
              <w:rPr>
                <w:rFonts w:hint="eastAsia"/>
                <w:color w:val="000000"/>
                <w:sz w:val="21"/>
                <w:szCs w:val="21"/>
                <w:highlight w:val="none"/>
              </w:rPr>
              <w:t>0.38</w:t>
            </w:r>
            <w:r>
              <w:rPr>
                <w:rFonts w:hint="eastAsia"/>
                <w:color w:val="000000"/>
                <w:sz w:val="21"/>
                <w:szCs w:val="21"/>
                <w:highlight w:val="none"/>
                <w:lang w:val="en-US" w:eastAsia="zh-CN"/>
              </w:rPr>
              <w:t>23</w:t>
            </w:r>
            <w:r>
              <w:rPr>
                <w:rFonts w:hint="eastAsia"/>
                <w:color w:val="000000"/>
                <w:sz w:val="21"/>
                <w:szCs w:val="21"/>
                <w:highlight w:val="none"/>
              </w:rPr>
              <w:t xml:space="preserve"> </w:t>
            </w:r>
          </w:p>
        </w:tc>
        <w:tc>
          <w:tcPr>
            <w:tcW w:w="331" w:type="pct"/>
            <w:tcBorders>
              <w:tl2br w:val="nil"/>
              <w:tr2bl w:val="nil"/>
            </w:tcBorders>
            <w:shd w:val="clear" w:color="auto" w:fill="auto"/>
            <w:noWrap/>
            <w:tcMar>
              <w:top w:w="15" w:type="dxa"/>
              <w:left w:w="15" w:type="dxa"/>
              <w:right w:w="15" w:type="dxa"/>
            </w:tcMar>
            <w:vAlign w:val="center"/>
          </w:tcPr>
          <w:p w14:paraId="71C1F59D">
            <w:pPr>
              <w:widowControl/>
              <w:spacing w:line="240" w:lineRule="auto"/>
              <w:jc w:val="center"/>
              <w:textAlignment w:val="center"/>
              <w:rPr>
                <w:color w:val="000000"/>
                <w:sz w:val="21"/>
                <w:szCs w:val="21"/>
                <w:highlight w:val="none"/>
              </w:rPr>
            </w:pPr>
            <w:r>
              <w:rPr>
                <w:rFonts w:hint="eastAsia"/>
                <w:color w:val="000000"/>
                <w:sz w:val="21"/>
                <w:szCs w:val="21"/>
                <w:highlight w:val="none"/>
              </w:rPr>
              <w:t>0.0851</w:t>
            </w:r>
          </w:p>
        </w:tc>
        <w:tc>
          <w:tcPr>
            <w:tcW w:w="332" w:type="pct"/>
            <w:tcBorders>
              <w:tl2br w:val="nil"/>
              <w:tr2bl w:val="nil"/>
            </w:tcBorders>
            <w:shd w:val="clear" w:color="auto" w:fill="auto"/>
            <w:noWrap/>
            <w:tcMar>
              <w:top w:w="15" w:type="dxa"/>
              <w:left w:w="15" w:type="dxa"/>
              <w:right w:w="15" w:type="dxa"/>
            </w:tcMar>
            <w:vAlign w:val="center"/>
          </w:tcPr>
          <w:p w14:paraId="1990592D">
            <w:pPr>
              <w:widowControl/>
              <w:spacing w:line="240" w:lineRule="auto"/>
              <w:jc w:val="center"/>
              <w:textAlignment w:val="center"/>
              <w:rPr>
                <w:color w:val="000000"/>
                <w:sz w:val="21"/>
                <w:szCs w:val="21"/>
                <w:highlight w:val="none"/>
              </w:rPr>
            </w:pPr>
            <w:r>
              <w:rPr>
                <w:rFonts w:hint="eastAsia"/>
                <w:color w:val="000000"/>
                <w:sz w:val="21"/>
                <w:szCs w:val="21"/>
                <w:highlight w:val="none"/>
              </w:rPr>
              <w:t>0.0131</w:t>
            </w:r>
          </w:p>
        </w:tc>
        <w:tc>
          <w:tcPr>
            <w:tcW w:w="332" w:type="pct"/>
            <w:tcBorders>
              <w:tl2br w:val="nil"/>
              <w:tr2bl w:val="nil"/>
            </w:tcBorders>
            <w:shd w:val="clear" w:color="auto" w:fill="auto"/>
            <w:noWrap/>
            <w:tcMar>
              <w:top w:w="15" w:type="dxa"/>
              <w:left w:w="15" w:type="dxa"/>
              <w:right w:w="15" w:type="dxa"/>
            </w:tcMar>
            <w:vAlign w:val="center"/>
          </w:tcPr>
          <w:p w14:paraId="1E2AB11F">
            <w:pPr>
              <w:widowControl/>
              <w:spacing w:line="240" w:lineRule="auto"/>
              <w:jc w:val="center"/>
              <w:textAlignment w:val="center"/>
              <w:rPr>
                <w:color w:val="000000"/>
                <w:sz w:val="21"/>
                <w:szCs w:val="21"/>
                <w:highlight w:val="none"/>
              </w:rPr>
            </w:pPr>
            <w:r>
              <w:rPr>
                <w:rFonts w:hint="eastAsia"/>
                <w:color w:val="000000"/>
                <w:sz w:val="21"/>
                <w:szCs w:val="21"/>
                <w:highlight w:val="none"/>
              </w:rPr>
              <w:t>0.0079</w:t>
            </w:r>
          </w:p>
        </w:tc>
        <w:tc>
          <w:tcPr>
            <w:tcW w:w="332" w:type="pct"/>
            <w:tcBorders>
              <w:tl2br w:val="nil"/>
              <w:tr2bl w:val="nil"/>
            </w:tcBorders>
            <w:shd w:val="clear" w:color="auto" w:fill="auto"/>
            <w:noWrap/>
            <w:tcMar>
              <w:top w:w="15" w:type="dxa"/>
              <w:left w:w="15" w:type="dxa"/>
              <w:right w:w="15" w:type="dxa"/>
            </w:tcMar>
            <w:vAlign w:val="center"/>
          </w:tcPr>
          <w:p w14:paraId="0C115A81">
            <w:pPr>
              <w:widowControl/>
              <w:spacing w:line="240" w:lineRule="auto"/>
              <w:jc w:val="center"/>
              <w:textAlignment w:val="center"/>
              <w:rPr>
                <w:color w:val="000000"/>
                <w:sz w:val="21"/>
                <w:szCs w:val="21"/>
                <w:highlight w:val="none"/>
              </w:rPr>
            </w:pPr>
            <w:r>
              <w:rPr>
                <w:rFonts w:hint="eastAsia"/>
                <w:color w:val="000000"/>
                <w:sz w:val="21"/>
                <w:szCs w:val="21"/>
                <w:highlight w:val="none"/>
              </w:rPr>
              <w:t>0.0314</w:t>
            </w:r>
          </w:p>
        </w:tc>
        <w:tc>
          <w:tcPr>
            <w:tcW w:w="332" w:type="pct"/>
            <w:tcBorders>
              <w:tl2br w:val="nil"/>
              <w:tr2bl w:val="nil"/>
            </w:tcBorders>
            <w:shd w:val="clear" w:color="auto" w:fill="auto"/>
            <w:noWrap/>
            <w:tcMar>
              <w:top w:w="15" w:type="dxa"/>
              <w:left w:w="15" w:type="dxa"/>
              <w:right w:w="15" w:type="dxa"/>
            </w:tcMar>
            <w:vAlign w:val="center"/>
          </w:tcPr>
          <w:p w14:paraId="2E2E0D30">
            <w:pPr>
              <w:widowControl/>
              <w:spacing w:line="240" w:lineRule="auto"/>
              <w:jc w:val="center"/>
              <w:textAlignment w:val="center"/>
              <w:rPr>
                <w:color w:val="000000"/>
                <w:sz w:val="21"/>
                <w:szCs w:val="21"/>
                <w:highlight w:val="none"/>
              </w:rPr>
            </w:pPr>
            <w:r>
              <w:rPr>
                <w:rFonts w:hint="eastAsia"/>
                <w:color w:val="000000"/>
                <w:sz w:val="21"/>
                <w:szCs w:val="21"/>
                <w:highlight w:val="none"/>
              </w:rPr>
              <w:t>0.1599</w:t>
            </w:r>
          </w:p>
        </w:tc>
        <w:tc>
          <w:tcPr>
            <w:tcW w:w="332" w:type="pct"/>
            <w:tcBorders>
              <w:tl2br w:val="nil"/>
              <w:tr2bl w:val="nil"/>
            </w:tcBorders>
            <w:shd w:val="clear" w:color="auto" w:fill="auto"/>
            <w:noWrap/>
            <w:tcMar>
              <w:top w:w="15" w:type="dxa"/>
              <w:left w:w="15" w:type="dxa"/>
              <w:right w:w="15" w:type="dxa"/>
            </w:tcMar>
            <w:vAlign w:val="center"/>
          </w:tcPr>
          <w:p w14:paraId="6107C21F">
            <w:pPr>
              <w:widowControl/>
              <w:spacing w:line="240" w:lineRule="auto"/>
              <w:jc w:val="center"/>
              <w:textAlignment w:val="center"/>
              <w:rPr>
                <w:color w:val="000000"/>
                <w:sz w:val="21"/>
                <w:szCs w:val="21"/>
                <w:highlight w:val="none"/>
              </w:rPr>
            </w:pPr>
            <w:r>
              <w:rPr>
                <w:rFonts w:hint="eastAsia"/>
                <w:color w:val="000000"/>
                <w:sz w:val="21"/>
                <w:szCs w:val="21"/>
                <w:highlight w:val="none"/>
              </w:rPr>
              <w:t>0.2400</w:t>
            </w:r>
          </w:p>
        </w:tc>
        <w:tc>
          <w:tcPr>
            <w:tcW w:w="332" w:type="pct"/>
            <w:tcBorders>
              <w:tl2br w:val="nil"/>
              <w:tr2bl w:val="nil"/>
            </w:tcBorders>
            <w:shd w:val="clear" w:color="auto" w:fill="auto"/>
            <w:noWrap/>
            <w:tcMar>
              <w:top w:w="15" w:type="dxa"/>
              <w:left w:w="15" w:type="dxa"/>
              <w:right w:w="15" w:type="dxa"/>
            </w:tcMar>
            <w:vAlign w:val="center"/>
          </w:tcPr>
          <w:p w14:paraId="1C04033D">
            <w:pPr>
              <w:widowControl/>
              <w:spacing w:line="240" w:lineRule="auto"/>
              <w:jc w:val="center"/>
              <w:textAlignment w:val="center"/>
              <w:rPr>
                <w:color w:val="000000"/>
                <w:sz w:val="21"/>
                <w:szCs w:val="21"/>
                <w:highlight w:val="none"/>
              </w:rPr>
            </w:pPr>
            <w:r>
              <w:rPr>
                <w:rFonts w:hint="eastAsia"/>
                <w:color w:val="000000"/>
                <w:sz w:val="21"/>
                <w:szCs w:val="21"/>
                <w:highlight w:val="none"/>
              </w:rPr>
              <w:t>0.3167</w:t>
            </w:r>
          </w:p>
        </w:tc>
        <w:tc>
          <w:tcPr>
            <w:tcW w:w="332" w:type="pct"/>
            <w:tcBorders>
              <w:tl2br w:val="nil"/>
              <w:tr2bl w:val="nil"/>
            </w:tcBorders>
            <w:shd w:val="clear" w:color="auto" w:fill="auto"/>
            <w:noWrap/>
            <w:tcMar>
              <w:top w:w="15" w:type="dxa"/>
              <w:left w:w="15" w:type="dxa"/>
              <w:right w:w="15" w:type="dxa"/>
            </w:tcMar>
            <w:vAlign w:val="center"/>
          </w:tcPr>
          <w:p w14:paraId="56B35C43">
            <w:pPr>
              <w:widowControl/>
              <w:spacing w:line="240" w:lineRule="auto"/>
              <w:jc w:val="center"/>
              <w:textAlignment w:val="center"/>
              <w:rPr>
                <w:color w:val="000000"/>
                <w:sz w:val="21"/>
                <w:szCs w:val="21"/>
                <w:highlight w:val="none"/>
              </w:rPr>
            </w:pPr>
            <w:r>
              <w:rPr>
                <w:rFonts w:hint="eastAsia"/>
                <w:color w:val="000000"/>
                <w:sz w:val="21"/>
                <w:szCs w:val="21"/>
                <w:highlight w:val="none"/>
              </w:rPr>
              <w:t>0.4522</w:t>
            </w:r>
          </w:p>
        </w:tc>
        <w:tc>
          <w:tcPr>
            <w:tcW w:w="291" w:type="pct"/>
            <w:tcBorders>
              <w:tl2br w:val="nil"/>
              <w:tr2bl w:val="nil"/>
            </w:tcBorders>
            <w:vAlign w:val="center"/>
          </w:tcPr>
          <w:p w14:paraId="30FEEDF3">
            <w:pPr>
              <w:widowControl/>
              <w:spacing w:line="240" w:lineRule="auto"/>
              <w:jc w:val="center"/>
              <w:textAlignment w:val="center"/>
              <w:rPr>
                <w:color w:val="000000"/>
                <w:sz w:val="21"/>
                <w:szCs w:val="21"/>
                <w:highlight w:val="none"/>
              </w:rPr>
            </w:pPr>
            <w:r>
              <w:rPr>
                <w:rFonts w:hint="eastAsia"/>
                <w:color w:val="000000"/>
                <w:sz w:val="21"/>
                <w:szCs w:val="21"/>
                <w:highlight w:val="none"/>
              </w:rPr>
              <w:t>0.0254</w:t>
            </w:r>
          </w:p>
        </w:tc>
        <w:tc>
          <w:tcPr>
            <w:tcW w:w="930" w:type="pct"/>
            <w:tcBorders>
              <w:tl2br w:val="nil"/>
              <w:tr2bl w:val="nil"/>
            </w:tcBorders>
            <w:shd w:val="clear" w:color="auto" w:fill="auto"/>
            <w:noWrap/>
            <w:tcMar>
              <w:top w:w="15" w:type="dxa"/>
              <w:left w:w="15" w:type="dxa"/>
              <w:right w:w="15" w:type="dxa"/>
            </w:tcMar>
            <w:vAlign w:val="center"/>
          </w:tcPr>
          <w:p w14:paraId="1AC79A2C">
            <w:pPr>
              <w:widowControl/>
              <w:spacing w:line="240" w:lineRule="auto"/>
              <w:jc w:val="center"/>
              <w:textAlignment w:val="center"/>
              <w:rPr>
                <w:color w:val="000000"/>
                <w:sz w:val="21"/>
                <w:szCs w:val="21"/>
                <w:highlight w:val="none"/>
              </w:rPr>
            </w:pPr>
            <w:r>
              <w:rPr>
                <w:rFonts w:hint="eastAsia"/>
                <w:color w:val="000000"/>
                <w:sz w:val="21"/>
                <w:szCs w:val="21"/>
                <w:highlight w:val="none"/>
              </w:rPr>
              <w:t>0.0109</w:t>
            </w:r>
          </w:p>
        </w:tc>
      </w:tr>
      <w:tr w14:paraId="7EAD0E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41" w:type="pct"/>
            <w:tcBorders>
              <w:tl2br w:val="nil"/>
              <w:tr2bl w:val="nil"/>
            </w:tcBorders>
            <w:shd w:val="clear" w:color="auto" w:fill="auto"/>
            <w:noWrap/>
            <w:tcMar>
              <w:top w:w="15" w:type="dxa"/>
              <w:left w:w="15" w:type="dxa"/>
              <w:right w:w="15" w:type="dxa"/>
            </w:tcMar>
            <w:vAlign w:val="center"/>
          </w:tcPr>
          <w:p w14:paraId="7C28ED96">
            <w:pPr>
              <w:widowControl/>
              <w:spacing w:line="240" w:lineRule="auto"/>
              <w:jc w:val="center"/>
              <w:textAlignment w:val="center"/>
              <w:rPr>
                <w:color w:val="000000"/>
                <w:sz w:val="21"/>
                <w:szCs w:val="21"/>
                <w:highlight w:val="none"/>
              </w:rPr>
            </w:pPr>
            <w:r>
              <w:rPr>
                <w:color w:val="000000"/>
                <w:kern w:val="0"/>
                <w:sz w:val="21"/>
                <w:szCs w:val="21"/>
                <w:highlight w:val="none"/>
                <w:lang w:bidi="ar"/>
              </w:rPr>
              <w:t xml:space="preserve">PI </w:t>
            </w:r>
            <w:r>
              <w:rPr>
                <w:color w:val="000000"/>
                <w:kern w:val="0"/>
                <w:sz w:val="21"/>
                <w:szCs w:val="21"/>
                <w:highlight w:val="none"/>
                <w:vertAlign w:val="subscript"/>
                <w:lang w:bidi="ar"/>
              </w:rPr>
              <w:t>最大</w:t>
            </w:r>
          </w:p>
        </w:tc>
        <w:tc>
          <w:tcPr>
            <w:tcW w:w="477" w:type="pct"/>
            <w:tcBorders>
              <w:tl2br w:val="nil"/>
              <w:tr2bl w:val="nil"/>
            </w:tcBorders>
            <w:shd w:val="clear" w:color="auto" w:fill="auto"/>
            <w:noWrap/>
            <w:tcMar>
              <w:top w:w="15" w:type="dxa"/>
              <w:left w:w="15" w:type="dxa"/>
              <w:right w:w="15" w:type="dxa"/>
            </w:tcMar>
            <w:vAlign w:val="center"/>
          </w:tcPr>
          <w:p w14:paraId="478C1C60">
            <w:pPr>
              <w:widowControl/>
              <w:spacing w:line="240" w:lineRule="auto"/>
              <w:jc w:val="center"/>
              <w:textAlignment w:val="center"/>
              <w:rPr>
                <w:color w:val="000000"/>
                <w:sz w:val="21"/>
                <w:szCs w:val="21"/>
                <w:highlight w:val="none"/>
              </w:rPr>
            </w:pPr>
            <w:r>
              <w:rPr>
                <w:rFonts w:hint="eastAsia"/>
                <w:color w:val="000000"/>
                <w:sz w:val="21"/>
                <w:szCs w:val="21"/>
                <w:highlight w:val="none"/>
              </w:rPr>
              <w:t>0.4765</w:t>
            </w:r>
          </w:p>
        </w:tc>
        <w:tc>
          <w:tcPr>
            <w:tcW w:w="331" w:type="pct"/>
            <w:tcBorders>
              <w:tl2br w:val="nil"/>
              <w:tr2bl w:val="nil"/>
            </w:tcBorders>
            <w:shd w:val="clear" w:color="auto" w:fill="auto"/>
            <w:noWrap/>
            <w:tcMar>
              <w:top w:w="15" w:type="dxa"/>
              <w:left w:w="15" w:type="dxa"/>
              <w:right w:w="15" w:type="dxa"/>
            </w:tcMar>
            <w:vAlign w:val="center"/>
          </w:tcPr>
          <w:p w14:paraId="499AC18E">
            <w:pPr>
              <w:widowControl/>
              <w:spacing w:line="240" w:lineRule="auto"/>
              <w:jc w:val="center"/>
              <w:textAlignment w:val="center"/>
              <w:rPr>
                <w:color w:val="000000"/>
                <w:sz w:val="21"/>
                <w:szCs w:val="21"/>
                <w:highlight w:val="none"/>
              </w:rPr>
            </w:pPr>
            <w:r>
              <w:rPr>
                <w:rFonts w:hint="eastAsia"/>
                <w:color w:val="000000"/>
                <w:sz w:val="21"/>
                <w:szCs w:val="21"/>
                <w:highlight w:val="none"/>
              </w:rPr>
              <w:t>0.2453</w:t>
            </w:r>
          </w:p>
        </w:tc>
        <w:tc>
          <w:tcPr>
            <w:tcW w:w="332" w:type="pct"/>
            <w:tcBorders>
              <w:tl2br w:val="nil"/>
              <w:tr2bl w:val="nil"/>
            </w:tcBorders>
            <w:shd w:val="clear" w:color="auto" w:fill="auto"/>
            <w:noWrap/>
            <w:tcMar>
              <w:top w:w="15" w:type="dxa"/>
              <w:left w:w="15" w:type="dxa"/>
              <w:right w:w="15" w:type="dxa"/>
            </w:tcMar>
            <w:vAlign w:val="center"/>
          </w:tcPr>
          <w:p w14:paraId="776BE2CC">
            <w:pPr>
              <w:widowControl/>
              <w:spacing w:line="240" w:lineRule="auto"/>
              <w:jc w:val="center"/>
              <w:textAlignment w:val="center"/>
              <w:rPr>
                <w:color w:val="000000"/>
                <w:sz w:val="21"/>
                <w:szCs w:val="21"/>
                <w:highlight w:val="none"/>
              </w:rPr>
            </w:pPr>
            <w:r>
              <w:rPr>
                <w:rFonts w:hint="eastAsia"/>
                <w:color w:val="000000"/>
                <w:sz w:val="21"/>
                <w:szCs w:val="21"/>
                <w:highlight w:val="none"/>
              </w:rPr>
              <w:t>0.0412</w:t>
            </w:r>
          </w:p>
        </w:tc>
        <w:tc>
          <w:tcPr>
            <w:tcW w:w="332" w:type="pct"/>
            <w:tcBorders>
              <w:tl2br w:val="nil"/>
              <w:tr2bl w:val="nil"/>
            </w:tcBorders>
            <w:shd w:val="clear" w:color="auto" w:fill="auto"/>
            <w:noWrap/>
            <w:tcMar>
              <w:top w:w="15" w:type="dxa"/>
              <w:left w:w="15" w:type="dxa"/>
              <w:right w:w="15" w:type="dxa"/>
            </w:tcMar>
            <w:vAlign w:val="center"/>
          </w:tcPr>
          <w:p w14:paraId="264A0E5C">
            <w:pPr>
              <w:widowControl/>
              <w:spacing w:line="240" w:lineRule="auto"/>
              <w:jc w:val="center"/>
              <w:textAlignment w:val="center"/>
              <w:rPr>
                <w:color w:val="000000"/>
                <w:sz w:val="21"/>
                <w:szCs w:val="21"/>
                <w:highlight w:val="none"/>
              </w:rPr>
            </w:pPr>
            <w:r>
              <w:rPr>
                <w:rFonts w:hint="eastAsia"/>
                <w:color w:val="000000"/>
                <w:sz w:val="21"/>
                <w:szCs w:val="21"/>
                <w:highlight w:val="none"/>
              </w:rPr>
              <w:t>0.0667</w:t>
            </w:r>
          </w:p>
        </w:tc>
        <w:tc>
          <w:tcPr>
            <w:tcW w:w="332" w:type="pct"/>
            <w:tcBorders>
              <w:tl2br w:val="nil"/>
              <w:tr2bl w:val="nil"/>
            </w:tcBorders>
            <w:shd w:val="clear" w:color="auto" w:fill="auto"/>
            <w:noWrap/>
            <w:tcMar>
              <w:top w:w="15" w:type="dxa"/>
              <w:left w:w="15" w:type="dxa"/>
              <w:right w:w="15" w:type="dxa"/>
            </w:tcMar>
            <w:vAlign w:val="center"/>
          </w:tcPr>
          <w:p w14:paraId="6908989E">
            <w:pPr>
              <w:widowControl/>
              <w:spacing w:line="240" w:lineRule="auto"/>
              <w:jc w:val="center"/>
              <w:textAlignment w:val="center"/>
              <w:rPr>
                <w:color w:val="000000"/>
                <w:sz w:val="21"/>
                <w:szCs w:val="21"/>
                <w:highlight w:val="none"/>
              </w:rPr>
            </w:pPr>
            <w:r>
              <w:rPr>
                <w:rFonts w:hint="eastAsia"/>
                <w:color w:val="000000"/>
                <w:sz w:val="21"/>
                <w:szCs w:val="21"/>
                <w:highlight w:val="none"/>
              </w:rPr>
              <w:t>0.2300</w:t>
            </w:r>
          </w:p>
        </w:tc>
        <w:tc>
          <w:tcPr>
            <w:tcW w:w="332" w:type="pct"/>
            <w:tcBorders>
              <w:tl2br w:val="nil"/>
              <w:tr2bl w:val="nil"/>
            </w:tcBorders>
            <w:shd w:val="clear" w:color="auto" w:fill="auto"/>
            <w:noWrap/>
            <w:tcMar>
              <w:top w:w="15" w:type="dxa"/>
              <w:left w:w="15" w:type="dxa"/>
              <w:right w:w="15" w:type="dxa"/>
            </w:tcMar>
            <w:vAlign w:val="center"/>
          </w:tcPr>
          <w:p w14:paraId="2A8ED7C4">
            <w:pPr>
              <w:widowControl/>
              <w:spacing w:line="240" w:lineRule="auto"/>
              <w:jc w:val="center"/>
              <w:textAlignment w:val="center"/>
              <w:rPr>
                <w:color w:val="000000"/>
                <w:sz w:val="21"/>
                <w:szCs w:val="21"/>
                <w:highlight w:val="none"/>
              </w:rPr>
            </w:pPr>
            <w:r>
              <w:rPr>
                <w:rFonts w:hint="eastAsia"/>
                <w:color w:val="000000"/>
                <w:sz w:val="21"/>
                <w:szCs w:val="21"/>
                <w:highlight w:val="none"/>
              </w:rPr>
              <w:t>0.3600</w:t>
            </w:r>
          </w:p>
        </w:tc>
        <w:tc>
          <w:tcPr>
            <w:tcW w:w="332" w:type="pct"/>
            <w:tcBorders>
              <w:tl2br w:val="nil"/>
              <w:tr2bl w:val="nil"/>
            </w:tcBorders>
            <w:shd w:val="clear" w:color="auto" w:fill="auto"/>
            <w:noWrap/>
            <w:tcMar>
              <w:top w:w="15" w:type="dxa"/>
              <w:left w:w="15" w:type="dxa"/>
              <w:right w:w="15" w:type="dxa"/>
            </w:tcMar>
            <w:vAlign w:val="center"/>
          </w:tcPr>
          <w:p w14:paraId="511E875A">
            <w:pPr>
              <w:widowControl/>
              <w:spacing w:line="240" w:lineRule="auto"/>
              <w:jc w:val="center"/>
              <w:textAlignment w:val="center"/>
              <w:rPr>
                <w:color w:val="000000"/>
                <w:sz w:val="21"/>
                <w:szCs w:val="21"/>
                <w:highlight w:val="none"/>
              </w:rPr>
            </w:pPr>
            <w:r>
              <w:rPr>
                <w:rFonts w:hint="eastAsia"/>
                <w:color w:val="000000"/>
                <w:sz w:val="21"/>
                <w:szCs w:val="21"/>
                <w:highlight w:val="none"/>
              </w:rPr>
              <w:t>0.2400</w:t>
            </w:r>
          </w:p>
        </w:tc>
        <w:tc>
          <w:tcPr>
            <w:tcW w:w="332" w:type="pct"/>
            <w:tcBorders>
              <w:tl2br w:val="nil"/>
              <w:tr2bl w:val="nil"/>
            </w:tcBorders>
            <w:shd w:val="clear" w:color="auto" w:fill="auto"/>
            <w:noWrap/>
            <w:tcMar>
              <w:top w:w="15" w:type="dxa"/>
              <w:left w:w="15" w:type="dxa"/>
              <w:right w:w="15" w:type="dxa"/>
            </w:tcMar>
            <w:vAlign w:val="center"/>
          </w:tcPr>
          <w:p w14:paraId="5947BF60">
            <w:pPr>
              <w:widowControl/>
              <w:spacing w:line="240" w:lineRule="auto"/>
              <w:jc w:val="center"/>
              <w:textAlignment w:val="center"/>
              <w:rPr>
                <w:color w:val="000000"/>
                <w:sz w:val="21"/>
                <w:szCs w:val="21"/>
                <w:highlight w:val="none"/>
              </w:rPr>
            </w:pPr>
            <w:r>
              <w:rPr>
                <w:rFonts w:hint="eastAsia"/>
                <w:color w:val="000000"/>
                <w:sz w:val="21"/>
                <w:szCs w:val="21"/>
                <w:highlight w:val="none"/>
              </w:rPr>
              <w:t>0.3167</w:t>
            </w:r>
          </w:p>
        </w:tc>
        <w:tc>
          <w:tcPr>
            <w:tcW w:w="332" w:type="pct"/>
            <w:tcBorders>
              <w:tl2br w:val="nil"/>
              <w:tr2bl w:val="nil"/>
            </w:tcBorders>
            <w:shd w:val="clear" w:color="auto" w:fill="auto"/>
            <w:noWrap/>
            <w:tcMar>
              <w:top w:w="15" w:type="dxa"/>
              <w:left w:w="15" w:type="dxa"/>
              <w:right w:w="15" w:type="dxa"/>
            </w:tcMar>
            <w:vAlign w:val="center"/>
          </w:tcPr>
          <w:p w14:paraId="57C183CD">
            <w:pPr>
              <w:widowControl/>
              <w:spacing w:line="240" w:lineRule="auto"/>
              <w:jc w:val="center"/>
              <w:textAlignment w:val="center"/>
              <w:rPr>
                <w:color w:val="000000"/>
                <w:sz w:val="21"/>
                <w:szCs w:val="21"/>
                <w:highlight w:val="none"/>
              </w:rPr>
            </w:pPr>
            <w:r>
              <w:rPr>
                <w:rFonts w:hint="eastAsia"/>
                <w:color w:val="000000"/>
                <w:sz w:val="21"/>
                <w:szCs w:val="21"/>
                <w:highlight w:val="none"/>
              </w:rPr>
              <w:t>0.7800</w:t>
            </w:r>
          </w:p>
        </w:tc>
        <w:tc>
          <w:tcPr>
            <w:tcW w:w="291" w:type="pct"/>
            <w:tcBorders>
              <w:tl2br w:val="nil"/>
              <w:tr2bl w:val="nil"/>
            </w:tcBorders>
            <w:vAlign w:val="center"/>
          </w:tcPr>
          <w:p w14:paraId="6256905D">
            <w:pPr>
              <w:widowControl/>
              <w:spacing w:line="240" w:lineRule="auto"/>
              <w:jc w:val="center"/>
              <w:textAlignment w:val="center"/>
              <w:rPr>
                <w:color w:val="000000"/>
                <w:sz w:val="21"/>
                <w:szCs w:val="21"/>
                <w:highlight w:val="none"/>
              </w:rPr>
            </w:pPr>
            <w:r>
              <w:rPr>
                <w:rFonts w:hint="eastAsia"/>
                <w:color w:val="000000"/>
                <w:sz w:val="21"/>
                <w:szCs w:val="21"/>
                <w:highlight w:val="none"/>
              </w:rPr>
              <w:t>0.0500</w:t>
            </w:r>
          </w:p>
        </w:tc>
        <w:tc>
          <w:tcPr>
            <w:tcW w:w="930" w:type="pct"/>
            <w:tcBorders>
              <w:tl2br w:val="nil"/>
              <w:tr2bl w:val="nil"/>
            </w:tcBorders>
            <w:shd w:val="clear" w:color="auto" w:fill="auto"/>
            <w:noWrap/>
            <w:tcMar>
              <w:top w:w="15" w:type="dxa"/>
              <w:left w:w="15" w:type="dxa"/>
              <w:right w:w="15" w:type="dxa"/>
            </w:tcMar>
            <w:vAlign w:val="center"/>
          </w:tcPr>
          <w:p w14:paraId="76A71830">
            <w:pPr>
              <w:widowControl/>
              <w:spacing w:line="240" w:lineRule="auto"/>
              <w:jc w:val="center"/>
              <w:textAlignment w:val="center"/>
              <w:rPr>
                <w:color w:val="000000"/>
                <w:sz w:val="21"/>
                <w:szCs w:val="21"/>
                <w:highlight w:val="none"/>
              </w:rPr>
            </w:pPr>
            <w:r>
              <w:rPr>
                <w:rFonts w:hint="eastAsia"/>
                <w:color w:val="000000"/>
                <w:sz w:val="21"/>
                <w:szCs w:val="21"/>
                <w:highlight w:val="none"/>
              </w:rPr>
              <w:t>0.0400</w:t>
            </w:r>
          </w:p>
        </w:tc>
      </w:tr>
      <w:tr w14:paraId="43ED99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41" w:type="pct"/>
            <w:tcBorders>
              <w:tl2br w:val="nil"/>
              <w:tr2bl w:val="nil"/>
            </w:tcBorders>
            <w:shd w:val="clear" w:color="auto" w:fill="auto"/>
            <w:noWrap/>
            <w:tcMar>
              <w:top w:w="15" w:type="dxa"/>
              <w:left w:w="15" w:type="dxa"/>
              <w:right w:w="15" w:type="dxa"/>
            </w:tcMar>
            <w:vAlign w:val="center"/>
          </w:tcPr>
          <w:p w14:paraId="157046DE">
            <w:pPr>
              <w:widowControl/>
              <w:spacing w:line="240" w:lineRule="auto"/>
              <w:jc w:val="center"/>
              <w:textAlignment w:val="center"/>
              <w:rPr>
                <w:color w:val="000000"/>
                <w:sz w:val="21"/>
                <w:szCs w:val="21"/>
                <w:highlight w:val="none"/>
              </w:rPr>
            </w:pPr>
            <w:r>
              <w:rPr>
                <w:color w:val="000000"/>
                <w:kern w:val="0"/>
                <w:sz w:val="21"/>
                <w:szCs w:val="21"/>
                <w:highlight w:val="none"/>
                <w:lang w:bidi="ar"/>
              </w:rPr>
              <w:t>P</w:t>
            </w:r>
            <w:r>
              <w:rPr>
                <w:color w:val="000000"/>
                <w:kern w:val="0"/>
                <w:sz w:val="21"/>
                <w:szCs w:val="21"/>
                <w:highlight w:val="none"/>
                <w:vertAlign w:val="subscript"/>
                <w:lang w:bidi="ar"/>
              </w:rPr>
              <w:t>N</w:t>
            </w:r>
          </w:p>
        </w:tc>
        <w:tc>
          <w:tcPr>
            <w:tcW w:w="477" w:type="pct"/>
            <w:tcBorders>
              <w:tl2br w:val="nil"/>
              <w:tr2bl w:val="nil"/>
            </w:tcBorders>
            <w:shd w:val="clear" w:color="auto" w:fill="auto"/>
            <w:noWrap/>
            <w:tcMar>
              <w:top w:w="15" w:type="dxa"/>
              <w:left w:w="15" w:type="dxa"/>
              <w:right w:w="15" w:type="dxa"/>
            </w:tcMar>
            <w:vAlign w:val="center"/>
          </w:tcPr>
          <w:p w14:paraId="2C5611F7">
            <w:pPr>
              <w:widowControl/>
              <w:spacing w:line="240" w:lineRule="auto"/>
              <w:jc w:val="center"/>
              <w:textAlignment w:val="center"/>
              <w:rPr>
                <w:color w:val="000000"/>
                <w:sz w:val="21"/>
                <w:szCs w:val="21"/>
                <w:highlight w:val="none"/>
              </w:rPr>
            </w:pPr>
            <w:r>
              <w:rPr>
                <w:rFonts w:hint="eastAsia"/>
                <w:color w:val="000000"/>
                <w:sz w:val="21"/>
                <w:szCs w:val="21"/>
                <w:highlight w:val="none"/>
              </w:rPr>
              <w:t>0.43</w:t>
            </w:r>
            <w:r>
              <w:rPr>
                <w:rFonts w:hint="eastAsia"/>
                <w:color w:val="000000"/>
                <w:sz w:val="21"/>
                <w:szCs w:val="21"/>
                <w:highlight w:val="none"/>
                <w:lang w:val="en-US" w:eastAsia="zh-CN"/>
              </w:rPr>
              <w:t>20</w:t>
            </w:r>
            <w:r>
              <w:rPr>
                <w:rFonts w:hint="eastAsia"/>
                <w:color w:val="000000"/>
                <w:sz w:val="21"/>
                <w:szCs w:val="21"/>
                <w:highlight w:val="none"/>
              </w:rPr>
              <w:t xml:space="preserve"> </w:t>
            </w:r>
          </w:p>
        </w:tc>
        <w:tc>
          <w:tcPr>
            <w:tcW w:w="331" w:type="pct"/>
            <w:tcBorders>
              <w:tl2br w:val="nil"/>
              <w:tr2bl w:val="nil"/>
            </w:tcBorders>
            <w:shd w:val="clear" w:color="auto" w:fill="auto"/>
            <w:noWrap/>
            <w:tcMar>
              <w:top w:w="15" w:type="dxa"/>
              <w:left w:w="15" w:type="dxa"/>
              <w:right w:w="15" w:type="dxa"/>
            </w:tcMar>
            <w:vAlign w:val="center"/>
          </w:tcPr>
          <w:p w14:paraId="4D93D90D">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0.1836 </w:t>
            </w:r>
          </w:p>
        </w:tc>
        <w:tc>
          <w:tcPr>
            <w:tcW w:w="332" w:type="pct"/>
            <w:tcBorders>
              <w:tl2br w:val="nil"/>
              <w:tr2bl w:val="nil"/>
            </w:tcBorders>
            <w:shd w:val="clear" w:color="auto" w:fill="auto"/>
            <w:noWrap/>
            <w:tcMar>
              <w:top w:w="15" w:type="dxa"/>
              <w:left w:w="15" w:type="dxa"/>
              <w:right w:w="15" w:type="dxa"/>
            </w:tcMar>
            <w:vAlign w:val="center"/>
          </w:tcPr>
          <w:p w14:paraId="45951FD3">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0.0306 </w:t>
            </w:r>
          </w:p>
        </w:tc>
        <w:tc>
          <w:tcPr>
            <w:tcW w:w="332" w:type="pct"/>
            <w:tcBorders>
              <w:tl2br w:val="nil"/>
              <w:tr2bl w:val="nil"/>
            </w:tcBorders>
            <w:shd w:val="clear" w:color="auto" w:fill="auto"/>
            <w:noWrap/>
            <w:tcMar>
              <w:top w:w="15" w:type="dxa"/>
              <w:left w:w="15" w:type="dxa"/>
              <w:right w:w="15" w:type="dxa"/>
            </w:tcMar>
            <w:vAlign w:val="center"/>
          </w:tcPr>
          <w:p w14:paraId="08219C59">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0.0475 </w:t>
            </w:r>
          </w:p>
        </w:tc>
        <w:tc>
          <w:tcPr>
            <w:tcW w:w="332" w:type="pct"/>
            <w:tcBorders>
              <w:tl2br w:val="nil"/>
              <w:tr2bl w:val="nil"/>
            </w:tcBorders>
            <w:shd w:val="clear" w:color="auto" w:fill="auto"/>
            <w:noWrap/>
            <w:tcMar>
              <w:top w:w="15" w:type="dxa"/>
              <w:left w:w="15" w:type="dxa"/>
              <w:right w:w="15" w:type="dxa"/>
            </w:tcMar>
            <w:vAlign w:val="center"/>
          </w:tcPr>
          <w:p w14:paraId="04C51CD6">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0.1641 </w:t>
            </w:r>
          </w:p>
        </w:tc>
        <w:tc>
          <w:tcPr>
            <w:tcW w:w="332" w:type="pct"/>
            <w:tcBorders>
              <w:tl2br w:val="nil"/>
              <w:tr2bl w:val="nil"/>
            </w:tcBorders>
            <w:shd w:val="clear" w:color="auto" w:fill="auto"/>
            <w:noWrap/>
            <w:tcMar>
              <w:top w:w="15" w:type="dxa"/>
              <w:left w:w="15" w:type="dxa"/>
              <w:right w:w="15" w:type="dxa"/>
            </w:tcMar>
            <w:vAlign w:val="center"/>
          </w:tcPr>
          <w:p w14:paraId="4E4BF0C0">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0.2785 </w:t>
            </w:r>
          </w:p>
        </w:tc>
        <w:tc>
          <w:tcPr>
            <w:tcW w:w="332" w:type="pct"/>
            <w:tcBorders>
              <w:tl2br w:val="nil"/>
              <w:tr2bl w:val="nil"/>
            </w:tcBorders>
            <w:shd w:val="clear" w:color="auto" w:fill="auto"/>
            <w:noWrap/>
            <w:tcMar>
              <w:top w:w="15" w:type="dxa"/>
              <w:left w:w="15" w:type="dxa"/>
              <w:right w:w="15" w:type="dxa"/>
            </w:tcMar>
            <w:vAlign w:val="center"/>
          </w:tcPr>
          <w:p w14:paraId="21997245">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0.2400 </w:t>
            </w:r>
          </w:p>
        </w:tc>
        <w:tc>
          <w:tcPr>
            <w:tcW w:w="332" w:type="pct"/>
            <w:tcBorders>
              <w:tl2br w:val="nil"/>
              <w:tr2bl w:val="nil"/>
            </w:tcBorders>
            <w:shd w:val="clear" w:color="auto" w:fill="auto"/>
            <w:noWrap/>
            <w:tcMar>
              <w:top w:w="15" w:type="dxa"/>
              <w:left w:w="15" w:type="dxa"/>
              <w:right w:w="15" w:type="dxa"/>
            </w:tcMar>
            <w:vAlign w:val="center"/>
          </w:tcPr>
          <w:p w14:paraId="6E03F21F">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0.3167 </w:t>
            </w:r>
          </w:p>
        </w:tc>
        <w:tc>
          <w:tcPr>
            <w:tcW w:w="332" w:type="pct"/>
            <w:tcBorders>
              <w:tl2br w:val="nil"/>
              <w:tr2bl w:val="nil"/>
            </w:tcBorders>
            <w:shd w:val="clear" w:color="auto" w:fill="auto"/>
            <w:noWrap/>
            <w:tcMar>
              <w:top w:w="15" w:type="dxa"/>
              <w:left w:w="15" w:type="dxa"/>
              <w:right w:w="15" w:type="dxa"/>
            </w:tcMar>
            <w:vAlign w:val="center"/>
          </w:tcPr>
          <w:p w14:paraId="0EE9D0D7">
            <w:pPr>
              <w:widowControl/>
              <w:spacing w:line="240" w:lineRule="auto"/>
              <w:jc w:val="center"/>
              <w:textAlignment w:val="center"/>
              <w:rPr>
                <w:color w:val="000000"/>
                <w:sz w:val="21"/>
                <w:szCs w:val="21"/>
                <w:highlight w:val="none"/>
              </w:rPr>
            </w:pPr>
            <w:r>
              <w:rPr>
                <w:rFonts w:hint="eastAsia"/>
                <w:b/>
                <w:bCs/>
                <w:color w:val="000000"/>
                <w:sz w:val="21"/>
                <w:szCs w:val="21"/>
                <w:highlight w:val="none"/>
              </w:rPr>
              <w:t>0.6375</w:t>
            </w:r>
            <w:r>
              <w:rPr>
                <w:rFonts w:hint="eastAsia"/>
                <w:color w:val="000000"/>
                <w:sz w:val="21"/>
                <w:szCs w:val="21"/>
                <w:highlight w:val="none"/>
              </w:rPr>
              <w:t xml:space="preserve"> </w:t>
            </w:r>
          </w:p>
        </w:tc>
        <w:tc>
          <w:tcPr>
            <w:tcW w:w="291" w:type="pct"/>
            <w:tcBorders>
              <w:tl2br w:val="nil"/>
              <w:tr2bl w:val="nil"/>
            </w:tcBorders>
            <w:vAlign w:val="center"/>
          </w:tcPr>
          <w:p w14:paraId="5CEB5F3B">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0.0397 </w:t>
            </w:r>
          </w:p>
        </w:tc>
        <w:tc>
          <w:tcPr>
            <w:tcW w:w="930" w:type="pct"/>
            <w:tcBorders>
              <w:tl2br w:val="nil"/>
              <w:tr2bl w:val="nil"/>
            </w:tcBorders>
            <w:shd w:val="clear" w:color="auto" w:fill="auto"/>
            <w:noWrap/>
            <w:tcMar>
              <w:top w:w="15" w:type="dxa"/>
              <w:left w:w="15" w:type="dxa"/>
              <w:right w:w="15" w:type="dxa"/>
            </w:tcMar>
            <w:vAlign w:val="center"/>
          </w:tcPr>
          <w:p w14:paraId="38736654">
            <w:pPr>
              <w:widowControl/>
              <w:spacing w:line="240" w:lineRule="auto"/>
              <w:jc w:val="center"/>
              <w:textAlignment w:val="center"/>
              <w:rPr>
                <w:color w:val="000000"/>
                <w:sz w:val="21"/>
                <w:szCs w:val="21"/>
                <w:highlight w:val="none"/>
              </w:rPr>
            </w:pPr>
            <w:r>
              <w:rPr>
                <w:rFonts w:hint="eastAsia"/>
                <w:color w:val="000000"/>
                <w:sz w:val="21"/>
                <w:szCs w:val="21"/>
                <w:highlight w:val="none"/>
              </w:rPr>
              <w:t xml:space="preserve">0.0293 </w:t>
            </w:r>
          </w:p>
        </w:tc>
      </w:tr>
    </w:tbl>
    <w:p w14:paraId="31246362">
      <w:pPr>
        <w:pStyle w:val="2"/>
        <w:spacing w:after="0"/>
        <w:ind w:firstLine="420"/>
        <w:rPr>
          <w:highlight w:val="none"/>
        </w:rPr>
        <w:sectPr>
          <w:headerReference r:id="rId22" w:type="default"/>
          <w:pgSz w:w="16781" w:h="11849" w:orient="landscape"/>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r>
        <w:rPr>
          <w:highlight w:val="none"/>
        </w:rPr>
        <w:t>根据表5-4-2中内容，该工业园区</w:t>
      </w:r>
      <w:r>
        <w:rPr>
          <w:rFonts w:hint="eastAsia"/>
          <w:highlight w:val="none"/>
        </w:rPr>
        <w:t>周边</w:t>
      </w:r>
      <w:r>
        <w:rPr>
          <w:highlight w:val="none"/>
        </w:rPr>
        <w:t>P</w:t>
      </w:r>
      <w:r>
        <w:rPr>
          <w:highlight w:val="none"/>
          <w:vertAlign w:val="subscript"/>
        </w:rPr>
        <w:t>Nmax</w:t>
      </w:r>
      <w:r>
        <w:rPr>
          <w:highlight w:val="none"/>
        </w:rPr>
        <w:t>=0.63</w:t>
      </w:r>
      <w:r>
        <w:rPr>
          <w:rFonts w:hint="eastAsia"/>
          <w:highlight w:val="none"/>
        </w:rPr>
        <w:t>75＜</w:t>
      </w:r>
      <w:r>
        <w:rPr>
          <w:highlight w:val="none"/>
        </w:rPr>
        <w:t>0.7，依据表</w:t>
      </w:r>
      <w:r>
        <w:rPr>
          <w:rFonts w:hint="eastAsia"/>
          <w:highlight w:val="none"/>
        </w:rPr>
        <w:t>5-2-2</w:t>
      </w:r>
      <w:r>
        <w:rPr>
          <w:highlight w:val="none"/>
        </w:rPr>
        <w:t>内梅罗污染指数评价标准，该工业园区可判定为I级清洁（安全）。</w:t>
      </w:r>
    </w:p>
    <w:p w14:paraId="2FC3C170">
      <w:pPr>
        <w:pStyle w:val="4"/>
        <w:tabs>
          <w:tab w:val="left" w:leader="dot" w:pos="0"/>
          <w:tab w:val="clear" w:pos="425"/>
        </w:tabs>
        <w:rPr>
          <w:highlight w:val="none"/>
        </w:rPr>
      </w:pPr>
      <w:bookmarkStart w:id="49" w:name="_Toc31415"/>
      <w:r>
        <w:rPr>
          <w:highlight w:val="none"/>
        </w:rPr>
        <w:t>检测结果小结</w:t>
      </w:r>
      <w:bookmarkEnd w:id="47"/>
      <w:bookmarkEnd w:id="49"/>
    </w:p>
    <w:p w14:paraId="12F1B026">
      <w:pPr>
        <w:pStyle w:val="5"/>
        <w:tabs>
          <w:tab w:val="clear" w:pos="851"/>
        </w:tabs>
        <w:rPr>
          <w:highlight w:val="none"/>
        </w:rPr>
      </w:pPr>
      <w:r>
        <w:rPr>
          <w:highlight w:val="none"/>
        </w:rPr>
        <w:t>土壤检测结果小结</w:t>
      </w:r>
    </w:p>
    <w:p w14:paraId="3AF9AADF">
      <w:pPr>
        <w:ind w:firstLine="480" w:firstLineChars="200"/>
        <w:rPr>
          <w:highlight w:val="none"/>
        </w:rPr>
      </w:pPr>
      <w:r>
        <w:rPr>
          <w:rFonts w:hint="eastAsia"/>
          <w:highlight w:val="none"/>
        </w:rPr>
        <w:t>（1）</w:t>
      </w:r>
      <w:r>
        <w:rPr>
          <w:highlight w:val="none"/>
        </w:rPr>
        <w:t>本次调查共布设</w:t>
      </w:r>
      <w:r>
        <w:rPr>
          <w:rFonts w:hint="eastAsia"/>
          <w:highlight w:val="none"/>
        </w:rPr>
        <w:t>11个</w:t>
      </w:r>
      <w:r>
        <w:rPr>
          <w:highlight w:val="none"/>
        </w:rPr>
        <w:t>土壤点位，采集</w:t>
      </w:r>
      <w:r>
        <w:rPr>
          <w:rFonts w:hint="eastAsia"/>
          <w:highlight w:val="none"/>
        </w:rPr>
        <w:t>11个土壤</w:t>
      </w:r>
      <w:r>
        <w:rPr>
          <w:highlight w:val="none"/>
        </w:rPr>
        <w:t>样品</w:t>
      </w:r>
      <w:r>
        <w:rPr>
          <w:rFonts w:hint="eastAsia"/>
          <w:highlight w:val="none"/>
        </w:rPr>
        <w:t>（</w:t>
      </w:r>
      <w:r>
        <w:rPr>
          <w:rFonts w:hint="eastAsia"/>
          <w:highlight w:val="none"/>
          <w:lang w:eastAsia="zh-CN"/>
        </w:rPr>
        <w:t>不含质控样品</w:t>
      </w:r>
      <w:r>
        <w:rPr>
          <w:rFonts w:hint="eastAsia"/>
          <w:highlight w:val="none"/>
        </w:rPr>
        <w:t>）</w:t>
      </w:r>
      <w:r>
        <w:rPr>
          <w:highlight w:val="none"/>
        </w:rPr>
        <w:t>，共检测</w:t>
      </w:r>
      <w:r>
        <w:rPr>
          <w:rFonts w:hint="eastAsia"/>
          <w:highlight w:val="none"/>
        </w:rPr>
        <w:t>51项</w:t>
      </w:r>
      <w:r>
        <w:rPr>
          <w:highlight w:val="none"/>
        </w:rPr>
        <w:t>测试项目，其中重金属测试项目除铬（六价）外均有检出；</w:t>
      </w:r>
      <w:r>
        <w:rPr>
          <w:rFonts w:hint="eastAsia"/>
          <w:highlight w:val="none"/>
        </w:rPr>
        <w:t>挥发性有机物和</w:t>
      </w:r>
      <w:r>
        <w:rPr>
          <w:highlight w:val="none"/>
        </w:rPr>
        <w:t>半挥发</w:t>
      </w:r>
      <w:r>
        <w:rPr>
          <w:rFonts w:hint="eastAsia"/>
          <w:highlight w:val="none"/>
        </w:rPr>
        <w:t xml:space="preserve">性有机物均未检出；送检总氟化物均有检出。 </w:t>
      </w:r>
    </w:p>
    <w:p w14:paraId="48B599DD">
      <w:pPr>
        <w:ind w:firstLine="480" w:firstLineChars="200"/>
        <w:rPr>
          <w:highlight w:val="none"/>
        </w:rPr>
      </w:pPr>
      <w:r>
        <w:rPr>
          <w:rFonts w:hint="eastAsia"/>
          <w:highlight w:val="none"/>
        </w:rPr>
        <w:t>（2）各点位已检出污染物均满足各点位对应的《土壤环境质量 建设用地土壤污染风险管控标准（试行）》（GB36600-2018）、《土壤环境质量 农用地土壤污染风险管控标准（试行）》（GB1561-2018）、《建设用地土壤污染风险筛选值和管制值》（DB4403_T 67-2020）（深圳）要求。</w:t>
      </w:r>
    </w:p>
    <w:p w14:paraId="3BD137FD">
      <w:pPr>
        <w:ind w:firstLine="480" w:firstLineChars="200"/>
        <w:rPr>
          <w:highlight w:val="none"/>
        </w:rPr>
      </w:pPr>
      <w:r>
        <w:rPr>
          <w:rFonts w:hint="eastAsia"/>
          <w:highlight w:val="none"/>
        </w:rPr>
        <w:t>（3）园区内上风向点位和下风向点位各测试项目检测值差别较小，各检测值与均值比较，部分点位指标略高于平均值，但差别较小，说明工业园区周边及其已建成企业聚集区周边各指标浓度处在同一水平。</w:t>
      </w:r>
    </w:p>
    <w:p w14:paraId="27357111">
      <w:pPr>
        <w:ind w:firstLine="480" w:firstLineChars="200"/>
        <w:rPr>
          <w:highlight w:val="none"/>
        </w:rPr>
      </w:pPr>
      <w:r>
        <w:rPr>
          <w:rFonts w:hint="eastAsia"/>
          <w:highlight w:val="none"/>
        </w:rPr>
        <w:t>（4）各土壤样品的单项污染指数Pi</w:t>
      </w:r>
      <w:r>
        <w:rPr>
          <w:rFonts w:hint="eastAsia"/>
          <w:highlight w:val="none"/>
          <w:vertAlign w:val="subscript"/>
        </w:rPr>
        <w:t>max</w:t>
      </w:r>
      <w:r>
        <w:rPr>
          <w:rFonts w:hint="eastAsia"/>
          <w:highlight w:val="none"/>
        </w:rPr>
        <w:t>=0.7800＜1，可以判断本工业园区周边的所有点位各因子的单项污染指数对应的污染程度均为无污染。</w:t>
      </w:r>
    </w:p>
    <w:p w14:paraId="4E303B53">
      <w:pPr>
        <w:ind w:firstLine="480" w:firstLineChars="200"/>
        <w:rPr>
          <w:highlight w:val="none"/>
        </w:rPr>
      </w:pPr>
      <w:r>
        <w:rPr>
          <w:rFonts w:hint="eastAsia"/>
          <w:highlight w:val="none"/>
        </w:rPr>
        <w:t>（5）本园区各因子内梅罗污染指数P</w:t>
      </w:r>
      <w:r>
        <w:rPr>
          <w:rFonts w:hint="eastAsia"/>
          <w:highlight w:val="none"/>
          <w:vertAlign w:val="subscript"/>
        </w:rPr>
        <w:t>Nmax</w:t>
      </w:r>
      <w:r>
        <w:rPr>
          <w:rFonts w:hint="eastAsia"/>
          <w:highlight w:val="none"/>
        </w:rPr>
        <w:t>=0.6375＜0.7，可以判断本园区周边的所有因子的内梅罗污染指数对应的污染等级均为I级清洁（安全）。</w:t>
      </w:r>
    </w:p>
    <w:p w14:paraId="08392822">
      <w:pPr>
        <w:pStyle w:val="5"/>
        <w:tabs>
          <w:tab w:val="left" w:pos="425"/>
        </w:tabs>
        <w:rPr>
          <w:highlight w:val="none"/>
        </w:rPr>
      </w:pPr>
      <w:r>
        <w:rPr>
          <w:highlight w:val="none"/>
        </w:rPr>
        <w:t>地下水检测结果小结</w:t>
      </w:r>
    </w:p>
    <w:p w14:paraId="516D3228">
      <w:pPr>
        <w:ind w:firstLine="420"/>
        <w:rPr>
          <w:highlight w:val="none"/>
        </w:rPr>
      </w:pPr>
      <w:r>
        <w:rPr>
          <w:rFonts w:hint="eastAsia"/>
          <w:highlight w:val="none"/>
        </w:rPr>
        <w:t>（1）</w:t>
      </w:r>
      <w:r>
        <w:rPr>
          <w:highlight w:val="none"/>
        </w:rPr>
        <w:t>本园区调查2个地下水样品，共检测32项测试项目包括</w:t>
      </w:r>
      <w:r>
        <w:rPr>
          <w:color w:val="000000" w:themeColor="text1"/>
          <w:highlight w:val="none"/>
          <w14:textFill>
            <w14:solidFill>
              <w14:schemeClr w14:val="tx1"/>
            </w14:solidFill>
          </w14:textFill>
        </w:rPr>
        <w:t>无机项目（14项）、金属类（13项）、有机物类（5项），共检出1</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项污染物指标</w:t>
      </w:r>
      <w:r>
        <w:rPr>
          <w:highlight w:val="none"/>
        </w:rPr>
        <w:t>。</w:t>
      </w:r>
    </w:p>
    <w:p w14:paraId="520360F3">
      <w:pPr>
        <w:ind w:firstLine="482"/>
        <w:rPr>
          <w:highlight w:val="none"/>
        </w:rPr>
      </w:pPr>
      <w:r>
        <w:rPr>
          <w:rFonts w:hint="eastAsia"/>
          <w:highlight w:val="none"/>
        </w:rPr>
        <w:t>（2）地下水监测点位中HH-W1样品总硬度和硫酸盐监测值不能满足</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14:textFill>
            <w14:solidFill>
              <w14:schemeClr w14:val="tx1"/>
            </w14:solidFill>
          </w14:textFill>
        </w:rPr>
        <w:t>，</w:t>
      </w:r>
      <w:r>
        <w:rPr>
          <w:rFonts w:hint="eastAsia"/>
          <w:highlight w:val="none"/>
        </w:rPr>
        <w:t>HH-W2样品锰监测值不能</w:t>
      </w:r>
      <w:r>
        <w:rPr>
          <w:rFonts w:hint="eastAsia"/>
          <w:highlight w:val="none"/>
          <w:lang w:val="en-US" w:eastAsia="zh-CN"/>
        </w:rPr>
        <w:t>满足</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14:textFill>
            <w14:solidFill>
              <w14:schemeClr w14:val="tx1"/>
            </w14:solidFill>
          </w14:textFill>
        </w:rPr>
        <w:t>要求，其它</w:t>
      </w:r>
      <w:r>
        <w:rPr>
          <w:highlight w:val="none"/>
        </w:rPr>
        <w:t>已检出污染物均满足</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14:textFill>
            <w14:solidFill>
              <w14:schemeClr w14:val="tx1"/>
            </w14:solidFill>
          </w14:textFill>
        </w:rPr>
        <w:t>和《地表水环境质量标准》（GB3838-2002）IV类标准限值要求</w:t>
      </w:r>
      <w:r>
        <w:rPr>
          <w:rFonts w:eastAsiaTheme="minorEastAsia"/>
          <w:highlight w:val="none"/>
        </w:rPr>
        <w:t>。</w:t>
      </w:r>
      <w:r>
        <w:rPr>
          <w:rFonts w:hint="eastAsia"/>
          <w:highlight w:val="none"/>
        </w:rPr>
        <w:t>现状</w:t>
      </w:r>
      <w:r>
        <w:rPr>
          <w:highlight w:val="none"/>
        </w:rPr>
        <w:t>超标因子主要为</w:t>
      </w:r>
      <w:r>
        <w:rPr>
          <w:rFonts w:hint="eastAsia"/>
          <w:highlight w:val="none"/>
        </w:rPr>
        <w:t>常规检测指标中的总硬度、硫酸盐、锰，</w:t>
      </w:r>
      <w:r>
        <w:rPr>
          <w:highlight w:val="none"/>
        </w:rPr>
        <w:t>结合全国地下水水质调查分析结果，</w:t>
      </w:r>
      <w:r>
        <w:rPr>
          <w:rFonts w:hint="eastAsia"/>
          <w:highlight w:val="none"/>
        </w:rPr>
        <w:t>湖北省</w:t>
      </w:r>
      <w:r>
        <w:rPr>
          <w:highlight w:val="none"/>
        </w:rPr>
        <w:t>第四系中、上更新统松散岩类孔隙含水层地下水受地质背景条件影响，铁、锰、总硬度含量较高，因此</w:t>
      </w:r>
      <w:r>
        <w:rPr>
          <w:rFonts w:hint="eastAsia"/>
          <w:highlight w:val="none"/>
          <w:lang w:eastAsia="zh-CN"/>
        </w:rPr>
        <w:t>园区所在区域</w:t>
      </w:r>
      <w:r>
        <w:rPr>
          <w:highlight w:val="none"/>
        </w:rPr>
        <w:t>地下水总硬度、</w:t>
      </w:r>
      <w:r>
        <w:rPr>
          <w:rFonts w:hint="eastAsia"/>
          <w:highlight w:val="none"/>
        </w:rPr>
        <w:t>锰</w:t>
      </w:r>
      <w:r>
        <w:rPr>
          <w:highlight w:val="none"/>
        </w:rPr>
        <w:t>超标可能与地质背景条件相关。</w:t>
      </w:r>
      <w:r>
        <w:rPr>
          <w:rFonts w:hint="eastAsia"/>
          <w:highlight w:val="none"/>
        </w:rPr>
        <w:t>送检样品的硫酸盐监测值超标倍数为2.0，自然界中硫酸盐主要为Ca</w:t>
      </w:r>
      <w:r>
        <w:rPr>
          <w:rFonts w:hint="eastAsia"/>
          <w:highlight w:val="none"/>
          <w:vertAlign w:val="superscript"/>
        </w:rPr>
        <w:t>2+</w:t>
      </w:r>
      <w:r>
        <w:rPr>
          <w:rFonts w:hint="eastAsia"/>
          <w:highlight w:val="none"/>
        </w:rPr>
        <w:t>、Cu</w:t>
      </w:r>
      <w:r>
        <w:rPr>
          <w:rFonts w:hint="eastAsia"/>
          <w:highlight w:val="none"/>
          <w:vertAlign w:val="superscript"/>
        </w:rPr>
        <w:t>2+</w:t>
      </w:r>
      <w:r>
        <w:rPr>
          <w:rFonts w:hint="eastAsia"/>
          <w:highlight w:val="none"/>
        </w:rPr>
        <w:t>、Ba</w:t>
      </w:r>
      <w:r>
        <w:rPr>
          <w:rFonts w:hint="eastAsia"/>
          <w:highlight w:val="none"/>
          <w:vertAlign w:val="superscript"/>
        </w:rPr>
        <w:t>2+</w:t>
      </w:r>
      <w:r>
        <w:rPr>
          <w:rFonts w:hint="eastAsia"/>
          <w:highlight w:val="none"/>
        </w:rPr>
        <w:t>、Mg</w:t>
      </w:r>
      <w:r>
        <w:rPr>
          <w:rFonts w:hint="eastAsia"/>
          <w:highlight w:val="none"/>
          <w:vertAlign w:val="superscript"/>
        </w:rPr>
        <w:t>2+</w:t>
      </w:r>
      <w:r>
        <w:rPr>
          <w:rFonts w:hint="eastAsia"/>
          <w:highlight w:val="none"/>
        </w:rPr>
        <w:t>、Fe</w:t>
      </w:r>
      <w:r>
        <w:rPr>
          <w:rFonts w:hint="eastAsia"/>
          <w:highlight w:val="none"/>
          <w:vertAlign w:val="superscript"/>
        </w:rPr>
        <w:t>3+</w:t>
      </w:r>
      <w:r>
        <w:rPr>
          <w:rFonts w:hint="eastAsia"/>
          <w:highlight w:val="none"/>
        </w:rPr>
        <w:t>、Al</w:t>
      </w:r>
      <w:r>
        <w:rPr>
          <w:rFonts w:hint="eastAsia"/>
          <w:highlight w:val="none"/>
          <w:vertAlign w:val="superscript"/>
        </w:rPr>
        <w:t>3+</w:t>
      </w:r>
      <w:r>
        <w:rPr>
          <w:rFonts w:hint="eastAsia"/>
          <w:highlight w:val="none"/>
        </w:rPr>
        <w:t>、Sr</w:t>
      </w:r>
      <w:r>
        <w:rPr>
          <w:rFonts w:hint="eastAsia"/>
          <w:highlight w:val="none"/>
          <w:vertAlign w:val="superscript"/>
        </w:rPr>
        <w:t>2+</w:t>
      </w:r>
      <w:r>
        <w:rPr>
          <w:rFonts w:hint="eastAsia"/>
          <w:highlight w:val="none"/>
        </w:rPr>
        <w:t>、Pb</w:t>
      </w:r>
      <w:r>
        <w:rPr>
          <w:rFonts w:hint="eastAsia"/>
          <w:highlight w:val="none"/>
          <w:vertAlign w:val="superscript"/>
        </w:rPr>
        <w:t>2+</w:t>
      </w:r>
      <w:r>
        <w:rPr>
          <w:rFonts w:hint="eastAsia"/>
          <w:highlight w:val="none"/>
        </w:rPr>
        <w:t>、Na</w:t>
      </w:r>
      <w:r>
        <w:rPr>
          <w:rFonts w:hint="eastAsia"/>
          <w:highlight w:val="none"/>
          <w:vertAlign w:val="superscript"/>
        </w:rPr>
        <w:t>+</w:t>
      </w:r>
      <w:r>
        <w:rPr>
          <w:rFonts w:hint="eastAsia"/>
          <w:highlight w:val="none"/>
        </w:rPr>
        <w:t>、Ba</w:t>
      </w:r>
      <w:r>
        <w:rPr>
          <w:rFonts w:hint="eastAsia"/>
          <w:highlight w:val="none"/>
          <w:vertAlign w:val="superscript"/>
        </w:rPr>
        <w:t>2+</w:t>
      </w:r>
      <w:r>
        <w:rPr>
          <w:rFonts w:hint="eastAsia"/>
          <w:highlight w:val="none"/>
        </w:rPr>
        <w:t>、K</w:t>
      </w:r>
      <w:r>
        <w:rPr>
          <w:rFonts w:hint="eastAsia"/>
          <w:highlight w:val="none"/>
          <w:vertAlign w:val="superscript"/>
        </w:rPr>
        <w:t>+</w:t>
      </w:r>
      <w:r>
        <w:rPr>
          <w:rFonts w:hint="eastAsia"/>
          <w:highlight w:val="none"/>
        </w:rPr>
        <w:t>等，根据重金属监测结果，区域硫酸盐可能多为Ca</w:t>
      </w:r>
      <w:r>
        <w:rPr>
          <w:rFonts w:hint="eastAsia"/>
          <w:highlight w:val="none"/>
          <w:vertAlign w:val="superscript"/>
        </w:rPr>
        <w:t>2+</w:t>
      </w:r>
      <w:r>
        <w:rPr>
          <w:rFonts w:hint="eastAsia"/>
          <w:highlight w:val="none"/>
        </w:rPr>
        <w:t>、Mg</w:t>
      </w:r>
      <w:r>
        <w:rPr>
          <w:rFonts w:hint="eastAsia"/>
          <w:highlight w:val="none"/>
          <w:vertAlign w:val="superscript"/>
        </w:rPr>
        <w:t>2+</w:t>
      </w:r>
      <w:r>
        <w:rPr>
          <w:rFonts w:hint="eastAsia"/>
          <w:highlight w:val="none"/>
        </w:rPr>
        <w:t>、K</w:t>
      </w:r>
      <w:r>
        <w:rPr>
          <w:rFonts w:hint="eastAsia"/>
          <w:highlight w:val="none"/>
          <w:vertAlign w:val="superscript"/>
        </w:rPr>
        <w:t>+</w:t>
      </w:r>
      <w:r>
        <w:rPr>
          <w:rFonts w:hint="eastAsia"/>
          <w:highlight w:val="none"/>
        </w:rPr>
        <w:t>、Na</w:t>
      </w:r>
      <w:r>
        <w:rPr>
          <w:rFonts w:hint="eastAsia"/>
          <w:highlight w:val="none"/>
          <w:vertAlign w:val="superscript"/>
        </w:rPr>
        <w:t>+</w:t>
      </w:r>
      <w:r>
        <w:rPr>
          <w:rFonts w:hint="eastAsia"/>
          <w:highlight w:val="none"/>
        </w:rPr>
        <w:t>等，较为常见</w:t>
      </w:r>
      <w:r>
        <w:rPr>
          <w:rFonts w:hint="eastAsia"/>
          <w:highlight w:val="none"/>
          <w:lang w:eastAsia="zh-CN"/>
        </w:rPr>
        <w:t>，对人体健康风险影响较小，</w:t>
      </w:r>
      <w:r>
        <w:rPr>
          <w:rFonts w:hint="eastAsia"/>
          <w:highlight w:val="none"/>
          <w:lang w:val="en-US" w:eastAsia="zh-CN"/>
        </w:rPr>
        <w:t>但考虑到本次调查的地下水样品部分指标检测值已超过了</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因此不建议作为生活饮用水使用</w:t>
      </w:r>
      <w:r>
        <w:rPr>
          <w:rFonts w:hint="eastAsia"/>
          <w:highlight w:val="none"/>
        </w:rPr>
        <w:t>。</w:t>
      </w:r>
    </w:p>
    <w:p w14:paraId="19156E51">
      <w:pPr>
        <w:pStyle w:val="5"/>
        <w:tabs>
          <w:tab w:val="clear" w:pos="851"/>
        </w:tabs>
        <w:rPr>
          <w:highlight w:val="none"/>
        </w:rPr>
      </w:pPr>
      <w:r>
        <w:rPr>
          <w:highlight w:val="none"/>
        </w:rPr>
        <w:t>不确定性分析</w:t>
      </w:r>
    </w:p>
    <w:p w14:paraId="476AAB8D">
      <w:pPr>
        <w:ind w:firstLine="482"/>
        <w:rPr>
          <w:highlight w:val="none"/>
        </w:rPr>
      </w:pPr>
      <w:r>
        <w:rPr>
          <w:highlight w:val="none"/>
        </w:rPr>
        <w:t>本调查报告是基于实际调查情况，以土壤污染状况调查导则、标准等相关文件为理论依据，以目前所掌握的调查资料、调查范围、调查点位实际监测数据为基础，结合专业的判断进行的逻辑推论与结果分析成果，但不排除存在如下不确定情况：</w:t>
      </w:r>
    </w:p>
    <w:p w14:paraId="642628AB">
      <w:pPr>
        <w:ind w:firstLine="482"/>
        <w:rPr>
          <w:highlight w:val="none"/>
        </w:rPr>
      </w:pPr>
      <w:r>
        <w:rPr>
          <w:rFonts w:hint="eastAsia"/>
          <w:highlight w:val="none"/>
        </w:rPr>
        <w:t>本次调查范围园区内企业众多，尚不能完全一一搜集到各个企业相关资料、档案文件，且园区历史沿革悠久，历史上存续过或现状存续的企业的识别可能会存在遗漏，因此，</w:t>
      </w:r>
      <w:r>
        <w:rPr>
          <w:highlight w:val="none"/>
        </w:rPr>
        <w:t>园区特征污染物的识别</w:t>
      </w:r>
      <w:r>
        <w:rPr>
          <w:rFonts w:hint="eastAsia"/>
          <w:highlight w:val="none"/>
        </w:rPr>
        <w:t>可能与实际情况有所差别</w:t>
      </w:r>
      <w:r>
        <w:rPr>
          <w:rFonts w:hint="eastAsia"/>
          <w:highlight w:val="none"/>
          <w:lang w:eastAsia="zh-CN"/>
        </w:rPr>
        <w:t>。</w:t>
      </w:r>
      <w:r>
        <w:rPr>
          <w:rFonts w:hint="eastAsia"/>
          <w:highlight w:val="none"/>
        </w:rPr>
        <w:t>但本次特征污染物的识别原则</w:t>
      </w:r>
      <w:r>
        <w:rPr>
          <w:highlight w:val="none"/>
        </w:rPr>
        <w:t>主要依据</w:t>
      </w:r>
      <w:r>
        <w:rPr>
          <w:rFonts w:hint="eastAsia"/>
          <w:highlight w:val="none"/>
        </w:rPr>
        <w:t>园区规划</w:t>
      </w:r>
      <w:r>
        <w:rPr>
          <w:highlight w:val="none"/>
        </w:rPr>
        <w:t>产业定位</w:t>
      </w:r>
      <w:r>
        <w:rPr>
          <w:rFonts w:hint="eastAsia"/>
          <w:highlight w:val="none"/>
        </w:rPr>
        <w:t>确定，并根据</w:t>
      </w:r>
      <w:r>
        <w:rPr>
          <w:rFonts w:hint="eastAsia"/>
          <w:color w:val="000000" w:themeColor="text1"/>
          <w:highlight w:val="none"/>
          <w14:textFill>
            <w14:solidFill>
              <w14:schemeClr w14:val="tx1"/>
            </w14:solidFill>
          </w14:textFill>
        </w:rPr>
        <w:t>重点行</w:t>
      </w:r>
      <w:r>
        <w:rPr>
          <w:rFonts w:hint="eastAsia"/>
          <w:highlight w:val="none"/>
        </w:rPr>
        <w:t>业企业用地调查信息管理系统、全国排污许可证管理信息平台公开端补充典型</w:t>
      </w:r>
      <w:r>
        <w:rPr>
          <w:highlight w:val="none"/>
        </w:rPr>
        <w:t>企业</w:t>
      </w:r>
      <w:r>
        <w:rPr>
          <w:rFonts w:hint="eastAsia"/>
          <w:highlight w:val="none"/>
        </w:rPr>
        <w:t>污染因子</w:t>
      </w:r>
      <w:r>
        <w:rPr>
          <w:rFonts w:hint="eastAsia"/>
          <w:highlight w:val="none"/>
          <w:lang w:eastAsia="zh-CN"/>
        </w:rPr>
        <w:t>。</w:t>
      </w:r>
      <w:r>
        <w:rPr>
          <w:rFonts w:hint="eastAsia"/>
          <w:highlight w:val="none"/>
          <w:lang w:val="en-US" w:eastAsia="zh-CN"/>
        </w:rPr>
        <w:t>因此，</w:t>
      </w:r>
      <w:r>
        <w:rPr>
          <w:rFonts w:hint="eastAsia"/>
          <w:highlight w:val="none"/>
        </w:rPr>
        <w:t>识别出的因子能够涵盖</w:t>
      </w:r>
      <w:r>
        <w:rPr>
          <w:rFonts w:hint="eastAsia"/>
          <w:highlight w:val="none"/>
          <w:lang w:val="en-US" w:eastAsia="zh-CN"/>
        </w:rPr>
        <w:t>园区内可能涉及的主要土壤污染因子</w:t>
      </w:r>
      <w:r>
        <w:rPr>
          <w:rFonts w:hint="eastAsia"/>
          <w:highlight w:val="none"/>
        </w:rPr>
        <w:t>及存在土壤环境潜在污染风险企业的特征因子，特征污染物的设定可以满足本次调查目的的要求</w:t>
      </w:r>
      <w:r>
        <w:rPr>
          <w:highlight w:val="none"/>
        </w:rPr>
        <w:t>。</w:t>
      </w:r>
    </w:p>
    <w:p w14:paraId="306095B1">
      <w:pPr>
        <w:ind w:firstLine="482"/>
        <w:rPr>
          <w:highlight w:val="none"/>
        </w:rPr>
      </w:pPr>
      <w:r>
        <w:rPr>
          <w:rFonts w:hint="eastAsia"/>
          <w:highlight w:val="none"/>
        </w:rPr>
        <w:t>此外，</w:t>
      </w:r>
      <w:r>
        <w:rPr>
          <w:highlight w:val="none"/>
        </w:rPr>
        <w:t>根据现场踏勘，</w:t>
      </w:r>
      <w:r>
        <w:rPr>
          <w:rFonts w:hint="eastAsia"/>
          <w:highlight w:val="none"/>
        </w:rPr>
        <w:t>园区东南侧与黄石接壤，因此园区东、南侧点位考虑设置于园区内部，点位选取在临近东侧、南侧聚集区边界外具备布点条件的区域，现有点位的设置临近企业聚集区，能够反映园区内典型企业的环境影响，因此能</w:t>
      </w:r>
      <w:r>
        <w:rPr>
          <w:highlight w:val="none"/>
        </w:rPr>
        <w:t>满足相关标准和本报告调查目的</w:t>
      </w:r>
      <w:r>
        <w:rPr>
          <w:rFonts w:hint="eastAsia"/>
          <w:highlight w:val="none"/>
        </w:rPr>
        <w:t>相关</w:t>
      </w:r>
      <w:r>
        <w:rPr>
          <w:highlight w:val="none"/>
        </w:rPr>
        <w:t>要求。</w:t>
      </w:r>
    </w:p>
    <w:p w14:paraId="2E1180E2">
      <w:pPr>
        <w:ind w:firstLine="482"/>
        <w:rPr>
          <w:highlight w:val="none"/>
        </w:rPr>
      </w:pPr>
      <w:r>
        <w:rPr>
          <w:highlight w:val="none"/>
        </w:rPr>
        <w:t xml:space="preserve">综上所述，本报告是基于现阶段的实际情况进行的分析，如果调查后由于人为及自然等因素的影响导致采样点位附近状况有改变，可能会改变污染物的种类、浓度和分布情况等，进而对本报告的准确性和有效性造成影响。 </w:t>
      </w:r>
    </w:p>
    <w:p w14:paraId="375068C3">
      <w:pPr>
        <w:pStyle w:val="2"/>
        <w:rPr>
          <w:highlight w:val="none"/>
        </w:rPr>
        <w:sectPr>
          <w:headerReference r:id="rId23"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p>
    <w:p w14:paraId="4C5E5E19">
      <w:pPr>
        <w:pStyle w:val="3"/>
        <w:numPr>
          <w:ilvl w:val="0"/>
          <w:numId w:val="1"/>
        </w:numPr>
        <w:tabs>
          <w:tab w:val="clear" w:pos="425"/>
        </w:tabs>
        <w:rPr>
          <w:highlight w:val="none"/>
        </w:rPr>
      </w:pPr>
      <w:bookmarkStart w:id="50" w:name="_Toc46849320"/>
      <w:bookmarkStart w:id="51" w:name="_Toc56693201"/>
      <w:bookmarkStart w:id="52" w:name="_Toc32089"/>
      <w:r>
        <w:rPr>
          <w:highlight w:val="none"/>
        </w:rPr>
        <w:t>结论与建议</w:t>
      </w:r>
      <w:bookmarkEnd w:id="50"/>
      <w:bookmarkEnd w:id="51"/>
      <w:bookmarkEnd w:id="52"/>
    </w:p>
    <w:p w14:paraId="0E897400">
      <w:pPr>
        <w:pStyle w:val="4"/>
        <w:tabs>
          <w:tab w:val="left" w:leader="dot" w:pos="0"/>
          <w:tab w:val="clear" w:pos="425"/>
        </w:tabs>
        <w:rPr>
          <w:highlight w:val="none"/>
        </w:rPr>
      </w:pPr>
      <w:bookmarkStart w:id="53" w:name="_Toc56693202"/>
      <w:bookmarkStart w:id="54" w:name="_Toc46849321"/>
      <w:bookmarkStart w:id="55" w:name="_Toc20023"/>
      <w:r>
        <w:rPr>
          <w:highlight w:val="none"/>
        </w:rPr>
        <w:t>调查结论</w:t>
      </w:r>
      <w:bookmarkEnd w:id="53"/>
      <w:bookmarkEnd w:id="54"/>
      <w:bookmarkEnd w:id="55"/>
    </w:p>
    <w:p w14:paraId="0742295A">
      <w:pPr>
        <w:ind w:firstLine="482"/>
        <w:rPr>
          <w:color w:val="000000"/>
          <w:kern w:val="0"/>
          <w:highlight w:val="none"/>
        </w:rPr>
      </w:pPr>
      <w:r>
        <w:rPr>
          <w:highlight w:val="none"/>
        </w:rPr>
        <w:t>本次调查共布设</w:t>
      </w:r>
      <w:r>
        <w:rPr>
          <w:rFonts w:hint="eastAsia"/>
          <w:highlight w:val="none"/>
        </w:rPr>
        <w:t>11个</w:t>
      </w:r>
      <w:r>
        <w:rPr>
          <w:highlight w:val="none"/>
        </w:rPr>
        <w:t>土壤点位，采集</w:t>
      </w:r>
      <w:r>
        <w:rPr>
          <w:rFonts w:hint="eastAsia"/>
          <w:highlight w:val="none"/>
        </w:rPr>
        <w:t>11个</w:t>
      </w:r>
      <w:r>
        <w:rPr>
          <w:highlight w:val="none"/>
        </w:rPr>
        <w:t>土壤样品、1个现场平行盲样和</w:t>
      </w:r>
      <w:r>
        <w:rPr>
          <w:rFonts w:hint="eastAsia"/>
          <w:highlight w:val="none"/>
        </w:rPr>
        <w:t>2</w:t>
      </w:r>
      <w:r>
        <w:rPr>
          <w:highlight w:val="none"/>
        </w:rPr>
        <w:t>个运输空白样</w:t>
      </w:r>
      <w:r>
        <w:rPr>
          <w:color w:val="000000"/>
          <w:kern w:val="0"/>
          <w:highlight w:val="none"/>
        </w:rPr>
        <w:t>，测试项目包括pH、重金属、挥发性有机物、半挥发性有机物、石油烃</w:t>
      </w:r>
      <w:r>
        <w:rPr>
          <w:rFonts w:eastAsia="黑体"/>
          <w:highlight w:val="none"/>
        </w:rPr>
        <w:t>（C</w:t>
      </w:r>
      <w:r>
        <w:rPr>
          <w:rFonts w:eastAsia="黑体"/>
          <w:highlight w:val="none"/>
          <w:vertAlign w:val="subscript"/>
        </w:rPr>
        <w:t>10</w:t>
      </w:r>
      <w:r>
        <w:rPr>
          <w:rFonts w:eastAsia="黑体"/>
          <w:highlight w:val="none"/>
        </w:rPr>
        <w:t>-C</w:t>
      </w:r>
      <w:r>
        <w:rPr>
          <w:rFonts w:eastAsia="黑体"/>
          <w:highlight w:val="none"/>
          <w:vertAlign w:val="subscript"/>
        </w:rPr>
        <w:t>40</w:t>
      </w:r>
      <w:r>
        <w:rPr>
          <w:rFonts w:eastAsia="黑体"/>
          <w:highlight w:val="none"/>
        </w:rPr>
        <w:t>）</w:t>
      </w:r>
      <w:r>
        <w:rPr>
          <w:color w:val="000000"/>
          <w:kern w:val="0"/>
          <w:highlight w:val="none"/>
        </w:rPr>
        <w:t>、</w:t>
      </w:r>
      <w:r>
        <w:rPr>
          <w:rFonts w:hint="eastAsia"/>
          <w:color w:val="000000"/>
          <w:kern w:val="0"/>
          <w:highlight w:val="none"/>
        </w:rPr>
        <w:t>总氟化物</w:t>
      </w:r>
      <w:r>
        <w:rPr>
          <w:color w:val="000000"/>
          <w:kern w:val="0"/>
          <w:highlight w:val="none"/>
        </w:rPr>
        <w:t>等</w:t>
      </w:r>
      <w:r>
        <w:rPr>
          <w:rFonts w:hint="eastAsia"/>
          <w:color w:val="000000"/>
          <w:kern w:val="0"/>
          <w:highlight w:val="none"/>
        </w:rPr>
        <w:t>51项</w:t>
      </w:r>
      <w:r>
        <w:rPr>
          <w:color w:val="000000"/>
          <w:kern w:val="0"/>
          <w:highlight w:val="none"/>
        </w:rPr>
        <w:t>；共布设2个地下水监测点位，共送检2个地下水样品，测试项目包括无机项目、金属类、有机类等32项。调查结论如下：</w:t>
      </w:r>
    </w:p>
    <w:p w14:paraId="70473993">
      <w:pPr>
        <w:numPr>
          <w:ilvl w:val="0"/>
          <w:numId w:val="11"/>
        </w:numPr>
        <w:ind w:firstLine="482"/>
        <w:rPr>
          <w:color w:val="000000"/>
          <w:highlight w:val="none"/>
        </w:rPr>
      </w:pPr>
      <w:r>
        <w:rPr>
          <w:highlight w:val="none"/>
        </w:rPr>
        <w:t>调查</w:t>
      </w:r>
      <w:r>
        <w:rPr>
          <w:rFonts w:hint="eastAsia"/>
          <w:highlight w:val="none"/>
          <w:lang w:val="en-US" w:eastAsia="zh-CN"/>
        </w:rPr>
        <w:t>园区</w:t>
      </w:r>
      <w:r>
        <w:rPr>
          <w:highlight w:val="none"/>
        </w:rPr>
        <w:t>土壤pH区间为</w:t>
      </w:r>
      <w:r>
        <w:rPr>
          <w:rFonts w:hint="eastAsia"/>
          <w:highlight w:val="none"/>
        </w:rPr>
        <w:t>6.02</w:t>
      </w:r>
      <w:r>
        <w:rPr>
          <w:highlight w:val="none"/>
        </w:rPr>
        <w:t>~</w:t>
      </w:r>
      <w:r>
        <w:rPr>
          <w:rFonts w:hint="eastAsia"/>
          <w:highlight w:val="none"/>
        </w:rPr>
        <w:t>8.70</w:t>
      </w:r>
      <w:r>
        <w:rPr>
          <w:highlight w:val="none"/>
        </w:rPr>
        <w:t>。</w:t>
      </w:r>
      <w:r>
        <w:rPr>
          <w:color w:val="000000"/>
          <w:highlight w:val="none"/>
        </w:rPr>
        <w:t>所有送检土壤样品中重金属、挥发性有机物、半挥发性有机物、</w:t>
      </w:r>
      <w:r>
        <w:rPr>
          <w:color w:val="000000"/>
          <w:kern w:val="0"/>
          <w:highlight w:val="none"/>
        </w:rPr>
        <w:t>石油烃</w:t>
      </w:r>
      <w:r>
        <w:rPr>
          <w:rFonts w:eastAsia="黑体"/>
          <w:highlight w:val="none"/>
        </w:rPr>
        <w:t>（C</w:t>
      </w:r>
      <w:r>
        <w:rPr>
          <w:rFonts w:eastAsia="黑体"/>
          <w:highlight w:val="none"/>
          <w:vertAlign w:val="subscript"/>
        </w:rPr>
        <w:t>10</w:t>
      </w:r>
      <w:r>
        <w:rPr>
          <w:rFonts w:eastAsia="黑体"/>
          <w:highlight w:val="none"/>
        </w:rPr>
        <w:t>-C</w:t>
      </w:r>
      <w:r>
        <w:rPr>
          <w:rFonts w:eastAsia="黑体"/>
          <w:highlight w:val="none"/>
          <w:vertAlign w:val="subscript"/>
        </w:rPr>
        <w:t>40</w:t>
      </w:r>
      <w:r>
        <w:rPr>
          <w:rFonts w:eastAsia="黑体"/>
          <w:highlight w:val="none"/>
        </w:rPr>
        <w:t>）</w:t>
      </w:r>
      <w:r>
        <w:rPr>
          <w:color w:val="000000"/>
          <w:kern w:val="0"/>
          <w:highlight w:val="none"/>
        </w:rPr>
        <w:t>、</w:t>
      </w:r>
      <w:r>
        <w:rPr>
          <w:rFonts w:hint="eastAsia"/>
          <w:color w:val="000000"/>
          <w:kern w:val="0"/>
          <w:highlight w:val="none"/>
        </w:rPr>
        <w:t>总氟化物</w:t>
      </w:r>
      <w:r>
        <w:rPr>
          <w:color w:val="000000"/>
          <w:kern w:val="0"/>
          <w:highlight w:val="none"/>
        </w:rPr>
        <w:t>等</w:t>
      </w:r>
      <w:r>
        <w:rPr>
          <w:color w:val="000000"/>
          <w:highlight w:val="none"/>
        </w:rPr>
        <w:t>检测值均可满足</w:t>
      </w:r>
      <w:r>
        <w:rPr>
          <w:highlight w:val="none"/>
        </w:rPr>
        <w:t>相应用地现状</w:t>
      </w:r>
      <w:r>
        <w:rPr>
          <w:rFonts w:hint="eastAsia"/>
          <w:highlight w:val="none"/>
        </w:rPr>
        <w:t>及</w:t>
      </w:r>
      <w:r>
        <w:rPr>
          <w:highlight w:val="none"/>
        </w:rPr>
        <w:t>规划对应的标准限值</w:t>
      </w:r>
      <w:r>
        <w:rPr>
          <w:rFonts w:hint="eastAsia"/>
          <w:highlight w:val="none"/>
        </w:rPr>
        <w:t>要求</w:t>
      </w:r>
      <w:r>
        <w:rPr>
          <w:color w:val="000000"/>
          <w:highlight w:val="none"/>
        </w:rPr>
        <w:t>，</w:t>
      </w:r>
      <w:r>
        <w:rPr>
          <w:rFonts w:hint="eastAsia"/>
          <w:color w:val="000000"/>
          <w:highlight w:val="none"/>
        </w:rPr>
        <w:t>园区周边</w:t>
      </w:r>
      <w:r>
        <w:rPr>
          <w:color w:val="000000"/>
          <w:highlight w:val="none"/>
        </w:rPr>
        <w:t>土壤中各类检出的污染物浓度可接受。</w:t>
      </w:r>
    </w:p>
    <w:p w14:paraId="44683E5B">
      <w:pPr>
        <w:numPr>
          <w:ilvl w:val="0"/>
          <w:numId w:val="11"/>
        </w:numPr>
        <w:ind w:firstLine="482"/>
        <w:rPr>
          <w:color w:val="000000"/>
          <w:highlight w:val="none"/>
        </w:rPr>
      </w:pPr>
      <w:r>
        <w:rPr>
          <w:highlight w:val="none"/>
        </w:rPr>
        <w:t>园区上风向点位和下风向点位各测试项目检测值差别较小，各检测值与均值</w:t>
      </w:r>
      <w:r>
        <w:rPr>
          <w:rFonts w:hint="eastAsia"/>
          <w:highlight w:val="none"/>
        </w:rPr>
        <w:t>比较，部分点位指标略高于平均值，但差别较小</w:t>
      </w:r>
      <w:r>
        <w:rPr>
          <w:highlight w:val="none"/>
        </w:rPr>
        <w:t>，说明工业园区周边及其已建成企业聚集区周边各指标浓度处在同一水平。</w:t>
      </w:r>
    </w:p>
    <w:p w14:paraId="6B4FF9B7">
      <w:pPr>
        <w:numPr>
          <w:ilvl w:val="0"/>
          <w:numId w:val="11"/>
        </w:numPr>
        <w:ind w:firstLine="482"/>
        <w:rPr>
          <w:color w:val="000000"/>
          <w:highlight w:val="none"/>
        </w:rPr>
      </w:pPr>
      <w:r>
        <w:rPr>
          <w:highlight w:val="none"/>
        </w:rPr>
        <w:t>各土壤样品的单项污染指数Pi</w:t>
      </w:r>
      <w:r>
        <w:rPr>
          <w:highlight w:val="none"/>
          <w:vertAlign w:val="subscript"/>
        </w:rPr>
        <w:t>max</w:t>
      </w:r>
      <w:r>
        <w:rPr>
          <w:highlight w:val="none"/>
        </w:rPr>
        <w:t>=0.</w:t>
      </w:r>
      <w:r>
        <w:rPr>
          <w:rFonts w:hint="eastAsia"/>
          <w:highlight w:val="none"/>
        </w:rPr>
        <w:t>7800</w:t>
      </w:r>
      <w:r>
        <w:rPr>
          <w:highlight w:val="none"/>
        </w:rPr>
        <w:t>＜1，</w:t>
      </w:r>
      <w:r>
        <w:rPr>
          <w:rFonts w:hint="default" w:ascii="Times New Roman" w:hAnsi="Times New Roman" w:cs="Times New Roman"/>
          <w:color w:val="auto"/>
          <w:highlight w:val="none"/>
        </w:rPr>
        <w:t>可以判断本工业园区</w:t>
      </w:r>
      <w:r>
        <w:rPr>
          <w:rFonts w:hint="eastAsia" w:cs="Times New Roman"/>
          <w:color w:val="auto"/>
          <w:highlight w:val="none"/>
          <w:lang w:val="en-US" w:eastAsia="zh-CN"/>
        </w:rPr>
        <w:t>及周边</w:t>
      </w:r>
      <w:r>
        <w:rPr>
          <w:rFonts w:hint="default" w:ascii="Times New Roman" w:hAnsi="Times New Roman" w:cs="Times New Roman"/>
          <w:color w:val="auto"/>
          <w:highlight w:val="none"/>
        </w:rPr>
        <w:t>的所有点位各因子的单项污染指数对应的污染程度均为无污染。</w:t>
      </w:r>
    </w:p>
    <w:p w14:paraId="3A7B8BBA">
      <w:pPr>
        <w:numPr>
          <w:ilvl w:val="0"/>
          <w:numId w:val="11"/>
        </w:numPr>
        <w:ind w:firstLine="482"/>
        <w:rPr>
          <w:highlight w:val="none"/>
        </w:rPr>
      </w:pPr>
      <w:r>
        <w:rPr>
          <w:highlight w:val="none"/>
        </w:rPr>
        <w:t>本园区各因子内梅罗污染指数P</w:t>
      </w:r>
      <w:r>
        <w:rPr>
          <w:highlight w:val="none"/>
          <w:vertAlign w:val="subscript"/>
        </w:rPr>
        <w:t>Nmax</w:t>
      </w:r>
      <w:r>
        <w:rPr>
          <w:highlight w:val="none"/>
        </w:rPr>
        <w:t>=0.</w:t>
      </w:r>
      <w:r>
        <w:rPr>
          <w:rFonts w:hint="eastAsia"/>
          <w:highlight w:val="none"/>
        </w:rPr>
        <w:t>6375</w:t>
      </w:r>
      <w:r>
        <w:rPr>
          <w:highlight w:val="none"/>
        </w:rPr>
        <w:t>＜0.7，</w:t>
      </w:r>
      <w:r>
        <w:rPr>
          <w:rFonts w:hint="default" w:ascii="Times New Roman" w:hAnsi="Times New Roman" w:cs="Times New Roman"/>
          <w:color w:val="auto"/>
          <w:highlight w:val="none"/>
        </w:rPr>
        <w:t>可以判断本园区</w:t>
      </w:r>
      <w:r>
        <w:rPr>
          <w:rFonts w:hint="eastAsia" w:cs="Times New Roman"/>
          <w:color w:val="auto"/>
          <w:highlight w:val="none"/>
          <w:lang w:val="en-US" w:eastAsia="zh-CN"/>
        </w:rPr>
        <w:t>及周边</w:t>
      </w:r>
      <w:r>
        <w:rPr>
          <w:rFonts w:hint="default" w:ascii="Times New Roman" w:hAnsi="Times New Roman" w:cs="Times New Roman"/>
          <w:color w:val="auto"/>
          <w:highlight w:val="none"/>
        </w:rPr>
        <w:t>的所有因子的内梅罗污染指数对应的污染等级均为I级清洁（安全）。</w:t>
      </w:r>
    </w:p>
    <w:p w14:paraId="05113283">
      <w:pPr>
        <w:numPr>
          <w:ilvl w:val="0"/>
          <w:numId w:val="11"/>
        </w:numPr>
        <w:ind w:firstLine="482"/>
        <w:rPr>
          <w:highlight w:val="none"/>
        </w:rPr>
      </w:pPr>
      <w:r>
        <w:rPr>
          <w:rFonts w:hint="default" w:ascii="Times New Roman" w:hAnsi="Times New Roman" w:cs="Times New Roman"/>
          <w:color w:val="auto"/>
          <w:highlight w:val="none"/>
        </w:rPr>
        <w:t>调查</w:t>
      </w:r>
      <w:r>
        <w:rPr>
          <w:rFonts w:hint="default" w:ascii="Times New Roman" w:hAnsi="Times New Roman" w:cs="Times New Roman"/>
          <w:color w:val="auto"/>
          <w:highlight w:val="none"/>
          <w:lang w:val="en-US" w:eastAsia="zh-CN"/>
        </w:rPr>
        <w:t>范围</w:t>
      </w:r>
      <w:r>
        <w:rPr>
          <w:rFonts w:hint="default" w:ascii="Times New Roman" w:hAnsi="Times New Roman" w:cs="Times New Roman"/>
          <w:color w:val="auto"/>
          <w:highlight w:val="none"/>
        </w:rPr>
        <w:t>内</w:t>
      </w:r>
      <w:r>
        <w:rPr>
          <w:rFonts w:hint="eastAsia"/>
          <w:highlight w:val="none"/>
        </w:rPr>
        <w:t>地下水监测点位中HH-W1样品总硬度和硫酸盐监测值不能满足</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14:textFill>
            <w14:solidFill>
              <w14:schemeClr w14:val="tx1"/>
            </w14:solidFill>
          </w14:textFill>
        </w:rPr>
        <w:t>，</w:t>
      </w:r>
      <w:r>
        <w:rPr>
          <w:rFonts w:hint="eastAsia"/>
          <w:highlight w:val="none"/>
        </w:rPr>
        <w:t>HH-W2样品锰监测值不能</w:t>
      </w:r>
      <w:r>
        <w:rPr>
          <w:rFonts w:hint="eastAsia"/>
          <w:highlight w:val="none"/>
          <w:lang w:val="en-US" w:eastAsia="zh-CN"/>
        </w:rPr>
        <w:t>满足</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14:textFill>
            <w14:solidFill>
              <w14:schemeClr w14:val="tx1"/>
            </w14:solidFill>
          </w14:textFill>
        </w:rPr>
        <w:t>要求，其它</w:t>
      </w:r>
      <w:r>
        <w:rPr>
          <w:highlight w:val="none"/>
        </w:rPr>
        <w:t>已检出污染物均满足</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14:textFill>
            <w14:solidFill>
              <w14:schemeClr w14:val="tx1"/>
            </w14:solidFill>
          </w14:textFill>
        </w:rPr>
        <w:t>和《地表水环境质量标准》（GB3838-2002）IV类标准限值要求</w:t>
      </w:r>
      <w:r>
        <w:rPr>
          <w:rFonts w:eastAsiaTheme="minorEastAsia"/>
          <w:highlight w:val="none"/>
        </w:rPr>
        <w:t>。</w:t>
      </w:r>
      <w:r>
        <w:rPr>
          <w:rFonts w:hint="eastAsia"/>
          <w:highlight w:val="none"/>
        </w:rPr>
        <w:t>现状</w:t>
      </w:r>
      <w:r>
        <w:rPr>
          <w:highlight w:val="none"/>
        </w:rPr>
        <w:t>超标因子主要为</w:t>
      </w:r>
      <w:r>
        <w:rPr>
          <w:rFonts w:hint="eastAsia"/>
          <w:highlight w:val="none"/>
        </w:rPr>
        <w:t>常规检测指标中的总硬度、硫酸盐、锰，</w:t>
      </w:r>
      <w:r>
        <w:rPr>
          <w:highlight w:val="none"/>
        </w:rPr>
        <w:t>结合全国地下水水质调查分析结果，</w:t>
      </w:r>
      <w:r>
        <w:rPr>
          <w:rFonts w:hint="eastAsia"/>
          <w:highlight w:val="none"/>
        </w:rPr>
        <w:t>湖北省</w:t>
      </w:r>
      <w:r>
        <w:rPr>
          <w:highlight w:val="none"/>
        </w:rPr>
        <w:t>第四系中、上更新统松散岩类孔隙含水层地下水受地质背景条件影响，铁、锰、总硬度含量较高，因此</w:t>
      </w:r>
      <w:r>
        <w:rPr>
          <w:rFonts w:hint="eastAsia"/>
          <w:highlight w:val="none"/>
          <w:lang w:eastAsia="zh-CN"/>
        </w:rPr>
        <w:t>园区</w:t>
      </w:r>
      <w:r>
        <w:rPr>
          <w:highlight w:val="none"/>
        </w:rPr>
        <w:t>地下水总硬度、</w:t>
      </w:r>
      <w:r>
        <w:rPr>
          <w:rFonts w:hint="eastAsia"/>
          <w:highlight w:val="none"/>
        </w:rPr>
        <w:t>锰</w:t>
      </w:r>
      <w:r>
        <w:rPr>
          <w:highlight w:val="none"/>
        </w:rPr>
        <w:t>超标可能与地质背景条件相关。</w:t>
      </w:r>
      <w:r>
        <w:rPr>
          <w:rFonts w:hint="eastAsia"/>
          <w:highlight w:val="none"/>
        </w:rPr>
        <w:t>送检样品的硫酸盐监测值超标倍数为2.0，自然界中硫酸盐主要为Ca</w:t>
      </w:r>
      <w:r>
        <w:rPr>
          <w:rFonts w:hint="eastAsia"/>
          <w:highlight w:val="none"/>
          <w:vertAlign w:val="superscript"/>
        </w:rPr>
        <w:t>2+</w:t>
      </w:r>
      <w:r>
        <w:rPr>
          <w:rFonts w:hint="eastAsia"/>
          <w:highlight w:val="none"/>
        </w:rPr>
        <w:t>、Cu</w:t>
      </w:r>
      <w:r>
        <w:rPr>
          <w:rFonts w:hint="eastAsia"/>
          <w:highlight w:val="none"/>
          <w:vertAlign w:val="superscript"/>
        </w:rPr>
        <w:t>2+</w:t>
      </w:r>
      <w:r>
        <w:rPr>
          <w:rFonts w:hint="eastAsia"/>
          <w:highlight w:val="none"/>
        </w:rPr>
        <w:t>、Ba</w:t>
      </w:r>
      <w:r>
        <w:rPr>
          <w:rFonts w:hint="eastAsia"/>
          <w:highlight w:val="none"/>
          <w:vertAlign w:val="superscript"/>
        </w:rPr>
        <w:t>2+</w:t>
      </w:r>
      <w:r>
        <w:rPr>
          <w:rFonts w:hint="eastAsia"/>
          <w:highlight w:val="none"/>
        </w:rPr>
        <w:t>、Mg</w:t>
      </w:r>
      <w:r>
        <w:rPr>
          <w:rFonts w:hint="eastAsia"/>
          <w:highlight w:val="none"/>
          <w:vertAlign w:val="superscript"/>
        </w:rPr>
        <w:t>2+</w:t>
      </w:r>
      <w:r>
        <w:rPr>
          <w:rFonts w:hint="eastAsia"/>
          <w:highlight w:val="none"/>
        </w:rPr>
        <w:t>、Fe</w:t>
      </w:r>
      <w:r>
        <w:rPr>
          <w:rFonts w:hint="eastAsia"/>
          <w:highlight w:val="none"/>
          <w:vertAlign w:val="superscript"/>
        </w:rPr>
        <w:t>3+</w:t>
      </w:r>
      <w:r>
        <w:rPr>
          <w:rFonts w:hint="eastAsia"/>
          <w:highlight w:val="none"/>
        </w:rPr>
        <w:t>、Al</w:t>
      </w:r>
      <w:r>
        <w:rPr>
          <w:rFonts w:hint="eastAsia"/>
          <w:highlight w:val="none"/>
          <w:vertAlign w:val="superscript"/>
        </w:rPr>
        <w:t>3+</w:t>
      </w:r>
      <w:r>
        <w:rPr>
          <w:rFonts w:hint="eastAsia"/>
          <w:highlight w:val="none"/>
        </w:rPr>
        <w:t>、Sr</w:t>
      </w:r>
      <w:r>
        <w:rPr>
          <w:rFonts w:hint="eastAsia"/>
          <w:highlight w:val="none"/>
          <w:vertAlign w:val="superscript"/>
        </w:rPr>
        <w:t>2+</w:t>
      </w:r>
      <w:r>
        <w:rPr>
          <w:rFonts w:hint="eastAsia"/>
          <w:highlight w:val="none"/>
        </w:rPr>
        <w:t>、Pb</w:t>
      </w:r>
      <w:r>
        <w:rPr>
          <w:rFonts w:hint="eastAsia"/>
          <w:highlight w:val="none"/>
          <w:vertAlign w:val="superscript"/>
        </w:rPr>
        <w:t>2+</w:t>
      </w:r>
      <w:r>
        <w:rPr>
          <w:rFonts w:hint="eastAsia"/>
          <w:highlight w:val="none"/>
        </w:rPr>
        <w:t>、Na</w:t>
      </w:r>
      <w:r>
        <w:rPr>
          <w:rFonts w:hint="eastAsia"/>
          <w:highlight w:val="none"/>
          <w:vertAlign w:val="superscript"/>
        </w:rPr>
        <w:t>+</w:t>
      </w:r>
      <w:r>
        <w:rPr>
          <w:rFonts w:hint="eastAsia"/>
          <w:highlight w:val="none"/>
        </w:rPr>
        <w:t>、Ba</w:t>
      </w:r>
      <w:r>
        <w:rPr>
          <w:rFonts w:hint="eastAsia"/>
          <w:highlight w:val="none"/>
          <w:vertAlign w:val="superscript"/>
        </w:rPr>
        <w:t>2+</w:t>
      </w:r>
      <w:r>
        <w:rPr>
          <w:rFonts w:hint="eastAsia"/>
          <w:highlight w:val="none"/>
        </w:rPr>
        <w:t>、K</w:t>
      </w:r>
      <w:r>
        <w:rPr>
          <w:rFonts w:hint="eastAsia"/>
          <w:highlight w:val="none"/>
          <w:vertAlign w:val="superscript"/>
        </w:rPr>
        <w:t>+</w:t>
      </w:r>
      <w:r>
        <w:rPr>
          <w:rFonts w:hint="eastAsia"/>
          <w:highlight w:val="none"/>
        </w:rPr>
        <w:t>等，根据重金属监测结果，区域硫酸盐可能多为Ca</w:t>
      </w:r>
      <w:r>
        <w:rPr>
          <w:rFonts w:hint="eastAsia"/>
          <w:highlight w:val="none"/>
          <w:vertAlign w:val="superscript"/>
        </w:rPr>
        <w:t>2+</w:t>
      </w:r>
      <w:r>
        <w:rPr>
          <w:rFonts w:hint="eastAsia"/>
          <w:highlight w:val="none"/>
        </w:rPr>
        <w:t>、Mg</w:t>
      </w:r>
      <w:r>
        <w:rPr>
          <w:rFonts w:hint="eastAsia"/>
          <w:highlight w:val="none"/>
          <w:vertAlign w:val="superscript"/>
        </w:rPr>
        <w:t>2+</w:t>
      </w:r>
      <w:r>
        <w:rPr>
          <w:rFonts w:hint="eastAsia"/>
          <w:highlight w:val="none"/>
        </w:rPr>
        <w:t>、K</w:t>
      </w:r>
      <w:r>
        <w:rPr>
          <w:rFonts w:hint="eastAsia"/>
          <w:highlight w:val="none"/>
          <w:vertAlign w:val="superscript"/>
        </w:rPr>
        <w:t>+</w:t>
      </w:r>
      <w:r>
        <w:rPr>
          <w:rFonts w:hint="eastAsia"/>
          <w:highlight w:val="none"/>
        </w:rPr>
        <w:t>、Na</w:t>
      </w:r>
      <w:r>
        <w:rPr>
          <w:rFonts w:hint="eastAsia"/>
          <w:highlight w:val="none"/>
          <w:vertAlign w:val="superscript"/>
        </w:rPr>
        <w:t>+</w:t>
      </w:r>
      <w:r>
        <w:rPr>
          <w:rFonts w:hint="eastAsia"/>
          <w:highlight w:val="none"/>
        </w:rPr>
        <w:t>等，较为常见</w:t>
      </w:r>
      <w:r>
        <w:rPr>
          <w:rFonts w:hint="eastAsia"/>
          <w:highlight w:val="none"/>
          <w:lang w:eastAsia="zh-CN"/>
        </w:rPr>
        <w:t>，对人体健康风险影响较小，</w:t>
      </w:r>
      <w:r>
        <w:rPr>
          <w:rFonts w:hint="eastAsia"/>
          <w:highlight w:val="none"/>
          <w:lang w:val="en-US" w:eastAsia="zh-CN"/>
        </w:rPr>
        <w:t>但考虑到本次调查的地下水样品部分指标检测值已超过了</w:t>
      </w:r>
      <w:r>
        <w:rPr>
          <w:color w:val="000000" w:themeColor="text1"/>
          <w:highlight w:val="none"/>
          <w14:textFill>
            <w14:solidFill>
              <w14:schemeClr w14:val="tx1"/>
            </w14:solidFill>
          </w14:textFill>
        </w:rPr>
        <w:t>《地下水质量标准》（GB/T 14848-2017）中Ⅳ类标准限值</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因此不建议作为生活饮用水使用</w:t>
      </w:r>
      <w:r>
        <w:rPr>
          <w:rFonts w:hint="eastAsia"/>
          <w:highlight w:val="none"/>
        </w:rPr>
        <w:t>。</w:t>
      </w:r>
    </w:p>
    <w:p w14:paraId="5336167C">
      <w:pPr>
        <w:spacing w:line="360" w:lineRule="auto"/>
        <w:ind w:firstLine="482"/>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综上所述，</w:t>
      </w:r>
      <w:r>
        <w:rPr>
          <w:rFonts w:hint="eastAsia" w:cs="Times New Roman"/>
          <w:color w:val="auto"/>
          <w:kern w:val="0"/>
          <w:sz w:val="24"/>
          <w:highlight w:val="none"/>
          <w:lang w:val="en-US" w:eastAsia="zh-CN"/>
        </w:rPr>
        <w:t>花湖开发区</w:t>
      </w:r>
      <w:r>
        <w:rPr>
          <w:rFonts w:hint="default" w:ascii="Times New Roman" w:hAnsi="Times New Roman" w:cs="Times New Roman"/>
          <w:color w:val="auto"/>
          <w:kern w:val="0"/>
          <w:sz w:val="24"/>
          <w:highlight w:val="none"/>
          <w:lang w:eastAsia="zh-CN"/>
        </w:rPr>
        <w:t>对周边土壤和地下水影响较小，</w:t>
      </w:r>
      <w:r>
        <w:rPr>
          <w:rFonts w:hint="eastAsia" w:cs="Times New Roman"/>
          <w:color w:val="auto"/>
          <w:kern w:val="0"/>
          <w:sz w:val="24"/>
          <w:highlight w:val="none"/>
          <w:lang w:val="en-US" w:eastAsia="zh-CN"/>
        </w:rPr>
        <w:t>花湖开发区</w:t>
      </w:r>
      <w:r>
        <w:rPr>
          <w:rFonts w:hint="default" w:ascii="Times New Roman" w:hAnsi="Times New Roman" w:cs="Times New Roman"/>
          <w:color w:val="auto"/>
          <w:kern w:val="0"/>
          <w:sz w:val="24"/>
          <w:highlight w:val="none"/>
          <w:lang w:eastAsia="zh-CN"/>
        </w:rPr>
        <w:t>内</w:t>
      </w:r>
      <w:r>
        <w:rPr>
          <w:rFonts w:hint="eastAsia" w:cs="Times New Roman"/>
          <w:color w:val="auto"/>
          <w:kern w:val="0"/>
          <w:sz w:val="24"/>
          <w:highlight w:val="none"/>
          <w:lang w:eastAsia="zh-CN"/>
        </w:rPr>
        <w:t>主要已建成企业聚集区</w:t>
      </w:r>
      <w:r>
        <w:rPr>
          <w:rFonts w:hint="default" w:ascii="Times New Roman" w:hAnsi="Times New Roman" w:cs="Times New Roman"/>
          <w:color w:val="auto"/>
          <w:kern w:val="0"/>
          <w:sz w:val="24"/>
          <w:highlight w:val="none"/>
          <w:lang w:eastAsia="zh-CN"/>
        </w:rPr>
        <w:t>对其周边土壤影响较小</w:t>
      </w:r>
      <w:r>
        <w:rPr>
          <w:rFonts w:hint="default" w:ascii="Times New Roman" w:hAnsi="Times New Roman" w:cs="Times New Roman"/>
          <w:color w:val="auto"/>
          <w:kern w:val="0"/>
          <w:sz w:val="24"/>
          <w:highlight w:val="none"/>
        </w:rPr>
        <w:t>。</w:t>
      </w:r>
    </w:p>
    <w:p w14:paraId="3F37C879">
      <w:pPr>
        <w:pStyle w:val="4"/>
        <w:tabs>
          <w:tab w:val="left" w:leader="dot" w:pos="0"/>
          <w:tab w:val="clear" w:pos="425"/>
        </w:tabs>
        <w:rPr>
          <w:highlight w:val="none"/>
        </w:rPr>
      </w:pPr>
      <w:bookmarkStart w:id="56" w:name="_Toc56693203"/>
      <w:bookmarkStart w:id="57" w:name="_Toc46849322"/>
      <w:bookmarkStart w:id="58" w:name="_Toc15551"/>
      <w:r>
        <w:rPr>
          <w:highlight w:val="none"/>
        </w:rPr>
        <w:t>建议</w:t>
      </w:r>
      <w:bookmarkEnd w:id="56"/>
      <w:bookmarkEnd w:id="57"/>
      <w:bookmarkEnd w:id="58"/>
    </w:p>
    <w:p w14:paraId="3B994465">
      <w:pPr>
        <w:pStyle w:val="30"/>
        <w:numPr>
          <w:ilvl w:val="0"/>
          <w:numId w:val="12"/>
        </w:numPr>
        <w:spacing w:after="0"/>
        <w:ind w:firstLine="480"/>
        <w:rPr>
          <w:color w:val="000000"/>
          <w:highlight w:val="none"/>
        </w:rPr>
      </w:pPr>
      <w:r>
        <w:rPr>
          <w:color w:val="000000"/>
          <w:highlight w:val="none"/>
        </w:rPr>
        <w:t>制定</w:t>
      </w:r>
      <w:r>
        <w:rPr>
          <w:rFonts w:hint="eastAsia"/>
          <w:color w:val="000000"/>
          <w:highlight w:val="none"/>
        </w:rPr>
        <w:t>花湖开发区</w:t>
      </w:r>
      <w:r>
        <w:rPr>
          <w:color w:val="000000"/>
          <w:highlight w:val="none"/>
        </w:rPr>
        <w:t>周边土壤环境例行监测制度，建立工业园区周边土壤环境质量管理数据库。</w:t>
      </w:r>
    </w:p>
    <w:p w14:paraId="558DE370">
      <w:pPr>
        <w:pStyle w:val="30"/>
        <w:numPr>
          <w:ilvl w:val="0"/>
          <w:numId w:val="12"/>
        </w:numPr>
        <w:spacing w:after="0"/>
        <w:ind w:firstLine="480"/>
        <w:rPr>
          <w:color w:val="000000"/>
          <w:highlight w:val="none"/>
        </w:rPr>
      </w:pPr>
      <w:r>
        <w:rPr>
          <w:color w:val="000000"/>
          <w:highlight w:val="none"/>
        </w:rPr>
        <w:t>所有入园新建项目应开展环境影响评价工作，现有已入园企业，应严格落实环评文件及环境主管部门提出的各项污染防治措施，并保证污染治理设施正常、稳定运行。</w:t>
      </w:r>
    </w:p>
    <w:p w14:paraId="4304382F">
      <w:pPr>
        <w:pStyle w:val="30"/>
        <w:numPr>
          <w:ilvl w:val="0"/>
          <w:numId w:val="12"/>
        </w:numPr>
        <w:spacing w:after="0"/>
        <w:ind w:firstLine="480"/>
        <w:rPr>
          <w:color w:val="000000"/>
          <w:highlight w:val="none"/>
        </w:rPr>
      </w:pPr>
      <w:r>
        <w:rPr>
          <w:color w:val="000000"/>
          <w:highlight w:val="none"/>
        </w:rPr>
        <w:t>加强园区内涉重企业环境管理及监控，定期对涉重企业</w:t>
      </w:r>
      <w:r>
        <w:rPr>
          <w:rFonts w:hint="eastAsia"/>
          <w:szCs w:val="24"/>
          <w:highlight w:val="none"/>
          <w:lang w:bidi="ar"/>
        </w:rPr>
        <w:t>内部及</w:t>
      </w:r>
      <w:r>
        <w:rPr>
          <w:color w:val="000000"/>
          <w:highlight w:val="none"/>
        </w:rPr>
        <w:t>周边土壤环境质量开展检测工作。</w:t>
      </w:r>
    </w:p>
    <w:p w14:paraId="1D66693E">
      <w:pPr>
        <w:pStyle w:val="30"/>
        <w:numPr>
          <w:ilvl w:val="0"/>
          <w:numId w:val="12"/>
        </w:numPr>
        <w:spacing w:after="0"/>
        <w:ind w:firstLine="480"/>
        <w:rPr>
          <w:szCs w:val="24"/>
          <w:highlight w:val="none"/>
        </w:rPr>
      </w:pPr>
      <w:r>
        <w:rPr>
          <w:color w:val="000000"/>
          <w:highlight w:val="none"/>
        </w:rPr>
        <w:t>本报告仅针对调查期间</w:t>
      </w:r>
      <w:r>
        <w:rPr>
          <w:highlight w:val="none"/>
        </w:rPr>
        <w:t>监测</w:t>
      </w:r>
      <w:r>
        <w:rPr>
          <w:color w:val="000000"/>
          <w:highlight w:val="none"/>
        </w:rPr>
        <w:t>点土壤及地下水环境质量进行调查与评价，</w:t>
      </w:r>
      <w:r>
        <w:rPr>
          <w:rFonts w:hint="eastAsia"/>
          <w:color w:val="000000"/>
          <w:highlight w:val="none"/>
        </w:rPr>
        <w:t>园区周边土壤</w:t>
      </w:r>
      <w:r>
        <w:rPr>
          <w:highlight w:val="none"/>
        </w:rPr>
        <w:t>点位</w:t>
      </w:r>
      <w:r>
        <w:rPr>
          <w:rFonts w:hint="eastAsia"/>
          <w:highlight w:val="none"/>
        </w:rPr>
        <w:t>若其用地类型发生变化需按照实际情况视需要另行</w:t>
      </w:r>
      <w:r>
        <w:rPr>
          <w:color w:val="000000"/>
          <w:highlight w:val="none"/>
        </w:rPr>
        <w:t>调查评估</w:t>
      </w:r>
      <w:r>
        <w:rPr>
          <w:rFonts w:hint="eastAsia"/>
          <w:color w:val="000000"/>
          <w:highlight w:val="none"/>
          <w:lang w:eastAsia="zh-CN"/>
        </w:rPr>
        <w:t>。</w:t>
      </w:r>
    </w:p>
    <w:p w14:paraId="35AE4414">
      <w:pPr>
        <w:pStyle w:val="2"/>
        <w:rPr>
          <w:highlight w:val="none"/>
        </w:rPr>
      </w:pPr>
    </w:p>
    <w:sectPr>
      <w:headerReference r:id="rId24"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6E1CE">
    <w:pPr>
      <w:pStyle w:val="14"/>
      <w:rPr>
        <w:u w:val="singl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649F0">
    <w:pPr>
      <w:pStyle w:val="14"/>
      <w:rPr>
        <w:u w:val="single"/>
      </w:rPr>
    </w:pPr>
    <w:r>
      <w:rPr>
        <w:u w:val="single"/>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A34E5B">
                          <w:pPr>
                            <w:pStyle w:val="14"/>
                          </w:pPr>
                          <w:r>
                            <w:rPr>
                              <w:rFonts w:hint="eastAsia"/>
                            </w:rPr>
                            <w:fldChar w:fldCharType="begin"/>
                          </w:r>
                          <w:r>
                            <w:rPr>
                              <w:rFonts w:hint="eastAsia"/>
                            </w:rPr>
                            <w:instrText xml:space="preserve"> PAGE  \* MERGEFORMAT </w:instrText>
                          </w:r>
                          <w:r>
                            <w:rPr>
                              <w:rFonts w:hint="eastAsia"/>
                            </w:rPr>
                            <w:fldChar w:fldCharType="separate"/>
                          </w:r>
                          <w:r>
                            <w:t>- 59 -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2A34E5B">
                    <w:pPr>
                      <w:pStyle w:val="14"/>
                    </w:pPr>
                    <w:r>
                      <w:rPr>
                        <w:rFonts w:hint="eastAsia"/>
                      </w:rPr>
                      <w:fldChar w:fldCharType="begin"/>
                    </w:r>
                    <w:r>
                      <w:rPr>
                        <w:rFonts w:hint="eastAsia"/>
                      </w:rPr>
                      <w:instrText xml:space="preserve"> PAGE  \* MERGEFORMAT </w:instrText>
                    </w:r>
                    <w:r>
                      <w:rPr>
                        <w:rFonts w:hint="eastAsia"/>
                      </w:rPr>
                      <w:fldChar w:fldCharType="separate"/>
                    </w:r>
                    <w:r>
                      <w:t>- 59 -</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A25AB">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67351">
                          <w:pPr>
                            <w:pStyle w:val="14"/>
                          </w:pPr>
                          <w:r>
                            <w:rPr>
                              <w:rFonts w:hint="eastAsia"/>
                            </w:rPr>
                            <w:fldChar w:fldCharType="begin"/>
                          </w:r>
                          <w:r>
                            <w:rPr>
                              <w:rFonts w:hint="eastAsia"/>
                            </w:rPr>
                            <w:instrText xml:space="preserve"> PAGE  \* MERGEFORMAT </w:instrText>
                          </w:r>
                          <w:r>
                            <w:rPr>
                              <w:rFonts w:hint="eastAsia"/>
                            </w:rPr>
                            <w:fldChar w:fldCharType="separate"/>
                          </w:r>
                          <w:r>
                            <w:rPr>
                              <w:rFonts w:hint="eastAsia"/>
                            </w:rPr>
                            <w:t>- 13 -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F467351">
                    <w:pPr>
                      <w:pStyle w:val="14"/>
                    </w:pPr>
                    <w:r>
                      <w:rPr>
                        <w:rFonts w:hint="eastAsia"/>
                      </w:rPr>
                      <w:fldChar w:fldCharType="begin"/>
                    </w:r>
                    <w:r>
                      <w:rPr>
                        <w:rFonts w:hint="eastAsia"/>
                      </w:rPr>
                      <w:instrText xml:space="preserve"> PAGE  \* MERGEFORMAT </w:instrText>
                    </w:r>
                    <w:r>
                      <w:rPr>
                        <w:rFonts w:hint="eastAsia"/>
                      </w:rPr>
                      <w:fldChar w:fldCharType="separate"/>
                    </w:r>
                    <w:r>
                      <w:rPr>
                        <w:rFonts w:hint="eastAsia"/>
                      </w:rPr>
                      <w:t>- 13 -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99A89">
    <w:pPr>
      <w:pStyle w:val="1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EF7023">
                          <w:pPr>
                            <w:pStyle w:val="14"/>
                          </w:pPr>
                          <w:r>
                            <w:rPr>
                              <w:rFonts w:hint="eastAsia"/>
                            </w:rPr>
                            <w:fldChar w:fldCharType="begin"/>
                          </w:r>
                          <w:r>
                            <w:rPr>
                              <w:rFonts w:hint="eastAsia"/>
                            </w:rPr>
                            <w:instrText xml:space="preserve"> PAGE  \* MERGEFORMAT </w:instrText>
                          </w:r>
                          <w:r>
                            <w:rPr>
                              <w:rFonts w:hint="eastAsia"/>
                            </w:rPr>
                            <w:fldChar w:fldCharType="separate"/>
                          </w:r>
                          <w:r>
                            <w:rPr>
                              <w:rFonts w:hint="eastAsia"/>
                            </w:rPr>
                            <w:t>- 16 -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AEF7023">
                    <w:pPr>
                      <w:pStyle w:val="14"/>
                    </w:pPr>
                    <w:r>
                      <w:rPr>
                        <w:rFonts w:hint="eastAsia"/>
                      </w:rPr>
                      <w:fldChar w:fldCharType="begin"/>
                    </w:r>
                    <w:r>
                      <w:rPr>
                        <w:rFonts w:hint="eastAsia"/>
                      </w:rPr>
                      <w:instrText xml:space="preserve"> PAGE  \* MERGEFORMAT </w:instrText>
                    </w:r>
                    <w:r>
                      <w:rPr>
                        <w:rFonts w:hint="eastAsia"/>
                      </w:rPr>
                      <w:fldChar w:fldCharType="separate"/>
                    </w:r>
                    <w:r>
                      <w:rPr>
                        <w:rFonts w:hint="eastAsia"/>
                      </w:rPr>
                      <w:t>- 16 -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26F06">
    <w:pPr>
      <w:pStyle w:val="15"/>
      <w:pBdr>
        <w:bottom w:val="single" w:color="auto" w:sz="4" w:space="1"/>
      </w:pBdr>
      <w:spacing w:line="240" w:lineRule="auto"/>
      <w:rPr>
        <w:b/>
        <w:bCs/>
        <w:color w:val="000000" w:themeColor="text1"/>
        <w:szCs w:val="18"/>
        <w14:textFill>
          <w14:solidFill>
            <w14:schemeClr w14:val="tx1"/>
          </w14:solidFill>
        </w14:textFill>
      </w:rPr>
    </w:pPr>
    <w:r>
      <w:rPr>
        <w:rFonts w:hint="eastAsia"/>
        <w:b/>
        <w:bCs/>
        <w:color w:val="000000" w:themeColor="text1"/>
        <w:kern w:val="0"/>
        <w:szCs w:val="18"/>
        <w14:textFill>
          <w14:solidFill>
            <w14:schemeClr w14:val="tx1"/>
          </w14:solidFill>
        </w14:textFill>
      </w:rPr>
      <w:t>鄂州市工业园区周边土壤质量调查评估报告（2020年）——花湖开发区                                        目录</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50B01">
    <w:pPr>
      <w:pStyle w:val="15"/>
      <w:pBdr>
        <w:bottom w:val="single" w:color="auto" w:sz="4" w:space="1"/>
      </w:pBdr>
      <w:spacing w:line="240" w:lineRule="auto"/>
      <w:rPr>
        <w:b/>
      </w:rPr>
    </w:pPr>
    <w:r>
      <w:rPr>
        <w:rFonts w:hint="eastAsia"/>
        <w:b/>
        <w:bCs/>
        <w:color w:val="000000" w:themeColor="text1"/>
        <w:kern w:val="0"/>
        <w:szCs w:val="18"/>
        <w14:textFill>
          <w14:solidFill>
            <w14:schemeClr w14:val="tx1"/>
          </w14:solidFill>
        </w14:textFill>
      </w:rPr>
      <w:t>鄂州市工业园区周边土壤质量调查评估报告（2020年）——花湖开发区                                        目录</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D58DD">
    <w:pPr>
      <w:pStyle w:val="1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2F848">
    <w:pPr>
      <w:pStyle w:val="15"/>
      <w:pBdr>
        <w:bottom w:val="single" w:color="auto" w:sz="4" w:space="1"/>
      </w:pBdr>
      <w:spacing w:line="240" w:lineRule="auto"/>
      <w:rPr>
        <w:b/>
      </w:rPr>
    </w:pPr>
    <w:r>
      <w:rPr>
        <w:rFonts w:hint="eastAsia"/>
        <w:b/>
        <w:bCs/>
        <w:color w:val="000000" w:themeColor="text1"/>
        <w:kern w:val="0"/>
        <w:szCs w:val="18"/>
        <w14:textFill>
          <w14:solidFill>
            <w14:schemeClr w14:val="tx1"/>
          </w14:solidFill>
        </w14:textFill>
      </w:rPr>
      <w:t>鄂州市工业园区周边土壤质量调查评估报告（2020年）——花湖开发区                                       1.概述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AE33D">
    <w:pPr>
      <w:pStyle w:val="15"/>
      <w:pBdr>
        <w:bottom w:val="single" w:color="auto" w:sz="4" w:space="1"/>
      </w:pBdr>
      <w:spacing w:line="240" w:lineRule="auto"/>
      <w:rPr>
        <w:b/>
      </w:rPr>
    </w:pPr>
    <w:r>
      <w:rPr>
        <w:rFonts w:hint="eastAsia"/>
        <w:b/>
        <w:bCs/>
        <w:color w:val="000000" w:themeColor="text1"/>
        <w:kern w:val="0"/>
        <w:szCs w:val="18"/>
        <w14:textFill>
          <w14:solidFill>
            <w14:schemeClr w14:val="tx1"/>
          </w14:solidFill>
        </w14:textFill>
      </w:rPr>
      <w:t>鄂州市工业园区周边土壤质量调查评估报告（2020年）——花湖开发区                               2.调查区域概况</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3772D">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鄂州市工业园区周边土壤质量调查评估报告（2020年）——花湖开发区                              3.调查工作方案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270F4">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鄂州市工业园区周边土壤质量调查评估报告（2020年）——花湖开发区                                                                                    3.调查工作方案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2A045">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鄂州市工业园区周边土壤质量调查评估报告（2020年）——花湖开发区                              3.调查工作方案</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1ED82">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 xml:space="preserve">鄂州市工业园区周边土壤质量调查评估报告（2020年）——花湖开发区     </w:t>
    </w:r>
    <w:r>
      <w:rPr>
        <w:b/>
        <w:bCs/>
        <w:color w:val="000000" w:themeColor="text1"/>
        <w:kern w:val="0"/>
        <w:szCs w:val="18"/>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4.现场工作及实验室分析</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107AB">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鄂州市工业园区周边土壤质量调查评估报告（2020年）——花湖开发区</w:t>
    </w:r>
    <w:r>
      <w:rPr>
        <w:b/>
        <w:bCs/>
        <w:color w:val="000000" w:themeColor="text1"/>
        <w:kern w:val="0"/>
        <w:szCs w:val="18"/>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w:t>
    </w:r>
    <w:r>
      <w:rPr>
        <w:b/>
        <w:bCs/>
        <w:color w:val="000000" w:themeColor="text1"/>
        <w:kern w:val="0"/>
        <w:szCs w:val="18"/>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4.现场工作及实验室分析</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04B8E">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鄂州市工业园区周边土壤质量调查评估报告（2020年）——花湖开发区                      4.现场工作及实验室分析</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68862">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 xml:space="preserve">鄂州市工业园区周边土壤质量调查评估报告（2020年）——花湖开发区      </w:t>
    </w:r>
    <w:r>
      <w:rPr>
        <w:b/>
        <w:bCs/>
        <w:color w:val="000000" w:themeColor="text1"/>
        <w:kern w:val="0"/>
        <w:szCs w:val="18"/>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w:t>
    </w:r>
    <w:r>
      <w:rPr>
        <w:b/>
        <w:bCs/>
        <w:color w:val="000000" w:themeColor="text1"/>
        <w:kern w:val="0"/>
        <w:szCs w:val="18"/>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5.结果与评价</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0946A">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鄂州市工业园区周边土壤质量调查评估报告（2020年）——花湖开发区</w:t>
    </w:r>
    <w:r>
      <w:rPr>
        <w:b/>
        <w:bCs/>
        <w:color w:val="000000" w:themeColor="text1"/>
        <w:kern w:val="0"/>
        <w:szCs w:val="18"/>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5.结果与评价</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54397">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鄂州市工业园区周边土壤质量调查评估报告（2020年）——花湖开发区</w:t>
    </w:r>
    <w:r>
      <w:rPr>
        <w:b/>
        <w:bCs/>
        <w:color w:val="000000" w:themeColor="text1"/>
        <w:kern w:val="0"/>
        <w:szCs w:val="18"/>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5.结果与评价</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A91DA">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鄂州市工业园区周边土壤质量调查评估报告（2020年）——花湖开发区                                5.结果与评价</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42071">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鄂州市工业园区周边土壤质量调查评估报告（2020年）——花湖开发区</w:t>
    </w:r>
    <w:r>
      <w:rPr>
        <w:b/>
        <w:bCs/>
        <w:color w:val="000000" w:themeColor="text1"/>
        <w:kern w:val="0"/>
        <w:szCs w:val="18"/>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6.结论与建议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82E71"/>
    <w:multiLevelType w:val="singleLevel"/>
    <w:tmpl w:val="88C82E71"/>
    <w:lvl w:ilvl="0" w:tentative="0">
      <w:start w:val="1"/>
      <w:numFmt w:val="decimal"/>
      <w:suff w:val="nothing"/>
      <w:lvlText w:val="（%1）"/>
      <w:lvlJc w:val="left"/>
    </w:lvl>
  </w:abstractNum>
  <w:abstractNum w:abstractNumId="1">
    <w:nsid w:val="93E6CCA3"/>
    <w:multiLevelType w:val="singleLevel"/>
    <w:tmpl w:val="93E6CCA3"/>
    <w:lvl w:ilvl="0" w:tentative="0">
      <w:start w:val="1"/>
      <w:numFmt w:val="decimal"/>
      <w:suff w:val="nothing"/>
      <w:lvlText w:val="（%1）"/>
      <w:lvlJc w:val="left"/>
    </w:lvl>
  </w:abstractNum>
  <w:abstractNum w:abstractNumId="2">
    <w:nsid w:val="9F8DEC4D"/>
    <w:multiLevelType w:val="multilevel"/>
    <w:tmpl w:val="9F8DEC4D"/>
    <w:lvl w:ilvl="0" w:tentative="0">
      <w:start w:val="1"/>
      <w:numFmt w:val="decimal"/>
      <w:pStyle w:val="6"/>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
    <w:nsid w:val="C0A7D593"/>
    <w:multiLevelType w:val="multilevel"/>
    <w:tmpl w:val="C0A7D593"/>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pStyle w:val="7"/>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4">
    <w:nsid w:val="E8EB3CD0"/>
    <w:multiLevelType w:val="multilevel"/>
    <w:tmpl w:val="E8EB3CD0"/>
    <w:lvl w:ilvl="0" w:tentative="0">
      <w:start w:val="1"/>
      <w:numFmt w:val="decimal"/>
      <w:suff w:val="nothing"/>
      <w:lvlText w:val="（%1）"/>
      <w:lvlJc w:val="left"/>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5">
    <w:nsid w:val="F6B9518F"/>
    <w:multiLevelType w:val="singleLevel"/>
    <w:tmpl w:val="F6B9518F"/>
    <w:lvl w:ilvl="0" w:tentative="0">
      <w:start w:val="1"/>
      <w:numFmt w:val="decimal"/>
      <w:suff w:val="nothing"/>
      <w:lvlText w:val="（%1）"/>
      <w:lvlJc w:val="left"/>
    </w:lvl>
  </w:abstractNum>
  <w:abstractNum w:abstractNumId="6">
    <w:nsid w:val="0000000E"/>
    <w:multiLevelType w:val="multilevel"/>
    <w:tmpl w:val="0000000E"/>
    <w:lvl w:ilvl="0" w:tentative="0">
      <w:start w:val="1"/>
      <w:numFmt w:val="decimal"/>
      <w:lvlText w:val="%1."/>
      <w:lvlJc w:val="left"/>
      <w:pPr>
        <w:tabs>
          <w:tab w:val="left" w:pos="425"/>
        </w:tabs>
        <w:ind w:left="425" w:hanging="425"/>
      </w:pPr>
    </w:lvl>
    <w:lvl w:ilvl="1" w:tentative="0">
      <w:start w:val="1"/>
      <w:numFmt w:val="decimal"/>
      <w:pStyle w:val="4"/>
      <w:lvlText w:val="%1.%2."/>
      <w:lvlJc w:val="left"/>
      <w:pPr>
        <w:tabs>
          <w:tab w:val="left" w:pos="567"/>
        </w:tabs>
        <w:ind w:left="567" w:hanging="567"/>
      </w:pPr>
      <w:rPr>
        <w:sz w:val="24"/>
        <w:szCs w:val="24"/>
      </w:rPr>
    </w:lvl>
    <w:lvl w:ilvl="2" w:tentative="0">
      <w:start w:val="1"/>
      <w:numFmt w:val="decimal"/>
      <w:pStyle w:val="5"/>
      <w:lvlText w:val="%1.%2.%3."/>
      <w:lvlJc w:val="left"/>
      <w:pPr>
        <w:tabs>
          <w:tab w:val="left" w:pos="851"/>
        </w:tabs>
        <w:ind w:left="851" w:hanging="709"/>
      </w:pPr>
      <w:rPr>
        <w:sz w:val="24"/>
        <w:szCs w:val="24"/>
      </w:r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7">
    <w:nsid w:val="16BDCB54"/>
    <w:multiLevelType w:val="singleLevel"/>
    <w:tmpl w:val="16BDCB54"/>
    <w:lvl w:ilvl="0" w:tentative="0">
      <w:start w:val="1"/>
      <w:numFmt w:val="decimal"/>
      <w:suff w:val="nothing"/>
      <w:lvlText w:val="（%1）"/>
      <w:lvlJc w:val="left"/>
    </w:lvl>
  </w:abstractNum>
  <w:abstractNum w:abstractNumId="8">
    <w:nsid w:val="2D09ECF0"/>
    <w:multiLevelType w:val="singleLevel"/>
    <w:tmpl w:val="2D09ECF0"/>
    <w:lvl w:ilvl="0" w:tentative="0">
      <w:start w:val="1"/>
      <w:numFmt w:val="decimal"/>
      <w:suff w:val="nothing"/>
      <w:lvlText w:val="（%1）"/>
      <w:lvlJc w:val="left"/>
    </w:lvl>
  </w:abstractNum>
  <w:abstractNum w:abstractNumId="9">
    <w:nsid w:val="4AB71BF3"/>
    <w:multiLevelType w:val="singleLevel"/>
    <w:tmpl w:val="4AB71BF3"/>
    <w:lvl w:ilvl="0" w:tentative="0">
      <w:start w:val="1"/>
      <w:numFmt w:val="decimal"/>
      <w:suff w:val="nothing"/>
      <w:lvlText w:val="（%1）"/>
      <w:lvlJc w:val="left"/>
    </w:lvl>
  </w:abstractNum>
  <w:abstractNum w:abstractNumId="10">
    <w:nsid w:val="594FBAFE"/>
    <w:multiLevelType w:val="singleLevel"/>
    <w:tmpl w:val="594FBAFE"/>
    <w:lvl w:ilvl="0" w:tentative="0">
      <w:start w:val="1"/>
      <w:numFmt w:val="decimal"/>
      <w:suff w:val="nothing"/>
      <w:lvlText w:val="（%1）"/>
      <w:lvlJc w:val="left"/>
    </w:lvl>
  </w:abstractNum>
  <w:abstractNum w:abstractNumId="11">
    <w:nsid w:val="792B8015"/>
    <w:multiLevelType w:val="singleLevel"/>
    <w:tmpl w:val="792B8015"/>
    <w:lvl w:ilvl="0" w:tentative="0">
      <w:start w:val="1"/>
      <w:numFmt w:val="decimal"/>
      <w:suff w:val="nothing"/>
      <w:lvlText w:val="（%1）"/>
      <w:lvlJc w:val="left"/>
    </w:lvl>
  </w:abstractNum>
  <w:num w:numId="1">
    <w:abstractNumId w:val="6"/>
  </w:num>
  <w:num w:numId="2">
    <w:abstractNumId w:val="2"/>
  </w:num>
  <w:num w:numId="3">
    <w:abstractNumId w:val="3"/>
  </w:num>
  <w:num w:numId="4">
    <w:abstractNumId w:val="1"/>
  </w:num>
  <w:num w:numId="5">
    <w:abstractNumId w:val="8"/>
  </w:num>
  <w:num w:numId="6">
    <w:abstractNumId w:val="11"/>
  </w:num>
  <w:num w:numId="7">
    <w:abstractNumId w:val="9"/>
  </w:num>
  <w:num w:numId="8">
    <w:abstractNumId w:val="7"/>
  </w:num>
  <w:num w:numId="9">
    <w:abstractNumId w:val="0"/>
  </w:num>
  <w:num w:numId="10">
    <w:abstractNumId w:val="4"/>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20"/>
  <w:drawingGridVerticalSpacing w:val="16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004A"/>
    <w:rsid w:val="00012353"/>
    <w:rsid w:val="0003327C"/>
    <w:rsid w:val="00033561"/>
    <w:rsid w:val="00034F61"/>
    <w:rsid w:val="0004333D"/>
    <w:rsid w:val="0005599D"/>
    <w:rsid w:val="00061015"/>
    <w:rsid w:val="0006464F"/>
    <w:rsid w:val="00065758"/>
    <w:rsid w:val="00086D8E"/>
    <w:rsid w:val="000A55F1"/>
    <w:rsid w:val="000B740D"/>
    <w:rsid w:val="000C4C75"/>
    <w:rsid w:val="000E0BC0"/>
    <w:rsid w:val="000E2277"/>
    <w:rsid w:val="000E6504"/>
    <w:rsid w:val="00102FD0"/>
    <w:rsid w:val="001041FC"/>
    <w:rsid w:val="00110941"/>
    <w:rsid w:val="00137AA9"/>
    <w:rsid w:val="00157ACF"/>
    <w:rsid w:val="001708CA"/>
    <w:rsid w:val="00172A27"/>
    <w:rsid w:val="00173FB9"/>
    <w:rsid w:val="001A3070"/>
    <w:rsid w:val="001D449F"/>
    <w:rsid w:val="001D6B0D"/>
    <w:rsid w:val="001E4ADC"/>
    <w:rsid w:val="001E4E41"/>
    <w:rsid w:val="001F52B1"/>
    <w:rsid w:val="00200058"/>
    <w:rsid w:val="0022266B"/>
    <w:rsid w:val="00253CC0"/>
    <w:rsid w:val="00260150"/>
    <w:rsid w:val="00260A9C"/>
    <w:rsid w:val="00271122"/>
    <w:rsid w:val="002909B8"/>
    <w:rsid w:val="00292015"/>
    <w:rsid w:val="00295A84"/>
    <w:rsid w:val="002B32D7"/>
    <w:rsid w:val="002C568B"/>
    <w:rsid w:val="002D439F"/>
    <w:rsid w:val="002D45C9"/>
    <w:rsid w:val="002D4FC2"/>
    <w:rsid w:val="003306F2"/>
    <w:rsid w:val="0034147F"/>
    <w:rsid w:val="00341824"/>
    <w:rsid w:val="003534AF"/>
    <w:rsid w:val="00355C4F"/>
    <w:rsid w:val="00355C5A"/>
    <w:rsid w:val="00366160"/>
    <w:rsid w:val="003663AF"/>
    <w:rsid w:val="003A171F"/>
    <w:rsid w:val="003C3022"/>
    <w:rsid w:val="003D1A8A"/>
    <w:rsid w:val="003F5E7E"/>
    <w:rsid w:val="00401D4E"/>
    <w:rsid w:val="004054DB"/>
    <w:rsid w:val="00436FD0"/>
    <w:rsid w:val="00444994"/>
    <w:rsid w:val="0044655D"/>
    <w:rsid w:val="00451189"/>
    <w:rsid w:val="00483BDF"/>
    <w:rsid w:val="00486892"/>
    <w:rsid w:val="004939AC"/>
    <w:rsid w:val="00493A10"/>
    <w:rsid w:val="004E23FA"/>
    <w:rsid w:val="004F4501"/>
    <w:rsid w:val="005023B6"/>
    <w:rsid w:val="00551330"/>
    <w:rsid w:val="00573381"/>
    <w:rsid w:val="00596EC0"/>
    <w:rsid w:val="005A09E0"/>
    <w:rsid w:val="005A43EB"/>
    <w:rsid w:val="005E0945"/>
    <w:rsid w:val="005E282C"/>
    <w:rsid w:val="005E63D4"/>
    <w:rsid w:val="005F7D43"/>
    <w:rsid w:val="00607F77"/>
    <w:rsid w:val="006173F7"/>
    <w:rsid w:val="00625F8A"/>
    <w:rsid w:val="00644008"/>
    <w:rsid w:val="00667820"/>
    <w:rsid w:val="0068239B"/>
    <w:rsid w:val="006939FA"/>
    <w:rsid w:val="00695766"/>
    <w:rsid w:val="00696A64"/>
    <w:rsid w:val="006B35D1"/>
    <w:rsid w:val="006B4652"/>
    <w:rsid w:val="00715DF3"/>
    <w:rsid w:val="0072388F"/>
    <w:rsid w:val="007417DC"/>
    <w:rsid w:val="00741E8B"/>
    <w:rsid w:val="0074360E"/>
    <w:rsid w:val="00770F99"/>
    <w:rsid w:val="00772983"/>
    <w:rsid w:val="007764BA"/>
    <w:rsid w:val="007A4F01"/>
    <w:rsid w:val="007C1438"/>
    <w:rsid w:val="007C3615"/>
    <w:rsid w:val="007D3181"/>
    <w:rsid w:val="007E4696"/>
    <w:rsid w:val="007F00C4"/>
    <w:rsid w:val="00804FCA"/>
    <w:rsid w:val="00817E95"/>
    <w:rsid w:val="0084433B"/>
    <w:rsid w:val="00846AB9"/>
    <w:rsid w:val="00875DD2"/>
    <w:rsid w:val="00876D29"/>
    <w:rsid w:val="008A01D3"/>
    <w:rsid w:val="008B38F7"/>
    <w:rsid w:val="008C6179"/>
    <w:rsid w:val="008D0C4F"/>
    <w:rsid w:val="008D270E"/>
    <w:rsid w:val="008D73B2"/>
    <w:rsid w:val="008E74FF"/>
    <w:rsid w:val="00904F56"/>
    <w:rsid w:val="009061DC"/>
    <w:rsid w:val="00917DDF"/>
    <w:rsid w:val="009232BD"/>
    <w:rsid w:val="00931E80"/>
    <w:rsid w:val="0093441A"/>
    <w:rsid w:val="00952076"/>
    <w:rsid w:val="00964C36"/>
    <w:rsid w:val="0097059D"/>
    <w:rsid w:val="00976025"/>
    <w:rsid w:val="00980551"/>
    <w:rsid w:val="00986C7D"/>
    <w:rsid w:val="0099396D"/>
    <w:rsid w:val="009A56B2"/>
    <w:rsid w:val="009B4891"/>
    <w:rsid w:val="009C035C"/>
    <w:rsid w:val="009D73C1"/>
    <w:rsid w:val="009F0A33"/>
    <w:rsid w:val="009F2056"/>
    <w:rsid w:val="00A04BFC"/>
    <w:rsid w:val="00A246AB"/>
    <w:rsid w:val="00A3611C"/>
    <w:rsid w:val="00A51766"/>
    <w:rsid w:val="00A670CB"/>
    <w:rsid w:val="00A7537A"/>
    <w:rsid w:val="00A75849"/>
    <w:rsid w:val="00A80313"/>
    <w:rsid w:val="00A863C4"/>
    <w:rsid w:val="00A94747"/>
    <w:rsid w:val="00AB7D7E"/>
    <w:rsid w:val="00AC4C7B"/>
    <w:rsid w:val="00AD125B"/>
    <w:rsid w:val="00AD384D"/>
    <w:rsid w:val="00AD68E9"/>
    <w:rsid w:val="00AE178E"/>
    <w:rsid w:val="00AE327F"/>
    <w:rsid w:val="00AF2254"/>
    <w:rsid w:val="00AF296F"/>
    <w:rsid w:val="00AF7A7C"/>
    <w:rsid w:val="00B00F04"/>
    <w:rsid w:val="00B11441"/>
    <w:rsid w:val="00B216E5"/>
    <w:rsid w:val="00B226EE"/>
    <w:rsid w:val="00B22E15"/>
    <w:rsid w:val="00B32AA2"/>
    <w:rsid w:val="00B367B5"/>
    <w:rsid w:val="00B66EC5"/>
    <w:rsid w:val="00B702D6"/>
    <w:rsid w:val="00B80BBC"/>
    <w:rsid w:val="00B93E7E"/>
    <w:rsid w:val="00BE2214"/>
    <w:rsid w:val="00C03311"/>
    <w:rsid w:val="00C25A37"/>
    <w:rsid w:val="00C25BE2"/>
    <w:rsid w:val="00C37D62"/>
    <w:rsid w:val="00C45B24"/>
    <w:rsid w:val="00C46052"/>
    <w:rsid w:val="00C50198"/>
    <w:rsid w:val="00C67ACA"/>
    <w:rsid w:val="00C832D2"/>
    <w:rsid w:val="00C84CC7"/>
    <w:rsid w:val="00C94916"/>
    <w:rsid w:val="00C9772E"/>
    <w:rsid w:val="00CA0514"/>
    <w:rsid w:val="00CA324C"/>
    <w:rsid w:val="00CA7AF5"/>
    <w:rsid w:val="00CB150D"/>
    <w:rsid w:val="00CC0D69"/>
    <w:rsid w:val="00CC7759"/>
    <w:rsid w:val="00CE21A8"/>
    <w:rsid w:val="00CE748B"/>
    <w:rsid w:val="00D110F6"/>
    <w:rsid w:val="00D142A6"/>
    <w:rsid w:val="00D4216A"/>
    <w:rsid w:val="00D5277B"/>
    <w:rsid w:val="00D53018"/>
    <w:rsid w:val="00D549D5"/>
    <w:rsid w:val="00D5703A"/>
    <w:rsid w:val="00D7647D"/>
    <w:rsid w:val="00D816AD"/>
    <w:rsid w:val="00DC41FB"/>
    <w:rsid w:val="00DD0CA5"/>
    <w:rsid w:val="00DD2718"/>
    <w:rsid w:val="00E26391"/>
    <w:rsid w:val="00E343F7"/>
    <w:rsid w:val="00E36208"/>
    <w:rsid w:val="00E551A5"/>
    <w:rsid w:val="00E60B2C"/>
    <w:rsid w:val="00E61707"/>
    <w:rsid w:val="00E806DD"/>
    <w:rsid w:val="00E83A9B"/>
    <w:rsid w:val="00EC76DE"/>
    <w:rsid w:val="00ED0E52"/>
    <w:rsid w:val="00ED64BD"/>
    <w:rsid w:val="00EE6BBE"/>
    <w:rsid w:val="00F3107D"/>
    <w:rsid w:val="00F518A7"/>
    <w:rsid w:val="00F53F45"/>
    <w:rsid w:val="00F56829"/>
    <w:rsid w:val="00F72F05"/>
    <w:rsid w:val="00F84E02"/>
    <w:rsid w:val="00F919FA"/>
    <w:rsid w:val="00FA7292"/>
    <w:rsid w:val="00FB7DCA"/>
    <w:rsid w:val="00FF286E"/>
    <w:rsid w:val="00FF3D8F"/>
    <w:rsid w:val="011658E2"/>
    <w:rsid w:val="01166CD0"/>
    <w:rsid w:val="011967BB"/>
    <w:rsid w:val="01211107"/>
    <w:rsid w:val="01384B01"/>
    <w:rsid w:val="013C1C78"/>
    <w:rsid w:val="01553293"/>
    <w:rsid w:val="015C4062"/>
    <w:rsid w:val="01653DF9"/>
    <w:rsid w:val="01674E8C"/>
    <w:rsid w:val="017169B8"/>
    <w:rsid w:val="01822EB0"/>
    <w:rsid w:val="019A24CC"/>
    <w:rsid w:val="01A72ECF"/>
    <w:rsid w:val="01C2387F"/>
    <w:rsid w:val="01C71D4B"/>
    <w:rsid w:val="01CA204F"/>
    <w:rsid w:val="01CF3D66"/>
    <w:rsid w:val="01D53378"/>
    <w:rsid w:val="01D90538"/>
    <w:rsid w:val="01E024A8"/>
    <w:rsid w:val="01E22265"/>
    <w:rsid w:val="01E90805"/>
    <w:rsid w:val="01FB4F6E"/>
    <w:rsid w:val="020F5611"/>
    <w:rsid w:val="022630CB"/>
    <w:rsid w:val="02292F83"/>
    <w:rsid w:val="022C2FAE"/>
    <w:rsid w:val="02434146"/>
    <w:rsid w:val="02586B11"/>
    <w:rsid w:val="02587CFD"/>
    <w:rsid w:val="025A61EF"/>
    <w:rsid w:val="02635806"/>
    <w:rsid w:val="02902F52"/>
    <w:rsid w:val="02903ECE"/>
    <w:rsid w:val="02A6545B"/>
    <w:rsid w:val="02B002DA"/>
    <w:rsid w:val="02DC7E02"/>
    <w:rsid w:val="02ED4D93"/>
    <w:rsid w:val="02F36711"/>
    <w:rsid w:val="031225B9"/>
    <w:rsid w:val="031A1744"/>
    <w:rsid w:val="03307448"/>
    <w:rsid w:val="033431B6"/>
    <w:rsid w:val="033D791A"/>
    <w:rsid w:val="034C137C"/>
    <w:rsid w:val="036000AB"/>
    <w:rsid w:val="036B66A8"/>
    <w:rsid w:val="036E53DF"/>
    <w:rsid w:val="03816CBD"/>
    <w:rsid w:val="03964BB3"/>
    <w:rsid w:val="03967D88"/>
    <w:rsid w:val="03A96279"/>
    <w:rsid w:val="03B1623F"/>
    <w:rsid w:val="03CD3FB6"/>
    <w:rsid w:val="03D7650E"/>
    <w:rsid w:val="03DD5202"/>
    <w:rsid w:val="03E33A8A"/>
    <w:rsid w:val="03EC5F21"/>
    <w:rsid w:val="03F9155C"/>
    <w:rsid w:val="040958F6"/>
    <w:rsid w:val="04225C1E"/>
    <w:rsid w:val="043E76E9"/>
    <w:rsid w:val="046C2FA5"/>
    <w:rsid w:val="047C46AD"/>
    <w:rsid w:val="04CB7316"/>
    <w:rsid w:val="04CE6783"/>
    <w:rsid w:val="04DD3B63"/>
    <w:rsid w:val="04F37485"/>
    <w:rsid w:val="05101580"/>
    <w:rsid w:val="05191832"/>
    <w:rsid w:val="051F3A9C"/>
    <w:rsid w:val="05280D8E"/>
    <w:rsid w:val="052C691D"/>
    <w:rsid w:val="05423C44"/>
    <w:rsid w:val="05532083"/>
    <w:rsid w:val="055F7BF0"/>
    <w:rsid w:val="056E1E64"/>
    <w:rsid w:val="05743BF1"/>
    <w:rsid w:val="058C1690"/>
    <w:rsid w:val="058E1BD8"/>
    <w:rsid w:val="05B75833"/>
    <w:rsid w:val="05C844D6"/>
    <w:rsid w:val="05CA7326"/>
    <w:rsid w:val="05F0431B"/>
    <w:rsid w:val="05F65B07"/>
    <w:rsid w:val="05F807FF"/>
    <w:rsid w:val="05FE02E5"/>
    <w:rsid w:val="06230859"/>
    <w:rsid w:val="06380B7B"/>
    <w:rsid w:val="06466EB4"/>
    <w:rsid w:val="06493576"/>
    <w:rsid w:val="064E2184"/>
    <w:rsid w:val="06570067"/>
    <w:rsid w:val="065C71DF"/>
    <w:rsid w:val="06720686"/>
    <w:rsid w:val="06750381"/>
    <w:rsid w:val="069269AE"/>
    <w:rsid w:val="06BD32C5"/>
    <w:rsid w:val="06CC76B5"/>
    <w:rsid w:val="06D876F9"/>
    <w:rsid w:val="06E33C9A"/>
    <w:rsid w:val="071353A7"/>
    <w:rsid w:val="0715171A"/>
    <w:rsid w:val="07173135"/>
    <w:rsid w:val="071F22FB"/>
    <w:rsid w:val="07340E08"/>
    <w:rsid w:val="07355729"/>
    <w:rsid w:val="0747799D"/>
    <w:rsid w:val="074820A4"/>
    <w:rsid w:val="07545E9C"/>
    <w:rsid w:val="07646792"/>
    <w:rsid w:val="07706557"/>
    <w:rsid w:val="079B667B"/>
    <w:rsid w:val="07B95E5C"/>
    <w:rsid w:val="07D41E73"/>
    <w:rsid w:val="07EC7EBA"/>
    <w:rsid w:val="080A21AA"/>
    <w:rsid w:val="081D5A6B"/>
    <w:rsid w:val="08250161"/>
    <w:rsid w:val="082C6774"/>
    <w:rsid w:val="08371541"/>
    <w:rsid w:val="083E0C99"/>
    <w:rsid w:val="084340A1"/>
    <w:rsid w:val="08507A72"/>
    <w:rsid w:val="08621792"/>
    <w:rsid w:val="08821649"/>
    <w:rsid w:val="088575F2"/>
    <w:rsid w:val="08D50955"/>
    <w:rsid w:val="0905384B"/>
    <w:rsid w:val="090903A7"/>
    <w:rsid w:val="090A6EB8"/>
    <w:rsid w:val="091075B9"/>
    <w:rsid w:val="091559D6"/>
    <w:rsid w:val="093460F7"/>
    <w:rsid w:val="09525195"/>
    <w:rsid w:val="0955682C"/>
    <w:rsid w:val="0965361C"/>
    <w:rsid w:val="0977027C"/>
    <w:rsid w:val="097C6A67"/>
    <w:rsid w:val="098E047C"/>
    <w:rsid w:val="09AC4C36"/>
    <w:rsid w:val="09B20583"/>
    <w:rsid w:val="09C01FC4"/>
    <w:rsid w:val="09D11CCB"/>
    <w:rsid w:val="09E05710"/>
    <w:rsid w:val="0A0D451F"/>
    <w:rsid w:val="0A10610D"/>
    <w:rsid w:val="0A162818"/>
    <w:rsid w:val="0A294BDC"/>
    <w:rsid w:val="0A2B707C"/>
    <w:rsid w:val="0A3C3CB7"/>
    <w:rsid w:val="0A401308"/>
    <w:rsid w:val="0A6D6882"/>
    <w:rsid w:val="0A7020E4"/>
    <w:rsid w:val="0A8014CC"/>
    <w:rsid w:val="0A803C21"/>
    <w:rsid w:val="0AAE557F"/>
    <w:rsid w:val="0AB02819"/>
    <w:rsid w:val="0AB21BF6"/>
    <w:rsid w:val="0AD21516"/>
    <w:rsid w:val="0ADE26A1"/>
    <w:rsid w:val="0AFE7959"/>
    <w:rsid w:val="0B014A09"/>
    <w:rsid w:val="0B0D29C1"/>
    <w:rsid w:val="0B120256"/>
    <w:rsid w:val="0B1F292B"/>
    <w:rsid w:val="0B210684"/>
    <w:rsid w:val="0B2A7E68"/>
    <w:rsid w:val="0B2B01CF"/>
    <w:rsid w:val="0B3E6330"/>
    <w:rsid w:val="0B4B2927"/>
    <w:rsid w:val="0B4B68BC"/>
    <w:rsid w:val="0B6438E5"/>
    <w:rsid w:val="0B8B29A8"/>
    <w:rsid w:val="0B977EC8"/>
    <w:rsid w:val="0B9B1514"/>
    <w:rsid w:val="0BC049B4"/>
    <w:rsid w:val="0BD864A3"/>
    <w:rsid w:val="0BD96C8B"/>
    <w:rsid w:val="0BE20E78"/>
    <w:rsid w:val="0BFD10F4"/>
    <w:rsid w:val="0BFE1388"/>
    <w:rsid w:val="0C2D43B7"/>
    <w:rsid w:val="0C4D14C4"/>
    <w:rsid w:val="0C540611"/>
    <w:rsid w:val="0C54275C"/>
    <w:rsid w:val="0C963396"/>
    <w:rsid w:val="0CC13CDF"/>
    <w:rsid w:val="0CE45FD2"/>
    <w:rsid w:val="0D0022C7"/>
    <w:rsid w:val="0D137BF1"/>
    <w:rsid w:val="0D225C60"/>
    <w:rsid w:val="0D2E3937"/>
    <w:rsid w:val="0D4C0310"/>
    <w:rsid w:val="0D4F6753"/>
    <w:rsid w:val="0D6234D7"/>
    <w:rsid w:val="0D655D3F"/>
    <w:rsid w:val="0D82534E"/>
    <w:rsid w:val="0DB053D9"/>
    <w:rsid w:val="0DB525E5"/>
    <w:rsid w:val="0DBC29D1"/>
    <w:rsid w:val="0E007FB7"/>
    <w:rsid w:val="0E1506E4"/>
    <w:rsid w:val="0E2719ED"/>
    <w:rsid w:val="0E4D404A"/>
    <w:rsid w:val="0E5F3A6A"/>
    <w:rsid w:val="0E6A5F2E"/>
    <w:rsid w:val="0E8B434F"/>
    <w:rsid w:val="0EAA2109"/>
    <w:rsid w:val="0EB80A0C"/>
    <w:rsid w:val="0EBA7899"/>
    <w:rsid w:val="0ECB3004"/>
    <w:rsid w:val="0EDC0E0C"/>
    <w:rsid w:val="0EDF69C9"/>
    <w:rsid w:val="0F0D5FDD"/>
    <w:rsid w:val="0F115EDF"/>
    <w:rsid w:val="0F523169"/>
    <w:rsid w:val="0F7C22E9"/>
    <w:rsid w:val="0FA53071"/>
    <w:rsid w:val="0FAF14FC"/>
    <w:rsid w:val="0FAF3F9B"/>
    <w:rsid w:val="0FB4713C"/>
    <w:rsid w:val="0FCE665A"/>
    <w:rsid w:val="0FDC04B2"/>
    <w:rsid w:val="0FE45B1D"/>
    <w:rsid w:val="0FF44602"/>
    <w:rsid w:val="10131A4A"/>
    <w:rsid w:val="10244711"/>
    <w:rsid w:val="102B1835"/>
    <w:rsid w:val="10695545"/>
    <w:rsid w:val="10B6307C"/>
    <w:rsid w:val="10B9189D"/>
    <w:rsid w:val="10C55C2C"/>
    <w:rsid w:val="10C8419F"/>
    <w:rsid w:val="10CA7C8B"/>
    <w:rsid w:val="10D44C70"/>
    <w:rsid w:val="10E36F21"/>
    <w:rsid w:val="10EE52A6"/>
    <w:rsid w:val="10F4125A"/>
    <w:rsid w:val="10FD3EB9"/>
    <w:rsid w:val="110260E0"/>
    <w:rsid w:val="1104604F"/>
    <w:rsid w:val="112B5934"/>
    <w:rsid w:val="113D6568"/>
    <w:rsid w:val="113E7253"/>
    <w:rsid w:val="11503949"/>
    <w:rsid w:val="11530F75"/>
    <w:rsid w:val="11552CE2"/>
    <w:rsid w:val="116F6954"/>
    <w:rsid w:val="11816356"/>
    <w:rsid w:val="118F41CB"/>
    <w:rsid w:val="119162BB"/>
    <w:rsid w:val="119B18D7"/>
    <w:rsid w:val="11A07C7A"/>
    <w:rsid w:val="11AF469B"/>
    <w:rsid w:val="11D7246F"/>
    <w:rsid w:val="11E46865"/>
    <w:rsid w:val="11F9763C"/>
    <w:rsid w:val="12362AA5"/>
    <w:rsid w:val="124F6C65"/>
    <w:rsid w:val="12507AE6"/>
    <w:rsid w:val="128129D6"/>
    <w:rsid w:val="1283544F"/>
    <w:rsid w:val="1286726D"/>
    <w:rsid w:val="12AB19BF"/>
    <w:rsid w:val="12BC1E44"/>
    <w:rsid w:val="12BF0669"/>
    <w:rsid w:val="12D21BDF"/>
    <w:rsid w:val="12D42878"/>
    <w:rsid w:val="12D61E27"/>
    <w:rsid w:val="12D63A9F"/>
    <w:rsid w:val="12E1501F"/>
    <w:rsid w:val="12E20103"/>
    <w:rsid w:val="12F060CE"/>
    <w:rsid w:val="13021D88"/>
    <w:rsid w:val="13034080"/>
    <w:rsid w:val="13177AFA"/>
    <w:rsid w:val="131F7994"/>
    <w:rsid w:val="13214665"/>
    <w:rsid w:val="132B290D"/>
    <w:rsid w:val="132E0B29"/>
    <w:rsid w:val="13405D9B"/>
    <w:rsid w:val="13454749"/>
    <w:rsid w:val="134A34EB"/>
    <w:rsid w:val="13561BEB"/>
    <w:rsid w:val="13834756"/>
    <w:rsid w:val="13A23F80"/>
    <w:rsid w:val="13B34961"/>
    <w:rsid w:val="13D10C1D"/>
    <w:rsid w:val="13ED42A9"/>
    <w:rsid w:val="13EE3C70"/>
    <w:rsid w:val="13F144B2"/>
    <w:rsid w:val="13FA3F3B"/>
    <w:rsid w:val="14277123"/>
    <w:rsid w:val="142E40AA"/>
    <w:rsid w:val="143A0E07"/>
    <w:rsid w:val="143C1EF3"/>
    <w:rsid w:val="144067E3"/>
    <w:rsid w:val="14411B26"/>
    <w:rsid w:val="146E4CD2"/>
    <w:rsid w:val="147C5CA8"/>
    <w:rsid w:val="14B5412A"/>
    <w:rsid w:val="14DC4E22"/>
    <w:rsid w:val="14FA1BF8"/>
    <w:rsid w:val="15237E38"/>
    <w:rsid w:val="15363CFC"/>
    <w:rsid w:val="15621026"/>
    <w:rsid w:val="15723544"/>
    <w:rsid w:val="15825B4D"/>
    <w:rsid w:val="158C4C85"/>
    <w:rsid w:val="15912FA5"/>
    <w:rsid w:val="15AB7B11"/>
    <w:rsid w:val="15C0439C"/>
    <w:rsid w:val="15CD2578"/>
    <w:rsid w:val="15D35A79"/>
    <w:rsid w:val="15E76708"/>
    <w:rsid w:val="164149E9"/>
    <w:rsid w:val="164A7818"/>
    <w:rsid w:val="164F5F8C"/>
    <w:rsid w:val="16540C54"/>
    <w:rsid w:val="16600154"/>
    <w:rsid w:val="16644DCA"/>
    <w:rsid w:val="166B3701"/>
    <w:rsid w:val="167D1F1B"/>
    <w:rsid w:val="16AE12F9"/>
    <w:rsid w:val="16BB5F4D"/>
    <w:rsid w:val="16DF18AE"/>
    <w:rsid w:val="16E84601"/>
    <w:rsid w:val="16EF0D99"/>
    <w:rsid w:val="170E52E7"/>
    <w:rsid w:val="173267D4"/>
    <w:rsid w:val="1743581B"/>
    <w:rsid w:val="174600DF"/>
    <w:rsid w:val="17501F70"/>
    <w:rsid w:val="17503990"/>
    <w:rsid w:val="17721482"/>
    <w:rsid w:val="17763050"/>
    <w:rsid w:val="17841DD8"/>
    <w:rsid w:val="17852C98"/>
    <w:rsid w:val="17A249CB"/>
    <w:rsid w:val="17A372E6"/>
    <w:rsid w:val="17D22A74"/>
    <w:rsid w:val="17DF6115"/>
    <w:rsid w:val="17F840C2"/>
    <w:rsid w:val="181120B1"/>
    <w:rsid w:val="181C5571"/>
    <w:rsid w:val="185914E2"/>
    <w:rsid w:val="18654DD2"/>
    <w:rsid w:val="18722E64"/>
    <w:rsid w:val="1887079E"/>
    <w:rsid w:val="188F2596"/>
    <w:rsid w:val="189815ED"/>
    <w:rsid w:val="18BA79B0"/>
    <w:rsid w:val="18C01DF0"/>
    <w:rsid w:val="18CF274F"/>
    <w:rsid w:val="18DC2F5E"/>
    <w:rsid w:val="18DE724E"/>
    <w:rsid w:val="18E47835"/>
    <w:rsid w:val="19135F25"/>
    <w:rsid w:val="191A7680"/>
    <w:rsid w:val="191F09D6"/>
    <w:rsid w:val="192212A2"/>
    <w:rsid w:val="19261634"/>
    <w:rsid w:val="192710A1"/>
    <w:rsid w:val="19276530"/>
    <w:rsid w:val="19502AC9"/>
    <w:rsid w:val="195640E7"/>
    <w:rsid w:val="195D2169"/>
    <w:rsid w:val="195D5746"/>
    <w:rsid w:val="19656C9E"/>
    <w:rsid w:val="196C2876"/>
    <w:rsid w:val="196C31F5"/>
    <w:rsid w:val="197173A9"/>
    <w:rsid w:val="197C3EBA"/>
    <w:rsid w:val="198D5FFC"/>
    <w:rsid w:val="198E5879"/>
    <w:rsid w:val="19A5063C"/>
    <w:rsid w:val="19BE2FE8"/>
    <w:rsid w:val="19E36402"/>
    <w:rsid w:val="19E45CFF"/>
    <w:rsid w:val="19EB1414"/>
    <w:rsid w:val="19FE0875"/>
    <w:rsid w:val="1A156F2F"/>
    <w:rsid w:val="1A1C3D4B"/>
    <w:rsid w:val="1A24321C"/>
    <w:rsid w:val="1A3B7B7D"/>
    <w:rsid w:val="1A3C2669"/>
    <w:rsid w:val="1A402667"/>
    <w:rsid w:val="1A42275A"/>
    <w:rsid w:val="1A433E15"/>
    <w:rsid w:val="1A442B52"/>
    <w:rsid w:val="1A454E55"/>
    <w:rsid w:val="1A4755A6"/>
    <w:rsid w:val="1A58519F"/>
    <w:rsid w:val="1A693BBE"/>
    <w:rsid w:val="1AA40AF1"/>
    <w:rsid w:val="1AAB6FCF"/>
    <w:rsid w:val="1AB0491F"/>
    <w:rsid w:val="1ABD09D9"/>
    <w:rsid w:val="1AD25F05"/>
    <w:rsid w:val="1ADF672A"/>
    <w:rsid w:val="1AF0684D"/>
    <w:rsid w:val="1AFF2C18"/>
    <w:rsid w:val="1B13720F"/>
    <w:rsid w:val="1B153E6E"/>
    <w:rsid w:val="1B292650"/>
    <w:rsid w:val="1B324EAA"/>
    <w:rsid w:val="1B425945"/>
    <w:rsid w:val="1B450367"/>
    <w:rsid w:val="1B4F1350"/>
    <w:rsid w:val="1B53192E"/>
    <w:rsid w:val="1B542B91"/>
    <w:rsid w:val="1B5612DF"/>
    <w:rsid w:val="1B6475BE"/>
    <w:rsid w:val="1B6532EE"/>
    <w:rsid w:val="1B695676"/>
    <w:rsid w:val="1B821E66"/>
    <w:rsid w:val="1BAB6FB5"/>
    <w:rsid w:val="1BB21705"/>
    <w:rsid w:val="1BBC22AF"/>
    <w:rsid w:val="1BEB3359"/>
    <w:rsid w:val="1BF8746D"/>
    <w:rsid w:val="1BFE17B2"/>
    <w:rsid w:val="1C070FEB"/>
    <w:rsid w:val="1C1065E2"/>
    <w:rsid w:val="1C3D0CB3"/>
    <w:rsid w:val="1C3D33BA"/>
    <w:rsid w:val="1C3D48D3"/>
    <w:rsid w:val="1C462289"/>
    <w:rsid w:val="1C47170D"/>
    <w:rsid w:val="1C812F1B"/>
    <w:rsid w:val="1C815F8F"/>
    <w:rsid w:val="1C834A21"/>
    <w:rsid w:val="1C9323D0"/>
    <w:rsid w:val="1CD36907"/>
    <w:rsid w:val="1CDE6582"/>
    <w:rsid w:val="1D1D24D0"/>
    <w:rsid w:val="1D2024EA"/>
    <w:rsid w:val="1D340FCC"/>
    <w:rsid w:val="1D4E2185"/>
    <w:rsid w:val="1D5045CA"/>
    <w:rsid w:val="1D7B4061"/>
    <w:rsid w:val="1D8A1B7D"/>
    <w:rsid w:val="1D94134C"/>
    <w:rsid w:val="1D9D57F9"/>
    <w:rsid w:val="1DD4121C"/>
    <w:rsid w:val="1DE3787A"/>
    <w:rsid w:val="1E1B7B7F"/>
    <w:rsid w:val="1E1E66C9"/>
    <w:rsid w:val="1E262E85"/>
    <w:rsid w:val="1E481C91"/>
    <w:rsid w:val="1E534008"/>
    <w:rsid w:val="1E6E0069"/>
    <w:rsid w:val="1E6F34D0"/>
    <w:rsid w:val="1E711BDB"/>
    <w:rsid w:val="1E7B2AE9"/>
    <w:rsid w:val="1E813906"/>
    <w:rsid w:val="1E84106F"/>
    <w:rsid w:val="1E873335"/>
    <w:rsid w:val="1E9801B7"/>
    <w:rsid w:val="1EA9258A"/>
    <w:rsid w:val="1EBA43BD"/>
    <w:rsid w:val="1EC62CFC"/>
    <w:rsid w:val="1EC77D1C"/>
    <w:rsid w:val="1ED427AF"/>
    <w:rsid w:val="1EE97F69"/>
    <w:rsid w:val="1EF8768B"/>
    <w:rsid w:val="1EFE0898"/>
    <w:rsid w:val="1F023461"/>
    <w:rsid w:val="1F163863"/>
    <w:rsid w:val="1F2606C9"/>
    <w:rsid w:val="1F45764F"/>
    <w:rsid w:val="1FA87D69"/>
    <w:rsid w:val="1FC8213C"/>
    <w:rsid w:val="1FCD4AC7"/>
    <w:rsid w:val="1FD004D6"/>
    <w:rsid w:val="1FD71EE4"/>
    <w:rsid w:val="1FDB01F0"/>
    <w:rsid w:val="1FE020B2"/>
    <w:rsid w:val="1FE44FB8"/>
    <w:rsid w:val="1FE52878"/>
    <w:rsid w:val="1FFF1903"/>
    <w:rsid w:val="205857D3"/>
    <w:rsid w:val="206273A1"/>
    <w:rsid w:val="207F7592"/>
    <w:rsid w:val="20812DAB"/>
    <w:rsid w:val="20872DD7"/>
    <w:rsid w:val="208D4D36"/>
    <w:rsid w:val="209669ED"/>
    <w:rsid w:val="20E1766D"/>
    <w:rsid w:val="20ED6786"/>
    <w:rsid w:val="20FA1D3C"/>
    <w:rsid w:val="212E2ABC"/>
    <w:rsid w:val="213071CC"/>
    <w:rsid w:val="21354BB2"/>
    <w:rsid w:val="21477C95"/>
    <w:rsid w:val="21497A1F"/>
    <w:rsid w:val="214B0BE8"/>
    <w:rsid w:val="215841D4"/>
    <w:rsid w:val="215D120D"/>
    <w:rsid w:val="21660F16"/>
    <w:rsid w:val="21680C2C"/>
    <w:rsid w:val="21943BB5"/>
    <w:rsid w:val="21A06EFB"/>
    <w:rsid w:val="21CF2F78"/>
    <w:rsid w:val="224824A4"/>
    <w:rsid w:val="22485207"/>
    <w:rsid w:val="224B3AB2"/>
    <w:rsid w:val="225D48A8"/>
    <w:rsid w:val="227203F4"/>
    <w:rsid w:val="2288732C"/>
    <w:rsid w:val="228F6BE4"/>
    <w:rsid w:val="22B92560"/>
    <w:rsid w:val="22DA006C"/>
    <w:rsid w:val="22DE0AC1"/>
    <w:rsid w:val="22E038A8"/>
    <w:rsid w:val="22E842F8"/>
    <w:rsid w:val="22F51784"/>
    <w:rsid w:val="23186BA8"/>
    <w:rsid w:val="233D76C2"/>
    <w:rsid w:val="234B02E1"/>
    <w:rsid w:val="23736168"/>
    <w:rsid w:val="238567F7"/>
    <w:rsid w:val="23904AA8"/>
    <w:rsid w:val="2393758A"/>
    <w:rsid w:val="239A5DD9"/>
    <w:rsid w:val="239E2638"/>
    <w:rsid w:val="23AA0F19"/>
    <w:rsid w:val="23B919EA"/>
    <w:rsid w:val="23D05B61"/>
    <w:rsid w:val="23F2081B"/>
    <w:rsid w:val="240416F6"/>
    <w:rsid w:val="24045E17"/>
    <w:rsid w:val="2414719F"/>
    <w:rsid w:val="24206978"/>
    <w:rsid w:val="242D39CB"/>
    <w:rsid w:val="245550DC"/>
    <w:rsid w:val="245F0D02"/>
    <w:rsid w:val="24715695"/>
    <w:rsid w:val="24833BF5"/>
    <w:rsid w:val="24CF1AB2"/>
    <w:rsid w:val="24D70D55"/>
    <w:rsid w:val="250635BD"/>
    <w:rsid w:val="25146982"/>
    <w:rsid w:val="253B2A46"/>
    <w:rsid w:val="25531711"/>
    <w:rsid w:val="25716782"/>
    <w:rsid w:val="25A305A7"/>
    <w:rsid w:val="25AC3A97"/>
    <w:rsid w:val="25C81899"/>
    <w:rsid w:val="25ED0B76"/>
    <w:rsid w:val="25F770F5"/>
    <w:rsid w:val="25FD588D"/>
    <w:rsid w:val="262212FA"/>
    <w:rsid w:val="26381818"/>
    <w:rsid w:val="26492361"/>
    <w:rsid w:val="26555C7B"/>
    <w:rsid w:val="265F70F2"/>
    <w:rsid w:val="266D32A3"/>
    <w:rsid w:val="26742C3A"/>
    <w:rsid w:val="26CD180D"/>
    <w:rsid w:val="26DE517F"/>
    <w:rsid w:val="26E00B39"/>
    <w:rsid w:val="26F836DA"/>
    <w:rsid w:val="27004270"/>
    <w:rsid w:val="270159B7"/>
    <w:rsid w:val="270401C4"/>
    <w:rsid w:val="27283C0C"/>
    <w:rsid w:val="274074C4"/>
    <w:rsid w:val="27505F57"/>
    <w:rsid w:val="275B5E4A"/>
    <w:rsid w:val="276929CA"/>
    <w:rsid w:val="27C25CE5"/>
    <w:rsid w:val="27DB4187"/>
    <w:rsid w:val="27F85062"/>
    <w:rsid w:val="27FE397E"/>
    <w:rsid w:val="280D3A5B"/>
    <w:rsid w:val="281F67E5"/>
    <w:rsid w:val="28242C1A"/>
    <w:rsid w:val="28243F03"/>
    <w:rsid w:val="28393B99"/>
    <w:rsid w:val="28415834"/>
    <w:rsid w:val="286263F4"/>
    <w:rsid w:val="2877729A"/>
    <w:rsid w:val="288105AA"/>
    <w:rsid w:val="288B3682"/>
    <w:rsid w:val="288E0B23"/>
    <w:rsid w:val="288F78F6"/>
    <w:rsid w:val="28990610"/>
    <w:rsid w:val="28A977E0"/>
    <w:rsid w:val="28BE7040"/>
    <w:rsid w:val="28F15548"/>
    <w:rsid w:val="28F82906"/>
    <w:rsid w:val="29127C00"/>
    <w:rsid w:val="29345D12"/>
    <w:rsid w:val="2946107F"/>
    <w:rsid w:val="29486A8A"/>
    <w:rsid w:val="294D068B"/>
    <w:rsid w:val="29797537"/>
    <w:rsid w:val="29B32CEC"/>
    <w:rsid w:val="29B54992"/>
    <w:rsid w:val="29C0377A"/>
    <w:rsid w:val="29CA0F4A"/>
    <w:rsid w:val="29E07030"/>
    <w:rsid w:val="29ED081B"/>
    <w:rsid w:val="2A3E2EDC"/>
    <w:rsid w:val="2A463E94"/>
    <w:rsid w:val="2A5557CE"/>
    <w:rsid w:val="2A7A3222"/>
    <w:rsid w:val="2A82756D"/>
    <w:rsid w:val="2AA575C6"/>
    <w:rsid w:val="2AAF0728"/>
    <w:rsid w:val="2AB114F9"/>
    <w:rsid w:val="2AC20744"/>
    <w:rsid w:val="2AE57327"/>
    <w:rsid w:val="2AFD36A6"/>
    <w:rsid w:val="2B076E6C"/>
    <w:rsid w:val="2B121C08"/>
    <w:rsid w:val="2B216156"/>
    <w:rsid w:val="2B2A4F03"/>
    <w:rsid w:val="2B5228BA"/>
    <w:rsid w:val="2B717062"/>
    <w:rsid w:val="2B9A404C"/>
    <w:rsid w:val="2BA73628"/>
    <w:rsid w:val="2BA9191B"/>
    <w:rsid w:val="2BAF0E9D"/>
    <w:rsid w:val="2BC508AC"/>
    <w:rsid w:val="2BD64106"/>
    <w:rsid w:val="2BF849B7"/>
    <w:rsid w:val="2C091A5B"/>
    <w:rsid w:val="2C0D6BDA"/>
    <w:rsid w:val="2C4B48BD"/>
    <w:rsid w:val="2C6A2F97"/>
    <w:rsid w:val="2C7543CA"/>
    <w:rsid w:val="2C772EFD"/>
    <w:rsid w:val="2C8420B1"/>
    <w:rsid w:val="2C89347D"/>
    <w:rsid w:val="2C97123A"/>
    <w:rsid w:val="2CA07A09"/>
    <w:rsid w:val="2CAA47DD"/>
    <w:rsid w:val="2CB657D0"/>
    <w:rsid w:val="2CC45F91"/>
    <w:rsid w:val="2CFA1C62"/>
    <w:rsid w:val="2CFB0817"/>
    <w:rsid w:val="2CFD518B"/>
    <w:rsid w:val="2D026A49"/>
    <w:rsid w:val="2D11785C"/>
    <w:rsid w:val="2D1800CC"/>
    <w:rsid w:val="2D1A29C4"/>
    <w:rsid w:val="2D1E563E"/>
    <w:rsid w:val="2D2959EA"/>
    <w:rsid w:val="2D3E6584"/>
    <w:rsid w:val="2D4D4D27"/>
    <w:rsid w:val="2D630B25"/>
    <w:rsid w:val="2D6A0246"/>
    <w:rsid w:val="2D70770E"/>
    <w:rsid w:val="2D782279"/>
    <w:rsid w:val="2D9E72A5"/>
    <w:rsid w:val="2DAD365B"/>
    <w:rsid w:val="2DD25ACE"/>
    <w:rsid w:val="2DF541FC"/>
    <w:rsid w:val="2E131FC4"/>
    <w:rsid w:val="2E1E5264"/>
    <w:rsid w:val="2E205B84"/>
    <w:rsid w:val="2E293CBF"/>
    <w:rsid w:val="2E2F3CBA"/>
    <w:rsid w:val="2E392178"/>
    <w:rsid w:val="2E4E0A9D"/>
    <w:rsid w:val="2E4F5943"/>
    <w:rsid w:val="2E565616"/>
    <w:rsid w:val="2E5B523F"/>
    <w:rsid w:val="2E5E66B3"/>
    <w:rsid w:val="2E672177"/>
    <w:rsid w:val="2E686F70"/>
    <w:rsid w:val="2E6D6929"/>
    <w:rsid w:val="2E8A7C0F"/>
    <w:rsid w:val="2E8F0968"/>
    <w:rsid w:val="2E94694F"/>
    <w:rsid w:val="2E996201"/>
    <w:rsid w:val="2EB42282"/>
    <w:rsid w:val="2EC2397A"/>
    <w:rsid w:val="2EEC7E56"/>
    <w:rsid w:val="2F2D13F5"/>
    <w:rsid w:val="2F336B1C"/>
    <w:rsid w:val="2F352089"/>
    <w:rsid w:val="2F3E3B9C"/>
    <w:rsid w:val="2F585383"/>
    <w:rsid w:val="2F911A76"/>
    <w:rsid w:val="2F926211"/>
    <w:rsid w:val="2F937722"/>
    <w:rsid w:val="2FB24752"/>
    <w:rsid w:val="2FDC1D7C"/>
    <w:rsid w:val="300F4760"/>
    <w:rsid w:val="301F47E0"/>
    <w:rsid w:val="305E406C"/>
    <w:rsid w:val="3073660C"/>
    <w:rsid w:val="30866664"/>
    <w:rsid w:val="308E6395"/>
    <w:rsid w:val="30AF3AD6"/>
    <w:rsid w:val="30B505AC"/>
    <w:rsid w:val="30C05DCA"/>
    <w:rsid w:val="31055DD2"/>
    <w:rsid w:val="310811F4"/>
    <w:rsid w:val="3110443F"/>
    <w:rsid w:val="31105507"/>
    <w:rsid w:val="3146701C"/>
    <w:rsid w:val="31516424"/>
    <w:rsid w:val="315313C0"/>
    <w:rsid w:val="31571525"/>
    <w:rsid w:val="315A5B65"/>
    <w:rsid w:val="31644DC7"/>
    <w:rsid w:val="31787388"/>
    <w:rsid w:val="318871C7"/>
    <w:rsid w:val="31961DE3"/>
    <w:rsid w:val="31A07827"/>
    <w:rsid w:val="31BF4D91"/>
    <w:rsid w:val="31C51A94"/>
    <w:rsid w:val="32006057"/>
    <w:rsid w:val="32213F9E"/>
    <w:rsid w:val="32245DE8"/>
    <w:rsid w:val="3227065D"/>
    <w:rsid w:val="322A359A"/>
    <w:rsid w:val="323912EB"/>
    <w:rsid w:val="324C3F73"/>
    <w:rsid w:val="32947A47"/>
    <w:rsid w:val="3295456F"/>
    <w:rsid w:val="329A2618"/>
    <w:rsid w:val="329F3EC1"/>
    <w:rsid w:val="32C82E89"/>
    <w:rsid w:val="32D85DFD"/>
    <w:rsid w:val="32DF09F4"/>
    <w:rsid w:val="32E14277"/>
    <w:rsid w:val="32E51354"/>
    <w:rsid w:val="32F960DF"/>
    <w:rsid w:val="330E696C"/>
    <w:rsid w:val="3321502F"/>
    <w:rsid w:val="33356AEE"/>
    <w:rsid w:val="3340309A"/>
    <w:rsid w:val="336319A0"/>
    <w:rsid w:val="337C49B5"/>
    <w:rsid w:val="33883F5A"/>
    <w:rsid w:val="33A63F2D"/>
    <w:rsid w:val="33A85B96"/>
    <w:rsid w:val="33AE4BCE"/>
    <w:rsid w:val="33CB79B4"/>
    <w:rsid w:val="33D91096"/>
    <w:rsid w:val="33DC213E"/>
    <w:rsid w:val="33EB56E6"/>
    <w:rsid w:val="33FF46B6"/>
    <w:rsid w:val="34362B89"/>
    <w:rsid w:val="344B39AD"/>
    <w:rsid w:val="3450770A"/>
    <w:rsid w:val="345F09AA"/>
    <w:rsid w:val="346872B6"/>
    <w:rsid w:val="34706916"/>
    <w:rsid w:val="347C2924"/>
    <w:rsid w:val="348E36D4"/>
    <w:rsid w:val="34A60593"/>
    <w:rsid w:val="34C76839"/>
    <w:rsid w:val="34C80180"/>
    <w:rsid w:val="34D11C6E"/>
    <w:rsid w:val="34D26244"/>
    <w:rsid w:val="34D8763E"/>
    <w:rsid w:val="34DC6EDD"/>
    <w:rsid w:val="34E17A39"/>
    <w:rsid w:val="34F6588C"/>
    <w:rsid w:val="34F9365E"/>
    <w:rsid w:val="350343F4"/>
    <w:rsid w:val="350602D2"/>
    <w:rsid w:val="350E6F62"/>
    <w:rsid w:val="35114308"/>
    <w:rsid w:val="35140E8D"/>
    <w:rsid w:val="351B4C5D"/>
    <w:rsid w:val="35207F4E"/>
    <w:rsid w:val="352859EF"/>
    <w:rsid w:val="35456A7B"/>
    <w:rsid w:val="35575A24"/>
    <w:rsid w:val="357B68D1"/>
    <w:rsid w:val="35821EB0"/>
    <w:rsid w:val="359C0412"/>
    <w:rsid w:val="35B67C8E"/>
    <w:rsid w:val="35C626FB"/>
    <w:rsid w:val="35D948BD"/>
    <w:rsid w:val="35DB218F"/>
    <w:rsid w:val="36075C2E"/>
    <w:rsid w:val="360B56A9"/>
    <w:rsid w:val="36142768"/>
    <w:rsid w:val="36461D43"/>
    <w:rsid w:val="365474C0"/>
    <w:rsid w:val="365E2687"/>
    <w:rsid w:val="36613863"/>
    <w:rsid w:val="3670681A"/>
    <w:rsid w:val="367638B0"/>
    <w:rsid w:val="36771178"/>
    <w:rsid w:val="367B4932"/>
    <w:rsid w:val="368E7C57"/>
    <w:rsid w:val="369861B3"/>
    <w:rsid w:val="36AF14C3"/>
    <w:rsid w:val="36CA4E95"/>
    <w:rsid w:val="36D01AEC"/>
    <w:rsid w:val="36DC2FD9"/>
    <w:rsid w:val="36EC3E34"/>
    <w:rsid w:val="3715799B"/>
    <w:rsid w:val="371671C1"/>
    <w:rsid w:val="37176C73"/>
    <w:rsid w:val="371C7B43"/>
    <w:rsid w:val="372001BD"/>
    <w:rsid w:val="372F6533"/>
    <w:rsid w:val="37547E25"/>
    <w:rsid w:val="375769AB"/>
    <w:rsid w:val="375D7FD1"/>
    <w:rsid w:val="375F5F89"/>
    <w:rsid w:val="37913323"/>
    <w:rsid w:val="379C0FD9"/>
    <w:rsid w:val="37A20EC6"/>
    <w:rsid w:val="37A24C1D"/>
    <w:rsid w:val="37B60B77"/>
    <w:rsid w:val="37BD5D50"/>
    <w:rsid w:val="37E84615"/>
    <w:rsid w:val="37FE778C"/>
    <w:rsid w:val="381D7E33"/>
    <w:rsid w:val="38324F4C"/>
    <w:rsid w:val="38397315"/>
    <w:rsid w:val="383F24B0"/>
    <w:rsid w:val="38502AA8"/>
    <w:rsid w:val="38533B8A"/>
    <w:rsid w:val="385914B3"/>
    <w:rsid w:val="387D26D7"/>
    <w:rsid w:val="38A207CA"/>
    <w:rsid w:val="38B47986"/>
    <w:rsid w:val="38DF4812"/>
    <w:rsid w:val="38F75F00"/>
    <w:rsid w:val="38FC556E"/>
    <w:rsid w:val="3928690E"/>
    <w:rsid w:val="392A431D"/>
    <w:rsid w:val="394E38BC"/>
    <w:rsid w:val="39812C1D"/>
    <w:rsid w:val="39826242"/>
    <w:rsid w:val="39863EDF"/>
    <w:rsid w:val="39933382"/>
    <w:rsid w:val="39B651C8"/>
    <w:rsid w:val="39DE2512"/>
    <w:rsid w:val="39FE1E29"/>
    <w:rsid w:val="3A0B2595"/>
    <w:rsid w:val="3A123CE6"/>
    <w:rsid w:val="3A2C3B98"/>
    <w:rsid w:val="3A416211"/>
    <w:rsid w:val="3A526F22"/>
    <w:rsid w:val="3A55514C"/>
    <w:rsid w:val="3A5C47FE"/>
    <w:rsid w:val="3A6818FD"/>
    <w:rsid w:val="3A770E01"/>
    <w:rsid w:val="3A8F4C4B"/>
    <w:rsid w:val="3AA013BD"/>
    <w:rsid w:val="3AAD1485"/>
    <w:rsid w:val="3AC41B0A"/>
    <w:rsid w:val="3AF972C4"/>
    <w:rsid w:val="3B2C50DC"/>
    <w:rsid w:val="3B3A19B3"/>
    <w:rsid w:val="3B607E2A"/>
    <w:rsid w:val="3B72151C"/>
    <w:rsid w:val="3B747E1B"/>
    <w:rsid w:val="3B780EC2"/>
    <w:rsid w:val="3B7D1ED4"/>
    <w:rsid w:val="3BA7005C"/>
    <w:rsid w:val="3BB261A0"/>
    <w:rsid w:val="3BC540E7"/>
    <w:rsid w:val="3BF20FF4"/>
    <w:rsid w:val="3C1A0EDA"/>
    <w:rsid w:val="3C20326E"/>
    <w:rsid w:val="3C247BF0"/>
    <w:rsid w:val="3C2E7CE0"/>
    <w:rsid w:val="3C43100D"/>
    <w:rsid w:val="3C647F8E"/>
    <w:rsid w:val="3C6C0350"/>
    <w:rsid w:val="3C6E2D41"/>
    <w:rsid w:val="3C6F0680"/>
    <w:rsid w:val="3C721D88"/>
    <w:rsid w:val="3C825B04"/>
    <w:rsid w:val="3C932C60"/>
    <w:rsid w:val="3CA079BD"/>
    <w:rsid w:val="3CB54628"/>
    <w:rsid w:val="3CB74644"/>
    <w:rsid w:val="3CB904A3"/>
    <w:rsid w:val="3CD1480D"/>
    <w:rsid w:val="3CD73BE2"/>
    <w:rsid w:val="3CF50AC3"/>
    <w:rsid w:val="3CFA171A"/>
    <w:rsid w:val="3CFD5C66"/>
    <w:rsid w:val="3D1E2D0B"/>
    <w:rsid w:val="3D5417DC"/>
    <w:rsid w:val="3D70450B"/>
    <w:rsid w:val="3D753D46"/>
    <w:rsid w:val="3D7A1A13"/>
    <w:rsid w:val="3D800EAE"/>
    <w:rsid w:val="3D87580B"/>
    <w:rsid w:val="3DA97854"/>
    <w:rsid w:val="3DD526B0"/>
    <w:rsid w:val="3DEC0080"/>
    <w:rsid w:val="3E0B30E3"/>
    <w:rsid w:val="3E131D07"/>
    <w:rsid w:val="3E270C45"/>
    <w:rsid w:val="3E2F28F2"/>
    <w:rsid w:val="3E37627E"/>
    <w:rsid w:val="3E756764"/>
    <w:rsid w:val="3E7D29B0"/>
    <w:rsid w:val="3E8A7259"/>
    <w:rsid w:val="3EA72D51"/>
    <w:rsid w:val="3EAB6930"/>
    <w:rsid w:val="3EB110B9"/>
    <w:rsid w:val="3EC83E70"/>
    <w:rsid w:val="3EE07F70"/>
    <w:rsid w:val="3F326B76"/>
    <w:rsid w:val="3F400915"/>
    <w:rsid w:val="3F4F147D"/>
    <w:rsid w:val="3F585171"/>
    <w:rsid w:val="3F5A2328"/>
    <w:rsid w:val="3F6650D5"/>
    <w:rsid w:val="3F747BEF"/>
    <w:rsid w:val="3FA52D38"/>
    <w:rsid w:val="3FA5784B"/>
    <w:rsid w:val="3FB37414"/>
    <w:rsid w:val="3FBA5C1E"/>
    <w:rsid w:val="3FCC24A4"/>
    <w:rsid w:val="40084668"/>
    <w:rsid w:val="400D2C11"/>
    <w:rsid w:val="400F25E7"/>
    <w:rsid w:val="401C3696"/>
    <w:rsid w:val="40241CB5"/>
    <w:rsid w:val="40450F12"/>
    <w:rsid w:val="404A3EAF"/>
    <w:rsid w:val="404E1BD0"/>
    <w:rsid w:val="405A1195"/>
    <w:rsid w:val="40810954"/>
    <w:rsid w:val="40E30F89"/>
    <w:rsid w:val="40E50298"/>
    <w:rsid w:val="40EA1433"/>
    <w:rsid w:val="410D4A7D"/>
    <w:rsid w:val="410F2778"/>
    <w:rsid w:val="41131A94"/>
    <w:rsid w:val="41221A01"/>
    <w:rsid w:val="412543F8"/>
    <w:rsid w:val="412A53DA"/>
    <w:rsid w:val="41344038"/>
    <w:rsid w:val="41572D21"/>
    <w:rsid w:val="41587EBC"/>
    <w:rsid w:val="415D489E"/>
    <w:rsid w:val="41654409"/>
    <w:rsid w:val="41693F0D"/>
    <w:rsid w:val="418D1978"/>
    <w:rsid w:val="419760D3"/>
    <w:rsid w:val="41A012A0"/>
    <w:rsid w:val="41AA3914"/>
    <w:rsid w:val="41B76BF2"/>
    <w:rsid w:val="41C544D0"/>
    <w:rsid w:val="41D43BD5"/>
    <w:rsid w:val="41EB68EA"/>
    <w:rsid w:val="420B418A"/>
    <w:rsid w:val="42113C00"/>
    <w:rsid w:val="421165F8"/>
    <w:rsid w:val="422966BF"/>
    <w:rsid w:val="422D6C24"/>
    <w:rsid w:val="423A66C3"/>
    <w:rsid w:val="424D601B"/>
    <w:rsid w:val="424E361B"/>
    <w:rsid w:val="425D0B81"/>
    <w:rsid w:val="4260108B"/>
    <w:rsid w:val="42681538"/>
    <w:rsid w:val="42686235"/>
    <w:rsid w:val="426F3BAF"/>
    <w:rsid w:val="427A30F2"/>
    <w:rsid w:val="427E0663"/>
    <w:rsid w:val="427E3557"/>
    <w:rsid w:val="428E665C"/>
    <w:rsid w:val="42B7710B"/>
    <w:rsid w:val="42BF3503"/>
    <w:rsid w:val="42C7572C"/>
    <w:rsid w:val="42DE4F34"/>
    <w:rsid w:val="42E22E0D"/>
    <w:rsid w:val="42FE4A63"/>
    <w:rsid w:val="43000914"/>
    <w:rsid w:val="43004E28"/>
    <w:rsid w:val="430E716F"/>
    <w:rsid w:val="431C4F9D"/>
    <w:rsid w:val="432E4B46"/>
    <w:rsid w:val="43341B49"/>
    <w:rsid w:val="434E0945"/>
    <w:rsid w:val="434F474A"/>
    <w:rsid w:val="43671119"/>
    <w:rsid w:val="43676F5C"/>
    <w:rsid w:val="43873AC4"/>
    <w:rsid w:val="438F2875"/>
    <w:rsid w:val="43A1162E"/>
    <w:rsid w:val="43A21BAE"/>
    <w:rsid w:val="43B4365D"/>
    <w:rsid w:val="43B83A52"/>
    <w:rsid w:val="43B9492D"/>
    <w:rsid w:val="43BA1B89"/>
    <w:rsid w:val="43CC39E1"/>
    <w:rsid w:val="43CF3214"/>
    <w:rsid w:val="4408325E"/>
    <w:rsid w:val="44312234"/>
    <w:rsid w:val="443A5DF4"/>
    <w:rsid w:val="445001BD"/>
    <w:rsid w:val="445219B8"/>
    <w:rsid w:val="445B6F9F"/>
    <w:rsid w:val="44725475"/>
    <w:rsid w:val="44734DF7"/>
    <w:rsid w:val="44735F42"/>
    <w:rsid w:val="44753FB5"/>
    <w:rsid w:val="447E146C"/>
    <w:rsid w:val="4496629B"/>
    <w:rsid w:val="449D411E"/>
    <w:rsid w:val="44A03B7E"/>
    <w:rsid w:val="44AC3CA0"/>
    <w:rsid w:val="44AD6682"/>
    <w:rsid w:val="44BF1A8D"/>
    <w:rsid w:val="44C80FAF"/>
    <w:rsid w:val="44EC5121"/>
    <w:rsid w:val="44F25D97"/>
    <w:rsid w:val="44FC2B6F"/>
    <w:rsid w:val="45026C93"/>
    <w:rsid w:val="450D0750"/>
    <w:rsid w:val="451A4FB9"/>
    <w:rsid w:val="45237CFA"/>
    <w:rsid w:val="45284049"/>
    <w:rsid w:val="452841C7"/>
    <w:rsid w:val="45370A42"/>
    <w:rsid w:val="4547222F"/>
    <w:rsid w:val="456F254A"/>
    <w:rsid w:val="457431A1"/>
    <w:rsid w:val="457D2B3F"/>
    <w:rsid w:val="457D424A"/>
    <w:rsid w:val="45844045"/>
    <w:rsid w:val="458D55F9"/>
    <w:rsid w:val="459323C7"/>
    <w:rsid w:val="45B45440"/>
    <w:rsid w:val="45C97574"/>
    <w:rsid w:val="45D03541"/>
    <w:rsid w:val="45E869AE"/>
    <w:rsid w:val="45F60ADB"/>
    <w:rsid w:val="4609779A"/>
    <w:rsid w:val="4620048A"/>
    <w:rsid w:val="4622127E"/>
    <w:rsid w:val="46241A8E"/>
    <w:rsid w:val="46271D15"/>
    <w:rsid w:val="46355652"/>
    <w:rsid w:val="465B26EB"/>
    <w:rsid w:val="466131C3"/>
    <w:rsid w:val="46677182"/>
    <w:rsid w:val="46706C42"/>
    <w:rsid w:val="46710E53"/>
    <w:rsid w:val="46A86710"/>
    <w:rsid w:val="46B02191"/>
    <w:rsid w:val="46B74F01"/>
    <w:rsid w:val="46B94BF0"/>
    <w:rsid w:val="46CE2EF9"/>
    <w:rsid w:val="46DB383E"/>
    <w:rsid w:val="46E76F39"/>
    <w:rsid w:val="46EF517D"/>
    <w:rsid w:val="47022357"/>
    <w:rsid w:val="47123363"/>
    <w:rsid w:val="4716454C"/>
    <w:rsid w:val="471A5084"/>
    <w:rsid w:val="471D6019"/>
    <w:rsid w:val="47267848"/>
    <w:rsid w:val="475501F0"/>
    <w:rsid w:val="47564DDB"/>
    <w:rsid w:val="475957C8"/>
    <w:rsid w:val="476E03E7"/>
    <w:rsid w:val="479942A7"/>
    <w:rsid w:val="47BE06F9"/>
    <w:rsid w:val="47CF5561"/>
    <w:rsid w:val="47DF74C5"/>
    <w:rsid w:val="47E3393D"/>
    <w:rsid w:val="47EC2730"/>
    <w:rsid w:val="47F545CC"/>
    <w:rsid w:val="482F157D"/>
    <w:rsid w:val="482F3B09"/>
    <w:rsid w:val="483E1966"/>
    <w:rsid w:val="483E5BCF"/>
    <w:rsid w:val="4846234A"/>
    <w:rsid w:val="48523B9C"/>
    <w:rsid w:val="48621CD0"/>
    <w:rsid w:val="48623DCA"/>
    <w:rsid w:val="487E41DE"/>
    <w:rsid w:val="487F05E2"/>
    <w:rsid w:val="48806C89"/>
    <w:rsid w:val="48937100"/>
    <w:rsid w:val="48B30F2A"/>
    <w:rsid w:val="48B438E9"/>
    <w:rsid w:val="48B5703D"/>
    <w:rsid w:val="48BE7760"/>
    <w:rsid w:val="48C93697"/>
    <w:rsid w:val="48CE049E"/>
    <w:rsid w:val="48E3268E"/>
    <w:rsid w:val="49046A95"/>
    <w:rsid w:val="490A2D05"/>
    <w:rsid w:val="490C332F"/>
    <w:rsid w:val="491A1715"/>
    <w:rsid w:val="49380C07"/>
    <w:rsid w:val="495D5FC7"/>
    <w:rsid w:val="495E1CA0"/>
    <w:rsid w:val="49686B0C"/>
    <w:rsid w:val="49737525"/>
    <w:rsid w:val="497D08E1"/>
    <w:rsid w:val="498634BF"/>
    <w:rsid w:val="49963205"/>
    <w:rsid w:val="49977033"/>
    <w:rsid w:val="499E2BDC"/>
    <w:rsid w:val="49AA50CD"/>
    <w:rsid w:val="49B43066"/>
    <w:rsid w:val="49B74EC3"/>
    <w:rsid w:val="49B86CF8"/>
    <w:rsid w:val="49BF257E"/>
    <w:rsid w:val="49BF4150"/>
    <w:rsid w:val="49D95000"/>
    <w:rsid w:val="49DA4040"/>
    <w:rsid w:val="49EC2D3C"/>
    <w:rsid w:val="49F64584"/>
    <w:rsid w:val="4A127A35"/>
    <w:rsid w:val="4A151B87"/>
    <w:rsid w:val="4A197940"/>
    <w:rsid w:val="4A1C111F"/>
    <w:rsid w:val="4A463884"/>
    <w:rsid w:val="4A556746"/>
    <w:rsid w:val="4A674406"/>
    <w:rsid w:val="4A781DD3"/>
    <w:rsid w:val="4A81313B"/>
    <w:rsid w:val="4A904077"/>
    <w:rsid w:val="4A9049D4"/>
    <w:rsid w:val="4A912091"/>
    <w:rsid w:val="4AA76FC7"/>
    <w:rsid w:val="4AB150D0"/>
    <w:rsid w:val="4AB9272A"/>
    <w:rsid w:val="4ACA7279"/>
    <w:rsid w:val="4AE11890"/>
    <w:rsid w:val="4AEE1074"/>
    <w:rsid w:val="4B0B2058"/>
    <w:rsid w:val="4B3506AB"/>
    <w:rsid w:val="4B4F5E76"/>
    <w:rsid w:val="4B626305"/>
    <w:rsid w:val="4B796FBD"/>
    <w:rsid w:val="4B9307B0"/>
    <w:rsid w:val="4B934E49"/>
    <w:rsid w:val="4B9A3B87"/>
    <w:rsid w:val="4BB30987"/>
    <w:rsid w:val="4BC26530"/>
    <w:rsid w:val="4BD71601"/>
    <w:rsid w:val="4BD770CD"/>
    <w:rsid w:val="4BDD084D"/>
    <w:rsid w:val="4C0A367B"/>
    <w:rsid w:val="4C13651C"/>
    <w:rsid w:val="4C350214"/>
    <w:rsid w:val="4C461C08"/>
    <w:rsid w:val="4C485B9B"/>
    <w:rsid w:val="4C53187D"/>
    <w:rsid w:val="4C7D6336"/>
    <w:rsid w:val="4C86213D"/>
    <w:rsid w:val="4C8F6D82"/>
    <w:rsid w:val="4C9A6E0B"/>
    <w:rsid w:val="4CAE2B8E"/>
    <w:rsid w:val="4CC979CE"/>
    <w:rsid w:val="4CD00714"/>
    <w:rsid w:val="4CE9499C"/>
    <w:rsid w:val="4CED3FBB"/>
    <w:rsid w:val="4D0456B9"/>
    <w:rsid w:val="4D1314C4"/>
    <w:rsid w:val="4D2416BC"/>
    <w:rsid w:val="4D270CED"/>
    <w:rsid w:val="4D2C6A18"/>
    <w:rsid w:val="4D50552E"/>
    <w:rsid w:val="4D5837D3"/>
    <w:rsid w:val="4D727189"/>
    <w:rsid w:val="4D735FE4"/>
    <w:rsid w:val="4DDB3AA3"/>
    <w:rsid w:val="4DE4320C"/>
    <w:rsid w:val="4DE914D7"/>
    <w:rsid w:val="4DF56303"/>
    <w:rsid w:val="4E047814"/>
    <w:rsid w:val="4E086092"/>
    <w:rsid w:val="4E0B3FC1"/>
    <w:rsid w:val="4E0B4427"/>
    <w:rsid w:val="4E1B3F8C"/>
    <w:rsid w:val="4E4D2F55"/>
    <w:rsid w:val="4E517991"/>
    <w:rsid w:val="4E590917"/>
    <w:rsid w:val="4E68512B"/>
    <w:rsid w:val="4E6C1811"/>
    <w:rsid w:val="4E714B54"/>
    <w:rsid w:val="4E8F3225"/>
    <w:rsid w:val="4E927645"/>
    <w:rsid w:val="4E9D6F47"/>
    <w:rsid w:val="4EAD253A"/>
    <w:rsid w:val="4EB1202A"/>
    <w:rsid w:val="4EBF1976"/>
    <w:rsid w:val="4ED35CAC"/>
    <w:rsid w:val="4EF03C8D"/>
    <w:rsid w:val="4EF42B08"/>
    <w:rsid w:val="4EF90315"/>
    <w:rsid w:val="4EFC3016"/>
    <w:rsid w:val="4EFF2D08"/>
    <w:rsid w:val="4F131143"/>
    <w:rsid w:val="4F20225C"/>
    <w:rsid w:val="4F285F10"/>
    <w:rsid w:val="4F2A0B38"/>
    <w:rsid w:val="4F2A3151"/>
    <w:rsid w:val="4F443D9E"/>
    <w:rsid w:val="4F4A3A39"/>
    <w:rsid w:val="4F5553FC"/>
    <w:rsid w:val="4F66021B"/>
    <w:rsid w:val="4F920B15"/>
    <w:rsid w:val="4F9D1552"/>
    <w:rsid w:val="4FBC1645"/>
    <w:rsid w:val="4FF202E0"/>
    <w:rsid w:val="4FF241D0"/>
    <w:rsid w:val="4FF44EA3"/>
    <w:rsid w:val="4FF556CC"/>
    <w:rsid w:val="4FFB50A4"/>
    <w:rsid w:val="501D1A3F"/>
    <w:rsid w:val="50254C74"/>
    <w:rsid w:val="503501C5"/>
    <w:rsid w:val="50454EDC"/>
    <w:rsid w:val="505359C6"/>
    <w:rsid w:val="50591E08"/>
    <w:rsid w:val="505B79B7"/>
    <w:rsid w:val="505D079B"/>
    <w:rsid w:val="50623DDB"/>
    <w:rsid w:val="506C3F4E"/>
    <w:rsid w:val="508070CA"/>
    <w:rsid w:val="508A63C5"/>
    <w:rsid w:val="50A94347"/>
    <w:rsid w:val="50AA7164"/>
    <w:rsid w:val="50BD245C"/>
    <w:rsid w:val="50CB534B"/>
    <w:rsid w:val="50DE24C3"/>
    <w:rsid w:val="50FF4DB0"/>
    <w:rsid w:val="5109756F"/>
    <w:rsid w:val="511A0E83"/>
    <w:rsid w:val="511B1B57"/>
    <w:rsid w:val="511F2164"/>
    <w:rsid w:val="51210238"/>
    <w:rsid w:val="512E7CBD"/>
    <w:rsid w:val="515238FD"/>
    <w:rsid w:val="51742637"/>
    <w:rsid w:val="5182271E"/>
    <w:rsid w:val="51850538"/>
    <w:rsid w:val="518818E0"/>
    <w:rsid w:val="51A7691A"/>
    <w:rsid w:val="51BD0FFB"/>
    <w:rsid w:val="51D74081"/>
    <w:rsid w:val="51EA0D4D"/>
    <w:rsid w:val="526228F6"/>
    <w:rsid w:val="52643C75"/>
    <w:rsid w:val="526F4367"/>
    <w:rsid w:val="52A010CD"/>
    <w:rsid w:val="52A614F0"/>
    <w:rsid w:val="52B13D23"/>
    <w:rsid w:val="52D44B5E"/>
    <w:rsid w:val="52E32D08"/>
    <w:rsid w:val="52E55361"/>
    <w:rsid w:val="52F12EF8"/>
    <w:rsid w:val="53067086"/>
    <w:rsid w:val="5316094D"/>
    <w:rsid w:val="534520C6"/>
    <w:rsid w:val="534C6893"/>
    <w:rsid w:val="536727E1"/>
    <w:rsid w:val="538847AA"/>
    <w:rsid w:val="53945B23"/>
    <w:rsid w:val="53AC3833"/>
    <w:rsid w:val="53BC2299"/>
    <w:rsid w:val="53C907B6"/>
    <w:rsid w:val="53DD141C"/>
    <w:rsid w:val="53DF0F63"/>
    <w:rsid w:val="54031CFF"/>
    <w:rsid w:val="54127A54"/>
    <w:rsid w:val="542565A3"/>
    <w:rsid w:val="542831E1"/>
    <w:rsid w:val="543511D8"/>
    <w:rsid w:val="54477C8E"/>
    <w:rsid w:val="544A66B0"/>
    <w:rsid w:val="544D09EC"/>
    <w:rsid w:val="54790488"/>
    <w:rsid w:val="548117F1"/>
    <w:rsid w:val="54B211B4"/>
    <w:rsid w:val="54D350E1"/>
    <w:rsid w:val="54DF2E25"/>
    <w:rsid w:val="54DF70B0"/>
    <w:rsid w:val="54E52B7D"/>
    <w:rsid w:val="54EC1044"/>
    <w:rsid w:val="54F33E2F"/>
    <w:rsid w:val="54FA45CE"/>
    <w:rsid w:val="55010A82"/>
    <w:rsid w:val="55284C74"/>
    <w:rsid w:val="55537D1C"/>
    <w:rsid w:val="555C5BC8"/>
    <w:rsid w:val="556C1687"/>
    <w:rsid w:val="558B7125"/>
    <w:rsid w:val="558F3855"/>
    <w:rsid w:val="55AA6D96"/>
    <w:rsid w:val="55D71CCB"/>
    <w:rsid w:val="560932FE"/>
    <w:rsid w:val="562D57EC"/>
    <w:rsid w:val="56456F9A"/>
    <w:rsid w:val="564C552B"/>
    <w:rsid w:val="56592240"/>
    <w:rsid w:val="566C5C8B"/>
    <w:rsid w:val="56801B57"/>
    <w:rsid w:val="568C6E54"/>
    <w:rsid w:val="56AF2220"/>
    <w:rsid w:val="56B42118"/>
    <w:rsid w:val="56B95C86"/>
    <w:rsid w:val="56BC58A0"/>
    <w:rsid w:val="56C85962"/>
    <w:rsid w:val="56CB6558"/>
    <w:rsid w:val="56D517EC"/>
    <w:rsid w:val="56DD104C"/>
    <w:rsid w:val="56F16A0E"/>
    <w:rsid w:val="56F62961"/>
    <w:rsid w:val="56F744DA"/>
    <w:rsid w:val="5712039B"/>
    <w:rsid w:val="571D0BA3"/>
    <w:rsid w:val="571E01F3"/>
    <w:rsid w:val="5732597E"/>
    <w:rsid w:val="573456B4"/>
    <w:rsid w:val="57431FCC"/>
    <w:rsid w:val="5751295E"/>
    <w:rsid w:val="57565C18"/>
    <w:rsid w:val="575868FE"/>
    <w:rsid w:val="57715B77"/>
    <w:rsid w:val="577537A2"/>
    <w:rsid w:val="577853FF"/>
    <w:rsid w:val="578D1FB9"/>
    <w:rsid w:val="578F1D36"/>
    <w:rsid w:val="57A30ABF"/>
    <w:rsid w:val="57A605D4"/>
    <w:rsid w:val="57B706B8"/>
    <w:rsid w:val="57BA33AE"/>
    <w:rsid w:val="57CA722A"/>
    <w:rsid w:val="57DC4B00"/>
    <w:rsid w:val="57DD30BC"/>
    <w:rsid w:val="57EF43B0"/>
    <w:rsid w:val="57F222AF"/>
    <w:rsid w:val="57F25417"/>
    <w:rsid w:val="57FA2E76"/>
    <w:rsid w:val="58273DDB"/>
    <w:rsid w:val="5832334B"/>
    <w:rsid w:val="584A2A31"/>
    <w:rsid w:val="585A1866"/>
    <w:rsid w:val="586B2328"/>
    <w:rsid w:val="58A10959"/>
    <w:rsid w:val="58B7799B"/>
    <w:rsid w:val="58BF1153"/>
    <w:rsid w:val="58CF54B1"/>
    <w:rsid w:val="58E13949"/>
    <w:rsid w:val="58ED12E5"/>
    <w:rsid w:val="59124C0F"/>
    <w:rsid w:val="59696FAE"/>
    <w:rsid w:val="59876438"/>
    <w:rsid w:val="599551CA"/>
    <w:rsid w:val="59AB3DF5"/>
    <w:rsid w:val="59CB7ECB"/>
    <w:rsid w:val="59D03023"/>
    <w:rsid w:val="59D1472B"/>
    <w:rsid w:val="59DC4EC9"/>
    <w:rsid w:val="59E30220"/>
    <w:rsid w:val="59F51ECF"/>
    <w:rsid w:val="59F679CA"/>
    <w:rsid w:val="5A1A570D"/>
    <w:rsid w:val="5A33685B"/>
    <w:rsid w:val="5A435A40"/>
    <w:rsid w:val="5A476C93"/>
    <w:rsid w:val="5A4954CB"/>
    <w:rsid w:val="5A4D7699"/>
    <w:rsid w:val="5A5410E6"/>
    <w:rsid w:val="5A5A4AEC"/>
    <w:rsid w:val="5A7F53D9"/>
    <w:rsid w:val="5A955BFE"/>
    <w:rsid w:val="5A9F206B"/>
    <w:rsid w:val="5AD8485D"/>
    <w:rsid w:val="5AF10A00"/>
    <w:rsid w:val="5AF20E08"/>
    <w:rsid w:val="5AF93832"/>
    <w:rsid w:val="5B085C65"/>
    <w:rsid w:val="5B1D145C"/>
    <w:rsid w:val="5B314ED9"/>
    <w:rsid w:val="5B375DE8"/>
    <w:rsid w:val="5B482BE1"/>
    <w:rsid w:val="5B5577D7"/>
    <w:rsid w:val="5B577157"/>
    <w:rsid w:val="5B754D1D"/>
    <w:rsid w:val="5B7A7429"/>
    <w:rsid w:val="5B843AF6"/>
    <w:rsid w:val="5B8B53C7"/>
    <w:rsid w:val="5BA63344"/>
    <w:rsid w:val="5BB93A02"/>
    <w:rsid w:val="5BD961E4"/>
    <w:rsid w:val="5BE45E4C"/>
    <w:rsid w:val="5BEC1382"/>
    <w:rsid w:val="5BF36C45"/>
    <w:rsid w:val="5BF97271"/>
    <w:rsid w:val="5BFD3F40"/>
    <w:rsid w:val="5C013D79"/>
    <w:rsid w:val="5C146A8F"/>
    <w:rsid w:val="5C24640F"/>
    <w:rsid w:val="5C4C5E1C"/>
    <w:rsid w:val="5C620FCA"/>
    <w:rsid w:val="5C682D52"/>
    <w:rsid w:val="5C6E0C99"/>
    <w:rsid w:val="5C870B70"/>
    <w:rsid w:val="5C9C42B1"/>
    <w:rsid w:val="5C9E74EA"/>
    <w:rsid w:val="5CA60F9F"/>
    <w:rsid w:val="5CA66E7D"/>
    <w:rsid w:val="5CA67A7B"/>
    <w:rsid w:val="5CCC17E1"/>
    <w:rsid w:val="5CE26C32"/>
    <w:rsid w:val="5CE502B9"/>
    <w:rsid w:val="5CF610E5"/>
    <w:rsid w:val="5D104C4F"/>
    <w:rsid w:val="5D2D7DD2"/>
    <w:rsid w:val="5D3E3935"/>
    <w:rsid w:val="5D45476D"/>
    <w:rsid w:val="5D496ABE"/>
    <w:rsid w:val="5D6261DC"/>
    <w:rsid w:val="5D66789D"/>
    <w:rsid w:val="5D7E7AA3"/>
    <w:rsid w:val="5D8A3E78"/>
    <w:rsid w:val="5D8B5AB6"/>
    <w:rsid w:val="5DAA1006"/>
    <w:rsid w:val="5DBD1B05"/>
    <w:rsid w:val="5DCF57BD"/>
    <w:rsid w:val="5DD17A70"/>
    <w:rsid w:val="5DD80C6D"/>
    <w:rsid w:val="5E0012B6"/>
    <w:rsid w:val="5E14415C"/>
    <w:rsid w:val="5E780C84"/>
    <w:rsid w:val="5E7F7AA8"/>
    <w:rsid w:val="5E9126B0"/>
    <w:rsid w:val="5EDB7024"/>
    <w:rsid w:val="5EE02E1A"/>
    <w:rsid w:val="5EEA2669"/>
    <w:rsid w:val="5EEB63B0"/>
    <w:rsid w:val="5EF61193"/>
    <w:rsid w:val="5F026B69"/>
    <w:rsid w:val="5F1D795F"/>
    <w:rsid w:val="5F201882"/>
    <w:rsid w:val="5F2C066A"/>
    <w:rsid w:val="5F333A03"/>
    <w:rsid w:val="5F370ADF"/>
    <w:rsid w:val="5F426212"/>
    <w:rsid w:val="5F5D3EC4"/>
    <w:rsid w:val="5F5F42A0"/>
    <w:rsid w:val="5FA02138"/>
    <w:rsid w:val="5FA833EA"/>
    <w:rsid w:val="5FCA0A1B"/>
    <w:rsid w:val="5FDE72A5"/>
    <w:rsid w:val="5FE55EA4"/>
    <w:rsid w:val="5FF9464B"/>
    <w:rsid w:val="5FFF6518"/>
    <w:rsid w:val="60067038"/>
    <w:rsid w:val="6025260A"/>
    <w:rsid w:val="60632DF8"/>
    <w:rsid w:val="606557DC"/>
    <w:rsid w:val="60702568"/>
    <w:rsid w:val="60831AB0"/>
    <w:rsid w:val="60860DBB"/>
    <w:rsid w:val="609122A6"/>
    <w:rsid w:val="60992005"/>
    <w:rsid w:val="60B50277"/>
    <w:rsid w:val="60C07DA0"/>
    <w:rsid w:val="60C23A01"/>
    <w:rsid w:val="60D1060D"/>
    <w:rsid w:val="60D33FAF"/>
    <w:rsid w:val="60E66A28"/>
    <w:rsid w:val="60F20CB6"/>
    <w:rsid w:val="60F67760"/>
    <w:rsid w:val="610C10C6"/>
    <w:rsid w:val="611F2643"/>
    <w:rsid w:val="612B494B"/>
    <w:rsid w:val="6139015C"/>
    <w:rsid w:val="61617872"/>
    <w:rsid w:val="616C26B9"/>
    <w:rsid w:val="6198452F"/>
    <w:rsid w:val="619F3786"/>
    <w:rsid w:val="61A858D7"/>
    <w:rsid w:val="61B817FA"/>
    <w:rsid w:val="61BD3ECC"/>
    <w:rsid w:val="61BD54F2"/>
    <w:rsid w:val="61C4664C"/>
    <w:rsid w:val="61D1719B"/>
    <w:rsid w:val="61D372CA"/>
    <w:rsid w:val="61F9523B"/>
    <w:rsid w:val="620830CF"/>
    <w:rsid w:val="624E0DB3"/>
    <w:rsid w:val="625868BA"/>
    <w:rsid w:val="626A2D3C"/>
    <w:rsid w:val="628B0CC3"/>
    <w:rsid w:val="628F06C7"/>
    <w:rsid w:val="629473C5"/>
    <w:rsid w:val="629C24C2"/>
    <w:rsid w:val="62BF53C6"/>
    <w:rsid w:val="62D21631"/>
    <w:rsid w:val="62E84F83"/>
    <w:rsid w:val="62E94D6B"/>
    <w:rsid w:val="632E178C"/>
    <w:rsid w:val="633F293E"/>
    <w:rsid w:val="63565F1F"/>
    <w:rsid w:val="639B2398"/>
    <w:rsid w:val="639C52F2"/>
    <w:rsid w:val="63A65899"/>
    <w:rsid w:val="63D31D55"/>
    <w:rsid w:val="63DA6A43"/>
    <w:rsid w:val="63DD433F"/>
    <w:rsid w:val="63E146C6"/>
    <w:rsid w:val="63E81D4F"/>
    <w:rsid w:val="63F57EBF"/>
    <w:rsid w:val="64050B5D"/>
    <w:rsid w:val="64086F9F"/>
    <w:rsid w:val="640F59F7"/>
    <w:rsid w:val="64173D22"/>
    <w:rsid w:val="641B33B2"/>
    <w:rsid w:val="643152AF"/>
    <w:rsid w:val="643403E1"/>
    <w:rsid w:val="643D129C"/>
    <w:rsid w:val="64445760"/>
    <w:rsid w:val="6464777F"/>
    <w:rsid w:val="646503BC"/>
    <w:rsid w:val="647C6DCD"/>
    <w:rsid w:val="64841AB2"/>
    <w:rsid w:val="649B1AD9"/>
    <w:rsid w:val="64AD49F3"/>
    <w:rsid w:val="64BC0A71"/>
    <w:rsid w:val="64BE3F09"/>
    <w:rsid w:val="64D11FE5"/>
    <w:rsid w:val="64FC5CDA"/>
    <w:rsid w:val="65085D16"/>
    <w:rsid w:val="650D15D7"/>
    <w:rsid w:val="6545581E"/>
    <w:rsid w:val="654D6D6A"/>
    <w:rsid w:val="655E469A"/>
    <w:rsid w:val="6564507E"/>
    <w:rsid w:val="65735C1E"/>
    <w:rsid w:val="65775767"/>
    <w:rsid w:val="65A01D8E"/>
    <w:rsid w:val="65A0782B"/>
    <w:rsid w:val="65A33632"/>
    <w:rsid w:val="65B71AA5"/>
    <w:rsid w:val="65C459B7"/>
    <w:rsid w:val="65CA7432"/>
    <w:rsid w:val="65CF0AA0"/>
    <w:rsid w:val="65D11EFC"/>
    <w:rsid w:val="65DA7A80"/>
    <w:rsid w:val="65E73880"/>
    <w:rsid w:val="66016F82"/>
    <w:rsid w:val="66373426"/>
    <w:rsid w:val="663817E2"/>
    <w:rsid w:val="667E0616"/>
    <w:rsid w:val="66800F86"/>
    <w:rsid w:val="66AF384F"/>
    <w:rsid w:val="66AF51F2"/>
    <w:rsid w:val="66CE2B70"/>
    <w:rsid w:val="66D10546"/>
    <w:rsid w:val="66D53C95"/>
    <w:rsid w:val="66FC383A"/>
    <w:rsid w:val="6700155A"/>
    <w:rsid w:val="670C07AE"/>
    <w:rsid w:val="671F44E4"/>
    <w:rsid w:val="674550E7"/>
    <w:rsid w:val="67733E0F"/>
    <w:rsid w:val="677477E6"/>
    <w:rsid w:val="67A03146"/>
    <w:rsid w:val="67BB6311"/>
    <w:rsid w:val="67DF06EE"/>
    <w:rsid w:val="67DF0A9B"/>
    <w:rsid w:val="67E47A06"/>
    <w:rsid w:val="67FA328F"/>
    <w:rsid w:val="68087F84"/>
    <w:rsid w:val="684C7D48"/>
    <w:rsid w:val="68535B2D"/>
    <w:rsid w:val="686E1EBE"/>
    <w:rsid w:val="68774043"/>
    <w:rsid w:val="687A472E"/>
    <w:rsid w:val="6888597D"/>
    <w:rsid w:val="688B480B"/>
    <w:rsid w:val="689403A5"/>
    <w:rsid w:val="68B25C29"/>
    <w:rsid w:val="68B71E3A"/>
    <w:rsid w:val="68CC3472"/>
    <w:rsid w:val="68D3417D"/>
    <w:rsid w:val="68DD680F"/>
    <w:rsid w:val="68E6722A"/>
    <w:rsid w:val="68F7394D"/>
    <w:rsid w:val="68F766CA"/>
    <w:rsid w:val="68FE4241"/>
    <w:rsid w:val="69070F86"/>
    <w:rsid w:val="691722E8"/>
    <w:rsid w:val="6926370D"/>
    <w:rsid w:val="692F542A"/>
    <w:rsid w:val="69314B29"/>
    <w:rsid w:val="693D6D61"/>
    <w:rsid w:val="693E4246"/>
    <w:rsid w:val="6983320C"/>
    <w:rsid w:val="699900A4"/>
    <w:rsid w:val="699D0E1B"/>
    <w:rsid w:val="69AA4290"/>
    <w:rsid w:val="69B1359C"/>
    <w:rsid w:val="69B32909"/>
    <w:rsid w:val="69BE7298"/>
    <w:rsid w:val="69D2720D"/>
    <w:rsid w:val="6A0E5A2D"/>
    <w:rsid w:val="6A320DF2"/>
    <w:rsid w:val="6A4C5DE1"/>
    <w:rsid w:val="6A4F4A85"/>
    <w:rsid w:val="6A5C3545"/>
    <w:rsid w:val="6A7F13A0"/>
    <w:rsid w:val="6AAE556A"/>
    <w:rsid w:val="6AB05A94"/>
    <w:rsid w:val="6AC02E7D"/>
    <w:rsid w:val="6ADC3A2F"/>
    <w:rsid w:val="6AF02AD3"/>
    <w:rsid w:val="6B0C7334"/>
    <w:rsid w:val="6B1A197D"/>
    <w:rsid w:val="6B452A58"/>
    <w:rsid w:val="6B5249F8"/>
    <w:rsid w:val="6B5D62FE"/>
    <w:rsid w:val="6B7C0A32"/>
    <w:rsid w:val="6B7E7CC4"/>
    <w:rsid w:val="6B8F6BC6"/>
    <w:rsid w:val="6BBA0052"/>
    <w:rsid w:val="6C122299"/>
    <w:rsid w:val="6C23421A"/>
    <w:rsid w:val="6C286FD1"/>
    <w:rsid w:val="6C31731F"/>
    <w:rsid w:val="6C321E85"/>
    <w:rsid w:val="6C5F7F76"/>
    <w:rsid w:val="6C662390"/>
    <w:rsid w:val="6C6A62EB"/>
    <w:rsid w:val="6C834A4A"/>
    <w:rsid w:val="6C980EA6"/>
    <w:rsid w:val="6CA15E50"/>
    <w:rsid w:val="6CAD3E5F"/>
    <w:rsid w:val="6CB02225"/>
    <w:rsid w:val="6CB26EA4"/>
    <w:rsid w:val="6CE05330"/>
    <w:rsid w:val="6CE55F22"/>
    <w:rsid w:val="6CF74DC2"/>
    <w:rsid w:val="6D06425B"/>
    <w:rsid w:val="6D0E3B7C"/>
    <w:rsid w:val="6D0F71EB"/>
    <w:rsid w:val="6D17488E"/>
    <w:rsid w:val="6D19367E"/>
    <w:rsid w:val="6D277245"/>
    <w:rsid w:val="6D34300E"/>
    <w:rsid w:val="6D8A61DF"/>
    <w:rsid w:val="6D916A45"/>
    <w:rsid w:val="6D9350D2"/>
    <w:rsid w:val="6DAD30F0"/>
    <w:rsid w:val="6DC145CF"/>
    <w:rsid w:val="6DC430BD"/>
    <w:rsid w:val="6DCC2BE1"/>
    <w:rsid w:val="6DF21C4B"/>
    <w:rsid w:val="6DF83B84"/>
    <w:rsid w:val="6E0D153B"/>
    <w:rsid w:val="6E1E4A14"/>
    <w:rsid w:val="6E207D5F"/>
    <w:rsid w:val="6E2718F9"/>
    <w:rsid w:val="6E342DFF"/>
    <w:rsid w:val="6E362BA0"/>
    <w:rsid w:val="6E38218B"/>
    <w:rsid w:val="6E461943"/>
    <w:rsid w:val="6E461A97"/>
    <w:rsid w:val="6E7332D5"/>
    <w:rsid w:val="6E921074"/>
    <w:rsid w:val="6E9444AF"/>
    <w:rsid w:val="6EA913EF"/>
    <w:rsid w:val="6EC44855"/>
    <w:rsid w:val="6EC65983"/>
    <w:rsid w:val="6ECB2502"/>
    <w:rsid w:val="6ECB75F2"/>
    <w:rsid w:val="6ECF2385"/>
    <w:rsid w:val="6ED00985"/>
    <w:rsid w:val="6EEE6323"/>
    <w:rsid w:val="6F031300"/>
    <w:rsid w:val="6F0C189E"/>
    <w:rsid w:val="6F386FE2"/>
    <w:rsid w:val="6F4339E5"/>
    <w:rsid w:val="6F7420FD"/>
    <w:rsid w:val="6F8661C0"/>
    <w:rsid w:val="6F8E6B86"/>
    <w:rsid w:val="6F9871F7"/>
    <w:rsid w:val="6F9D3A83"/>
    <w:rsid w:val="6FA81F69"/>
    <w:rsid w:val="6FB170A5"/>
    <w:rsid w:val="6FC938B1"/>
    <w:rsid w:val="6FCD159A"/>
    <w:rsid w:val="6FCE4CB4"/>
    <w:rsid w:val="6FE3093B"/>
    <w:rsid w:val="6FEC7A24"/>
    <w:rsid w:val="6FEE44FC"/>
    <w:rsid w:val="6FF560F3"/>
    <w:rsid w:val="700C1D29"/>
    <w:rsid w:val="701C1D72"/>
    <w:rsid w:val="702C316E"/>
    <w:rsid w:val="7064077F"/>
    <w:rsid w:val="707508B4"/>
    <w:rsid w:val="707644A0"/>
    <w:rsid w:val="708F7078"/>
    <w:rsid w:val="70946C24"/>
    <w:rsid w:val="70B46F54"/>
    <w:rsid w:val="71150078"/>
    <w:rsid w:val="711A7C79"/>
    <w:rsid w:val="711D0BC7"/>
    <w:rsid w:val="71424DAC"/>
    <w:rsid w:val="715439E1"/>
    <w:rsid w:val="717049F3"/>
    <w:rsid w:val="717463BA"/>
    <w:rsid w:val="71804F4A"/>
    <w:rsid w:val="71807DD1"/>
    <w:rsid w:val="718944AD"/>
    <w:rsid w:val="718B0F2B"/>
    <w:rsid w:val="718E26E6"/>
    <w:rsid w:val="719413D6"/>
    <w:rsid w:val="71E85241"/>
    <w:rsid w:val="71F5150B"/>
    <w:rsid w:val="723E0706"/>
    <w:rsid w:val="724278D3"/>
    <w:rsid w:val="724439B7"/>
    <w:rsid w:val="7274202E"/>
    <w:rsid w:val="72977C7E"/>
    <w:rsid w:val="72C25D29"/>
    <w:rsid w:val="730231B8"/>
    <w:rsid w:val="7335541A"/>
    <w:rsid w:val="7338767F"/>
    <w:rsid w:val="735A631E"/>
    <w:rsid w:val="73641703"/>
    <w:rsid w:val="73866508"/>
    <w:rsid w:val="73894D57"/>
    <w:rsid w:val="738A15C9"/>
    <w:rsid w:val="73DA7342"/>
    <w:rsid w:val="73F252CA"/>
    <w:rsid w:val="73F60AFC"/>
    <w:rsid w:val="73F62A5C"/>
    <w:rsid w:val="74066DCD"/>
    <w:rsid w:val="740C21ED"/>
    <w:rsid w:val="74115454"/>
    <w:rsid w:val="741A2BB9"/>
    <w:rsid w:val="74273276"/>
    <w:rsid w:val="742A7D22"/>
    <w:rsid w:val="74411E98"/>
    <w:rsid w:val="745255E4"/>
    <w:rsid w:val="745D64ED"/>
    <w:rsid w:val="74832B90"/>
    <w:rsid w:val="74911D0A"/>
    <w:rsid w:val="749B4D02"/>
    <w:rsid w:val="74A7385E"/>
    <w:rsid w:val="74D05E35"/>
    <w:rsid w:val="74DB366B"/>
    <w:rsid w:val="74DE57C0"/>
    <w:rsid w:val="74E81FC4"/>
    <w:rsid w:val="74F25C50"/>
    <w:rsid w:val="74F51D89"/>
    <w:rsid w:val="74F57698"/>
    <w:rsid w:val="75065A2C"/>
    <w:rsid w:val="75073965"/>
    <w:rsid w:val="750A58F9"/>
    <w:rsid w:val="75141DA2"/>
    <w:rsid w:val="752C0BEB"/>
    <w:rsid w:val="753327CA"/>
    <w:rsid w:val="75440FF2"/>
    <w:rsid w:val="755E78AB"/>
    <w:rsid w:val="7562391A"/>
    <w:rsid w:val="75654BE6"/>
    <w:rsid w:val="75793DAF"/>
    <w:rsid w:val="757A3718"/>
    <w:rsid w:val="75A04EE4"/>
    <w:rsid w:val="75AA77F2"/>
    <w:rsid w:val="75BA7C56"/>
    <w:rsid w:val="75D25440"/>
    <w:rsid w:val="75D86E5C"/>
    <w:rsid w:val="75DA5311"/>
    <w:rsid w:val="75E85E2D"/>
    <w:rsid w:val="76045BAC"/>
    <w:rsid w:val="761F2F4B"/>
    <w:rsid w:val="76223B31"/>
    <w:rsid w:val="76291C92"/>
    <w:rsid w:val="76407963"/>
    <w:rsid w:val="765B14AF"/>
    <w:rsid w:val="76703C3F"/>
    <w:rsid w:val="7681504F"/>
    <w:rsid w:val="769D65AE"/>
    <w:rsid w:val="76A001E1"/>
    <w:rsid w:val="76EA55CB"/>
    <w:rsid w:val="76F331C4"/>
    <w:rsid w:val="77071D6B"/>
    <w:rsid w:val="770C7954"/>
    <w:rsid w:val="77172F4F"/>
    <w:rsid w:val="771B6FF4"/>
    <w:rsid w:val="773865FA"/>
    <w:rsid w:val="773A08FA"/>
    <w:rsid w:val="773C37B8"/>
    <w:rsid w:val="774C6392"/>
    <w:rsid w:val="775F5D6D"/>
    <w:rsid w:val="77637680"/>
    <w:rsid w:val="777939C9"/>
    <w:rsid w:val="778711E0"/>
    <w:rsid w:val="77A70C1D"/>
    <w:rsid w:val="77B65398"/>
    <w:rsid w:val="77C37B25"/>
    <w:rsid w:val="77C9163F"/>
    <w:rsid w:val="77E651F4"/>
    <w:rsid w:val="77F2597A"/>
    <w:rsid w:val="781305A1"/>
    <w:rsid w:val="781B7FD6"/>
    <w:rsid w:val="78270751"/>
    <w:rsid w:val="7869624C"/>
    <w:rsid w:val="78906C5E"/>
    <w:rsid w:val="78983AFF"/>
    <w:rsid w:val="78A211EF"/>
    <w:rsid w:val="78A452AC"/>
    <w:rsid w:val="78D221F9"/>
    <w:rsid w:val="78D37311"/>
    <w:rsid w:val="78F6399B"/>
    <w:rsid w:val="78FE61F4"/>
    <w:rsid w:val="790003AE"/>
    <w:rsid w:val="790A1EDC"/>
    <w:rsid w:val="79216803"/>
    <w:rsid w:val="792A2864"/>
    <w:rsid w:val="793C6ACC"/>
    <w:rsid w:val="796928C1"/>
    <w:rsid w:val="797568ED"/>
    <w:rsid w:val="797C5CDC"/>
    <w:rsid w:val="7996610D"/>
    <w:rsid w:val="79CA08DC"/>
    <w:rsid w:val="79CE1FE5"/>
    <w:rsid w:val="79DC394F"/>
    <w:rsid w:val="79E37B4A"/>
    <w:rsid w:val="7A1C6B07"/>
    <w:rsid w:val="7A4370D8"/>
    <w:rsid w:val="7A594533"/>
    <w:rsid w:val="7A6E5A7D"/>
    <w:rsid w:val="7AA96139"/>
    <w:rsid w:val="7ABA792B"/>
    <w:rsid w:val="7AD403BD"/>
    <w:rsid w:val="7AE11E44"/>
    <w:rsid w:val="7B290F02"/>
    <w:rsid w:val="7B7147AD"/>
    <w:rsid w:val="7B717FD4"/>
    <w:rsid w:val="7B760C86"/>
    <w:rsid w:val="7B76170C"/>
    <w:rsid w:val="7B9C6C37"/>
    <w:rsid w:val="7BBD1694"/>
    <w:rsid w:val="7BBD6D6A"/>
    <w:rsid w:val="7BDF4426"/>
    <w:rsid w:val="7C182084"/>
    <w:rsid w:val="7C243490"/>
    <w:rsid w:val="7C424D12"/>
    <w:rsid w:val="7C490EE3"/>
    <w:rsid w:val="7C5A43CD"/>
    <w:rsid w:val="7C89225A"/>
    <w:rsid w:val="7C8C08B0"/>
    <w:rsid w:val="7C991F0B"/>
    <w:rsid w:val="7C9A4B58"/>
    <w:rsid w:val="7CBB06B1"/>
    <w:rsid w:val="7CC47D99"/>
    <w:rsid w:val="7CD261B3"/>
    <w:rsid w:val="7D053632"/>
    <w:rsid w:val="7D444D02"/>
    <w:rsid w:val="7D4D2877"/>
    <w:rsid w:val="7D5A0A51"/>
    <w:rsid w:val="7D9B3333"/>
    <w:rsid w:val="7D9B7290"/>
    <w:rsid w:val="7DB47429"/>
    <w:rsid w:val="7DD03B1E"/>
    <w:rsid w:val="7DD70023"/>
    <w:rsid w:val="7DD72DAE"/>
    <w:rsid w:val="7DDD06AE"/>
    <w:rsid w:val="7DE26243"/>
    <w:rsid w:val="7DE70752"/>
    <w:rsid w:val="7DED7179"/>
    <w:rsid w:val="7E196AA5"/>
    <w:rsid w:val="7E2C4AB0"/>
    <w:rsid w:val="7E2C5F18"/>
    <w:rsid w:val="7E424060"/>
    <w:rsid w:val="7E536F04"/>
    <w:rsid w:val="7E544BE1"/>
    <w:rsid w:val="7E5B6D2B"/>
    <w:rsid w:val="7E835DDE"/>
    <w:rsid w:val="7E876073"/>
    <w:rsid w:val="7E9B39EA"/>
    <w:rsid w:val="7EBB08E8"/>
    <w:rsid w:val="7EC95AC5"/>
    <w:rsid w:val="7ECA0F8F"/>
    <w:rsid w:val="7EE6313A"/>
    <w:rsid w:val="7EF75430"/>
    <w:rsid w:val="7EFD159F"/>
    <w:rsid w:val="7F0332CA"/>
    <w:rsid w:val="7F08435C"/>
    <w:rsid w:val="7F0F1442"/>
    <w:rsid w:val="7F1559C9"/>
    <w:rsid w:val="7F2A79D2"/>
    <w:rsid w:val="7F3F2C1B"/>
    <w:rsid w:val="7F5268BB"/>
    <w:rsid w:val="7F6E132A"/>
    <w:rsid w:val="7F7E48F4"/>
    <w:rsid w:val="7F812DF3"/>
    <w:rsid w:val="7F8A79CD"/>
    <w:rsid w:val="7FA16F72"/>
    <w:rsid w:val="7FAE5ACC"/>
    <w:rsid w:val="7FB4100B"/>
    <w:rsid w:val="7FBF5943"/>
    <w:rsid w:val="7FD336C4"/>
    <w:rsid w:val="7FD70486"/>
    <w:rsid w:val="7FFA3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keepNext/>
      <w:keepLines/>
      <w:pageBreakBefore/>
      <w:pBdr>
        <w:bottom w:val="single" w:color="auto" w:sz="12" w:space="1"/>
      </w:pBdr>
      <w:tabs>
        <w:tab w:val="left" w:pos="425"/>
      </w:tabs>
      <w:spacing w:before="960" w:after="960"/>
      <w:ind w:left="425" w:hanging="425"/>
      <w:outlineLvl w:val="0"/>
    </w:pPr>
    <w:rPr>
      <w:rFonts w:eastAsia="黑体"/>
      <w:b/>
      <w:bCs/>
      <w:kern w:val="44"/>
      <w:sz w:val="32"/>
      <w:szCs w:val="44"/>
    </w:rPr>
  </w:style>
  <w:style w:type="paragraph" w:styleId="4">
    <w:name w:val="heading 2"/>
    <w:basedOn w:val="1"/>
    <w:next w:val="1"/>
    <w:link w:val="51"/>
    <w:qFormat/>
    <w:uiPriority w:val="99"/>
    <w:pPr>
      <w:keepNext/>
      <w:keepLines/>
      <w:numPr>
        <w:ilvl w:val="1"/>
        <w:numId w:val="1"/>
      </w:numPr>
      <w:tabs>
        <w:tab w:val="left" w:pos="425"/>
      </w:tabs>
      <w:spacing w:after="60"/>
      <w:outlineLvl w:val="1"/>
    </w:pPr>
    <w:rPr>
      <w:rFonts w:eastAsia="黑体"/>
      <w:b/>
      <w:bCs/>
    </w:rPr>
  </w:style>
  <w:style w:type="paragraph" w:styleId="5">
    <w:name w:val="heading 3"/>
    <w:basedOn w:val="1"/>
    <w:next w:val="1"/>
    <w:link w:val="65"/>
    <w:qFormat/>
    <w:uiPriority w:val="99"/>
    <w:pPr>
      <w:keepNext/>
      <w:keepLines/>
      <w:numPr>
        <w:ilvl w:val="2"/>
        <w:numId w:val="1"/>
      </w:numPr>
      <w:spacing w:after="60"/>
      <w:outlineLvl w:val="2"/>
    </w:pPr>
    <w:rPr>
      <w:b/>
      <w:bCs/>
      <w:szCs w:val="32"/>
    </w:rPr>
  </w:style>
  <w:style w:type="paragraph" w:styleId="6">
    <w:name w:val="heading 4"/>
    <w:basedOn w:val="1"/>
    <w:next w:val="1"/>
    <w:link w:val="64"/>
    <w:qFormat/>
    <w:uiPriority w:val="0"/>
    <w:pPr>
      <w:keepNext/>
      <w:keepLines/>
      <w:numPr>
        <w:ilvl w:val="0"/>
        <w:numId w:val="2"/>
      </w:numPr>
      <w:spacing w:after="60"/>
      <w:outlineLvl w:val="3"/>
    </w:pPr>
    <w:rPr>
      <w:b/>
      <w:bCs/>
    </w:rPr>
  </w:style>
  <w:style w:type="paragraph" w:styleId="7">
    <w:name w:val="heading 5"/>
    <w:basedOn w:val="1"/>
    <w:next w:val="1"/>
    <w:semiHidden/>
    <w:unhideWhenUsed/>
    <w:qFormat/>
    <w:uiPriority w:val="0"/>
    <w:pPr>
      <w:keepNext/>
      <w:keepLines/>
      <w:numPr>
        <w:ilvl w:val="4"/>
        <w:numId w:val="3"/>
      </w:numPr>
      <w:spacing w:before="280" w:after="290" w:line="372" w:lineRule="auto"/>
      <w:outlineLvl w:val="4"/>
    </w:pPr>
    <w:rPr>
      <w:b/>
      <w:sz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9"/>
    <w:unhideWhenUsed/>
    <w:qFormat/>
    <w:uiPriority w:val="99"/>
    <w:pPr>
      <w:spacing w:after="120"/>
    </w:pPr>
  </w:style>
  <w:style w:type="paragraph" w:styleId="8">
    <w:name w:val="Normal Indent"/>
    <w:basedOn w:val="1"/>
    <w:link w:val="52"/>
    <w:qFormat/>
    <w:uiPriority w:val="0"/>
    <w:pPr>
      <w:ind w:firstLine="482"/>
    </w:pPr>
    <w:rPr>
      <w:szCs w:val="20"/>
    </w:rPr>
  </w:style>
  <w:style w:type="paragraph" w:styleId="9">
    <w:name w:val="caption"/>
    <w:basedOn w:val="1"/>
    <w:next w:val="1"/>
    <w:qFormat/>
    <w:uiPriority w:val="0"/>
    <w:pPr>
      <w:jc w:val="center"/>
    </w:pPr>
    <w:rPr>
      <w:rFonts w:ascii="Calibri" w:hAnsi="Calibri" w:cs="黑体"/>
      <w:b/>
      <w:szCs w:val="20"/>
    </w:rPr>
  </w:style>
  <w:style w:type="paragraph" w:styleId="10">
    <w:name w:val="annotation text"/>
    <w:basedOn w:val="1"/>
    <w:link w:val="68"/>
    <w:qFormat/>
    <w:uiPriority w:val="99"/>
    <w:pPr>
      <w:jc w:val="left"/>
    </w:pPr>
  </w:style>
  <w:style w:type="paragraph" w:styleId="11">
    <w:name w:val="toc 3"/>
    <w:basedOn w:val="1"/>
    <w:next w:val="1"/>
    <w:qFormat/>
    <w:uiPriority w:val="39"/>
    <w:pPr>
      <w:ind w:left="840" w:leftChars="400"/>
    </w:pPr>
  </w:style>
  <w:style w:type="paragraph" w:styleId="12">
    <w:name w:val="Body Text Indent 2"/>
    <w:basedOn w:val="1"/>
    <w:link w:val="50"/>
    <w:qFormat/>
    <w:uiPriority w:val="0"/>
    <w:pPr>
      <w:spacing w:after="120" w:line="480" w:lineRule="auto"/>
      <w:ind w:left="420" w:leftChars="200"/>
    </w:pPr>
  </w:style>
  <w:style w:type="paragraph" w:styleId="13">
    <w:name w:val="Balloon Text"/>
    <w:basedOn w:val="1"/>
    <w:link w:val="46"/>
    <w:qFormat/>
    <w:uiPriority w:val="0"/>
    <w:rPr>
      <w:sz w:val="18"/>
      <w:szCs w:val="18"/>
    </w:rPr>
  </w:style>
  <w:style w:type="paragraph" w:styleId="14">
    <w:name w:val="footer"/>
    <w:basedOn w:val="1"/>
    <w:link w:val="54"/>
    <w:qFormat/>
    <w:uiPriority w:val="99"/>
    <w:pPr>
      <w:tabs>
        <w:tab w:val="center" w:pos="4153"/>
        <w:tab w:val="right" w:pos="8306"/>
      </w:tabs>
      <w:snapToGrid w:val="0"/>
      <w:jc w:val="left"/>
    </w:pPr>
    <w:rPr>
      <w:sz w:val="18"/>
      <w:szCs w:val="18"/>
    </w:rPr>
  </w:style>
  <w:style w:type="paragraph" w:styleId="15">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39"/>
  </w:style>
  <w:style w:type="paragraph" w:styleId="17">
    <w:name w:val="footnote text"/>
    <w:basedOn w:val="1"/>
    <w:qFormat/>
    <w:uiPriority w:val="0"/>
    <w:pPr>
      <w:snapToGrid w:val="0"/>
      <w:jc w:val="left"/>
    </w:pPr>
    <w:rPr>
      <w:sz w:val="18"/>
    </w:rPr>
  </w:style>
  <w:style w:type="paragraph" w:styleId="18">
    <w:name w:val="toc 2"/>
    <w:basedOn w:val="1"/>
    <w:next w:val="1"/>
    <w:qFormat/>
    <w:uiPriority w:val="39"/>
    <w:pPr>
      <w:ind w:left="420" w:leftChars="200"/>
    </w:pPr>
  </w:style>
  <w:style w:type="paragraph" w:styleId="19">
    <w:name w:val="Normal (Web)"/>
    <w:basedOn w:val="1"/>
    <w:qFormat/>
    <w:uiPriority w:val="0"/>
    <w:pPr>
      <w:spacing w:before="100" w:beforeAutospacing="1" w:after="100" w:afterAutospacing="1"/>
      <w:jc w:val="left"/>
    </w:pPr>
    <w:rPr>
      <w:kern w:val="0"/>
    </w:rPr>
  </w:style>
  <w:style w:type="paragraph" w:styleId="20">
    <w:name w:val="annotation subject"/>
    <w:basedOn w:val="10"/>
    <w:next w:val="10"/>
    <w:link w:val="48"/>
    <w:qFormat/>
    <w:uiPriority w:val="0"/>
    <w:rPr>
      <w:b/>
      <w:bCs/>
    </w:rPr>
  </w:style>
  <w:style w:type="table" w:styleId="22">
    <w:name w:val="Table Grid"/>
    <w:basedOn w:val="21"/>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qFormat/>
    <w:uiPriority w:val="0"/>
    <w:rPr>
      <w:b/>
    </w:rPr>
  </w:style>
  <w:style w:type="character" w:styleId="25">
    <w:name w:val="FollowedHyperlink"/>
    <w:basedOn w:val="23"/>
    <w:qFormat/>
    <w:uiPriority w:val="0"/>
    <w:rPr>
      <w:color w:val="333333"/>
      <w:u w:val="none"/>
    </w:rPr>
  </w:style>
  <w:style w:type="character" w:styleId="26">
    <w:name w:val="Hyperlink"/>
    <w:qFormat/>
    <w:uiPriority w:val="99"/>
    <w:rPr>
      <w:color w:val="000000"/>
      <w:u w:val="none"/>
    </w:rPr>
  </w:style>
  <w:style w:type="character" w:styleId="27">
    <w:name w:val="annotation reference"/>
    <w:basedOn w:val="23"/>
    <w:qFormat/>
    <w:uiPriority w:val="0"/>
    <w:rPr>
      <w:sz w:val="21"/>
      <w:szCs w:val="21"/>
    </w:rPr>
  </w:style>
  <w:style w:type="character" w:styleId="28">
    <w:name w:val="footnote reference"/>
    <w:basedOn w:val="23"/>
    <w:qFormat/>
    <w:uiPriority w:val="0"/>
    <w:rPr>
      <w:vertAlign w:val="superscript"/>
    </w:rPr>
  </w:style>
  <w:style w:type="paragraph" w:customStyle="1" w:styleId="29">
    <w:name w:val="Default"/>
    <w:qFormat/>
    <w:uiPriority w:val="99"/>
    <w:pPr>
      <w:widowControl w:val="0"/>
      <w:autoSpaceDE w:val="0"/>
      <w:autoSpaceDN w:val="0"/>
      <w:adjustRightInd w:val="0"/>
    </w:pPr>
    <w:rPr>
      <w:rFonts w:ascii="宋体" w:hAnsi="宋体" w:eastAsia="宋体" w:cs="Times New Roman"/>
      <w:color w:val="000000"/>
      <w:sz w:val="24"/>
      <w:szCs w:val="22"/>
      <w:lang w:val="en-US" w:eastAsia="zh-CN" w:bidi="ar-SA"/>
    </w:rPr>
  </w:style>
  <w:style w:type="paragraph" w:customStyle="1" w:styleId="30">
    <w:name w:val="君邦正文"/>
    <w:basedOn w:val="1"/>
    <w:link w:val="49"/>
    <w:qFormat/>
    <w:uiPriority w:val="0"/>
    <w:pPr>
      <w:spacing w:after="60"/>
      <w:ind w:firstLine="200" w:firstLineChars="200"/>
    </w:pPr>
    <w:rPr>
      <w:szCs w:val="20"/>
    </w:rPr>
  </w:style>
  <w:style w:type="paragraph" w:styleId="31">
    <w:name w:val="List Paragraph"/>
    <w:basedOn w:val="1"/>
    <w:qFormat/>
    <w:uiPriority w:val="34"/>
    <w:pPr>
      <w:ind w:firstLine="420" w:firstLineChars="200"/>
    </w:pPr>
  </w:style>
  <w:style w:type="paragraph" w:customStyle="1" w:styleId="32">
    <w:name w:val="表"/>
    <w:basedOn w:val="1"/>
    <w:qFormat/>
    <w:uiPriority w:val="0"/>
    <w:pPr>
      <w:snapToGrid w:val="0"/>
      <w:jc w:val="center"/>
    </w:pPr>
    <w:rPr>
      <w:spacing w:val="2"/>
      <w:szCs w:val="20"/>
    </w:rPr>
  </w:style>
  <w:style w:type="paragraph" w:customStyle="1" w:styleId="33">
    <w:name w:val="表头样式1"/>
    <w:basedOn w:val="1"/>
    <w:qFormat/>
    <w:uiPriority w:val="0"/>
    <w:pPr>
      <w:spacing w:before="156" w:beforeLines="50"/>
      <w:jc w:val="center"/>
    </w:pPr>
    <w:rPr>
      <w:rFonts w:eastAsia="黑体"/>
      <w:b/>
      <w:szCs w:val="20"/>
    </w:rPr>
  </w:style>
  <w:style w:type="paragraph" w:customStyle="1" w:styleId="34">
    <w:name w:val="报告书正文"/>
    <w:basedOn w:val="1"/>
    <w:qFormat/>
    <w:uiPriority w:val="0"/>
    <w:pPr>
      <w:jc w:val="left"/>
    </w:pPr>
  </w:style>
  <w:style w:type="paragraph" w:customStyle="1" w:styleId="35">
    <w:name w:val="无间隔2"/>
    <w:basedOn w:val="1"/>
    <w:qFormat/>
    <w:uiPriority w:val="0"/>
    <w:pPr>
      <w:adjustRightInd w:val="0"/>
      <w:snapToGrid w:val="0"/>
      <w:ind w:firstLine="480" w:firstLineChars="200"/>
    </w:pPr>
  </w:style>
  <w:style w:type="paragraph" w:customStyle="1" w:styleId="36">
    <w:name w:val="表内格式"/>
    <w:basedOn w:val="1"/>
    <w:qFormat/>
    <w:uiPriority w:val="0"/>
    <w:pPr>
      <w:jc w:val="center"/>
    </w:pPr>
    <w:rPr>
      <w:sz w:val="18"/>
      <w:szCs w:val="20"/>
    </w:rPr>
  </w:style>
  <w:style w:type="paragraph" w:customStyle="1" w:styleId="37">
    <w:name w:val="表格内容"/>
    <w:basedOn w:val="1"/>
    <w:qFormat/>
    <w:uiPriority w:val="0"/>
    <w:pPr>
      <w:spacing w:line="240" w:lineRule="exact"/>
    </w:pPr>
    <w:rPr>
      <w:kern w:val="0"/>
      <w:szCs w:val="21"/>
    </w:rPr>
  </w:style>
  <w:style w:type="character" w:customStyle="1" w:styleId="38">
    <w:name w:val="bzrq"/>
    <w:basedOn w:val="23"/>
    <w:qFormat/>
    <w:uiPriority w:val="0"/>
  </w:style>
  <w:style w:type="character" w:customStyle="1" w:styleId="39">
    <w:name w:val="sysj"/>
    <w:basedOn w:val="23"/>
    <w:qFormat/>
    <w:uiPriority w:val="0"/>
  </w:style>
  <w:style w:type="character" w:customStyle="1" w:styleId="40">
    <w:name w:val="thisit"/>
    <w:basedOn w:val="23"/>
    <w:qFormat/>
    <w:uiPriority w:val="0"/>
  </w:style>
  <w:style w:type="character" w:customStyle="1" w:styleId="41">
    <w:name w:val="f_r6"/>
    <w:basedOn w:val="23"/>
    <w:qFormat/>
    <w:uiPriority w:val="0"/>
  </w:style>
  <w:style w:type="character" w:customStyle="1" w:styleId="42">
    <w:name w:val="bzmc"/>
    <w:basedOn w:val="23"/>
    <w:qFormat/>
    <w:uiPriority w:val="0"/>
  </w:style>
  <w:style w:type="character" w:customStyle="1" w:styleId="43">
    <w:name w:val="bzmc1"/>
    <w:basedOn w:val="23"/>
    <w:qFormat/>
    <w:uiPriority w:val="0"/>
  </w:style>
  <w:style w:type="character" w:customStyle="1" w:styleId="44">
    <w:name w:val="bzmc2"/>
    <w:basedOn w:val="23"/>
    <w:qFormat/>
    <w:uiPriority w:val="0"/>
  </w:style>
  <w:style w:type="character" w:customStyle="1" w:styleId="45">
    <w:name w:val="bzrq2"/>
    <w:basedOn w:val="23"/>
    <w:qFormat/>
    <w:uiPriority w:val="0"/>
  </w:style>
  <w:style w:type="character" w:customStyle="1" w:styleId="46">
    <w:name w:val="批注框文本 字符"/>
    <w:basedOn w:val="23"/>
    <w:link w:val="13"/>
    <w:qFormat/>
    <w:uiPriority w:val="0"/>
    <w:rPr>
      <w:kern w:val="2"/>
      <w:sz w:val="18"/>
      <w:szCs w:val="18"/>
    </w:rPr>
  </w:style>
  <w:style w:type="character" w:customStyle="1" w:styleId="47">
    <w:name w:val="批注文字 Char"/>
    <w:basedOn w:val="23"/>
    <w:qFormat/>
    <w:uiPriority w:val="99"/>
    <w:rPr>
      <w:kern w:val="2"/>
      <w:sz w:val="21"/>
      <w:szCs w:val="24"/>
    </w:rPr>
  </w:style>
  <w:style w:type="character" w:customStyle="1" w:styleId="48">
    <w:name w:val="批注主题 字符"/>
    <w:basedOn w:val="47"/>
    <w:link w:val="20"/>
    <w:qFormat/>
    <w:uiPriority w:val="0"/>
    <w:rPr>
      <w:b/>
      <w:bCs/>
      <w:kern w:val="2"/>
      <w:sz w:val="21"/>
      <w:szCs w:val="24"/>
    </w:rPr>
  </w:style>
  <w:style w:type="character" w:customStyle="1" w:styleId="49">
    <w:name w:val="君邦正文 Char2"/>
    <w:link w:val="30"/>
    <w:qFormat/>
    <w:uiPriority w:val="0"/>
    <w:rPr>
      <w:kern w:val="2"/>
      <w:sz w:val="24"/>
    </w:rPr>
  </w:style>
  <w:style w:type="character" w:customStyle="1" w:styleId="50">
    <w:name w:val="正文文本缩进 2 字符"/>
    <w:link w:val="12"/>
    <w:qFormat/>
    <w:uiPriority w:val="0"/>
    <w:rPr>
      <w:kern w:val="2"/>
      <w:sz w:val="21"/>
      <w:szCs w:val="24"/>
    </w:rPr>
  </w:style>
  <w:style w:type="character" w:customStyle="1" w:styleId="51">
    <w:name w:val="标题 2 字符"/>
    <w:link w:val="4"/>
    <w:qFormat/>
    <w:uiPriority w:val="99"/>
    <w:rPr>
      <w:rFonts w:eastAsia="黑体"/>
      <w:b/>
      <w:bCs/>
      <w:kern w:val="2"/>
      <w:sz w:val="24"/>
      <w:szCs w:val="24"/>
    </w:rPr>
  </w:style>
  <w:style w:type="character" w:customStyle="1" w:styleId="52">
    <w:name w:val="正文缩进 字符"/>
    <w:link w:val="8"/>
    <w:qFormat/>
    <w:uiPriority w:val="0"/>
    <w:rPr>
      <w:kern w:val="2"/>
      <w:sz w:val="24"/>
    </w:rPr>
  </w:style>
  <w:style w:type="paragraph" w:customStyle="1" w:styleId="53">
    <w:name w:val="目录"/>
    <w:basedOn w:val="30"/>
    <w:next w:val="30"/>
    <w:qFormat/>
    <w:uiPriority w:val="0"/>
    <w:pPr>
      <w:pBdr>
        <w:bottom w:val="single" w:color="auto" w:sz="12" w:space="1"/>
      </w:pBdr>
      <w:spacing w:before="960" w:after="960"/>
      <w:ind w:firstLine="0" w:firstLineChars="0"/>
      <w:jc w:val="right"/>
    </w:pPr>
    <w:rPr>
      <w:rFonts w:eastAsia="黑体"/>
      <w:b/>
      <w:i/>
      <w:sz w:val="32"/>
    </w:rPr>
  </w:style>
  <w:style w:type="character" w:customStyle="1" w:styleId="54">
    <w:name w:val="页脚 字符"/>
    <w:basedOn w:val="23"/>
    <w:link w:val="14"/>
    <w:qFormat/>
    <w:uiPriority w:val="99"/>
    <w:rPr>
      <w:kern w:val="2"/>
      <w:sz w:val="18"/>
      <w:szCs w:val="18"/>
    </w:rPr>
  </w:style>
  <w:style w:type="paragraph" w:customStyle="1" w:styleId="55">
    <w:name w:val="WPSOffice手动目录 1"/>
    <w:qFormat/>
    <w:uiPriority w:val="0"/>
    <w:rPr>
      <w:rFonts w:ascii="Times New Roman" w:hAnsi="Times New Roman" w:eastAsia="宋体" w:cs="Times New Roman"/>
      <w:lang w:val="en-US" w:eastAsia="zh-CN" w:bidi="ar-SA"/>
    </w:rPr>
  </w:style>
  <w:style w:type="paragraph" w:customStyle="1" w:styleId="5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57">
    <w:name w:val="正文缩进1"/>
    <w:basedOn w:val="1"/>
    <w:qFormat/>
    <w:uiPriority w:val="0"/>
    <w:pPr>
      <w:spacing w:after="160" w:line="259" w:lineRule="auto"/>
      <w:ind w:firstLine="200" w:firstLineChars="200"/>
    </w:pPr>
    <w:rPr>
      <w:sz w:val="21"/>
    </w:rPr>
  </w:style>
  <w:style w:type="character" w:customStyle="1" w:styleId="58">
    <w:name w:val="fontstyle01"/>
    <w:basedOn w:val="23"/>
    <w:qFormat/>
    <w:uiPriority w:val="0"/>
    <w:rPr>
      <w:rFonts w:hint="eastAsia" w:ascii="宋体" w:hAnsi="宋体" w:eastAsia="宋体" w:cs="宋体"/>
      <w:color w:val="000000"/>
      <w:sz w:val="44"/>
      <w:szCs w:val="44"/>
    </w:rPr>
  </w:style>
  <w:style w:type="character" w:customStyle="1" w:styleId="59">
    <w:name w:val="fontstyle21"/>
    <w:basedOn w:val="23"/>
    <w:qFormat/>
    <w:uiPriority w:val="0"/>
    <w:rPr>
      <w:rFonts w:ascii="黑体" w:hAnsi="宋体" w:eastAsia="黑体" w:cs="黑体"/>
      <w:color w:val="000000"/>
      <w:sz w:val="48"/>
      <w:szCs w:val="48"/>
    </w:rPr>
  </w:style>
  <w:style w:type="character" w:customStyle="1" w:styleId="60">
    <w:name w:val="fontstyle11"/>
    <w:basedOn w:val="23"/>
    <w:qFormat/>
    <w:uiPriority w:val="0"/>
    <w:rPr>
      <w:rFonts w:hint="default" w:ascii="Times New Roman" w:hAnsi="Times New Roman" w:cs="Times New Roman"/>
      <w:color w:val="000000"/>
      <w:sz w:val="24"/>
      <w:szCs w:val="24"/>
    </w:rPr>
  </w:style>
  <w:style w:type="character" w:customStyle="1" w:styleId="61">
    <w:name w:val="font61"/>
    <w:basedOn w:val="23"/>
    <w:qFormat/>
    <w:uiPriority w:val="0"/>
    <w:rPr>
      <w:rFonts w:hint="eastAsia" w:ascii="宋体" w:hAnsi="宋体" w:eastAsia="宋体" w:cs="宋体"/>
      <w:color w:val="000000"/>
      <w:sz w:val="20"/>
      <w:szCs w:val="20"/>
      <w:u w:val="none"/>
    </w:rPr>
  </w:style>
  <w:style w:type="character" w:customStyle="1" w:styleId="62">
    <w:name w:val="font11"/>
    <w:basedOn w:val="23"/>
    <w:qFormat/>
    <w:uiPriority w:val="0"/>
    <w:rPr>
      <w:rFonts w:hint="eastAsia" w:ascii="宋体" w:hAnsi="宋体" w:eastAsia="宋体" w:cs="宋体"/>
      <w:color w:val="000000"/>
      <w:sz w:val="22"/>
      <w:szCs w:val="22"/>
      <w:u w:val="none"/>
    </w:rPr>
  </w:style>
  <w:style w:type="character" w:customStyle="1" w:styleId="63">
    <w:name w:val="font01"/>
    <w:basedOn w:val="23"/>
    <w:qFormat/>
    <w:uiPriority w:val="0"/>
    <w:rPr>
      <w:rFonts w:hint="default" w:ascii="Times New Roman" w:hAnsi="Times New Roman" w:cs="Times New Roman"/>
      <w:color w:val="000000"/>
      <w:sz w:val="22"/>
      <w:szCs w:val="22"/>
      <w:u w:val="none"/>
    </w:rPr>
  </w:style>
  <w:style w:type="character" w:customStyle="1" w:styleId="64">
    <w:name w:val="标题 4 字符"/>
    <w:link w:val="6"/>
    <w:qFormat/>
    <w:uiPriority w:val="0"/>
    <w:rPr>
      <w:rFonts w:ascii="Times New Roman" w:hAnsi="Times New Roman" w:eastAsia="宋体"/>
      <w:b/>
      <w:bCs/>
      <w:sz w:val="24"/>
      <w:szCs w:val="24"/>
    </w:rPr>
  </w:style>
  <w:style w:type="character" w:customStyle="1" w:styleId="65">
    <w:name w:val="标题 3 字符"/>
    <w:link w:val="5"/>
    <w:qFormat/>
    <w:uiPriority w:val="99"/>
    <w:rPr>
      <w:b/>
      <w:bCs/>
      <w:sz w:val="24"/>
      <w:szCs w:val="32"/>
    </w:rPr>
  </w:style>
  <w:style w:type="character" w:customStyle="1" w:styleId="66">
    <w:name w:val="font31"/>
    <w:basedOn w:val="23"/>
    <w:qFormat/>
    <w:uiPriority w:val="0"/>
    <w:rPr>
      <w:rFonts w:hint="default" w:ascii="Times New Roman" w:hAnsi="Times New Roman" w:cs="Times New Roman"/>
      <w:color w:val="000000"/>
      <w:sz w:val="21"/>
      <w:szCs w:val="21"/>
      <w:u w:val="none"/>
      <w:vertAlign w:val="subscript"/>
    </w:rPr>
  </w:style>
  <w:style w:type="character" w:customStyle="1" w:styleId="67">
    <w:name w:val="正文文本 字符"/>
    <w:basedOn w:val="23"/>
    <w:qFormat/>
    <w:uiPriority w:val="99"/>
    <w:rPr>
      <w:kern w:val="2"/>
      <w:sz w:val="24"/>
      <w:szCs w:val="24"/>
    </w:rPr>
  </w:style>
  <w:style w:type="character" w:customStyle="1" w:styleId="68">
    <w:name w:val="批注文字 字符"/>
    <w:basedOn w:val="23"/>
    <w:link w:val="10"/>
    <w:qFormat/>
    <w:uiPriority w:val="0"/>
    <w:rPr>
      <w:kern w:val="2"/>
      <w:sz w:val="24"/>
      <w:szCs w:val="24"/>
    </w:rPr>
  </w:style>
  <w:style w:type="character" w:customStyle="1" w:styleId="69">
    <w:name w:val="正文文本 字符1"/>
    <w:basedOn w:val="23"/>
    <w:link w:val="2"/>
    <w:qFormat/>
    <w:uiPriority w:val="0"/>
    <w:rPr>
      <w:rFonts w:hint="default" w:ascii="Calibri" w:hAnsi="Calibri" w:eastAsia="宋体" w:cs="Times New Roman"/>
      <w:kern w:val="2"/>
      <w:sz w:val="21"/>
      <w:szCs w:val="24"/>
    </w:rPr>
  </w:style>
  <w:style w:type="paragraph" w:customStyle="1" w:styleId="70">
    <w:name w:val="7级正文"/>
    <w:basedOn w:val="1"/>
    <w:qFormat/>
    <w:uiPriority w:val="0"/>
    <w:pPr>
      <w:ind w:firstLine="48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1" Type="http://schemas.openxmlformats.org/officeDocument/2006/relationships/fontTable" Target="fontTable.xml"/><Relationship Id="rId50" Type="http://schemas.openxmlformats.org/officeDocument/2006/relationships/customXml" Target="../customXml/item2.xml"/><Relationship Id="rId5" Type="http://schemas.openxmlformats.org/officeDocument/2006/relationships/header" Target="header1.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chart" Target="charts/chart10.xml"/><Relationship Id="rId46" Type="http://schemas.openxmlformats.org/officeDocument/2006/relationships/chart" Target="charts/chart9.xml"/><Relationship Id="rId45" Type="http://schemas.openxmlformats.org/officeDocument/2006/relationships/chart" Target="charts/chart8.xml"/><Relationship Id="rId44" Type="http://schemas.openxmlformats.org/officeDocument/2006/relationships/chart" Target="charts/chart7.xml"/><Relationship Id="rId43" Type="http://schemas.openxmlformats.org/officeDocument/2006/relationships/chart" Target="charts/chart6.xml"/><Relationship Id="rId42" Type="http://schemas.openxmlformats.org/officeDocument/2006/relationships/chart" Target="charts/chart5.xml"/><Relationship Id="rId41" Type="http://schemas.openxmlformats.org/officeDocument/2006/relationships/chart" Target="charts/chart4.xml"/><Relationship Id="rId40" Type="http://schemas.openxmlformats.org/officeDocument/2006/relationships/chart" Target="charts/chart3.xml"/><Relationship Id="rId4" Type="http://schemas.openxmlformats.org/officeDocument/2006/relationships/endnotes" Target="endnotes.xml"/><Relationship Id="rId39" Type="http://schemas.openxmlformats.org/officeDocument/2006/relationships/chart" Target="charts/chart2.xml"/><Relationship Id="rId38" Type="http://schemas.openxmlformats.org/officeDocument/2006/relationships/chart" Target="charts/chart1.xml"/><Relationship Id="rId37" Type="http://schemas.openxmlformats.org/officeDocument/2006/relationships/image" Target="media/image12.wmf"/><Relationship Id="rId36" Type="http://schemas.openxmlformats.org/officeDocument/2006/relationships/image" Target="media/image11.png"/><Relationship Id="rId35" Type="http://schemas.openxmlformats.org/officeDocument/2006/relationships/image" Target="media/image10.jpeg"/><Relationship Id="rId34" Type="http://schemas.openxmlformats.org/officeDocument/2006/relationships/image" Target="media/image9.png"/><Relationship Id="rId33" Type="http://schemas.openxmlformats.org/officeDocument/2006/relationships/image" Target="media/image8.jpeg"/><Relationship Id="rId32" Type="http://schemas.openxmlformats.org/officeDocument/2006/relationships/image" Target="media/image7.png"/><Relationship Id="rId31" Type="http://schemas.openxmlformats.org/officeDocument/2006/relationships/image" Target="media/image6.png"/><Relationship Id="rId30" Type="http://schemas.openxmlformats.org/officeDocument/2006/relationships/image" Target="media/image5.png"/><Relationship Id="rId3" Type="http://schemas.openxmlformats.org/officeDocument/2006/relationships/footnotes" Target="footnotes.xml"/><Relationship Id="rId29"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jpe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header" Target="header16.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header" Target="header13.xml"/><Relationship Id="rId20" Type="http://schemas.openxmlformats.org/officeDocument/2006/relationships/header" Target="header12.xml"/><Relationship Id="rId2" Type="http://schemas.openxmlformats.org/officeDocument/2006/relationships/settings" Target="settings.xml"/><Relationship Id="rId19" Type="http://schemas.openxmlformats.org/officeDocument/2006/relationships/header" Target="header11.xml"/><Relationship Id="rId18" Type="http://schemas.openxmlformats.org/officeDocument/2006/relationships/footer" Target="footer4.xml"/><Relationship Id="rId17" Type="http://schemas.openxmlformats.org/officeDocument/2006/relationships/header" Target="header10.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3.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chartUserShapes" Target="../drawings/drawing1.xml"/><Relationship Id="rId1" Type="http://schemas.openxmlformats.org/officeDocument/2006/relationships/oleObject" Target="file:///C:\Users\74533\Desktop\&#37122;&#24030;\&#33457;&#28246;\&#25955;&#28857;&#22270;.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chartUserShapes" Target="../drawings/drawing2.xml"/><Relationship Id="rId1" Type="http://schemas.openxmlformats.org/officeDocument/2006/relationships/oleObject" Target="file:///E:\&#37122;&#24030;&#24037;&#19994;&#22253;&#21608;&#36793;&#22303;&#22756;&#35843;&#26597;\yyt\SJG-&#25955;&#28857;&#22270;-&#27679;&#21270;&#29289;.xlsx"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chartUserShapes" Target="../drawings/drawing3.xml"/><Relationship Id="rId1" Type="http://schemas.openxmlformats.org/officeDocument/2006/relationships/oleObject" Target="file:///E:\&#37122;&#24030;&#24037;&#19994;&#22253;&#21608;&#36793;&#22303;&#22756;&#35843;&#26597;\&#37122;&#24030;\&#33457;&#28246;\SJG-&#25955;&#28857;&#22270;-&#38124;.xlsx"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chartUserShapes" Target="../drawings/drawing4.xml"/><Relationship Id="rId1" Type="http://schemas.openxmlformats.org/officeDocument/2006/relationships/oleObject" Target="file:///E:\&#37122;&#24030;&#24037;&#19994;&#22253;&#21608;&#36793;&#22303;&#22756;&#35843;&#26597;\&#37122;&#24030;\&#33457;&#28246;\SJG-&#25955;&#28857;&#22270;-&#38124;.xlsx"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chartUserShapes" Target="../drawings/drawing5.xml"/><Relationship Id="rId1" Type="http://schemas.openxmlformats.org/officeDocument/2006/relationships/oleObject" Target="file:///E:\&#37122;&#24030;&#24037;&#19994;&#22253;&#21608;&#36793;&#22303;&#22756;&#35843;&#26597;\&#37122;&#24030;\&#33457;&#28246;\SJG-&#25955;&#28857;&#22270;-&#38124;.xlsx"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chartUserShapes" Target="../drawings/drawing6.xml"/><Relationship Id="rId1" Type="http://schemas.openxmlformats.org/officeDocument/2006/relationships/oleObject" Target="file:///E:\&#37122;&#24030;&#24037;&#19994;&#22253;&#21608;&#36793;&#22303;&#22756;&#35843;&#26597;\&#37122;&#24030;\&#33457;&#28246;\SJG-&#25955;&#28857;&#22270;-&#38108;.xlsx"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chartUserShapes" Target="../drawings/drawing7.xml"/><Relationship Id="rId1" Type="http://schemas.openxmlformats.org/officeDocument/2006/relationships/oleObject" Target="file:///E:\&#37122;&#24030;&#24037;&#19994;&#22253;&#21608;&#36793;&#22303;&#22756;&#35843;&#26597;\&#37122;&#24030;\&#33457;&#28246;\SJG-&#25955;&#28857;&#22270;-&#38124;.xlsx" TargetMode="External"/></Relationships>
</file>

<file path=word/charts/_rels/chart8.xml.rels><?xml version="1.0" encoding="UTF-8" standalone="yes"?>
<Relationships xmlns="http://schemas.openxmlformats.org/package/2006/relationships"><Relationship Id="rId4" Type="http://schemas.microsoft.com/office/2011/relationships/chartColorStyle" Target="colors8.xml"/><Relationship Id="rId3" Type="http://schemas.microsoft.com/office/2011/relationships/chartStyle" Target="style8.xml"/><Relationship Id="rId2" Type="http://schemas.openxmlformats.org/officeDocument/2006/relationships/chartUserShapes" Target="../drawings/drawing8.xml"/><Relationship Id="rId1" Type="http://schemas.openxmlformats.org/officeDocument/2006/relationships/oleObject" Target="file:///E:\&#37122;&#24030;&#24037;&#19994;&#22253;&#21608;&#36793;&#22303;&#22756;&#35843;&#26597;\&#37122;&#24030;\&#33457;&#28246;\SJG-&#25955;&#28857;&#22270;-&#38124;.xlsx" TargetMode="External"/></Relationships>
</file>

<file path=word/charts/_rels/chart9.xml.rels><?xml version="1.0" encoding="UTF-8" standalone="yes"?>
<Relationships xmlns="http://schemas.openxmlformats.org/package/2006/relationships"><Relationship Id="rId4" Type="http://schemas.microsoft.com/office/2011/relationships/chartColorStyle" Target="colors9.xml"/><Relationship Id="rId3" Type="http://schemas.microsoft.com/office/2011/relationships/chartStyle" Target="style9.xml"/><Relationship Id="rId2" Type="http://schemas.openxmlformats.org/officeDocument/2006/relationships/chartUserShapes" Target="../drawings/drawing9.xml"/><Relationship Id="rId1" Type="http://schemas.openxmlformats.org/officeDocument/2006/relationships/oleObject" Target="file:///E:\&#37122;&#24030;&#24037;&#19994;&#22253;&#21608;&#36793;&#22303;&#22756;&#35843;&#26597;\&#37122;&#24030;\&#33457;&#28246;\SJG-&#25955;&#28857;&#22270;-&#38124;.xlsx" TargetMode="External"/></Relationships>
</file>

<file path=word/charts/_rels/chart10.xml.rels><?xml version="1.0" encoding="UTF-8" standalone="yes"?>
<Relationships xmlns="http://schemas.openxmlformats.org/package/2006/relationships"><Relationship Id="rId4" Type="http://schemas.microsoft.com/office/2011/relationships/chartColorStyle" Target="colors10.xml"/><Relationship Id="rId3" Type="http://schemas.microsoft.com/office/2011/relationships/chartStyle" Target="style10.xml"/><Relationship Id="rId2" Type="http://schemas.openxmlformats.org/officeDocument/2006/relationships/chartUserShapes" Target="../drawings/drawing10.xml"/><Relationship Id="rId1" Type="http://schemas.openxmlformats.org/officeDocument/2006/relationships/oleObject" Target="file:///E:\&#37122;&#24030;&#24037;&#19994;&#22253;&#21608;&#36793;&#22303;&#22756;&#35843;&#26597;\&#37122;&#24030;\&#33457;&#28246;\SJG-&#25955;&#28857;&#22270;-&#381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pH</a:t>
            </a:r>
            <a:r>
              <a:rPr altLang="en-US"/>
              <a:t>值</a:t>
            </a:r>
            <a:endParaRPr altLang="en-US"/>
          </a:p>
        </c:rich>
      </c:tx>
      <c:layout/>
      <c:overlay val="0"/>
      <c:spPr>
        <a:noFill/>
        <a:ln>
          <a:noFill/>
        </a:ln>
        <a:effectLst/>
      </c:spPr>
    </c:title>
    <c:autoTitleDeleted val="0"/>
    <c:plotArea>
      <c:layout/>
      <c:lineChart>
        <c:grouping val="standard"/>
        <c:varyColors val="0"/>
        <c:ser>
          <c:idx val="0"/>
          <c:order val="0"/>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[散点图.xlsx]Ph!$B$2:$L$2</c:f>
              <c:strCache>
                <c:ptCount val="11"/>
                <c:pt idx="0">
                  <c:v>HH-1-75</c:v>
                </c:pt>
                <c:pt idx="1">
                  <c:v>HH-1-200</c:v>
                </c:pt>
                <c:pt idx="2">
                  <c:v>HH-1-400</c:v>
                </c:pt>
                <c:pt idx="3">
                  <c:v>HH-2</c:v>
                </c:pt>
                <c:pt idx="4">
                  <c:v>HH-3-75</c:v>
                </c:pt>
                <c:pt idx="5">
                  <c:v>HH-4</c:v>
                </c:pt>
                <c:pt idx="6">
                  <c:v>HH-JJ-1</c:v>
                </c:pt>
                <c:pt idx="7">
                  <c:v>HH-JJ-2</c:v>
                </c:pt>
                <c:pt idx="8">
                  <c:v>HH-JJ-3</c:v>
                </c:pt>
                <c:pt idx="9">
                  <c:v>HH-JJ-4</c:v>
                </c:pt>
                <c:pt idx="10">
                  <c:v>HH-JJ-5</c:v>
                </c:pt>
              </c:strCache>
            </c:strRef>
          </c:cat>
          <c:val>
            <c:numRef>
              <c:f>[散点图.xlsx]Ph!$B$3:$L$3</c:f>
              <c:numCache>
                <c:formatCode>0.00_ </c:formatCode>
                <c:ptCount val="11"/>
                <c:pt idx="0">
                  <c:v>8.27</c:v>
                </c:pt>
                <c:pt idx="1">
                  <c:v>8.33</c:v>
                </c:pt>
                <c:pt idx="2">
                  <c:v>8.23</c:v>
                </c:pt>
                <c:pt idx="3">
                  <c:v>8.14</c:v>
                </c:pt>
                <c:pt idx="4">
                  <c:v>8.15</c:v>
                </c:pt>
                <c:pt idx="5">
                  <c:v>6.02</c:v>
                </c:pt>
                <c:pt idx="6">
                  <c:v>8.7</c:v>
                </c:pt>
                <c:pt idx="7">
                  <c:v>8.32</c:v>
                </c:pt>
                <c:pt idx="8">
                  <c:v>7.9</c:v>
                </c:pt>
                <c:pt idx="9">
                  <c:v>7.33</c:v>
                </c:pt>
                <c:pt idx="10">
                  <c:v>8.47</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4c9bd7d5-1fd8-4729-876d-c30a55c7150e}"/>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'[SJG-散点图-氟化物.xlsx]铜-only'!$A$3</c:f>
              <c:strCache>
                <c:ptCount val="1"/>
                <c:pt idx="0">
                  <c:v>总氟化物</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'[SJG-散点图-氟化物.xlsx]铜-only'!$B$2:$E$2</c:f>
              <c:strCache>
                <c:ptCount val="4"/>
                <c:pt idx="0">
                  <c:v>HH-1-75</c:v>
                </c:pt>
                <c:pt idx="1">
                  <c:v>HH-1-200</c:v>
                </c:pt>
                <c:pt idx="2">
                  <c:v>HH-1-400</c:v>
                </c:pt>
                <c:pt idx="3" c:formatCode="0_);[Red]\(0\)">
                  <c:v>HH-JJ-3</c:v>
                </c:pt>
              </c:strCache>
            </c:strRef>
          </c:cat>
          <c:val>
            <c:numRef>
              <c:f>'[SJG-散点图-氟化物.xlsx]铜-only'!$B$3:$E$3</c:f>
              <c:numCache>
                <c:formatCode>General</c:formatCode>
                <c:ptCount val="4"/>
                <c:pt idx="0">
                  <c:v>648</c:v>
                </c:pt>
                <c:pt idx="1">
                  <c:v>703</c:v>
                </c:pt>
                <c:pt idx="2">
                  <c:v>934</c:v>
                </c:pt>
                <c:pt idx="3" c:formatCode="0_);[Red]\(0\)">
                  <c:v>712</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1000"/>
          <c:min val="60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b2d6807c-2ab2-4f3c-8d70-d49fc8f97ccc}"/>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altLang="en-US"/>
              <a:t>铅</a:t>
            </a:r>
            <a:endParaRPr lang="en-US" altLang="zh-CN"/>
          </a:p>
        </c:rich>
      </c:tx>
      <c:layout/>
      <c:overlay val="0"/>
      <c:spPr>
        <a:noFill/>
        <a:ln>
          <a:noFill/>
        </a:ln>
        <a:effectLst/>
      </c:spPr>
    </c:title>
    <c:autoTitleDeleted val="0"/>
    <c:plotArea>
      <c:layout/>
      <c:lineChart>
        <c:grouping val="standard"/>
        <c:varyColors val="0"/>
        <c:ser>
          <c:idx val="0"/>
          <c:order val="0"/>
          <c:tx>
            <c:strRef>
              <c:f>'[SJG-散点图-铬.xlsx]铅'!$A$3</c:f>
              <c:strCache>
                <c:ptCount val="1"/>
                <c:pt idx="0">
                  <c:v>铅</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'[SJG-散点图-铬.xlsx]铅'!$B$2:$N$2</c:f>
              <c:strCache>
                <c:ptCount val="13"/>
                <c:pt idx="0">
                  <c:v>HH-1-75</c:v>
                </c:pt>
                <c:pt idx="1">
                  <c:v>HH-1-200</c:v>
                </c:pt>
                <c:pt idx="2">
                  <c:v>HH-1-400</c:v>
                </c:pt>
                <c:pt idx="3">
                  <c:v>HH-2</c:v>
                </c:pt>
                <c:pt idx="4">
                  <c:v>HH-3-75</c:v>
                </c:pt>
                <c:pt idx="5">
                  <c:v>HH-4</c:v>
                </c:pt>
                <c:pt idx="6">
                  <c:v>HH-JJ-1</c:v>
                </c:pt>
                <c:pt idx="7">
                  <c:v>HH-JJ-2</c:v>
                </c:pt>
                <c:pt idx="8">
                  <c:v>HH-JJ-3</c:v>
                </c:pt>
                <c:pt idx="9">
                  <c:v>HH-JJ-4</c:v>
                </c:pt>
                <c:pt idx="10">
                  <c:v>HH-JJ-5</c:v>
                </c:pt>
              </c:strCache>
            </c:strRef>
          </c:cat>
          <c:val>
            <c:numRef>
              <c:f>'[SJG-散点图-铬.xlsx]铅'!$B$3:$L$3</c:f>
              <c:numCache>
                <c:formatCode>General</c:formatCode>
                <c:ptCount val="11"/>
                <c:pt idx="0">
                  <c:v>41.4</c:v>
                </c:pt>
                <c:pt idx="1">
                  <c:v>28.3</c:v>
                </c:pt>
                <c:pt idx="2">
                  <c:v>27.5</c:v>
                </c:pt>
                <c:pt idx="3">
                  <c:v>27.6</c:v>
                </c:pt>
                <c:pt idx="4">
                  <c:v>39.6</c:v>
                </c:pt>
                <c:pt idx="5">
                  <c:v>41.7</c:v>
                </c:pt>
                <c:pt idx="6">
                  <c:v>46.3</c:v>
                </c:pt>
                <c:pt idx="7">
                  <c:v>69.9</c:v>
                </c:pt>
                <c:pt idx="8">
                  <c:v>26.1</c:v>
                </c:pt>
                <c:pt idx="9">
                  <c:v>25.3</c:v>
                </c:pt>
                <c:pt idx="10">
                  <c:v>25.8</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8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b4462978-12fa-4f3b-89e7-f33583168662}"/>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53174912349045"/>
          <c:y val="0.13910072313736"/>
          <c:w val="0.84137125048695"/>
          <c:h val="0.715486432825943"/>
        </c:manualLayout>
      </c:layout>
      <c:lineChart>
        <c:grouping val="standard"/>
        <c:varyColors val="0"/>
        <c:ser>
          <c:idx val="0"/>
          <c:order val="0"/>
          <c:tx>
            <c:strRef>
              <c:f>'[SJG-散点图-铬.xlsx]汞'!$A$3</c:f>
              <c:strCache>
                <c:ptCount val="1"/>
                <c:pt idx="0">
                  <c:v>汞</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'[SJG-散点图-铬.xlsx]汞'!$B$2:$L$2</c:f>
              <c:strCache>
                <c:ptCount val="11"/>
                <c:pt idx="0">
                  <c:v>HH-1-75</c:v>
                </c:pt>
                <c:pt idx="1">
                  <c:v>HH-1-200</c:v>
                </c:pt>
                <c:pt idx="2">
                  <c:v>HH-1-400</c:v>
                </c:pt>
                <c:pt idx="3">
                  <c:v>HH-2</c:v>
                </c:pt>
                <c:pt idx="4">
                  <c:v>HH-3-75</c:v>
                </c:pt>
                <c:pt idx="5">
                  <c:v>HH-4</c:v>
                </c:pt>
                <c:pt idx="6">
                  <c:v>HH-JJ-1</c:v>
                </c:pt>
                <c:pt idx="7">
                  <c:v>HH-JJ-2</c:v>
                </c:pt>
                <c:pt idx="8">
                  <c:v>HH-JJ-3</c:v>
                </c:pt>
                <c:pt idx="9">
                  <c:v>HH-JJ-4</c:v>
                </c:pt>
                <c:pt idx="10">
                  <c:v>HH-JJ-5</c:v>
                </c:pt>
              </c:strCache>
            </c:strRef>
          </c:cat>
          <c:val>
            <c:numRef>
              <c:f>'[SJG-散点图-铬.xlsx]汞'!$B$3:$L$3</c:f>
              <c:numCache>
                <c:formatCode>General</c:formatCode>
                <c:ptCount val="11"/>
                <c:pt idx="0">
                  <c:v>0.09</c:v>
                </c:pt>
                <c:pt idx="1">
                  <c:v>0.09</c:v>
                </c:pt>
                <c:pt idx="2">
                  <c:v>0.06</c:v>
                </c:pt>
                <c:pt idx="3">
                  <c:v>0.06</c:v>
                </c:pt>
                <c:pt idx="4">
                  <c:v>0.11</c:v>
                </c:pt>
                <c:pt idx="5">
                  <c:v>0.14</c:v>
                </c:pt>
                <c:pt idx="6">
                  <c:v>0.26</c:v>
                </c:pt>
                <c:pt idx="7">
                  <c:v>0.17</c:v>
                </c:pt>
                <c:pt idx="8">
                  <c:v>0.11</c:v>
                </c:pt>
                <c:pt idx="9">
                  <c:v>0.11</c:v>
                </c:pt>
                <c:pt idx="10">
                  <c:v>0.15</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0.3"/>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b69223b3-764b-420a-a4ee-6cc450ef09d7}"/>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'[SJG-散点图-铬.xlsx]镉'!$A$3</c:f>
              <c:strCache>
                <c:ptCount val="1"/>
                <c:pt idx="0">
                  <c:v>镉</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'[SJG-散点图-铬.xlsx]镉'!$B$2:$L$2</c:f>
              <c:strCache>
                <c:ptCount val="11"/>
                <c:pt idx="0">
                  <c:v>HH-1-75</c:v>
                </c:pt>
                <c:pt idx="1">
                  <c:v>HH-1-200</c:v>
                </c:pt>
                <c:pt idx="2">
                  <c:v>HH-1-400</c:v>
                </c:pt>
                <c:pt idx="3">
                  <c:v>HH-2</c:v>
                </c:pt>
                <c:pt idx="4">
                  <c:v>HH-3-75</c:v>
                </c:pt>
                <c:pt idx="5">
                  <c:v>HH-4</c:v>
                </c:pt>
                <c:pt idx="6">
                  <c:v>HH-JJ-1</c:v>
                </c:pt>
                <c:pt idx="7">
                  <c:v>HH-JJ-2</c:v>
                </c:pt>
                <c:pt idx="8">
                  <c:v>HH-JJ-3</c:v>
                </c:pt>
                <c:pt idx="9">
                  <c:v>HH-JJ-4</c:v>
                </c:pt>
                <c:pt idx="10">
                  <c:v>HH-JJ-5</c:v>
                </c:pt>
              </c:strCache>
            </c:strRef>
          </c:cat>
          <c:val>
            <c:numRef>
              <c:f>'[SJG-散点图-铬.xlsx]镉'!$B$3:$L$3</c:f>
              <c:numCache>
                <c:formatCode>0.00_ </c:formatCode>
                <c:ptCount val="11"/>
                <c:pt idx="0">
                  <c:v>0.03</c:v>
                </c:pt>
                <c:pt idx="1">
                  <c:v>0.07</c:v>
                </c:pt>
                <c:pt idx="2">
                  <c:v>0.06</c:v>
                </c:pt>
                <c:pt idx="3">
                  <c:v>0.03</c:v>
                </c:pt>
                <c:pt idx="4">
                  <c:v>0.07</c:v>
                </c:pt>
                <c:pt idx="5">
                  <c:v>0.04</c:v>
                </c:pt>
                <c:pt idx="6">
                  <c:v>0.1</c:v>
                </c:pt>
                <c:pt idx="7">
                  <c:v>0.06</c:v>
                </c:pt>
                <c:pt idx="8">
                  <c:v>0.04</c:v>
                </c:pt>
                <c:pt idx="9">
                  <c:v>0.05</c:v>
                </c:pt>
                <c:pt idx="10">
                  <c:v>0.02</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0.6"/>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0d776fe9-35a9-48d5-806d-61dbad634953}"/>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'[SJG-散点图-铜.xlsx]铜-only'!$A$3</c:f>
              <c:strCache>
                <c:ptCount val="1"/>
                <c:pt idx="0">
                  <c:v>铜</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'[SJG-散点图-铜.xlsx]铜-only'!$B$2:$N$2</c:f>
              <c:strCache>
                <c:ptCount val="13"/>
                <c:pt idx="0">
                  <c:v>HH-1-75</c:v>
                </c:pt>
                <c:pt idx="1">
                  <c:v>HH-1-200</c:v>
                </c:pt>
                <c:pt idx="2">
                  <c:v>HH-1-400</c:v>
                </c:pt>
                <c:pt idx="3">
                  <c:v>HH-2</c:v>
                </c:pt>
                <c:pt idx="4">
                  <c:v>HH-3-75</c:v>
                </c:pt>
                <c:pt idx="5">
                  <c:v>HH-4</c:v>
                </c:pt>
                <c:pt idx="6">
                  <c:v>HH-JJ-1</c:v>
                </c:pt>
                <c:pt idx="7">
                  <c:v>HH-JJ-2</c:v>
                </c:pt>
                <c:pt idx="8">
                  <c:v>HH-JJ-3</c:v>
                </c:pt>
                <c:pt idx="9">
                  <c:v>HH-JJ-4</c:v>
                </c:pt>
                <c:pt idx="10">
                  <c:v>HH-JJ-5</c:v>
                </c:pt>
              </c:strCache>
            </c:strRef>
          </c:cat>
          <c:val>
            <c:numRef>
              <c:f>'[SJG-散点图-铜.xlsx]铜-only'!$B$3:$L$3</c:f>
              <c:numCache>
                <c:formatCode>General</c:formatCode>
                <c:ptCount val="11"/>
                <c:pt idx="0">
                  <c:v>28</c:v>
                </c:pt>
                <c:pt idx="1">
                  <c:v>30</c:v>
                </c:pt>
                <c:pt idx="2">
                  <c:v>49</c:v>
                </c:pt>
                <c:pt idx="3">
                  <c:v>33</c:v>
                </c:pt>
                <c:pt idx="4">
                  <c:v>41</c:v>
                </c:pt>
                <c:pt idx="5">
                  <c:v>23</c:v>
                </c:pt>
                <c:pt idx="6">
                  <c:v>40</c:v>
                </c:pt>
                <c:pt idx="7">
                  <c:v>47</c:v>
                </c:pt>
                <c:pt idx="8">
                  <c:v>27</c:v>
                </c:pt>
                <c:pt idx="9">
                  <c:v>39</c:v>
                </c:pt>
                <c:pt idx="10">
                  <c:v>46</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7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0c276f63-5a9d-4866-a304-26e877d87276}"/>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'[SJG-散点图-铬.xlsx]镍'!$A$3</c:f>
              <c:strCache>
                <c:ptCount val="1"/>
                <c:pt idx="0">
                  <c:v>镍</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'[SJG-散点图-铬.xlsx]镍'!$B$2:$L$2</c:f>
              <c:strCache>
                <c:ptCount val="11"/>
                <c:pt idx="0">
                  <c:v>HH-1-75</c:v>
                </c:pt>
                <c:pt idx="1">
                  <c:v>HH-1-200</c:v>
                </c:pt>
                <c:pt idx="2">
                  <c:v>HH-1-400</c:v>
                </c:pt>
                <c:pt idx="3">
                  <c:v>HH-2</c:v>
                </c:pt>
                <c:pt idx="4">
                  <c:v>HH-3-75</c:v>
                </c:pt>
                <c:pt idx="5">
                  <c:v>HH-4</c:v>
                </c:pt>
                <c:pt idx="6">
                  <c:v>HH-JJ-1</c:v>
                </c:pt>
                <c:pt idx="7">
                  <c:v>HH-JJ-2</c:v>
                </c:pt>
                <c:pt idx="8">
                  <c:v>HH-JJ-3</c:v>
                </c:pt>
                <c:pt idx="9">
                  <c:v>HH-JJ-4</c:v>
                </c:pt>
                <c:pt idx="10">
                  <c:v>HH-JJ-5</c:v>
                </c:pt>
              </c:strCache>
            </c:strRef>
          </c:cat>
          <c:val>
            <c:numRef>
              <c:f>'[SJG-散点图-铬.xlsx]镍'!$B$3:$L$3</c:f>
              <c:numCache>
                <c:formatCode>General</c:formatCode>
                <c:ptCount val="11"/>
                <c:pt idx="0">
                  <c:v>31</c:v>
                </c:pt>
                <c:pt idx="1">
                  <c:v>45</c:v>
                </c:pt>
                <c:pt idx="2">
                  <c:v>54</c:v>
                </c:pt>
                <c:pt idx="3">
                  <c:v>37</c:v>
                </c:pt>
                <c:pt idx="4">
                  <c:v>39</c:v>
                </c:pt>
                <c:pt idx="5">
                  <c:v>18</c:v>
                </c:pt>
                <c:pt idx="6">
                  <c:v>31</c:v>
                </c:pt>
                <c:pt idx="7">
                  <c:v>48</c:v>
                </c:pt>
                <c:pt idx="8">
                  <c:v>28</c:v>
                </c:pt>
                <c:pt idx="9">
                  <c:v>32</c:v>
                </c:pt>
                <c:pt idx="10">
                  <c:v>48</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8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7e773910-81ea-4610-b5a3-2e5cd13e08e3}"/>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21101155694065"/>
          <c:y val="0.126012898958161"/>
          <c:w val="0.847214647448383"/>
          <c:h val="0.715627583925914"/>
        </c:manualLayout>
      </c:layout>
      <c:lineChart>
        <c:grouping val="standard"/>
        <c:varyColors val="0"/>
        <c:ser>
          <c:idx val="0"/>
          <c:order val="0"/>
          <c:tx>
            <c:strRef>
              <c:f>'[SJG-散点图-铬.xlsx]铬'!$A$3</c:f>
              <c:strCache>
                <c:ptCount val="1"/>
                <c:pt idx="0">
                  <c:v>铬</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'[SJG-散点图-铬.xlsx]铬'!$B$2:$L$2</c:f>
              <c:strCache>
                <c:ptCount val="11"/>
                <c:pt idx="0">
                  <c:v>HH-1-75</c:v>
                </c:pt>
                <c:pt idx="1">
                  <c:v>HH-1-200</c:v>
                </c:pt>
                <c:pt idx="2">
                  <c:v>HH-1-400</c:v>
                </c:pt>
                <c:pt idx="3">
                  <c:v>HH-2</c:v>
                </c:pt>
                <c:pt idx="4">
                  <c:v>HH-3-75</c:v>
                </c:pt>
                <c:pt idx="5">
                  <c:v>HH-4</c:v>
                </c:pt>
                <c:pt idx="6">
                  <c:v>HH-JJ-1</c:v>
                </c:pt>
                <c:pt idx="7">
                  <c:v>HH-JJ-2</c:v>
                </c:pt>
                <c:pt idx="8">
                  <c:v>HH-JJ-3</c:v>
                </c:pt>
                <c:pt idx="9">
                  <c:v>HH-JJ-4</c:v>
                </c:pt>
                <c:pt idx="10">
                  <c:v>HH-JJ-5</c:v>
                </c:pt>
              </c:strCache>
            </c:strRef>
          </c:cat>
          <c:val>
            <c:numRef>
              <c:f>'[SJG-散点图-铬.xlsx]铬'!$B$3:$L$3</c:f>
              <c:numCache>
                <c:formatCode>General</c:formatCode>
                <c:ptCount val="11"/>
                <c:pt idx="0">
                  <c:v>60</c:v>
                </c:pt>
                <c:pt idx="1">
                  <c:v>61</c:v>
                </c:pt>
                <c:pt idx="2">
                  <c:v>79</c:v>
                </c:pt>
                <c:pt idx="3">
                  <c:v>55</c:v>
                </c:pt>
                <c:pt idx="4">
                  <c:v>58</c:v>
                </c:pt>
                <c:pt idx="5">
                  <c:v>60</c:v>
                </c:pt>
                <c:pt idx="6">
                  <c:v>93</c:v>
                </c:pt>
                <c:pt idx="7">
                  <c:v>97</c:v>
                </c:pt>
                <c:pt idx="8">
                  <c:v>73</c:v>
                </c:pt>
                <c:pt idx="9">
                  <c:v>69</c:v>
                </c:pt>
                <c:pt idx="10">
                  <c:v>75</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16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352dd02a-0854-4c3a-93c1-3193e17818a2}"/>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t>砷</a:t>
            </a:r>
          </a:p>
        </c:rich>
      </c:tx>
      <c:layout/>
      <c:overlay val="0"/>
      <c:spPr>
        <a:noFill/>
        <a:ln>
          <a:noFill/>
        </a:ln>
        <a:effectLst/>
      </c:spPr>
    </c:title>
    <c:autoTitleDeleted val="0"/>
    <c:plotArea>
      <c:layout/>
      <c:lineChart>
        <c:grouping val="standard"/>
        <c:varyColors val="0"/>
        <c:ser>
          <c:idx val="0"/>
          <c:order val="0"/>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'[SJG-散点图-铬.xlsx]砷'!$B$2:$L$2</c:f>
              <c:strCache>
                <c:ptCount val="11"/>
                <c:pt idx="0">
                  <c:v>HH-1-75</c:v>
                </c:pt>
                <c:pt idx="1">
                  <c:v>HH-1-200</c:v>
                </c:pt>
                <c:pt idx="2">
                  <c:v>HH-1-400</c:v>
                </c:pt>
                <c:pt idx="3">
                  <c:v>HH-2</c:v>
                </c:pt>
                <c:pt idx="4">
                  <c:v>HH-3-75</c:v>
                </c:pt>
                <c:pt idx="5">
                  <c:v>HH-4</c:v>
                </c:pt>
                <c:pt idx="6">
                  <c:v>HH-JJ-1</c:v>
                </c:pt>
                <c:pt idx="7">
                  <c:v>HH-JJ-2</c:v>
                </c:pt>
                <c:pt idx="8">
                  <c:v>HH-JJ-3</c:v>
                </c:pt>
                <c:pt idx="9">
                  <c:v>HH-JJ-4</c:v>
                </c:pt>
                <c:pt idx="10">
                  <c:v>HH-JJ-5</c:v>
                </c:pt>
              </c:strCache>
            </c:strRef>
          </c:cat>
          <c:val>
            <c:numRef>
              <c:f>'[SJG-散点图-铬.xlsx]砷'!$B$3:$L$3</c:f>
              <c:numCache>
                <c:formatCode>0.0_ </c:formatCode>
                <c:ptCount val="11"/>
                <c:pt idx="0">
                  <c:v>14</c:v>
                </c:pt>
                <c:pt idx="1">
                  <c:v>11.3</c:v>
                </c:pt>
                <c:pt idx="2">
                  <c:v>5.4</c:v>
                </c:pt>
                <c:pt idx="3">
                  <c:v>12.7</c:v>
                </c:pt>
                <c:pt idx="4">
                  <c:v>16.4</c:v>
                </c:pt>
                <c:pt idx="5">
                  <c:v>11.1</c:v>
                </c:pt>
                <c:pt idx="6">
                  <c:v>15.6</c:v>
                </c:pt>
                <c:pt idx="7">
                  <c:v>16.3</c:v>
                </c:pt>
                <c:pt idx="8">
                  <c:v>13.4</c:v>
                </c:pt>
                <c:pt idx="9">
                  <c:v>11.5</c:v>
                </c:pt>
                <c:pt idx="10">
                  <c:v>12.8</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3832f442-1b34-41ff-bfa6-d60bbbf00846}"/>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t>锑</a:t>
            </a:r>
          </a:p>
        </c:rich>
      </c:tx>
      <c:layout/>
      <c:overlay val="0"/>
      <c:spPr>
        <a:noFill/>
        <a:ln>
          <a:noFill/>
        </a:ln>
        <a:effectLst/>
      </c:spPr>
    </c:title>
    <c:autoTitleDeleted val="0"/>
    <c:plotArea>
      <c:layout>
        <c:manualLayout>
          <c:layoutTarget val="inner"/>
          <c:xMode val="edge"/>
          <c:yMode val="edge"/>
          <c:x val="0.114256091238984"/>
          <c:y val="0.128520829819531"/>
          <c:w val="0.853473302229134"/>
          <c:h val="0.709967954123798"/>
        </c:manualLayout>
      </c:layout>
      <c:lineChart>
        <c:grouping val="standard"/>
        <c:varyColors val="0"/>
        <c:ser>
          <c:idx val="0"/>
          <c:order val="0"/>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'[SJG-散点图-铬.xlsx]锑'!$B$2:$L$2</c:f>
              <c:strCache>
                <c:ptCount val="11"/>
                <c:pt idx="0">
                  <c:v>HH-1-75</c:v>
                </c:pt>
                <c:pt idx="1">
                  <c:v>HH-1-200</c:v>
                </c:pt>
                <c:pt idx="2">
                  <c:v>HH-1-400</c:v>
                </c:pt>
                <c:pt idx="3">
                  <c:v>HH-2</c:v>
                </c:pt>
                <c:pt idx="4">
                  <c:v>HH-3-75</c:v>
                </c:pt>
                <c:pt idx="5">
                  <c:v>HH-4</c:v>
                </c:pt>
                <c:pt idx="6">
                  <c:v>HH-JJ-1</c:v>
                </c:pt>
                <c:pt idx="7">
                  <c:v>HH-JJ-2</c:v>
                </c:pt>
                <c:pt idx="8">
                  <c:v>HH-JJ-3</c:v>
                </c:pt>
                <c:pt idx="9">
                  <c:v>HH-JJ-4</c:v>
                </c:pt>
                <c:pt idx="10">
                  <c:v>HH-JJ-5</c:v>
                </c:pt>
              </c:strCache>
            </c:strRef>
          </c:cat>
          <c:val>
            <c:numRef>
              <c:f>'[SJG-散点图-铬.xlsx]锑'!$B$3:$L$3</c:f>
              <c:numCache>
                <c:formatCode>0.0_ </c:formatCode>
                <c:ptCount val="11"/>
                <c:pt idx="0">
                  <c:v>0.7</c:v>
                </c:pt>
                <c:pt idx="1">
                  <c:v>0.5</c:v>
                </c:pt>
                <c:pt idx="2">
                  <c:v>0.6</c:v>
                </c:pt>
                <c:pt idx="3">
                  <c:v>0.6</c:v>
                </c:pt>
                <c:pt idx="4">
                  <c:v>0.8</c:v>
                </c:pt>
                <c:pt idx="5">
                  <c:v>0.7</c:v>
                </c:pt>
                <c:pt idx="6">
                  <c:v>1</c:v>
                </c:pt>
                <c:pt idx="7">
                  <c:v>1.3</c:v>
                </c:pt>
                <c:pt idx="8">
                  <c:v>0.9</c:v>
                </c:pt>
                <c:pt idx="9">
                  <c:v>0.8</c:v>
                </c:pt>
                <c:pt idx="10">
                  <c:v>0.8</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2.5"/>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95fe5b9d-d657-46ee-8926-e133c2948876}"/>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0.0712524334847502</cdr:x>
      <cdr:y>0.208480565371025</cdr:y>
    </cdr:from>
    <cdr:to>
      <cdr:x>0.982868267358858</cdr:x>
      <cdr:y>0.208985360928824</cdr:y>
    </cdr:to>
    <cdr:sp>
      <cdr:nvSpPr>
        <cdr:cNvPr id="2" name="直接连接符 1"/>
        <cdr:cNvSpPr/>
      </cdr:nvSpPr>
      <cdr:spPr xmlns:a="http://schemas.openxmlformats.org/drawingml/2006/main">
        <a:xfrm xmlns:a="http://schemas.openxmlformats.org/drawingml/2006/main" flipV="1">
          <a:off x="348615" y="786765"/>
          <a:ext cx="4460240" cy="1905"/>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0.495884289746002</cdr:x>
      <cdr:y>0.0768955009858398</cdr:y>
    </cdr:from>
    <cdr:to>
      <cdr:x>0.597365945437441</cdr:x>
      <cdr:y>0.150743860906973</cdr:y>
    </cdr:to>
    <cdr:sp>
      <cdr:nvSpPr>
        <cdr:cNvPr id="4" name="矩形 3"/>
        <cdr:cNvSpPr/>
      </cdr:nvSpPr>
      <cdr:spPr xmlns:a="http://schemas.openxmlformats.org/drawingml/2006/main">
        <a:xfrm xmlns:a="http://schemas.openxmlformats.org/drawingml/2006/main">
          <a:off x="2677795" y="272415"/>
          <a:ext cx="548005" cy="26162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a:t>
          </a:r>
          <a:endParaRPr lang="zh-CN" altLang="en-US" sz="1000"/>
        </a:p>
        <a:p>
          <a:endParaRPr lang="zh-CN" altLang="en-US" sz="1000"/>
        </a:p>
      </cdr:txBody>
    </cdr:sp>
  </cdr:relSizeAnchor>
  <cdr:relSizeAnchor xmlns:cdr="http://schemas.openxmlformats.org/drawingml/2006/chartDrawing">
    <cdr:from>
      <cdr:x>0.437441204139229</cdr:x>
      <cdr:y>0.108357004037423</cdr:y>
    </cdr:from>
    <cdr:to>
      <cdr:x>0.484948259642521</cdr:x>
      <cdr:y>0.108894734813548</cdr:y>
    </cdr:to>
    <cdr:sp>
      <cdr:nvSpPr>
        <cdr:cNvPr id="5" name="直接连接符 4"/>
        <cdr:cNvSpPr/>
      </cdr:nvSpPr>
      <cdr:spPr xmlns:a="http://schemas.openxmlformats.org/drawingml/2006/main">
        <a:xfrm xmlns:a="http://schemas.openxmlformats.org/drawingml/2006/main" flipV="1">
          <a:off x="2362200" y="390065"/>
          <a:ext cx="256540" cy="1936"/>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2.xml><?xml version="1.0" encoding="utf-8"?>
<c:userShapes xmlns:c="http://schemas.openxmlformats.org/drawingml/2006/chart">
  <cdr:relSizeAnchor xmlns:cdr="http://schemas.openxmlformats.org/drawingml/2006/chartDrawing">
    <cdr:from>
      <cdr:x>0.113700166023324</cdr:x>
      <cdr:y>0.626387499126716</cdr:y>
    </cdr:from>
    <cdr:to>
      <cdr:x>0.977077529400687</cdr:x>
      <cdr:y>0.626554611426182</cdr:y>
    </cdr:to>
    <cdr:sp>
      <cdr:nvSpPr>
        <cdr:cNvPr id="2" name="直接连接符 1"/>
        <cdr:cNvSpPr/>
      </cdr:nvSpPr>
      <cdr:spPr xmlns:a="http://schemas.openxmlformats.org/drawingml/2006/main">
        <a:xfrm xmlns:a="http://schemas.openxmlformats.org/drawingml/2006/main">
          <a:off x="556009" y="2405231"/>
          <a:ext cx="4222032" cy="642"/>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3.xml><?xml version="1.0" encoding="utf-8"?>
<c:userShapes xmlns:c="http://schemas.openxmlformats.org/drawingml/2006/chart">
  <cdr:relSizeAnchor xmlns:cdr="http://schemas.openxmlformats.org/drawingml/2006/chartDrawing">
    <cdr:from>
      <cdr:x>0.114665895155403</cdr:x>
      <cdr:y>0.516825890056121</cdr:y>
    </cdr:from>
    <cdr:to>
      <cdr:x>0.964386638109034</cdr:x>
      <cdr:y>0.517328150226889</cdr:y>
    </cdr:to>
    <cdr:sp>
      <cdr:nvSpPr>
        <cdr:cNvPr id="2" name="直接连接符 1"/>
        <cdr:cNvSpPr/>
      </cdr:nvSpPr>
      <cdr:spPr xmlns:a="http://schemas.openxmlformats.org/drawingml/2006/main">
        <a:xfrm xmlns:a="http://schemas.openxmlformats.org/drawingml/2006/main" flipV="1">
          <a:off x="561824" y="1974358"/>
          <a:ext cx="4163343" cy="1919"/>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0.107348250788067</cdr:x>
      <cdr:y>0.462570459206847</cdr:y>
    </cdr:from>
    <cdr:to>
      <cdr:x>0.988148978722553</cdr:x>
      <cdr:y>0.465072126985366</cdr:y>
    </cdr:to>
    <cdr:sp>
      <cdr:nvSpPr>
        <cdr:cNvPr id="6" name="直接连接符 5"/>
        <cdr:cNvSpPr/>
      </cdr:nvSpPr>
      <cdr:spPr xmlns:a="http://schemas.openxmlformats.org/drawingml/2006/main">
        <a:xfrm xmlns:a="http://schemas.openxmlformats.org/drawingml/2006/main">
          <a:off x="525970" y="1767093"/>
          <a:ext cx="4315624" cy="9557"/>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4.xml><?xml version="1.0" encoding="utf-8"?>
<c:userShapes xmlns:c="http://schemas.openxmlformats.org/drawingml/2006/chart">
  <cdr:relSizeAnchor xmlns:cdr="http://schemas.openxmlformats.org/drawingml/2006/chartDrawing">
    <cdr:from>
      <cdr:x>0.137833812164095</cdr:x>
      <cdr:y>0.568179304388669</cdr:y>
    </cdr:from>
    <cdr:to>
      <cdr:x>0.970194761211158</cdr:x>
      <cdr:y>0.569005068220214</cdr:y>
    </cdr:to>
    <cdr:sp>
      <cdr:nvSpPr>
        <cdr:cNvPr id="2" name="直接连接符 1"/>
        <cdr:cNvSpPr/>
      </cdr:nvSpPr>
      <cdr:spPr xmlns:a="http://schemas.openxmlformats.org/drawingml/2006/main">
        <a:xfrm xmlns:a="http://schemas.openxmlformats.org/drawingml/2006/main">
          <a:off x="674026" y="2202286"/>
          <a:ext cx="4070357" cy="3201"/>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0.155728291908383</cdr:x>
      <cdr:y>0.39158255165268</cdr:y>
    </cdr:from>
    <cdr:to>
      <cdr:x>0.977569611217564</cdr:x>
      <cdr:y>0.391910205650059</cdr:y>
    </cdr:to>
    <cdr:sp>
      <cdr:nvSpPr>
        <cdr:cNvPr id="6" name="直接连接符 5"/>
        <cdr:cNvSpPr/>
      </cdr:nvSpPr>
      <cdr:spPr xmlns:a="http://schemas.openxmlformats.org/drawingml/2006/main">
        <a:xfrm xmlns:a="http://schemas.openxmlformats.org/drawingml/2006/main" flipV="1">
          <a:off x="759357" y="1519779"/>
          <a:ext cx="4007434" cy="1272"/>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5.xml><?xml version="1.0" encoding="utf-8"?>
<c:userShapes xmlns:c="http://schemas.openxmlformats.org/drawingml/2006/chart">
  <cdr:relSizeAnchor xmlns:cdr="http://schemas.openxmlformats.org/drawingml/2006/chartDrawing">
    <cdr:from>
      <cdr:x>0.0981387142991272</cdr:x>
      <cdr:y>0.780552340003307</cdr:y>
    </cdr:from>
    <cdr:to>
      <cdr:x>0.977692714039825</cdr:x>
      <cdr:y>0.782040681329585</cdr:y>
    </cdr:to>
    <cdr:sp>
      <cdr:nvSpPr>
        <cdr:cNvPr id="2" name="直接连接符 1"/>
        <cdr:cNvSpPr/>
      </cdr:nvSpPr>
      <cdr:spPr xmlns:a="http://schemas.openxmlformats.org/drawingml/2006/main">
        <a:xfrm xmlns:a="http://schemas.openxmlformats.org/drawingml/2006/main" flipV="1">
          <a:off x="479912" y="2997200"/>
          <a:ext cx="4301138" cy="5715"/>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6" name="直接连接符 5"/>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0.107217552888913</cdr:x>
      <cdr:y>0.168408976034334</cdr:y>
    </cdr:from>
    <cdr:to>
      <cdr:x>0.97332879438152</cdr:x>
      <cdr:y>0.168774139444961</cdr:y>
    </cdr:to>
    <cdr:sp>
      <cdr:nvSpPr>
        <cdr:cNvPr id="7" name="直接连接符 6"/>
        <cdr:cNvSpPr/>
      </cdr:nvSpPr>
      <cdr:spPr xmlns:a="http://schemas.openxmlformats.org/drawingml/2006/main">
        <a:xfrm xmlns:a="http://schemas.openxmlformats.org/drawingml/2006/main">
          <a:off x="525125" y="646664"/>
          <a:ext cx="4242001" cy="1402"/>
        </a:xfrm>
        <a:prstGeom xmlns:a="http://schemas.openxmlformats.org/drawingml/2006/main" prst="line">
          <a:avLst/>
        </a:prstGeom>
        <a:ln w="9525">
          <a:solidFill>
            <a:schemeClr val="tx1"/>
          </a:solidFill>
          <a:prstDash val="lg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6.xml><?xml version="1.0" encoding="utf-8"?>
<c:userShapes xmlns:c="http://schemas.openxmlformats.org/drawingml/2006/chart">
  <cdr:relSizeAnchor xmlns:cdr="http://schemas.openxmlformats.org/drawingml/2006/chartDrawing">
    <cdr:from>
      <cdr:x>0.110583687643893</cdr:x>
      <cdr:y>0.463662180787043</cdr:y>
    </cdr:from>
    <cdr:to>
      <cdr:x>0.973961051021256</cdr:x>
      <cdr:y>0.463829293086509</cdr:y>
    </cdr:to>
    <cdr:sp>
      <cdr:nvSpPr>
        <cdr:cNvPr id="2" name="直接连接符 1"/>
        <cdr:cNvSpPr/>
      </cdr:nvSpPr>
      <cdr:spPr xmlns:a="http://schemas.openxmlformats.org/drawingml/2006/main">
        <a:xfrm xmlns:a="http://schemas.openxmlformats.org/drawingml/2006/main">
          <a:off x="540769" y="1780391"/>
          <a:ext cx="4222032" cy="642"/>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0.102956840588317</cdr:x>
      <cdr:y>0.260110943553572</cdr:y>
    </cdr:from>
    <cdr:to>
      <cdr:x>0.980967718599195</cdr:x>
      <cdr:y>0.264790087938598</cdr:y>
    </cdr:to>
    <cdr:sp>
      <cdr:nvSpPr>
        <cdr:cNvPr id="6" name="直接连接符 5"/>
        <cdr:cNvSpPr/>
      </cdr:nvSpPr>
      <cdr:spPr xmlns:a="http://schemas.openxmlformats.org/drawingml/2006/main">
        <a:xfrm xmlns:a="http://schemas.openxmlformats.org/drawingml/2006/main">
          <a:off x="503473" y="998786"/>
          <a:ext cx="4293592" cy="17967"/>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7.xml><?xml version="1.0" encoding="utf-8"?>
<c:userShapes xmlns:c="http://schemas.openxmlformats.org/drawingml/2006/chart">
  <cdr:relSizeAnchor xmlns:cdr="http://schemas.openxmlformats.org/drawingml/2006/chartDrawing">
    <cdr:from>
      <cdr:x>0.100624420220066</cdr:x>
      <cdr:y>0.512288279316143</cdr:y>
    </cdr:from>
    <cdr:to>
      <cdr:x>0.974879794475439</cdr:x>
      <cdr:y>0.512455391615608</cdr:y>
    </cdr:to>
    <cdr:sp>
      <cdr:nvSpPr>
        <cdr:cNvPr id="2" name="直接连接符 1"/>
        <cdr:cNvSpPr/>
      </cdr:nvSpPr>
      <cdr:spPr xmlns:a="http://schemas.openxmlformats.org/drawingml/2006/main">
        <a:xfrm xmlns:a="http://schemas.openxmlformats.org/drawingml/2006/main">
          <a:off x="493025" y="1928397"/>
          <a:ext cx="4283554" cy="629"/>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0.104296645085344</cdr:x>
      <cdr:y>0.357612364540771</cdr:y>
    </cdr:from>
    <cdr:to>
      <cdr:x>0.983755150088287</cdr:x>
      <cdr:y>0.360632439154379</cdr:y>
    </cdr:to>
    <cdr:sp>
      <cdr:nvSpPr>
        <cdr:cNvPr id="6" name="直接连接符 5"/>
        <cdr:cNvSpPr/>
      </cdr:nvSpPr>
      <cdr:spPr xmlns:a="http://schemas.openxmlformats.org/drawingml/2006/main">
        <a:xfrm xmlns:a="http://schemas.openxmlformats.org/drawingml/2006/main" flipV="1">
          <a:off x="562610" y="1278255"/>
          <a:ext cx="4744085" cy="10795"/>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8.xml><?xml version="1.0" encoding="utf-8"?>
<c:userShapes xmlns:c="http://schemas.openxmlformats.org/drawingml/2006/chart">
  <cdr:relSizeAnchor xmlns:cdr="http://schemas.openxmlformats.org/drawingml/2006/chartDrawing">
    <cdr:from>
      <cdr:x>0.110722750662579</cdr:x>
      <cdr:y>0.52233791501548</cdr:y>
    </cdr:from>
    <cdr:to>
      <cdr:x>0.974100114039942</cdr:x>
      <cdr:y>0.522505027314946</cdr:y>
    </cdr:to>
    <cdr:sp>
      <cdr:nvSpPr>
        <cdr:cNvPr id="2" name="直接连接符 1"/>
        <cdr:cNvSpPr/>
      </cdr:nvSpPr>
      <cdr:spPr xmlns:a="http://schemas.openxmlformats.org/drawingml/2006/main">
        <a:xfrm xmlns:a="http://schemas.openxmlformats.org/drawingml/2006/main">
          <a:off x="541801" y="1979494"/>
          <a:ext cx="4224773" cy="633"/>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0.109189797347179</cdr:x>
      <cdr:y>0.18073273948544</cdr:y>
    </cdr:from>
    <cdr:to>
      <cdr:x>0.987200675358057</cdr:x>
      <cdr:y>0.185411883870466</cdr:y>
    </cdr:to>
    <cdr:sp>
      <cdr:nvSpPr>
        <cdr:cNvPr id="6" name="直接连接符 5"/>
        <cdr:cNvSpPr/>
      </cdr:nvSpPr>
      <cdr:spPr xmlns:a="http://schemas.openxmlformats.org/drawingml/2006/main">
        <a:xfrm xmlns:a="http://schemas.openxmlformats.org/drawingml/2006/main">
          <a:off x="533953" y="693986"/>
          <a:ext cx="4293592" cy="17967"/>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9.xml><?xml version="1.0" encoding="utf-8"?>
<c:userShapes xmlns:c="http://schemas.openxmlformats.org/drawingml/2006/chart">
  <cdr:relSizeAnchor xmlns:cdr="http://schemas.openxmlformats.org/drawingml/2006/chartDrawing">
    <cdr:from>
      <cdr:x>0.10021626123142</cdr:x>
      <cdr:y>0.614197738933981</cdr:y>
    </cdr:from>
    <cdr:to>
      <cdr:x>0.980497035961694</cdr:x>
      <cdr:y>0.614365636852047</cdr:y>
    </cdr:to>
    <cdr:sp>
      <cdr:nvSpPr>
        <cdr:cNvPr id="2" name="直接连接符 1"/>
        <cdr:cNvSpPr/>
      </cdr:nvSpPr>
      <cdr:spPr xmlns:a="http://schemas.openxmlformats.org/drawingml/2006/main">
        <a:xfrm xmlns:a="http://schemas.openxmlformats.org/drawingml/2006/main">
          <a:off x="490835" y="2358424"/>
          <a:ext cx="4311400" cy="645"/>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0.097356983218251</cdr:x>
      <cdr:y>0.13450903192172</cdr:y>
    </cdr:from>
    <cdr:to>
      <cdr:x>0.977685814692121</cdr:x>
      <cdr:y>0.135218755129669</cdr:y>
    </cdr:to>
    <cdr:sp>
      <cdr:nvSpPr>
        <cdr:cNvPr id="6" name="直接连接符 5"/>
        <cdr:cNvSpPr/>
      </cdr:nvSpPr>
      <cdr:spPr xmlns:a="http://schemas.openxmlformats.org/drawingml/2006/main">
        <a:xfrm xmlns:a="http://schemas.openxmlformats.org/drawingml/2006/main">
          <a:off x="526103" y="482670"/>
          <a:ext cx="4757165" cy="2547"/>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10.xml><?xml version="1.0" encoding="utf-8"?>
<c:userShapes xmlns:c="http://schemas.openxmlformats.org/drawingml/2006/chart">
  <cdr:relSizeAnchor xmlns:cdr="http://schemas.openxmlformats.org/drawingml/2006/chartDrawing">
    <cdr:from>
      <cdr:x>0.0989246004453307</cdr:x>
      <cdr:y>0.607974671225956</cdr:y>
    </cdr:from>
    <cdr:to>
      <cdr:x>0.949307071597931</cdr:x>
      <cdr:y>0.60995912632766</cdr:y>
    </cdr:to>
    <cdr:sp>
      <cdr:nvSpPr>
        <cdr:cNvPr id="2" name="直接连接符 1"/>
        <cdr:cNvSpPr/>
      </cdr:nvSpPr>
      <cdr:spPr xmlns:a="http://schemas.openxmlformats.org/drawingml/2006/main">
        <a:xfrm xmlns:a="http://schemas.openxmlformats.org/drawingml/2006/main" flipV="1">
          <a:off x="484697" y="2288973"/>
          <a:ext cx="4166585" cy="7471"/>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0.094750542794246</cdr:x>
      <cdr:y>0.203056651032433</cdr:y>
    </cdr:from>
    <cdr:to>
      <cdr:x>0.975079374268116</cdr:x>
      <cdr:y>0.203766374240382</cdr:y>
    </cdr:to>
    <cdr:sp>
      <cdr:nvSpPr>
        <cdr:cNvPr id="6" name="直接连接符 5"/>
        <cdr:cNvSpPr/>
      </cdr:nvSpPr>
      <cdr:spPr xmlns:a="http://schemas.openxmlformats.org/drawingml/2006/main">
        <a:xfrm xmlns:a="http://schemas.openxmlformats.org/drawingml/2006/main">
          <a:off x="464245" y="764491"/>
          <a:ext cx="4313312" cy="2672"/>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DE00D1-2F88-46D6-BCBC-5DD1D84023D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63</Pages>
  <Words>9041</Words>
  <Characters>9999</Characters>
  <Lines>322</Lines>
  <Paragraphs>90</Paragraphs>
  <TotalTime>4</TotalTime>
  <ScaleCrop>false</ScaleCrop>
  <LinksUpToDate>false</LinksUpToDate>
  <CharactersWithSpaces>10167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2019-11-14T05:54:00Z</dcterms:created>
  <dc:creator>严子麟</dc:creator>
  <cp:lastModifiedBy>12</cp:lastModifiedBy>
  <cp:lastPrinted>2021-02-04T07:10:00Z</cp:lastPrinted>
  <dcterms:modified xsi:type="dcterms:W3CDTF">2026-09-15T07:02:39Z</dcterms:modified>
  <cp:revision>176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53DDD9D50AC04ABCB269AD8B9F20AFD9_13</vt:lpwstr>
  </property>
  <property fmtid="{D5CDD505-2E9C-101B-9397-08002B2CF9AE}" pid="4" name="KSOTemplateDocerSaveRecord">
    <vt:lpwstr>eyJoZGlkIjoiYTRhM2Q3ZWUzMjE0YTIzZjEwZjg5MTY0YmUwNzM2MmUiLCJ1c2VySWQiOiIxNTg3NDg0NTExIn0=</vt:lpwstr>
  </property>
</Properties>
</file>